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EBE08">
      <w:pPr>
        <w:widowControl/>
        <w:spacing w:line="360" w:lineRule="auto"/>
        <w:jc w:val="center"/>
        <w:rPr>
          <w:rFonts w:ascii="黑体" w:hAnsi="黑体" w:eastAsia="黑体"/>
          <w:b/>
          <w:sz w:val="28"/>
          <w:szCs w:val="28"/>
        </w:rPr>
      </w:pPr>
    </w:p>
    <w:p w14:paraId="79EECB97">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5D00ECB0">
      <w:pPr>
        <w:widowControl/>
        <w:spacing w:line="360" w:lineRule="auto"/>
        <w:jc w:val="center"/>
        <w:rPr>
          <w:rFonts w:ascii="黑体" w:hAnsi="黑体" w:eastAsia="黑体"/>
          <w:b/>
          <w:sz w:val="44"/>
          <w:szCs w:val="44"/>
        </w:rPr>
      </w:pPr>
      <w:r>
        <w:rPr>
          <w:rFonts w:hint="eastAsia" w:ascii="黑体" w:hAnsi="黑体" w:eastAsia="黑体"/>
          <w:b/>
          <w:sz w:val="44"/>
          <w:szCs w:val="44"/>
        </w:rPr>
        <w:t>【</w:t>
      </w:r>
      <w:r>
        <w:rPr>
          <w:rFonts w:hint="eastAsia" w:ascii="黑体" w:hAnsi="黑体" w:eastAsia="黑体"/>
          <w:b/>
          <w:sz w:val="44"/>
          <w:szCs w:val="44"/>
          <w:lang w:eastAsia="zh-CN"/>
        </w:rPr>
        <w:t>兴银理财稳利恒盈封闭式2026年855期固收类理财产品</w:t>
      </w:r>
      <w:r>
        <w:rPr>
          <w:rFonts w:hint="eastAsia" w:ascii="黑体" w:hAnsi="黑体" w:eastAsia="黑体"/>
          <w:b/>
          <w:sz w:val="44"/>
          <w:szCs w:val="44"/>
        </w:rPr>
        <w:t>】</w:t>
      </w:r>
    </w:p>
    <w:p w14:paraId="307277D8">
      <w:pPr>
        <w:widowControl/>
        <w:spacing w:line="360" w:lineRule="auto"/>
        <w:jc w:val="center"/>
        <w:rPr>
          <w:b/>
          <w:szCs w:val="21"/>
        </w:rPr>
      </w:pPr>
      <w:r>
        <w:rPr>
          <w:rFonts w:hint="eastAsia" w:ascii="黑体" w:hAnsi="黑体" w:eastAsia="黑体"/>
          <w:b/>
          <w:sz w:val="44"/>
          <w:szCs w:val="44"/>
        </w:rPr>
        <w:t>销售文件</w:t>
      </w:r>
    </w:p>
    <w:tbl>
      <w:tblPr>
        <w:tblStyle w:val="8"/>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14:paraId="5942F3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3DC67366">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14:paraId="6C2383DF">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14:paraId="7B639B0A">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14:paraId="496B61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4AC499A1">
            <w:pPr>
              <w:pStyle w:val="12"/>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14:paraId="653A7F5D">
            <w:pPr>
              <w:widowControl/>
              <w:spacing w:line="360" w:lineRule="auto"/>
              <w:rPr>
                <w:rFonts w:ascii="宋体" w:hAnsi="宋体"/>
                <w:szCs w:val="21"/>
              </w:rPr>
            </w:pPr>
            <w:r>
              <w:rPr>
                <w:rFonts w:hint="eastAsia" w:ascii="宋体" w:hAnsi="宋体"/>
                <w:kern w:val="0"/>
                <w:sz w:val="20"/>
                <w:szCs w:val="21"/>
                <w:lang w:eastAsia="zh-CN"/>
              </w:rPr>
              <w:t>【兴银理财稳利恒盈封闭式2026年855期固收类理财产品】</w:t>
            </w:r>
            <w:r>
              <w:rPr>
                <w:rFonts w:hint="eastAsia" w:ascii="宋体" w:hAnsi="宋体"/>
                <w:kern w:val="0"/>
                <w:sz w:val="20"/>
                <w:szCs w:val="21"/>
              </w:rPr>
              <w:t>投资协议书</w:t>
            </w:r>
            <w:r>
              <w:rPr>
                <w:rFonts w:ascii="宋体" w:hAnsi="宋体"/>
                <w:kern w:val="0"/>
                <w:sz w:val="20"/>
                <w:szCs w:val="21"/>
              </w:rPr>
              <w:t xml:space="preserve"> </w:t>
            </w:r>
          </w:p>
        </w:tc>
        <w:tc>
          <w:tcPr>
            <w:tcW w:w="2107" w:type="dxa"/>
          </w:tcPr>
          <w:p w14:paraId="6DEA49BF">
            <w:pPr>
              <w:widowControl/>
              <w:spacing w:line="360" w:lineRule="auto"/>
              <w:jc w:val="center"/>
              <w:rPr>
                <w:rFonts w:ascii="宋体" w:hAnsi="宋体"/>
                <w:kern w:val="0"/>
                <w:szCs w:val="21"/>
              </w:rPr>
            </w:pPr>
            <w:r>
              <w:rPr>
                <w:rFonts w:hint="eastAsia" w:ascii="宋体" w:hAnsi="宋体"/>
                <w:kern w:val="0"/>
                <w:sz w:val="20"/>
                <w:szCs w:val="21"/>
              </w:rPr>
              <w:t>投资协议书</w:t>
            </w:r>
          </w:p>
        </w:tc>
      </w:tr>
      <w:tr w14:paraId="524A6A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14:paraId="6790A213">
            <w:pPr>
              <w:pStyle w:val="12"/>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14:paraId="27431650">
            <w:pPr>
              <w:widowControl/>
              <w:spacing w:line="360" w:lineRule="auto"/>
              <w:rPr>
                <w:rFonts w:ascii="宋体" w:hAnsi="宋体"/>
                <w:szCs w:val="21"/>
              </w:rPr>
            </w:pPr>
            <w:r>
              <w:rPr>
                <w:rFonts w:hint="eastAsia" w:ascii="宋体" w:hAnsi="宋体"/>
                <w:kern w:val="0"/>
                <w:sz w:val="20"/>
                <w:szCs w:val="21"/>
                <w:lang w:eastAsia="zh-CN"/>
              </w:rPr>
              <w:t>【兴银理财稳利恒盈封闭式2026年855期固收类理财产品】</w:t>
            </w:r>
            <w:r>
              <w:rPr>
                <w:rFonts w:hint="eastAsia" w:ascii="宋体" w:hAnsi="宋体"/>
                <w:kern w:val="0"/>
                <w:sz w:val="20"/>
                <w:szCs w:val="21"/>
              </w:rPr>
              <w:t>产品说明书</w:t>
            </w:r>
          </w:p>
        </w:tc>
        <w:tc>
          <w:tcPr>
            <w:tcW w:w="2107" w:type="dxa"/>
          </w:tcPr>
          <w:p w14:paraId="4684FD18">
            <w:pPr>
              <w:pStyle w:val="12"/>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14:paraId="20C4A3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0357BB39">
            <w:pPr>
              <w:pStyle w:val="12"/>
              <w:widowControl/>
              <w:spacing w:line="360" w:lineRule="auto"/>
              <w:ind w:firstLine="0" w:firstLineChars="0"/>
              <w:jc w:val="center"/>
              <w:rPr>
                <w:rFonts w:ascii="宋体" w:hAnsi="宋体"/>
                <w:kern w:val="0"/>
                <w:sz w:val="20"/>
                <w:szCs w:val="21"/>
              </w:rPr>
            </w:pPr>
            <w:r>
              <w:rPr>
                <w:rFonts w:ascii="宋体" w:hAnsi="宋体"/>
                <w:kern w:val="0"/>
                <w:sz w:val="20"/>
                <w:szCs w:val="21"/>
              </w:rPr>
              <w:t>3</w:t>
            </w:r>
          </w:p>
        </w:tc>
        <w:tc>
          <w:tcPr>
            <w:tcW w:w="5689" w:type="dxa"/>
          </w:tcPr>
          <w:p w14:paraId="181ABA7D">
            <w:pPr>
              <w:widowControl/>
              <w:spacing w:line="360" w:lineRule="auto"/>
              <w:rPr>
                <w:rFonts w:ascii="宋体" w:hAnsi="宋体"/>
                <w:kern w:val="0"/>
                <w:sz w:val="20"/>
                <w:szCs w:val="21"/>
              </w:rPr>
            </w:pPr>
            <w:r>
              <w:rPr>
                <w:rFonts w:hint="eastAsia" w:ascii="宋体" w:hAnsi="宋体"/>
                <w:kern w:val="0"/>
                <w:sz w:val="20"/>
                <w:szCs w:val="21"/>
                <w:lang w:eastAsia="zh-CN"/>
              </w:rPr>
              <w:t>【兴银理财稳利恒盈封闭式2026年855期固收类理财产品】</w:t>
            </w:r>
            <w:r>
              <w:rPr>
                <w:rFonts w:hint="eastAsia" w:ascii="宋体" w:hAnsi="宋体"/>
                <w:kern w:val="0"/>
                <w:sz w:val="20"/>
                <w:szCs w:val="21"/>
              </w:rPr>
              <w:t>（代理）销售协议书</w:t>
            </w:r>
          </w:p>
        </w:tc>
        <w:tc>
          <w:tcPr>
            <w:tcW w:w="2107" w:type="dxa"/>
          </w:tcPr>
          <w:p w14:paraId="49B4DFE2">
            <w:pPr>
              <w:pStyle w:val="12"/>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14:paraId="47AE97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379C4245">
            <w:pPr>
              <w:pStyle w:val="12"/>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14:paraId="31BD9E13">
            <w:pPr>
              <w:widowControl/>
              <w:spacing w:line="360" w:lineRule="auto"/>
              <w:rPr>
                <w:rFonts w:ascii="宋体" w:hAnsi="宋体"/>
                <w:szCs w:val="21"/>
              </w:rPr>
            </w:pPr>
            <w:r>
              <w:rPr>
                <w:rFonts w:hint="eastAsia" w:ascii="宋体" w:hAnsi="宋体"/>
                <w:kern w:val="0"/>
                <w:sz w:val="20"/>
                <w:szCs w:val="21"/>
                <w:lang w:eastAsia="zh-CN"/>
              </w:rPr>
              <w:t>【兴银理财稳利恒盈封闭式2026年855期固收类理财产品】</w:t>
            </w:r>
            <w:r>
              <w:rPr>
                <w:rFonts w:hint="eastAsia" w:ascii="宋体" w:hAnsi="宋体"/>
                <w:kern w:val="0"/>
                <w:sz w:val="20"/>
                <w:szCs w:val="21"/>
              </w:rPr>
              <w:t>风险揭示书</w:t>
            </w:r>
          </w:p>
        </w:tc>
        <w:tc>
          <w:tcPr>
            <w:tcW w:w="2107" w:type="dxa"/>
          </w:tcPr>
          <w:p w14:paraId="6D53A222">
            <w:pPr>
              <w:widowControl/>
              <w:spacing w:line="360" w:lineRule="auto"/>
              <w:jc w:val="center"/>
              <w:rPr>
                <w:rFonts w:ascii="宋体" w:hAnsi="宋体"/>
                <w:kern w:val="0"/>
                <w:szCs w:val="21"/>
              </w:rPr>
            </w:pPr>
            <w:r>
              <w:rPr>
                <w:rFonts w:hint="eastAsia" w:ascii="宋体" w:hAnsi="宋体"/>
                <w:kern w:val="0"/>
                <w:sz w:val="20"/>
                <w:szCs w:val="21"/>
              </w:rPr>
              <w:t>风险揭示书</w:t>
            </w:r>
          </w:p>
        </w:tc>
      </w:tr>
      <w:tr w14:paraId="0C49A6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14:paraId="0710F1EA">
            <w:pPr>
              <w:pStyle w:val="12"/>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14:paraId="651501AD">
            <w:pPr>
              <w:widowControl/>
              <w:spacing w:line="360" w:lineRule="auto"/>
              <w:rPr>
                <w:rFonts w:ascii="宋体" w:hAnsi="宋体"/>
                <w:kern w:val="0"/>
                <w:sz w:val="20"/>
                <w:szCs w:val="21"/>
              </w:rPr>
            </w:pPr>
            <w:r>
              <w:rPr>
                <w:rFonts w:hint="eastAsia" w:ascii="宋体" w:hAnsi="宋体"/>
                <w:kern w:val="0"/>
                <w:sz w:val="20"/>
                <w:szCs w:val="21"/>
                <w:lang w:eastAsia="zh-CN"/>
              </w:rPr>
              <w:t>【兴银理财稳利恒盈封闭式2026年855期固收类理财产品】</w:t>
            </w:r>
            <w:r>
              <w:rPr>
                <w:rFonts w:hint="eastAsia" w:ascii="宋体" w:hAnsi="宋体"/>
                <w:kern w:val="0"/>
                <w:sz w:val="20"/>
                <w:szCs w:val="21"/>
              </w:rPr>
              <w:t>投资者权益须知</w:t>
            </w:r>
          </w:p>
        </w:tc>
        <w:tc>
          <w:tcPr>
            <w:tcW w:w="2107" w:type="dxa"/>
          </w:tcPr>
          <w:p w14:paraId="0926023B">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14:paraId="7F43C8AC">
      <w:pPr>
        <w:widowControl/>
        <w:spacing w:line="360" w:lineRule="auto"/>
        <w:jc w:val="left"/>
        <w:rPr>
          <w:rFonts w:ascii="黑体" w:hAnsi="黑体" w:eastAsia="黑体"/>
          <w:b/>
          <w:szCs w:val="21"/>
        </w:rPr>
      </w:pPr>
      <w:r>
        <w:rPr>
          <w:rFonts w:hint="eastAsia" w:ascii="黑体" w:hAnsi="黑体" w:eastAsia="黑体"/>
          <w:b/>
          <w:szCs w:val="21"/>
        </w:rPr>
        <w:t>郑重提示：</w:t>
      </w:r>
    </w:p>
    <w:p w14:paraId="14424833">
      <w:pPr>
        <w:pStyle w:val="12"/>
        <w:widowControl/>
        <w:snapToGrid w:val="0"/>
        <w:spacing w:line="360" w:lineRule="auto"/>
        <w:rPr>
          <w:rFonts w:ascii="黑体" w:hAnsi="黑体" w:eastAsia="黑体"/>
          <w:kern w:val="0"/>
          <w:szCs w:val="21"/>
        </w:rPr>
      </w:pPr>
      <w:r>
        <w:rPr>
          <w:rFonts w:ascii="黑体" w:hAnsi="黑体" w:eastAsia="黑体"/>
          <w:kern w:val="0"/>
          <w:szCs w:val="21"/>
        </w:rPr>
        <w:t>1.销售文件的组成和编制的提示</w:t>
      </w:r>
    </w:p>
    <w:p w14:paraId="4D7AB577">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14:paraId="21E94635">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银保监会令2021年第4号）第29条规定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14:paraId="24535FC6">
      <w:pPr>
        <w:pStyle w:val="12"/>
        <w:widowControl/>
        <w:snapToGrid w:val="0"/>
        <w:spacing w:line="360" w:lineRule="auto"/>
        <w:rPr>
          <w:rFonts w:ascii="黑体" w:hAnsi="黑体" w:eastAsia="黑体"/>
          <w:kern w:val="0"/>
          <w:szCs w:val="21"/>
        </w:rPr>
      </w:pPr>
      <w:r>
        <w:rPr>
          <w:rFonts w:ascii="黑体" w:hAnsi="黑体" w:eastAsia="黑体"/>
          <w:kern w:val="0"/>
          <w:szCs w:val="21"/>
        </w:rPr>
        <w:t>2.投资者适当性的提示</w:t>
      </w:r>
    </w:p>
    <w:p w14:paraId="6EA1266F">
      <w:pPr>
        <w:pStyle w:val="12"/>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3F63271E">
      <w:pPr>
        <w:pStyle w:val="12"/>
        <w:widowControl/>
        <w:snapToGrid w:val="0"/>
        <w:spacing w:line="360" w:lineRule="auto"/>
        <w:rPr>
          <w:rFonts w:ascii="黑体" w:hAnsi="黑体" w:eastAsia="黑体"/>
          <w:kern w:val="0"/>
          <w:szCs w:val="21"/>
        </w:rPr>
      </w:pPr>
      <w:r>
        <w:rPr>
          <w:rFonts w:ascii="黑体" w:hAnsi="黑体" w:eastAsia="黑体"/>
          <w:kern w:val="0"/>
          <w:szCs w:val="21"/>
        </w:rPr>
        <w:t>3.签署合同</w:t>
      </w:r>
      <w:r>
        <w:rPr>
          <w:rFonts w:hint="eastAsia" w:ascii="黑体" w:hAnsi="黑体" w:eastAsia="黑体"/>
          <w:kern w:val="0"/>
          <w:szCs w:val="21"/>
        </w:rPr>
        <w:t>前</w:t>
      </w:r>
      <w:r>
        <w:rPr>
          <w:rFonts w:ascii="黑体" w:hAnsi="黑体" w:eastAsia="黑体"/>
          <w:kern w:val="0"/>
          <w:szCs w:val="21"/>
        </w:rPr>
        <w:t>阅读全部条款的提示</w:t>
      </w:r>
    </w:p>
    <w:p w14:paraId="13AB5412">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14:paraId="5A892B59">
      <w:pPr>
        <w:tabs>
          <w:tab w:val="left" w:pos="6660"/>
        </w:tabs>
        <w:spacing w:line="360" w:lineRule="auto"/>
        <w:jc w:val="center"/>
        <w:rPr>
          <w:rFonts w:ascii="黑体" w:hAnsi="黑体" w:eastAsia="黑体"/>
          <w:kern w:val="0"/>
          <w:szCs w:val="21"/>
        </w:rPr>
      </w:pPr>
    </w:p>
    <w:p w14:paraId="44868A82">
      <w:pPr>
        <w:tabs>
          <w:tab w:val="left" w:pos="6660"/>
        </w:tabs>
        <w:spacing w:line="360" w:lineRule="auto"/>
        <w:jc w:val="center"/>
        <w:rPr>
          <w:bCs/>
          <w:sz w:val="44"/>
        </w:rPr>
      </w:pPr>
    </w:p>
    <w:p w14:paraId="13F22EF3">
      <w:pPr>
        <w:widowControl/>
        <w:spacing w:line="360" w:lineRule="auto"/>
        <w:jc w:val="center"/>
        <w:rPr>
          <w:rStyle w:val="10"/>
          <w:rFonts w:ascii="宋体" w:hAnsi="宋体"/>
          <w:sz w:val="30"/>
          <w:szCs w:val="30"/>
        </w:rPr>
      </w:pPr>
      <w:r>
        <w:rPr>
          <w:rFonts w:hint="eastAsia" w:ascii="宋体" w:hAnsi="宋体"/>
          <w:b/>
          <w:sz w:val="30"/>
          <w:szCs w:val="30"/>
        </w:rPr>
        <w:t>理财非存款、产品有风险、投资须谨慎！</w:t>
      </w:r>
    </w:p>
    <w:p w14:paraId="6B363E2F">
      <w:pPr>
        <w:tabs>
          <w:tab w:val="left" w:pos="6660"/>
        </w:tabs>
        <w:spacing w:line="360" w:lineRule="auto"/>
        <w:jc w:val="center"/>
        <w:rPr>
          <w:bCs/>
          <w:sz w:val="44"/>
        </w:rPr>
      </w:pPr>
    </w:p>
    <w:p w14:paraId="7815CD91">
      <w:pPr>
        <w:spacing w:line="360" w:lineRule="auto"/>
        <w:jc w:val="center"/>
        <w:rPr>
          <w:b/>
          <w:sz w:val="52"/>
        </w:rPr>
      </w:pPr>
    </w:p>
    <w:p w14:paraId="6FA9B520">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41E659E7">
      <w:pPr>
        <w:spacing w:line="360" w:lineRule="auto"/>
        <w:jc w:val="center"/>
        <w:rPr>
          <w:b/>
          <w:sz w:val="52"/>
        </w:rPr>
      </w:pPr>
    </w:p>
    <w:p w14:paraId="28D84617">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lang w:eastAsia="zh-CN"/>
        </w:rPr>
        <w:t>【兴银理财稳利恒盈封闭式2026年855期固收类理财产品】</w:t>
      </w:r>
    </w:p>
    <w:p w14:paraId="10E94059">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投资协议书</w:t>
      </w:r>
    </w:p>
    <w:p w14:paraId="50983FC9">
      <w:pPr>
        <w:spacing w:line="360" w:lineRule="auto"/>
        <w:jc w:val="center"/>
        <w:rPr>
          <w:b/>
          <w:sz w:val="28"/>
          <w:szCs w:val="28"/>
        </w:rPr>
      </w:pPr>
    </w:p>
    <w:p w14:paraId="229C8344">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
    <w:p w14:paraId="07660848">
      <w:pPr>
        <w:spacing w:line="360" w:lineRule="auto"/>
        <w:jc w:val="center"/>
        <w:rPr>
          <w:b/>
          <w:sz w:val="28"/>
          <w:szCs w:val="28"/>
        </w:rPr>
      </w:pPr>
    </w:p>
    <w:p w14:paraId="4CA4284D">
      <w:pPr>
        <w:spacing w:line="360" w:lineRule="auto"/>
        <w:jc w:val="center"/>
        <w:rPr>
          <w:b/>
          <w:sz w:val="28"/>
          <w:szCs w:val="28"/>
        </w:rPr>
      </w:pPr>
    </w:p>
    <w:p w14:paraId="49CC048B">
      <w:pPr>
        <w:adjustRightInd w:val="0"/>
        <w:spacing w:line="360" w:lineRule="auto"/>
        <w:jc w:val="center"/>
        <w:rPr>
          <w:rStyle w:val="10"/>
          <w:rFonts w:ascii="宋体" w:hAnsi="宋体"/>
          <w:sz w:val="28"/>
          <w:szCs w:val="28"/>
        </w:rPr>
      </w:pPr>
      <w:bookmarkStart w:id="0" w:name="_Toc139991726"/>
      <w:bookmarkStart w:id="1" w:name="_Toc123701383"/>
      <w:bookmarkStart w:id="2" w:name="_Toc123112224"/>
      <w:bookmarkStart w:id="3" w:name="_Toc139992301"/>
      <w:bookmarkStart w:id="4" w:name="_Toc123112263"/>
      <w:r>
        <w:rPr>
          <w:rStyle w:val="10"/>
          <w:rFonts w:hint="eastAsia" w:ascii="宋体" w:hAnsi="宋体"/>
          <w:sz w:val="28"/>
          <w:szCs w:val="28"/>
        </w:rPr>
        <w:t>理财产品管理人：</w:t>
      </w:r>
      <w:bookmarkEnd w:id="0"/>
      <w:bookmarkEnd w:id="1"/>
      <w:bookmarkEnd w:id="2"/>
      <w:bookmarkEnd w:id="3"/>
      <w:bookmarkEnd w:id="4"/>
      <w:r>
        <w:rPr>
          <w:rStyle w:val="10"/>
          <w:rFonts w:hint="eastAsia" w:ascii="宋体" w:hAnsi="宋体"/>
          <w:sz w:val="28"/>
          <w:szCs w:val="28"/>
        </w:rPr>
        <w:t>兴银理财有限责任公司</w:t>
      </w:r>
    </w:p>
    <w:p w14:paraId="35B98D05">
      <w:pPr>
        <w:adjustRightInd w:val="0"/>
        <w:spacing w:line="360" w:lineRule="auto"/>
        <w:jc w:val="center"/>
        <w:rPr>
          <w:rStyle w:val="10"/>
          <w:rFonts w:ascii="黑体" w:hAnsi="黑体" w:eastAsia="黑体" w:cs="宋体"/>
          <w:sz w:val="28"/>
          <w:szCs w:val="28"/>
        </w:rPr>
      </w:pPr>
      <w:bookmarkStart w:id="5" w:name="_Toc123112225"/>
      <w:bookmarkStart w:id="6" w:name="_Toc123701384"/>
      <w:bookmarkStart w:id="7" w:name="_Toc139992302"/>
      <w:bookmarkStart w:id="8" w:name="_Toc139991727"/>
      <w:bookmarkStart w:id="9" w:name="_Toc123112264"/>
    </w:p>
    <w:bookmarkEnd w:id="5"/>
    <w:bookmarkEnd w:id="6"/>
    <w:bookmarkEnd w:id="7"/>
    <w:bookmarkEnd w:id="8"/>
    <w:bookmarkEnd w:id="9"/>
    <w:p w14:paraId="18DE74BA">
      <w:pPr>
        <w:adjustRightInd w:val="0"/>
        <w:spacing w:line="360" w:lineRule="auto"/>
        <w:jc w:val="center"/>
        <w:rPr>
          <w:rStyle w:val="10"/>
          <w:rFonts w:ascii="黑体" w:hAnsi="黑体" w:eastAsia="黑体" w:cs="宋体"/>
          <w:sz w:val="28"/>
          <w:szCs w:val="28"/>
        </w:rPr>
      </w:pPr>
    </w:p>
    <w:p w14:paraId="1ABA58BC">
      <w:pPr>
        <w:adjustRightInd w:val="0"/>
        <w:spacing w:line="360" w:lineRule="auto"/>
        <w:jc w:val="center"/>
        <w:rPr>
          <w:rStyle w:val="10"/>
          <w:rFonts w:ascii="宋体" w:hAnsi="宋体"/>
          <w:sz w:val="28"/>
          <w:szCs w:val="28"/>
        </w:rPr>
      </w:pPr>
      <w:r>
        <w:rPr>
          <w:rStyle w:val="10"/>
          <w:rFonts w:hint="eastAsia" w:ascii="宋体" w:hAnsi="宋体"/>
          <w:sz w:val="28"/>
          <w:szCs w:val="28"/>
        </w:rPr>
        <w:t>日期</w:t>
      </w:r>
      <w:r>
        <w:rPr>
          <w:rStyle w:val="10"/>
          <w:rFonts w:ascii="宋体" w:hAnsi="宋体"/>
          <w:sz w:val="28"/>
          <w:szCs w:val="28"/>
        </w:rPr>
        <w:t>：</w:t>
      </w:r>
      <w:r>
        <w:rPr>
          <w:rStyle w:val="10"/>
          <w:rFonts w:hint="eastAsia" w:ascii="宋体" w:hAnsi="宋体"/>
          <w:sz w:val="28"/>
          <w:szCs w:val="28"/>
        </w:rPr>
        <w:t>【2026】年【7】月</w:t>
      </w:r>
    </w:p>
    <w:p w14:paraId="25C11817">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14:paraId="7E1A4C0A">
      <w:pPr>
        <w:tabs>
          <w:tab w:val="left" w:pos="8070"/>
          <w:tab w:val="right" w:pos="8306"/>
        </w:tabs>
        <w:autoSpaceDE w:val="0"/>
        <w:autoSpaceDN w:val="0"/>
        <w:adjustRightInd w:val="0"/>
        <w:snapToGrid w:val="0"/>
        <w:spacing w:before="156" w:beforeLines="50" w:line="360" w:lineRule="auto"/>
        <w:rPr>
          <w:bCs/>
          <w:sz w:val="32"/>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2FA30B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3D3A642C">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14:paraId="5611D7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44E0895B">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14:paraId="579DD0CF">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关于理财产品与存款产品的提示</w:t>
            </w:r>
          </w:p>
          <w:p w14:paraId="23F5C6F4">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14:paraId="2D075731">
            <w:pPr>
              <w:pStyle w:val="6"/>
              <w:snapToGrid w:val="0"/>
              <w:spacing w:before="0" w:beforeAutospacing="0" w:after="0" w:afterAutospacing="0" w:line="360" w:lineRule="auto"/>
              <w:jc w:val="both"/>
              <w:rPr>
                <w:rFonts w:ascii="黑体" w:hAnsi="黑体" w:eastAsia="黑体"/>
                <w:bCs/>
                <w:sz w:val="18"/>
                <w:szCs w:val="18"/>
              </w:rPr>
            </w:pPr>
          </w:p>
          <w:p w14:paraId="2F71FC16">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14:paraId="41BA7147">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w:t>
            </w:r>
            <w:r>
              <w:rPr>
                <w:rFonts w:ascii="黑体" w:hAnsi="黑体" w:eastAsia="黑体"/>
                <w:bCs/>
                <w:sz w:val="18"/>
                <w:szCs w:val="18"/>
              </w:rPr>
              <w:t>收益</w:t>
            </w:r>
            <w:r>
              <w:rPr>
                <w:rFonts w:hint="eastAsia" w:ascii="黑体" w:hAnsi="黑体" w:eastAsia="黑体"/>
                <w:bCs/>
                <w:sz w:val="18"/>
                <w:szCs w:val="18"/>
              </w:rPr>
              <w:t>，投资须谨慎。</w:t>
            </w:r>
          </w:p>
          <w:p w14:paraId="55154659">
            <w:pPr>
              <w:pStyle w:val="6"/>
              <w:snapToGrid w:val="0"/>
              <w:spacing w:before="0" w:beforeAutospacing="0" w:after="0" w:afterAutospacing="0" w:line="360" w:lineRule="auto"/>
              <w:jc w:val="both"/>
              <w:rPr>
                <w:rFonts w:ascii="黑体" w:hAnsi="黑体" w:eastAsia="黑体"/>
                <w:bCs/>
                <w:sz w:val="18"/>
                <w:szCs w:val="18"/>
              </w:rPr>
            </w:pPr>
          </w:p>
          <w:p w14:paraId="37941DB7">
            <w:pPr>
              <w:pStyle w:val="6"/>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14:paraId="685262C6">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14:paraId="79093C79">
            <w:pPr>
              <w:pStyle w:val="6"/>
              <w:snapToGrid w:val="0"/>
              <w:spacing w:before="0" w:beforeAutospacing="0" w:after="0" w:afterAutospacing="0" w:line="360" w:lineRule="auto"/>
              <w:jc w:val="both"/>
              <w:rPr>
                <w:rFonts w:ascii="黑体" w:hAnsi="黑体" w:eastAsia="黑体"/>
                <w:bCs/>
                <w:sz w:val="18"/>
                <w:szCs w:val="18"/>
              </w:rPr>
            </w:pPr>
          </w:p>
          <w:p w14:paraId="16B97F79">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关于理财产品不保证本金和收益的提示</w:t>
            </w:r>
          </w:p>
          <w:p w14:paraId="724135ED">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14:paraId="0A657542">
            <w:pPr>
              <w:pStyle w:val="6"/>
              <w:snapToGrid w:val="0"/>
              <w:spacing w:before="0" w:beforeAutospacing="0" w:after="0" w:afterAutospacing="0" w:line="360" w:lineRule="auto"/>
              <w:jc w:val="both"/>
              <w:rPr>
                <w:rFonts w:ascii="黑体" w:hAnsi="黑体" w:eastAsia="黑体"/>
                <w:bCs/>
                <w:sz w:val="18"/>
                <w:szCs w:val="18"/>
              </w:rPr>
            </w:pPr>
          </w:p>
          <w:p w14:paraId="750FE9B8">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关于销售文件的组成和编制的提示</w:t>
            </w:r>
          </w:p>
          <w:p w14:paraId="5B06F13D">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销售文件的组成</w:t>
            </w:r>
          </w:p>
          <w:p w14:paraId="52DD6C34">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14:paraId="5C0BE7C3">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销售文件的编制</w:t>
            </w:r>
          </w:p>
          <w:p w14:paraId="06351C0E">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银保监会令2021年第4号）第29条规定</w:t>
            </w:r>
            <w:r>
              <w:rPr>
                <w:rFonts w:hint="eastAsia" w:ascii="黑体" w:hAnsi="黑体" w:eastAsia="黑体"/>
                <w:bCs/>
                <w:sz w:val="18"/>
                <w:szCs w:val="18"/>
              </w:rPr>
              <w:t>，本款产品销售文件在编制时，可能存在以下两种情形：</w:t>
            </w:r>
          </w:p>
          <w:p w14:paraId="5A6A5B7A">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1）情形1：所有销售文件都由产品管理人统一编制。其中，《投资协议书</w:t>
            </w:r>
            <w:r>
              <w:rPr>
                <w:rFonts w:hint="eastAsia" w:ascii="黑体" w:hAnsi="黑体" w:eastAsia="黑体"/>
                <w:bCs/>
                <w:sz w:val="18"/>
                <w:szCs w:val="18"/>
              </w:rPr>
              <w:t>》《产品说明书》《（代理）销售协议书》《风险揭示书》《投资者权益须知》等销售文件均由产品管理人统一编制。</w:t>
            </w:r>
          </w:p>
          <w:p w14:paraId="48055946">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2）情形2：部分销售文件由代理销售机构进行编制。其中，《投资协议书》和《产品说明书》由产品管理人统一编制；《（代理）销售协议书</w:t>
            </w:r>
            <w:r>
              <w:rPr>
                <w:rFonts w:hint="eastAsia" w:ascii="黑体" w:hAnsi="黑体" w:eastAsia="黑体"/>
                <w:bCs/>
                <w:sz w:val="18"/>
                <w:szCs w:val="18"/>
              </w:rPr>
              <w:t>》《风险揭示书》《投资者权益须知》等销售文件，此等销售文件中的之一或之二或全部，由于代理销售机构的需求而由理财公司委托代理销售机构进行编制。</w:t>
            </w:r>
          </w:p>
          <w:p w14:paraId="612CCDA1">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14:paraId="04E8C3A4">
            <w:pPr>
              <w:pStyle w:val="6"/>
              <w:snapToGrid w:val="0"/>
              <w:spacing w:before="0" w:beforeAutospacing="0" w:after="0" w:afterAutospacing="0" w:line="360" w:lineRule="auto"/>
              <w:jc w:val="both"/>
              <w:rPr>
                <w:rFonts w:ascii="黑体" w:hAnsi="黑体" w:eastAsia="黑体"/>
                <w:bCs/>
                <w:sz w:val="18"/>
                <w:szCs w:val="18"/>
              </w:rPr>
            </w:pPr>
          </w:p>
          <w:p w14:paraId="0C6EF6A3">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关于投资者适当性的提示</w:t>
            </w:r>
          </w:p>
          <w:p w14:paraId="0CAD61D8">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12734437">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14:paraId="42F0BF16">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关于投资者信息的提示</w:t>
            </w:r>
          </w:p>
          <w:p w14:paraId="6B7C8168">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14:paraId="55266AA6">
            <w:pPr>
              <w:pStyle w:val="6"/>
              <w:snapToGrid w:val="0"/>
              <w:spacing w:before="0" w:beforeAutospacing="0" w:after="0" w:afterAutospacing="0" w:line="360" w:lineRule="auto"/>
              <w:jc w:val="both"/>
              <w:rPr>
                <w:rFonts w:ascii="黑体" w:hAnsi="黑体" w:eastAsia="黑体"/>
                <w:bCs/>
                <w:sz w:val="18"/>
                <w:szCs w:val="18"/>
              </w:rPr>
            </w:pPr>
          </w:p>
          <w:p w14:paraId="0615BF11">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14:paraId="741C5BEB">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14:paraId="7655567B">
            <w:pPr>
              <w:pStyle w:val="6"/>
              <w:snapToGrid w:val="0"/>
              <w:spacing w:before="0" w:beforeAutospacing="0" w:after="0" w:afterAutospacing="0"/>
              <w:jc w:val="both"/>
              <w:rPr>
                <w:rFonts w:ascii="黑体" w:hAnsi="黑体" w:eastAsia="黑体"/>
                <w:bCs/>
                <w:sz w:val="18"/>
                <w:szCs w:val="18"/>
              </w:rPr>
            </w:pPr>
          </w:p>
          <w:p w14:paraId="3A014236">
            <w:pPr>
              <w:pStyle w:val="6"/>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14:paraId="77C71187">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14:paraId="6FF78E6D">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27"/>
      <w:bookmarkStart w:id="11" w:name="_Toc123701386"/>
      <w:bookmarkStart w:id="12" w:name="_Toc139991729"/>
      <w:bookmarkStart w:id="13" w:name="_Toc123112266"/>
    </w:p>
    <w:p w14:paraId="344B11B4">
      <w:pPr>
        <w:widowControl/>
        <w:jc w:val="left"/>
        <w:rPr>
          <w:rFonts w:ascii="宋体" w:hAnsi="宋体" w:cs="仿宋_GB2312"/>
          <w:b/>
          <w:kern w:val="0"/>
          <w:sz w:val="18"/>
          <w:szCs w:val="18"/>
        </w:rPr>
      </w:pPr>
      <w:r>
        <w:rPr>
          <w:rFonts w:ascii="宋体" w:hAnsi="宋体" w:cs="仿宋_GB2312"/>
          <w:b/>
          <w:kern w:val="0"/>
          <w:sz w:val="18"/>
          <w:szCs w:val="18"/>
        </w:rPr>
        <w:br w:type="page"/>
      </w:r>
    </w:p>
    <w:p w14:paraId="5722ABF4">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7"/>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14:paraId="582A67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14:paraId="1E2BCDB8">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14:paraId="473FFCC9">
            <w:pPr>
              <w:pStyle w:val="4"/>
              <w:spacing w:line="360" w:lineRule="auto"/>
              <w:rPr>
                <w:rFonts w:ascii="宋体" w:hAnsi="宋体"/>
                <w:b/>
                <w:bCs/>
                <w:sz w:val="28"/>
                <w:szCs w:val="28"/>
              </w:rPr>
            </w:pPr>
          </w:p>
        </w:tc>
      </w:tr>
      <w:tr w14:paraId="1529710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14:paraId="475DC658">
            <w:pPr>
              <w:pStyle w:val="4"/>
              <w:spacing w:line="360" w:lineRule="auto"/>
              <w:rPr>
                <w:rFonts w:ascii="宋体" w:hAnsi="宋体"/>
                <w:b/>
                <w:bCs/>
                <w:sz w:val="28"/>
                <w:szCs w:val="28"/>
              </w:rPr>
            </w:pPr>
          </w:p>
        </w:tc>
      </w:tr>
      <w:tr w14:paraId="06126C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14:paraId="6E9CF8DB">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14:paraId="137DC222">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14:paraId="3EBC8F75">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14:paraId="59E5867D">
            <w:pPr>
              <w:spacing w:line="360" w:lineRule="auto"/>
              <w:jc w:val="left"/>
              <w:rPr>
                <w:rFonts w:ascii="宋体" w:hAnsi="宋体"/>
                <w:bCs/>
                <w:sz w:val="18"/>
                <w:szCs w:val="18"/>
              </w:rPr>
            </w:pPr>
          </w:p>
        </w:tc>
      </w:tr>
      <w:tr w14:paraId="067366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05377A36">
            <w:pPr>
              <w:spacing w:line="360" w:lineRule="auto"/>
              <w:jc w:val="left"/>
              <w:rPr>
                <w:rFonts w:ascii="宋体" w:hAnsi="宋体"/>
                <w:b/>
                <w:bCs/>
                <w:sz w:val="18"/>
                <w:szCs w:val="18"/>
              </w:rPr>
            </w:pPr>
          </w:p>
        </w:tc>
        <w:tc>
          <w:tcPr>
            <w:tcW w:w="708" w:type="dxa"/>
            <w:vMerge w:val="continue"/>
            <w:shd w:val="solid" w:color="FFFFFF" w:fill="FFFFFF"/>
            <w:vAlign w:val="center"/>
          </w:tcPr>
          <w:p w14:paraId="4DB38A2D">
            <w:pPr>
              <w:spacing w:line="360" w:lineRule="auto"/>
              <w:jc w:val="left"/>
              <w:rPr>
                <w:rFonts w:ascii="宋体" w:hAnsi="宋体"/>
                <w:bCs/>
                <w:sz w:val="18"/>
                <w:szCs w:val="18"/>
              </w:rPr>
            </w:pPr>
          </w:p>
        </w:tc>
        <w:tc>
          <w:tcPr>
            <w:tcW w:w="982" w:type="dxa"/>
            <w:shd w:val="solid" w:color="FFFFFF" w:fill="FFFFFF"/>
            <w:vAlign w:val="center"/>
          </w:tcPr>
          <w:p w14:paraId="36DBAA18">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14:paraId="2242A836">
            <w:pPr>
              <w:spacing w:line="360" w:lineRule="auto"/>
              <w:jc w:val="left"/>
              <w:rPr>
                <w:rFonts w:ascii="宋体" w:hAnsi="宋体"/>
                <w:bCs/>
                <w:sz w:val="18"/>
                <w:szCs w:val="18"/>
              </w:rPr>
            </w:pPr>
          </w:p>
        </w:tc>
        <w:tc>
          <w:tcPr>
            <w:tcW w:w="1417" w:type="dxa"/>
            <w:shd w:val="solid" w:color="FFFFFF" w:fill="FFFFFF"/>
            <w:vAlign w:val="center"/>
          </w:tcPr>
          <w:p w14:paraId="43113CA8">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14:paraId="253C1E51">
            <w:pPr>
              <w:spacing w:line="360" w:lineRule="auto"/>
              <w:jc w:val="left"/>
              <w:rPr>
                <w:rFonts w:ascii="宋体" w:hAnsi="宋体"/>
                <w:bCs/>
                <w:sz w:val="18"/>
                <w:szCs w:val="18"/>
              </w:rPr>
            </w:pPr>
          </w:p>
        </w:tc>
      </w:tr>
      <w:tr w14:paraId="64F5A2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60598F25">
            <w:pPr>
              <w:spacing w:line="360" w:lineRule="auto"/>
              <w:jc w:val="left"/>
              <w:rPr>
                <w:rFonts w:ascii="宋体" w:hAnsi="宋体"/>
                <w:b/>
                <w:bCs/>
                <w:sz w:val="18"/>
                <w:szCs w:val="18"/>
              </w:rPr>
            </w:pPr>
          </w:p>
        </w:tc>
        <w:tc>
          <w:tcPr>
            <w:tcW w:w="708" w:type="dxa"/>
            <w:vMerge w:val="continue"/>
            <w:shd w:val="solid" w:color="FFFFFF" w:fill="FFFFFF"/>
            <w:vAlign w:val="center"/>
          </w:tcPr>
          <w:p w14:paraId="0A47A340">
            <w:pPr>
              <w:spacing w:line="360" w:lineRule="auto"/>
              <w:jc w:val="left"/>
              <w:rPr>
                <w:rFonts w:ascii="宋体" w:hAnsi="宋体"/>
                <w:bCs/>
                <w:sz w:val="18"/>
                <w:szCs w:val="18"/>
              </w:rPr>
            </w:pPr>
          </w:p>
        </w:tc>
        <w:tc>
          <w:tcPr>
            <w:tcW w:w="982" w:type="dxa"/>
            <w:shd w:val="solid" w:color="FFFFFF" w:fill="FFFFFF"/>
            <w:vAlign w:val="center"/>
          </w:tcPr>
          <w:p w14:paraId="1FFA4707">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14:paraId="484DC29C">
            <w:pPr>
              <w:spacing w:line="360" w:lineRule="auto"/>
              <w:jc w:val="left"/>
              <w:rPr>
                <w:rFonts w:ascii="宋体" w:hAnsi="宋体"/>
                <w:bCs/>
                <w:sz w:val="18"/>
                <w:szCs w:val="18"/>
              </w:rPr>
            </w:pPr>
          </w:p>
        </w:tc>
        <w:tc>
          <w:tcPr>
            <w:tcW w:w="1417" w:type="dxa"/>
            <w:shd w:val="solid" w:color="FFFFFF" w:fill="FFFFFF"/>
            <w:vAlign w:val="center"/>
          </w:tcPr>
          <w:p w14:paraId="62DEA26D">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14:paraId="3BA15F0B">
            <w:pPr>
              <w:spacing w:line="360" w:lineRule="auto"/>
              <w:jc w:val="left"/>
              <w:rPr>
                <w:rFonts w:ascii="宋体" w:hAnsi="宋体"/>
                <w:bCs/>
                <w:sz w:val="18"/>
                <w:szCs w:val="18"/>
              </w:rPr>
            </w:pPr>
          </w:p>
        </w:tc>
      </w:tr>
      <w:tr w14:paraId="343F9E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418DB5E6">
            <w:pPr>
              <w:spacing w:line="360" w:lineRule="auto"/>
              <w:jc w:val="left"/>
              <w:rPr>
                <w:rFonts w:ascii="宋体" w:hAnsi="宋体"/>
                <w:b/>
                <w:bCs/>
                <w:sz w:val="18"/>
                <w:szCs w:val="18"/>
              </w:rPr>
            </w:pPr>
          </w:p>
        </w:tc>
        <w:tc>
          <w:tcPr>
            <w:tcW w:w="708" w:type="dxa"/>
            <w:vMerge w:val="continue"/>
            <w:shd w:val="solid" w:color="FFFFFF" w:fill="FFFFFF"/>
            <w:vAlign w:val="center"/>
          </w:tcPr>
          <w:p w14:paraId="4EF027C0">
            <w:pPr>
              <w:spacing w:line="360" w:lineRule="auto"/>
              <w:jc w:val="left"/>
              <w:rPr>
                <w:rFonts w:ascii="宋体" w:hAnsi="宋体"/>
                <w:bCs/>
                <w:sz w:val="18"/>
                <w:szCs w:val="18"/>
              </w:rPr>
            </w:pPr>
          </w:p>
        </w:tc>
        <w:tc>
          <w:tcPr>
            <w:tcW w:w="982" w:type="dxa"/>
            <w:shd w:val="solid" w:color="FFFFFF" w:fill="FFFFFF"/>
            <w:vAlign w:val="center"/>
          </w:tcPr>
          <w:p w14:paraId="099AD551">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14:paraId="25E3BC0B">
            <w:pPr>
              <w:spacing w:line="360" w:lineRule="auto"/>
              <w:jc w:val="left"/>
              <w:rPr>
                <w:rFonts w:ascii="宋体" w:hAnsi="宋体"/>
                <w:bCs/>
                <w:sz w:val="18"/>
                <w:szCs w:val="18"/>
              </w:rPr>
            </w:pPr>
          </w:p>
        </w:tc>
      </w:tr>
      <w:tr w14:paraId="7A0B8A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90" w:hRule="exact"/>
          <w:jc w:val="center"/>
        </w:trPr>
        <w:tc>
          <w:tcPr>
            <w:tcW w:w="1142" w:type="dxa"/>
            <w:vMerge w:val="continue"/>
            <w:shd w:val="solid" w:color="FFFFFF" w:fill="FFFFFF"/>
            <w:vAlign w:val="center"/>
          </w:tcPr>
          <w:p w14:paraId="535C71F8">
            <w:pPr>
              <w:spacing w:line="360" w:lineRule="auto"/>
              <w:jc w:val="left"/>
              <w:rPr>
                <w:rFonts w:ascii="宋体" w:hAnsi="宋体"/>
                <w:b/>
                <w:bCs/>
                <w:sz w:val="18"/>
                <w:szCs w:val="18"/>
              </w:rPr>
            </w:pPr>
          </w:p>
        </w:tc>
        <w:tc>
          <w:tcPr>
            <w:tcW w:w="708" w:type="dxa"/>
            <w:vMerge w:val="continue"/>
            <w:shd w:val="solid" w:color="FFFFFF" w:fill="FFFFFF"/>
            <w:vAlign w:val="center"/>
          </w:tcPr>
          <w:p w14:paraId="1EBBFBA2">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14:paraId="78B51E31">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14:paraId="5F93D885">
            <w:pPr>
              <w:spacing w:line="360" w:lineRule="auto"/>
              <w:jc w:val="left"/>
              <w:rPr>
                <w:rFonts w:ascii="宋体" w:hAnsi="宋体"/>
                <w:bCs/>
                <w:sz w:val="18"/>
                <w:szCs w:val="18"/>
              </w:rPr>
            </w:pPr>
          </w:p>
        </w:tc>
      </w:tr>
      <w:tr w14:paraId="6626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20508D2A">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14:paraId="086F0B26">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44FFDF7">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59A2DA79">
            <w:pPr>
              <w:spacing w:line="360" w:lineRule="auto"/>
              <w:jc w:val="left"/>
              <w:rPr>
                <w:rFonts w:ascii="宋体" w:hAnsi="宋体"/>
                <w:bCs/>
                <w:sz w:val="18"/>
                <w:szCs w:val="18"/>
              </w:rPr>
            </w:pPr>
          </w:p>
        </w:tc>
      </w:tr>
      <w:tr w14:paraId="41345E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21D9F655">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30673BE2">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99C4B4C">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C23FD42">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3548F83">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5AEE92E">
            <w:pPr>
              <w:spacing w:line="360" w:lineRule="auto"/>
              <w:jc w:val="left"/>
              <w:rPr>
                <w:rFonts w:ascii="宋体" w:hAnsi="宋体"/>
                <w:bCs/>
                <w:sz w:val="18"/>
                <w:szCs w:val="18"/>
              </w:rPr>
            </w:pPr>
          </w:p>
        </w:tc>
      </w:tr>
      <w:tr w14:paraId="454A44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1E3790F6">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778FE218">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0BF638D">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05B77566">
            <w:pPr>
              <w:spacing w:line="360" w:lineRule="auto"/>
              <w:jc w:val="left"/>
              <w:rPr>
                <w:rFonts w:ascii="宋体" w:hAnsi="宋体"/>
                <w:bCs/>
                <w:sz w:val="18"/>
                <w:szCs w:val="18"/>
              </w:rPr>
            </w:pPr>
          </w:p>
        </w:tc>
      </w:tr>
      <w:tr w14:paraId="3FBF34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73D0DBA2">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169D9D3A">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0CC59CF">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E9D5287">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B8CAE73">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17C920D">
            <w:pPr>
              <w:spacing w:line="360" w:lineRule="auto"/>
              <w:jc w:val="left"/>
              <w:rPr>
                <w:rFonts w:ascii="宋体" w:hAnsi="宋体"/>
                <w:bCs/>
                <w:sz w:val="18"/>
                <w:szCs w:val="18"/>
              </w:rPr>
            </w:pPr>
          </w:p>
        </w:tc>
      </w:tr>
      <w:tr w14:paraId="5A4913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2780DBC7">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52C07C32">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A161EBF">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58B4B30B">
            <w:pPr>
              <w:spacing w:line="360" w:lineRule="auto"/>
              <w:jc w:val="left"/>
              <w:rPr>
                <w:rFonts w:ascii="宋体" w:hAnsi="宋体"/>
                <w:bCs/>
                <w:sz w:val="18"/>
                <w:szCs w:val="18"/>
              </w:rPr>
            </w:pPr>
          </w:p>
        </w:tc>
      </w:tr>
      <w:tr w14:paraId="14AEB9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14:paraId="3CD7265D">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14:paraId="474E7103">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F84710F">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4EF97844">
            <w:pPr>
              <w:spacing w:line="360" w:lineRule="auto"/>
              <w:jc w:val="left"/>
              <w:rPr>
                <w:rFonts w:ascii="宋体" w:hAnsi="宋体"/>
                <w:bCs/>
                <w:sz w:val="18"/>
                <w:szCs w:val="18"/>
              </w:rPr>
            </w:pPr>
          </w:p>
        </w:tc>
      </w:tr>
      <w:tr w14:paraId="2992775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6DD98E60">
            <w:pPr>
              <w:pStyle w:val="4"/>
              <w:pBdr>
                <w:bottom w:val="none" w:color="auto" w:sz="0" w:space="0"/>
              </w:pBdr>
              <w:spacing w:line="360" w:lineRule="auto"/>
              <w:rPr>
                <w:rFonts w:ascii="宋体" w:hAnsi="宋体"/>
                <w:b/>
                <w:bCs/>
                <w:szCs w:val="18"/>
              </w:rPr>
            </w:pPr>
          </w:p>
        </w:tc>
      </w:tr>
      <w:tr w14:paraId="641317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14:paraId="16024402">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14:paraId="55FBB68B">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14:paraId="3785E868">
            <w:pPr>
              <w:spacing w:line="360" w:lineRule="auto"/>
              <w:jc w:val="left"/>
              <w:rPr>
                <w:rFonts w:ascii="宋体" w:hAnsi="宋体"/>
                <w:bCs/>
                <w:sz w:val="18"/>
                <w:szCs w:val="18"/>
              </w:rPr>
            </w:pPr>
            <w:r>
              <w:rPr>
                <w:rFonts w:hint="eastAsia" w:ascii="宋体" w:hAnsi="宋体"/>
                <w:bCs/>
                <w:sz w:val="18"/>
                <w:szCs w:val="18"/>
              </w:rPr>
              <w:t>兴银理财有限责任公司</w:t>
            </w:r>
          </w:p>
        </w:tc>
      </w:tr>
      <w:tr w14:paraId="6E82AF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14:paraId="05B46E6C">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14:paraId="3130E71C">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14:paraId="4E96109B">
            <w:pPr>
              <w:spacing w:line="360" w:lineRule="auto"/>
              <w:jc w:val="left"/>
              <w:rPr>
                <w:rFonts w:ascii="宋体" w:hAnsi="宋体"/>
                <w:sz w:val="18"/>
                <w:szCs w:val="18"/>
              </w:rPr>
            </w:pPr>
            <w:r>
              <w:rPr>
                <w:rFonts w:hint="eastAsia" w:ascii="宋体" w:hAnsi="宋体"/>
                <w:bCs/>
                <w:sz w:val="18"/>
                <w:szCs w:val="18"/>
              </w:rPr>
              <w:t>本公司</w:t>
            </w:r>
            <w:r>
              <w:rPr>
                <w:rFonts w:hint="eastAsia" w:ascii="宋体" w:hAnsi="宋体"/>
                <w:bCs/>
                <w:sz w:val="18"/>
                <w:szCs w:val="18"/>
                <w:lang w:eastAsia="zh-CN"/>
              </w:rPr>
              <w:t>是</w:t>
            </w:r>
            <w:r>
              <w:rPr>
                <w:rFonts w:hint="eastAsia" w:ascii="宋体" w:hAnsi="宋体"/>
                <w:bCs/>
                <w:sz w:val="18"/>
                <w:szCs w:val="18"/>
              </w:rPr>
              <w:t>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w:t>
            </w:r>
            <w:r>
              <w:rPr>
                <w:rFonts w:ascii="宋体" w:hAnsi="宋体"/>
                <w:bCs/>
                <w:sz w:val="18"/>
                <w:szCs w:val="18"/>
              </w:rPr>
              <w:t>注册地为福建省福州市。</w:t>
            </w:r>
          </w:p>
        </w:tc>
      </w:tr>
      <w:tr w14:paraId="2596C3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592F51C3">
            <w:pPr>
              <w:spacing w:line="360" w:lineRule="auto"/>
              <w:jc w:val="left"/>
              <w:rPr>
                <w:rFonts w:ascii="宋体" w:hAnsi="宋体"/>
                <w:bCs/>
                <w:sz w:val="18"/>
                <w:szCs w:val="18"/>
              </w:rPr>
            </w:pPr>
          </w:p>
        </w:tc>
      </w:tr>
      <w:tr w14:paraId="06481C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4ACDBDD6">
            <w:pPr>
              <w:spacing w:line="360" w:lineRule="auto"/>
              <w:jc w:val="left"/>
              <w:rPr>
                <w:rFonts w:ascii="宋体" w:hAnsi="宋体"/>
                <w:b/>
                <w:bCs/>
                <w:sz w:val="18"/>
                <w:szCs w:val="18"/>
              </w:rPr>
            </w:pPr>
          </w:p>
        </w:tc>
      </w:tr>
      <w:tr w14:paraId="1472B7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14:paraId="366A6B24">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14:paraId="3871E28D">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14:paraId="7B436C0F">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eastAsia="zh-CN" w:bidi="ar-SA"/>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eastAsia="zh-CN" w:bidi="ar-SA"/>
        </w:rPr>
      </w:sdtEndPr>
      <w:sdtContent>
        <w:p w14:paraId="77098CE6">
          <w:pPr>
            <w:pStyle w:val="13"/>
            <w:spacing w:line="360" w:lineRule="auto"/>
            <w:jc w:val="center"/>
          </w:pPr>
          <w:r>
            <w:rPr>
              <w:rFonts w:hint="eastAsia"/>
              <w:lang w:val="zh-CN"/>
            </w:rPr>
            <w:t>目录</w:t>
          </w:r>
        </w:p>
        <w:p w14:paraId="43EC153A">
          <w:pPr>
            <w:pStyle w:val="5"/>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14:paraId="1BBCF7BE">
          <w:pPr>
            <w:pStyle w:val="5"/>
            <w:tabs>
              <w:tab w:val="right" w:leader="dot" w:pos="8306"/>
              <w:tab w:val="clear" w:pos="8296"/>
            </w:tabs>
          </w:pPr>
          <w:r>
            <w:fldChar w:fldCharType="begin"/>
          </w:r>
          <w:r>
            <w:instrText xml:space="preserve"> HYPERLINK \l "_Toc12429" </w:instrText>
          </w:r>
          <w:r>
            <w:fldChar w:fldCharType="separate"/>
          </w:r>
          <w:r>
            <w:rPr>
              <w:rFonts w:hint="eastAsia"/>
            </w:rPr>
            <w:t>第二条</w:t>
          </w:r>
          <w:r>
            <w:t xml:space="preserve">  </w:t>
          </w:r>
          <w:r>
            <w:rPr>
              <w:rFonts w:hint="eastAsia"/>
            </w:rPr>
            <w:t>双方权利义务</w:t>
          </w:r>
          <w:r>
            <w:tab/>
          </w:r>
          <w:r>
            <w:fldChar w:fldCharType="begin"/>
          </w:r>
          <w:r>
            <w:instrText xml:space="preserve"> PAGEREF _Toc12429 \h </w:instrText>
          </w:r>
          <w:r>
            <w:fldChar w:fldCharType="separate"/>
          </w:r>
          <w:r>
            <w:t>7</w:t>
          </w:r>
          <w:r>
            <w:fldChar w:fldCharType="end"/>
          </w:r>
          <w:r>
            <w:fldChar w:fldCharType="end"/>
          </w:r>
        </w:p>
        <w:p w14:paraId="4BF3C91C">
          <w:pPr>
            <w:pStyle w:val="5"/>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w:t>
          </w:r>
          <w:r>
            <w:rPr>
              <w:rFonts w:hint="eastAsia"/>
            </w:rPr>
            <w:t>不可抗力</w:t>
          </w:r>
          <w:r>
            <w:tab/>
          </w:r>
          <w:r>
            <w:fldChar w:fldCharType="begin"/>
          </w:r>
          <w:r>
            <w:instrText xml:space="preserve"> PAGEREF _Toc706 \h </w:instrText>
          </w:r>
          <w:r>
            <w:fldChar w:fldCharType="separate"/>
          </w:r>
          <w:r>
            <w:t>10</w:t>
          </w:r>
          <w:r>
            <w:fldChar w:fldCharType="end"/>
          </w:r>
          <w:r>
            <w:fldChar w:fldCharType="end"/>
          </w:r>
        </w:p>
        <w:p w14:paraId="5C15F6BD">
          <w:pPr>
            <w:pStyle w:val="5"/>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14:paraId="39F733D0">
          <w:pPr>
            <w:pStyle w:val="5"/>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w:t>
          </w:r>
          <w:r>
            <w:rPr>
              <w:rFonts w:hint="eastAsia"/>
            </w:rPr>
            <w:t>法律适用和争议解决</w:t>
          </w:r>
          <w:r>
            <w:tab/>
          </w:r>
          <w:r>
            <w:fldChar w:fldCharType="begin"/>
          </w:r>
          <w:r>
            <w:instrText xml:space="preserve"> PAGEREF _Toc29618 \h </w:instrText>
          </w:r>
          <w:r>
            <w:fldChar w:fldCharType="separate"/>
          </w:r>
          <w:r>
            <w:t>12</w:t>
          </w:r>
          <w:r>
            <w:fldChar w:fldCharType="end"/>
          </w:r>
          <w:r>
            <w:fldChar w:fldCharType="end"/>
          </w:r>
        </w:p>
        <w:p w14:paraId="3274337B">
          <w:pPr>
            <w:pStyle w:val="5"/>
            <w:tabs>
              <w:tab w:val="right" w:leader="dot" w:pos="8306"/>
              <w:tab w:val="clear" w:pos="8296"/>
            </w:tabs>
          </w:pPr>
          <w:r>
            <w:fldChar w:fldCharType="begin"/>
          </w:r>
          <w:r>
            <w:instrText xml:space="preserve"> HYPERLINK \l "_Toc11943" </w:instrText>
          </w:r>
          <w:r>
            <w:fldChar w:fldCharType="separate"/>
          </w:r>
          <w:r>
            <w:rPr>
              <w:rFonts w:hint="eastAsia"/>
            </w:rPr>
            <w:t>第六条</w:t>
          </w:r>
          <w:r>
            <w:t xml:space="preserve">  </w:t>
          </w:r>
          <w:r>
            <w:rPr>
              <w:rFonts w:hint="eastAsia"/>
            </w:rPr>
            <w:t>协议的签署和效力</w:t>
          </w:r>
          <w:r>
            <w:tab/>
          </w:r>
          <w:r>
            <w:fldChar w:fldCharType="begin"/>
          </w:r>
          <w:r>
            <w:instrText xml:space="preserve"> PAGEREF _Toc11943 \h </w:instrText>
          </w:r>
          <w:r>
            <w:fldChar w:fldCharType="separate"/>
          </w:r>
          <w:r>
            <w:t>13</w:t>
          </w:r>
          <w:r>
            <w:fldChar w:fldCharType="end"/>
          </w:r>
          <w:r>
            <w:fldChar w:fldCharType="end"/>
          </w:r>
        </w:p>
        <w:p w14:paraId="07306E69">
          <w:pPr>
            <w:pStyle w:val="5"/>
            <w:tabs>
              <w:tab w:val="right" w:leader="dot" w:pos="8306"/>
              <w:tab w:val="clear" w:pos="8296"/>
            </w:tabs>
          </w:pPr>
          <w:r>
            <w:fldChar w:fldCharType="begin"/>
          </w:r>
          <w:r>
            <w:instrText xml:space="preserve"> HYPERLINK \l "_Toc29352" </w:instrText>
          </w:r>
          <w:r>
            <w:fldChar w:fldCharType="separate"/>
          </w:r>
          <w:r>
            <w:rPr>
              <w:rFonts w:hint="eastAsia"/>
            </w:rPr>
            <w:t>第七条</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14:paraId="66B9A24A">
          <w:pPr>
            <w:spacing w:line="360" w:lineRule="auto"/>
          </w:pPr>
          <w:r>
            <w:rPr>
              <w:bCs/>
              <w:lang w:val="zh-CN"/>
            </w:rPr>
            <w:fldChar w:fldCharType="end"/>
          </w:r>
        </w:p>
      </w:sdtContent>
    </w:sdt>
    <w:p w14:paraId="6051BCD0">
      <w:pPr>
        <w:widowControl/>
        <w:jc w:val="left"/>
        <w:rPr>
          <w:rFonts w:ascii="宋体" w:hAnsi="宋体" w:cs="仿宋_GB2312"/>
          <w:b/>
          <w:kern w:val="0"/>
          <w:sz w:val="18"/>
          <w:szCs w:val="18"/>
        </w:rPr>
      </w:pPr>
      <w:r>
        <w:rPr>
          <w:rFonts w:ascii="宋体" w:hAnsi="宋体" w:cs="仿宋_GB2312"/>
          <w:b/>
          <w:kern w:val="0"/>
          <w:sz w:val="18"/>
          <w:szCs w:val="18"/>
        </w:rPr>
        <w:br w:type="page"/>
      </w:r>
    </w:p>
    <w:p w14:paraId="554EE365">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14:paraId="722BD57B">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14:paraId="703E2D7E">
      <w:pPr>
        <w:spacing w:line="360" w:lineRule="auto"/>
      </w:pPr>
    </w:p>
    <w:bookmarkEnd w:id="10"/>
    <w:bookmarkEnd w:id="11"/>
    <w:bookmarkEnd w:id="12"/>
    <w:bookmarkEnd w:id="13"/>
    <w:p w14:paraId="551D5774">
      <w:pPr>
        <w:pStyle w:val="2"/>
        <w:spacing w:before="0" w:after="0"/>
        <w:jc w:val="center"/>
        <w:rPr>
          <w:rFonts w:ascii="Times New Roman"/>
          <w:color w:val="auto"/>
          <w:sz w:val="30"/>
        </w:rPr>
      </w:pPr>
      <w:bookmarkStart w:id="14" w:name="_Toc123112229"/>
      <w:bookmarkStart w:id="15" w:name="_Toc139991730"/>
      <w:bookmarkStart w:id="16" w:name="_Toc4966"/>
      <w:bookmarkStart w:id="17" w:name="_Toc15517"/>
      <w:bookmarkStart w:id="18" w:name="_Toc29629"/>
      <w:bookmarkStart w:id="19" w:name="_Toc23386"/>
      <w:bookmarkStart w:id="20" w:name="_Toc6306"/>
      <w:bookmarkStart w:id="21" w:name="_Toc8727"/>
      <w:bookmarkStart w:id="22" w:name="_Toc123701389"/>
      <w:bookmarkStart w:id="23" w:name="_Toc26897"/>
      <w:bookmarkStart w:id="24" w:name="_Toc4867"/>
      <w:bookmarkStart w:id="25" w:name="_Toc123112268"/>
      <w:bookmarkStart w:id="26" w:name="_Toc141703880"/>
      <w:bookmarkStart w:id="27" w:name="_Toc32639"/>
      <w:bookmarkStart w:id="28" w:name="_Toc30935"/>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6617"/>
      <w:bookmarkStart w:id="33" w:name="_Toc258829399"/>
      <w:bookmarkStart w:id="34" w:name="_Toc3224"/>
      <w:bookmarkStart w:id="35" w:name="_Toc21301"/>
      <w:bookmarkStart w:id="36" w:name="_Toc24860"/>
      <w:bookmarkStart w:id="37" w:name="_Toc19592"/>
      <w:bookmarkStart w:id="38" w:name="_Toc13020"/>
      <w:bookmarkStart w:id="39" w:name="_Toc2465"/>
      <w:bookmarkStart w:id="40" w:name="_Toc819"/>
      <w:bookmarkStart w:id="41" w:name="_Toc15067"/>
      <w:bookmarkStart w:id="42" w:name="_Toc22864"/>
      <w:r>
        <w:rPr>
          <w:rFonts w:hint="eastAsia" w:ascii="Times New Roman"/>
          <w:color w:val="auto"/>
          <w:sz w:val="30"/>
        </w:rPr>
        <w:t>前言</w:t>
      </w:r>
      <w:bookmarkEnd w:id="29"/>
    </w:p>
    <w:p w14:paraId="615690FD">
      <w:pPr>
        <w:pStyle w:val="14"/>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14:paraId="205E0B0A">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1.订立本投资协议书的目的是保护投资人合法权益，明确投资协议书当事人的权利义务，规范理财产品运作。</w:t>
      </w:r>
    </w:p>
    <w:p w14:paraId="41857BD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w:t>
      </w:r>
      <w:r>
        <w:rPr>
          <w:rFonts w:ascii="宋体" w:hAnsi="宋体"/>
          <w:sz w:val="18"/>
          <w:szCs w:val="18"/>
        </w:rPr>
        <w:t>2018年第6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w:t>
      </w:r>
      <w:r>
        <w:rPr>
          <w:rFonts w:ascii="宋体" w:hAnsi="宋体"/>
          <w:sz w:val="18"/>
          <w:szCs w:val="18"/>
        </w:rPr>
        <w:t>2018年第7号）、《理财公司理财产品销售管理暂行办法》（银保监会令2021年第4号）等监管规定及其他有关规定。</w:t>
      </w:r>
    </w:p>
    <w:p w14:paraId="6674FC24">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3.订立本投资协议书的原则是平等自愿、诚实信用、充分保护投资人合法权益。</w:t>
      </w:r>
    </w:p>
    <w:p w14:paraId="311559F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14:paraId="70A9C56E">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14:paraId="30759520">
      <w:pPr>
        <w:widowControl/>
        <w:spacing w:line="360" w:lineRule="auto"/>
        <w:jc w:val="left"/>
      </w:pPr>
      <w:r>
        <w:br w:type="page"/>
      </w:r>
    </w:p>
    <w:p w14:paraId="18266E69">
      <w:pPr>
        <w:pStyle w:val="2"/>
        <w:spacing w:before="0" w:after="0"/>
        <w:jc w:val="center"/>
        <w:rPr>
          <w:rFonts w:ascii="Times New Roman"/>
          <w:color w:val="auto"/>
          <w:sz w:val="30"/>
        </w:rPr>
      </w:pPr>
      <w:bookmarkStart w:id="44" w:name="_Toc12429"/>
      <w:bookmarkStart w:id="45" w:name="_Toc74065739"/>
      <w:r>
        <w:rPr>
          <w:rFonts w:hint="eastAsia" w:ascii="Times New Roman"/>
          <w:color w:val="auto"/>
          <w:sz w:val="30"/>
        </w:rPr>
        <w:t>第二条</w:t>
      </w:r>
      <w:r>
        <w:rPr>
          <w:rFonts w:ascii="Times New Roman"/>
          <w:color w:val="auto"/>
          <w:sz w:val="30"/>
        </w:rPr>
        <w:t xml:space="preserve">  </w:t>
      </w:r>
      <w:r>
        <w:rPr>
          <w:rFonts w:hint="eastAsia" w:ascii="Times New Roman"/>
          <w:color w:val="auto"/>
          <w:sz w:val="30"/>
        </w:rPr>
        <w:t>双方权利义务</w:t>
      </w:r>
      <w:bookmarkEnd w:id="44"/>
    </w:p>
    <w:p w14:paraId="69EA3EAE">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14:paraId="7A8FFFB0">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14:paraId="465F793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14:paraId="1B69752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14:paraId="18F1BF07">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14:paraId="3975F35E">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14:paraId="5C866AB9">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14:paraId="5B4680C4">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14:paraId="6A7E9D2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w:t>
      </w:r>
      <w:r>
        <w:rPr>
          <w:rFonts w:hint="eastAsia" w:ascii="宋体" w:hAnsi="宋体"/>
          <w:sz w:val="18"/>
          <w:szCs w:val="18"/>
          <w:lang w:val="en-US" w:eastAsia="zh-CN"/>
        </w:rPr>
        <w:t>欺诈、</w:t>
      </w:r>
      <w:r>
        <w:rPr>
          <w:rFonts w:hint="eastAsia" w:ascii="宋体" w:hAnsi="宋体"/>
          <w:sz w:val="18"/>
          <w:szCs w:val="18"/>
        </w:rPr>
        <w:t>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14:paraId="1731CC29">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14:paraId="5A37685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14:paraId="794BAC1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14:paraId="3EE100AE">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14:paraId="2E2DF47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14:paraId="01CC1AB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14:paraId="39874B48">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14:paraId="35F1551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14:paraId="7ABB6600">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14:paraId="17A623E0">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ascii="宋体" w:hAnsi="宋体"/>
          <w:sz w:val="18"/>
          <w:szCs w:val="18"/>
        </w:rPr>
        <w:t>3.产品管理人应按照约定披露产品相关信息。</w:t>
      </w:r>
    </w:p>
    <w:p w14:paraId="49AE121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14:paraId="1DC5E53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14:paraId="5C1F52B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14:paraId="53BAE956">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14:paraId="2C251103">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w:t>
      </w:r>
      <w:r>
        <w:rPr>
          <w:rFonts w:ascii="黑体" w:hAnsi="黑体" w:eastAsia="黑体"/>
          <w:sz w:val="18"/>
          <w:szCs w:val="18"/>
        </w:rPr>
        <w:t>CA认证服务、可信时间</w:t>
      </w:r>
      <w:r>
        <w:rPr>
          <w:rFonts w:hint="eastAsia" w:ascii="黑体" w:hAnsi="黑体" w:eastAsia="黑体"/>
          <w:sz w:val="18"/>
          <w:szCs w:val="18"/>
        </w:rPr>
        <w:t>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14:paraId="0C8CE341">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14:paraId="1691B0C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14:paraId="1910EFE9">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w:t>
      </w:r>
      <w:r>
        <w:rPr>
          <w:rFonts w:hint="eastAsia" w:ascii="宋体" w:hAnsi="宋体"/>
          <w:sz w:val="18"/>
          <w:szCs w:val="18"/>
          <w:lang w:val="en-US" w:eastAsia="zh-CN"/>
        </w:rPr>
        <w:t>欺诈、</w:t>
      </w:r>
      <w:r>
        <w:rPr>
          <w:rFonts w:hint="eastAsia" w:ascii="宋体" w:hAnsi="宋体"/>
          <w:sz w:val="18"/>
          <w:szCs w:val="18"/>
        </w:rPr>
        <w:t>恐怖融资、逃税等嫌疑</w:t>
      </w:r>
      <w:r>
        <w:rPr>
          <w:rFonts w:ascii="宋体" w:hAnsi="宋体"/>
          <w:sz w:val="18"/>
          <w:szCs w:val="18"/>
        </w:rPr>
        <w:t>,</w:t>
      </w:r>
      <w:r>
        <w:rPr>
          <w:rFonts w:hint="eastAsia" w:ascii="黑体" w:hAnsi="黑体" w:eastAsia="黑体"/>
          <w:sz w:val="18"/>
          <w:szCs w:val="18"/>
        </w:rPr>
        <w:t>产品管理人有权提前终止本协议，造成投资者损失的，产品管理人不承担责任。</w:t>
      </w:r>
    </w:p>
    <w:p w14:paraId="4047EEEB">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14:paraId="64ADF8A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14:paraId="3DBCB84D">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14:paraId="00887CC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12.</w:t>
      </w:r>
      <w:r>
        <w:rPr>
          <w:rFonts w:hint="eastAsia" w:ascii="宋体" w:hAnsi="宋体"/>
          <w:sz w:val="18"/>
          <w:szCs w:val="18"/>
        </w:rPr>
        <w:t>产品管理人有权根据符合条件的申请，受理并办理继承、承继、捐赠、司法强制执行和经理财产品登记机构认可的其他情况下的非交易过户。</w:t>
      </w:r>
    </w:p>
    <w:p w14:paraId="6CED3442">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p>
    <w:p w14:paraId="175FCF0D">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14:paraId="3C2B1D5F">
      <w:pPr>
        <w:pStyle w:val="2"/>
        <w:spacing w:before="0" w:after="0"/>
        <w:jc w:val="center"/>
        <w:rPr>
          <w:rFonts w:ascii="Times New Roman"/>
          <w:sz w:val="30"/>
        </w:rPr>
      </w:pPr>
      <w:bookmarkStart w:id="46" w:name="_Toc706"/>
      <w:bookmarkStart w:id="47" w:name="_Toc13288"/>
      <w:bookmarkStart w:id="48" w:name="_Toc20627"/>
      <w:bookmarkStart w:id="49" w:name="_Toc733"/>
      <w:bookmarkStart w:id="50" w:name="_Toc18631"/>
      <w:bookmarkStart w:id="51" w:name="_Toc74065740"/>
      <w:bookmarkStart w:id="52" w:name="_Toc6683"/>
      <w:bookmarkStart w:id="53" w:name="_Toc6149"/>
      <w:bookmarkStart w:id="54" w:name="_Toc545"/>
      <w:bookmarkStart w:id="55" w:name="_Toc20318"/>
      <w:bookmarkStart w:id="56" w:name="_Toc24571"/>
      <w:bookmarkStart w:id="57" w:name="_Toc22708"/>
      <w:bookmarkStart w:id="58" w:name="_Toc233456272"/>
      <w:bookmarkStart w:id="59" w:name="_Toc258829400"/>
      <w:r>
        <w:rPr>
          <w:rFonts w:hint="eastAsia" w:ascii="Times New Roman"/>
          <w:color w:val="auto"/>
          <w:sz w:val="30"/>
        </w:rPr>
        <w:t>第三条</w:t>
      </w:r>
      <w:r>
        <w:rPr>
          <w:rFonts w:ascii="Times New Roman"/>
          <w:color w:val="auto"/>
          <w:sz w:val="30"/>
        </w:rPr>
        <w:t xml:space="preserve">  </w:t>
      </w:r>
      <w:r>
        <w:rPr>
          <w:rFonts w:hint="eastAsia" w:ascii="Times New Roman"/>
          <w:color w:val="auto"/>
          <w:sz w:val="30"/>
        </w:rPr>
        <w:t>不可抗力</w:t>
      </w:r>
      <w:bookmarkEnd w:id="46"/>
    </w:p>
    <w:bookmarkEnd w:id="47"/>
    <w:bookmarkEnd w:id="48"/>
    <w:bookmarkEnd w:id="49"/>
    <w:bookmarkEnd w:id="50"/>
    <w:bookmarkEnd w:id="51"/>
    <w:bookmarkEnd w:id="52"/>
    <w:bookmarkEnd w:id="53"/>
    <w:bookmarkEnd w:id="54"/>
    <w:bookmarkEnd w:id="55"/>
    <w:bookmarkEnd w:id="56"/>
    <w:bookmarkEnd w:id="57"/>
    <w:p w14:paraId="62E7D7A9">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14:paraId="7A26CEB7">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14:paraId="7E941578">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14:paraId="30DDF906">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14:paraId="58BDD43D">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14:paraId="404AB6A0">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14:paraId="61C66643">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14:paraId="21CAFEAD">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2.本协议书中涉及的相关到期日或</w:t>
      </w:r>
      <w:r>
        <w:rPr>
          <w:rFonts w:hint="eastAsia" w:ascii="宋体" w:hAnsi="宋体" w:cs="仿宋_GB2312"/>
          <w:kern w:val="0"/>
          <w:sz w:val="18"/>
          <w:szCs w:val="18"/>
        </w:rPr>
        <w:t>分配日如遇节假日，将顺延至下一个工作日，由此产生的风险及损失双方当事人互不承担责任；</w:t>
      </w:r>
    </w:p>
    <w:p w14:paraId="0CD64362">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14:paraId="5013544E">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618CEB22">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w:t>
      </w:r>
      <w:r>
        <w:rPr>
          <w:rFonts w:hint="eastAsia" w:ascii="Times New Roman"/>
          <w:color w:val="auto"/>
          <w:sz w:val="30"/>
        </w:rPr>
        <w:t>法律适用和争议解决</w:t>
      </w:r>
      <w:bookmarkEnd w:id="61"/>
    </w:p>
    <w:p w14:paraId="20C82F9E">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14:paraId="490EE818">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14:paraId="5A63B2BD">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14:paraId="29B63671">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14:paraId="5FFA593A">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14:paraId="3C35FED1">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14:paraId="58067260">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14:paraId="75211CA9">
      <w:pPr>
        <w:pStyle w:val="2"/>
        <w:spacing w:before="0" w:after="0"/>
        <w:jc w:val="center"/>
        <w:rPr>
          <w:rFonts w:ascii="Times New Roman"/>
          <w:b w:val="0"/>
          <w:sz w:val="30"/>
        </w:rPr>
      </w:pPr>
      <w:bookmarkStart w:id="62" w:name="_Toc11943"/>
      <w:r>
        <w:rPr>
          <w:rFonts w:hint="eastAsia" w:ascii="Times New Roman"/>
          <w:color w:val="auto"/>
          <w:sz w:val="30"/>
        </w:rPr>
        <w:t>第六条</w:t>
      </w:r>
      <w:r>
        <w:rPr>
          <w:rFonts w:ascii="Times New Roman"/>
          <w:color w:val="auto"/>
          <w:sz w:val="30"/>
        </w:rPr>
        <w:t xml:space="preserve">  </w:t>
      </w:r>
      <w:r>
        <w:rPr>
          <w:rFonts w:hint="eastAsia" w:ascii="Times New Roman"/>
          <w:color w:val="auto"/>
          <w:sz w:val="30"/>
        </w:rPr>
        <w:t>协议的签署和效力</w:t>
      </w:r>
      <w:bookmarkEnd w:id="62"/>
    </w:p>
    <w:p w14:paraId="0F155203">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14:paraId="6C6FED60">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w:t>
      </w:r>
      <w:r>
        <w:rPr>
          <w:rFonts w:ascii="黑体" w:hAnsi="黑体" w:eastAsia="黑体"/>
          <w:sz w:val="18"/>
          <w:szCs w:val="18"/>
        </w:rPr>
        <w:t>签名/盖章后则为签署。</w:t>
      </w:r>
    </w:p>
    <w:p w14:paraId="3B08F8A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14:paraId="621295B9">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14:paraId="47023E8E">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14:paraId="1DAB2530">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14:paraId="77683AD0">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14:paraId="6B226B87">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14:paraId="388B5EA2">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4C2EA69A">
      <w:pPr>
        <w:pStyle w:val="2"/>
        <w:spacing w:before="0" w:after="0"/>
        <w:jc w:val="center"/>
        <w:rPr>
          <w:rFonts w:ascii="Times New Roman"/>
          <w:b w:val="0"/>
          <w:sz w:val="30"/>
        </w:rPr>
      </w:pPr>
      <w:bookmarkStart w:id="63" w:name="_Toc77953869"/>
      <w:bookmarkStart w:id="64" w:name="_Toc29352"/>
      <w:r>
        <w:rPr>
          <w:rFonts w:hint="eastAsia" w:ascii="Times New Roman"/>
          <w:color w:val="auto"/>
          <w:sz w:val="30"/>
        </w:rPr>
        <w:t>第七条</w:t>
      </w:r>
      <w:r>
        <w:rPr>
          <w:rFonts w:ascii="Times New Roman"/>
          <w:color w:val="auto"/>
          <w:sz w:val="30"/>
        </w:rPr>
        <w:t xml:space="preserve">  </w:t>
      </w:r>
      <w:r>
        <w:rPr>
          <w:rFonts w:hint="eastAsia" w:ascii="Times New Roman"/>
          <w:color w:val="auto"/>
          <w:sz w:val="30"/>
        </w:rPr>
        <w:t>消费者权益保护</w:t>
      </w:r>
      <w:bookmarkEnd w:id="63"/>
      <w:bookmarkEnd w:id="64"/>
      <w:r>
        <w:rPr>
          <w:rFonts w:ascii="Times New Roman"/>
          <w:color w:val="auto"/>
          <w:sz w:val="30"/>
        </w:rPr>
        <w:t xml:space="preserve"> </w:t>
      </w:r>
    </w:p>
    <w:p w14:paraId="7ADCBE39">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14:paraId="762A0E4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14:paraId="5BB89A7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14:paraId="25458D84">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ascii="黑体" w:hAnsi="黑体" w:eastAsia="黑体"/>
          <w:sz w:val="18"/>
          <w:szCs w:val="18"/>
        </w:rPr>
        <w:t>1.产品管理人：兴银理财有限责任公司</w:t>
      </w:r>
    </w:p>
    <w:p w14:paraId="16990B44">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14:paraId="327C6699">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2.销售机构</w:t>
      </w:r>
    </w:p>
    <w:p w14:paraId="469E2FF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销售机构的联络方式，具体以《（代理）销售协议书》《投资者权益须知》等销售文件的内容为准。</w:t>
      </w:r>
      <w:r>
        <w:rPr>
          <w:rFonts w:ascii="黑体" w:hAnsi="黑体" w:eastAsia="黑体"/>
          <w:sz w:val="18"/>
          <w:szCs w:val="18"/>
        </w:rPr>
        <w:t xml:space="preserve"> </w:t>
      </w:r>
    </w:p>
    <w:p w14:paraId="0EDD9DAC">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37DFC631">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14:paraId="508AA8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14:paraId="3872AE40">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14:paraId="116D77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457791FA">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14:paraId="72E7552E">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w:t>
            </w:r>
          </w:p>
        </w:tc>
      </w:tr>
      <w:tr w14:paraId="240212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38F52771">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14:paraId="394F21E0">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【】类</w:t>
            </w:r>
            <w:r>
              <w:rPr>
                <w:rFonts w:ascii="宋体" w:hAnsi="宋体" w:cs="宋体"/>
                <w:sz w:val="18"/>
                <w:szCs w:val="18"/>
              </w:rPr>
              <w:t>份额</w:t>
            </w:r>
          </w:p>
        </w:tc>
      </w:tr>
      <w:tr w14:paraId="18EDF2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14:paraId="3A787180">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14:paraId="6F0D0667">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14:paraId="313C07D2">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tr w14:paraId="44472B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687E15A0">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06512AD4">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14:paraId="0676491E">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封闭式产品不设置申购</w:t>
            </w:r>
            <w:r>
              <w:rPr>
                <w:rFonts w:hint="eastAsia" w:ascii="宋体" w:hAnsi="宋体"/>
                <w:bCs/>
                <w:sz w:val="18"/>
                <w:szCs w:val="18"/>
              </w:rPr>
              <w:t>。</w:t>
            </w:r>
          </w:p>
        </w:tc>
      </w:tr>
      <w:tr w14:paraId="11B9CC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7CD74825">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4C5879AA">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14:paraId="3027C7B3">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w:t>
            </w:r>
            <w:r>
              <w:rPr>
                <w:rFonts w:hint="eastAsia" w:ascii="宋体" w:hAnsi="宋体"/>
                <w:bCs/>
                <w:sz w:val="18"/>
                <w:szCs w:val="18"/>
              </w:rPr>
              <w:t>赎回。</w:t>
            </w:r>
          </w:p>
        </w:tc>
      </w:tr>
      <w:tr w14:paraId="016898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14:paraId="708F2E1C">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14:paraId="225A6596">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14:paraId="4F360750">
            <w:pPr>
              <w:autoSpaceDE w:val="0"/>
              <w:autoSpaceDN w:val="0"/>
              <w:adjustRightInd w:val="0"/>
              <w:snapToGrid w:val="0"/>
              <w:spacing w:line="360" w:lineRule="auto"/>
              <w:jc w:val="center"/>
              <w:rPr>
                <w:rFonts w:ascii="宋体" w:hAnsi="宋体"/>
                <w:sz w:val="18"/>
                <w:szCs w:val="18"/>
              </w:rPr>
            </w:pPr>
            <w:r>
              <w:rPr>
                <w:rFonts w:hint="eastAsia" w:asciiTheme="minorEastAsia" w:hAnsiTheme="minorEastAsia"/>
                <w:sz w:val="18"/>
                <w:szCs w:val="18"/>
              </w:rPr>
              <w:t>【</w:t>
            </w:r>
            <w:r>
              <w:rPr>
                <w:rFonts w:asciiTheme="minorEastAsia" w:hAnsiTheme="minorEastAsia"/>
                <w:sz w:val="18"/>
                <w:szCs w:val="18"/>
              </w:rPr>
              <w:t xml:space="preserve"> 】年</w:t>
            </w:r>
            <w:r>
              <w:rPr>
                <w:rFonts w:hint="eastAsia"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】月【</w:t>
            </w:r>
            <w:r>
              <w:rPr>
                <w:rFonts w:asciiTheme="minorEastAsia" w:hAnsiTheme="minorEastAsia"/>
                <w:sz w:val="18"/>
                <w:szCs w:val="18"/>
              </w:rPr>
              <w:t xml:space="preserve"> </w:t>
            </w:r>
            <w:r>
              <w:rPr>
                <w:rFonts w:hint="eastAsia" w:asciiTheme="minorEastAsia" w:hAnsiTheme="minorEastAsia"/>
                <w:sz w:val="18"/>
                <w:szCs w:val="18"/>
              </w:rPr>
              <w:t>】日</w:t>
            </w:r>
          </w:p>
        </w:tc>
      </w:tr>
      <w:tr w14:paraId="3E6DC3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14:paraId="627DC2AA">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14:paraId="5F51A1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4866FA6D">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14:paraId="09A021A9">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14:paraId="61AFADA1">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14:paraId="72552BFE">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14:paraId="4C85F008">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3.投资者已认真阅读并充分理解包括但不限于《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w:t>
            </w:r>
            <w:r>
              <w:rPr>
                <w:rFonts w:ascii="黑体" w:hAnsi="黑体" w:eastAsia="黑体"/>
                <w:sz w:val="18"/>
                <w:szCs w:val="18"/>
              </w:rPr>
              <w:t>/申购/赎回受上述协议约束。明确本理财产品作为资产管理产品应受到的法律法规及监管政策的规范与调整，同意接受本产品的投资方案、费率、认购/申购/赎回安排与上述文件所</w:t>
            </w:r>
            <w:r>
              <w:rPr>
                <w:rFonts w:hint="eastAsia" w:ascii="黑体" w:hAnsi="黑体" w:eastAsia="黑体"/>
                <w:sz w:val="18"/>
                <w:szCs w:val="18"/>
              </w:rPr>
              <w:t>做风险提示，愿意承担投资风险，现决定认购</w:t>
            </w:r>
            <w:r>
              <w:rPr>
                <w:rFonts w:ascii="黑体" w:hAnsi="黑体" w:eastAsia="黑体"/>
                <w:sz w:val="18"/>
                <w:szCs w:val="18"/>
              </w:rPr>
              <w:t>/申购/赎回，并授权产品管理人根据投资方案进行投资。</w:t>
            </w:r>
          </w:p>
        </w:tc>
      </w:tr>
      <w:tr w14:paraId="238ECD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14:paraId="1F579130">
            <w:pPr>
              <w:spacing w:line="360" w:lineRule="auto"/>
              <w:jc w:val="center"/>
              <w:rPr>
                <w:b/>
                <w:sz w:val="18"/>
                <w:szCs w:val="18"/>
              </w:rPr>
            </w:pPr>
            <w:r>
              <w:rPr>
                <w:rFonts w:hint="eastAsia"/>
                <w:b/>
                <w:sz w:val="18"/>
                <w:szCs w:val="18"/>
              </w:rPr>
              <w:t>投资者签署栏</w:t>
            </w:r>
          </w:p>
        </w:tc>
        <w:tc>
          <w:tcPr>
            <w:tcW w:w="851" w:type="dxa"/>
            <w:gridSpan w:val="2"/>
          </w:tcPr>
          <w:p w14:paraId="531C7A85">
            <w:pPr>
              <w:spacing w:line="360" w:lineRule="auto"/>
              <w:rPr>
                <w:sz w:val="18"/>
                <w:szCs w:val="18"/>
              </w:rPr>
            </w:pPr>
            <w:r>
              <w:rPr>
                <w:rFonts w:hint="eastAsia"/>
                <w:sz w:val="18"/>
                <w:szCs w:val="18"/>
              </w:rPr>
              <w:t>个人投资者适用</w:t>
            </w:r>
          </w:p>
        </w:tc>
        <w:tc>
          <w:tcPr>
            <w:tcW w:w="6998" w:type="dxa"/>
            <w:gridSpan w:val="2"/>
          </w:tcPr>
          <w:p w14:paraId="2B12EA1E">
            <w:pPr>
              <w:spacing w:line="360" w:lineRule="auto"/>
              <w:rPr>
                <w:sz w:val="18"/>
                <w:szCs w:val="18"/>
              </w:rPr>
            </w:pPr>
            <w:r>
              <w:rPr>
                <w:rFonts w:hint="eastAsia"/>
                <w:sz w:val="18"/>
                <w:szCs w:val="18"/>
              </w:rPr>
              <w:t>投资者（签名</w:t>
            </w:r>
            <w:r>
              <w:rPr>
                <w:sz w:val="18"/>
                <w:szCs w:val="18"/>
              </w:rPr>
              <w:t>/</w:t>
            </w:r>
            <w:r>
              <w:rPr>
                <w:rFonts w:hint="eastAsia"/>
                <w:sz w:val="18"/>
                <w:szCs w:val="18"/>
              </w:rPr>
              <w:t>线上确认）：</w:t>
            </w:r>
          </w:p>
          <w:p w14:paraId="2B3576A5">
            <w:pPr>
              <w:spacing w:line="360" w:lineRule="auto"/>
              <w:rPr>
                <w:b/>
                <w:sz w:val="18"/>
                <w:szCs w:val="18"/>
              </w:rPr>
            </w:pPr>
          </w:p>
          <w:p w14:paraId="61587D82">
            <w:pPr>
              <w:spacing w:line="360" w:lineRule="auto"/>
              <w:rPr>
                <w:b/>
                <w:sz w:val="18"/>
                <w:szCs w:val="18"/>
              </w:rPr>
            </w:pPr>
            <w:r>
              <w:rPr>
                <w:rFonts w:hint="eastAsia"/>
                <w:sz w:val="18"/>
                <w:szCs w:val="18"/>
              </w:rPr>
              <w:t>日期：</w:t>
            </w:r>
          </w:p>
        </w:tc>
      </w:tr>
      <w:tr w14:paraId="260C72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14:paraId="13CC87E2">
            <w:pPr>
              <w:spacing w:line="360" w:lineRule="auto"/>
              <w:rPr>
                <w:b/>
                <w:sz w:val="18"/>
                <w:szCs w:val="18"/>
              </w:rPr>
            </w:pPr>
          </w:p>
        </w:tc>
        <w:tc>
          <w:tcPr>
            <w:tcW w:w="851" w:type="dxa"/>
            <w:gridSpan w:val="2"/>
          </w:tcPr>
          <w:p w14:paraId="13C76E10">
            <w:pPr>
              <w:spacing w:line="360" w:lineRule="auto"/>
              <w:rPr>
                <w:sz w:val="18"/>
                <w:szCs w:val="18"/>
              </w:rPr>
            </w:pPr>
            <w:r>
              <w:rPr>
                <w:rFonts w:hint="eastAsia"/>
                <w:sz w:val="18"/>
                <w:szCs w:val="18"/>
              </w:rPr>
              <w:t>机构投资者适用</w:t>
            </w:r>
          </w:p>
        </w:tc>
        <w:tc>
          <w:tcPr>
            <w:tcW w:w="6998" w:type="dxa"/>
            <w:gridSpan w:val="2"/>
          </w:tcPr>
          <w:p w14:paraId="4026D628">
            <w:pPr>
              <w:spacing w:line="360" w:lineRule="auto"/>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14:paraId="2F0B789F">
            <w:pPr>
              <w:spacing w:line="360" w:lineRule="auto"/>
              <w:rPr>
                <w:rFonts w:cs="Arial"/>
                <w:sz w:val="18"/>
                <w:szCs w:val="18"/>
              </w:rPr>
            </w:pPr>
          </w:p>
          <w:p w14:paraId="3375FB64">
            <w:pPr>
              <w:spacing w:line="360" w:lineRule="auto"/>
              <w:rPr>
                <w:b/>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14:paraId="5310A292">
            <w:pPr>
              <w:spacing w:line="360" w:lineRule="auto"/>
              <w:rPr>
                <w:sz w:val="18"/>
                <w:szCs w:val="18"/>
              </w:rPr>
            </w:pPr>
            <w:r>
              <w:rPr>
                <w:rFonts w:hint="eastAsia"/>
                <w:sz w:val="18"/>
                <w:szCs w:val="18"/>
              </w:rPr>
              <w:t>日期：</w:t>
            </w:r>
          </w:p>
        </w:tc>
      </w:tr>
    </w:tbl>
    <w:p w14:paraId="5E3D451A">
      <w:pPr>
        <w:spacing w:line="360" w:lineRule="auto"/>
        <w:jc w:val="left"/>
        <w:rPr>
          <w:b/>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14:paraId="6E521EFC">
      <w:pPr>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pPr>
    </w:p>
    <w:p w14:paraId="1D639999">
      <w:pPr>
        <w:pStyle w:val="14"/>
        <w:spacing w:line="360" w:lineRule="auto"/>
        <w:rPr>
          <w:rFonts w:hAnsi="宋体"/>
          <w:sz w:val="18"/>
          <w:szCs w:val="18"/>
        </w:rPr>
      </w:pPr>
    </w:p>
    <w:p w14:paraId="1E5B4AE8">
      <w:pPr>
        <w:widowControl/>
        <w:spacing w:line="360" w:lineRule="auto"/>
        <w:jc w:val="center"/>
        <w:rPr>
          <w:rFonts w:ascii="宋体" w:hAnsi="宋体" w:cs="宋体"/>
          <w:sz w:val="30"/>
          <w:szCs w:val="30"/>
        </w:rPr>
      </w:pPr>
      <w:r>
        <w:rPr>
          <w:rFonts w:hint="eastAsia" w:ascii="宋体" w:hAnsi="宋体" w:cs="宋体"/>
          <w:b/>
          <w:sz w:val="30"/>
          <w:szCs w:val="30"/>
        </w:rPr>
        <w:t>理财非存款、产品有风险、投资须谨慎！</w:t>
      </w:r>
    </w:p>
    <w:p w14:paraId="1D169036">
      <w:pPr>
        <w:adjustRightInd w:val="0"/>
        <w:spacing w:line="360" w:lineRule="auto"/>
        <w:jc w:val="center"/>
        <w:rPr>
          <w:rFonts w:ascii="宋体" w:hAnsi="宋体" w:cs="宋体"/>
          <w:sz w:val="32"/>
          <w:szCs w:val="32"/>
        </w:rPr>
      </w:pPr>
    </w:p>
    <w:p w14:paraId="457E7AF8">
      <w:pPr>
        <w:adjustRightInd w:val="0"/>
        <w:spacing w:line="360" w:lineRule="auto"/>
        <w:jc w:val="center"/>
        <w:rPr>
          <w:rFonts w:ascii="宋体" w:hAnsi="宋体" w:cs="宋体"/>
          <w:sz w:val="32"/>
          <w:szCs w:val="32"/>
        </w:rPr>
      </w:pPr>
    </w:p>
    <w:p w14:paraId="03E16623">
      <w:pPr>
        <w:adjustRightInd w:val="0"/>
        <w:spacing w:line="360" w:lineRule="auto"/>
        <w:jc w:val="center"/>
        <w:rPr>
          <w:rFonts w:ascii="宋体" w:hAnsi="宋体" w:cs="宋体"/>
          <w:sz w:val="32"/>
          <w:szCs w:val="32"/>
        </w:rPr>
      </w:pPr>
      <w:r>
        <w:rPr>
          <w:rFonts w:ascii="黑体" w:hAnsi="黑体" w:eastAsia="黑体" w:cs="宋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784DA6F3">
      <w:pPr>
        <w:adjustRightInd w:val="0"/>
        <w:spacing w:line="360" w:lineRule="auto"/>
        <w:jc w:val="center"/>
        <w:rPr>
          <w:rFonts w:ascii="宋体" w:hAnsi="宋体" w:cs="宋体"/>
          <w:sz w:val="32"/>
          <w:szCs w:val="32"/>
        </w:rPr>
      </w:pPr>
    </w:p>
    <w:p w14:paraId="28988855">
      <w:pPr>
        <w:adjustRightInd w:val="0"/>
        <w:spacing w:line="360" w:lineRule="auto"/>
        <w:jc w:val="center"/>
        <w:rPr>
          <w:rFonts w:ascii="黑体" w:hAnsi="黑体" w:eastAsia="黑体" w:cs="宋体"/>
          <w:sz w:val="44"/>
          <w:szCs w:val="44"/>
        </w:rPr>
      </w:pPr>
      <w:r>
        <w:rPr>
          <w:rFonts w:hint="eastAsia" w:ascii="黑体" w:hAnsi="黑体" w:eastAsia="黑体" w:cs="Times New Roman"/>
          <w:b/>
          <w:bCs/>
          <w:sz w:val="44"/>
          <w:szCs w:val="44"/>
          <w:lang w:eastAsia="zh-CN"/>
        </w:rPr>
        <w:t>【兴银理财稳利恒盈封闭式2026年855期固收类理财产品】</w:t>
      </w:r>
    </w:p>
    <w:p w14:paraId="310011BF">
      <w:pPr>
        <w:adjustRightInd w:val="0"/>
        <w:spacing w:line="360" w:lineRule="auto"/>
        <w:jc w:val="center"/>
        <w:rPr>
          <w:rFonts w:ascii="黑体" w:hAnsi="黑体" w:eastAsia="黑体" w:cs="宋体"/>
          <w:sz w:val="44"/>
          <w:szCs w:val="44"/>
        </w:rPr>
      </w:pPr>
      <w:r>
        <w:rPr>
          <w:rFonts w:hint="eastAsia" w:ascii="黑体" w:hAnsi="黑体" w:eastAsia="黑体" w:cs="Times New Roman"/>
          <w:b/>
          <w:bCs/>
          <w:sz w:val="44"/>
          <w:szCs w:val="44"/>
        </w:rPr>
        <w:t>产品说明书</w:t>
      </w:r>
    </w:p>
    <w:p w14:paraId="10DE8642">
      <w:pPr>
        <w:adjustRightInd w:val="0"/>
        <w:spacing w:line="360" w:lineRule="auto"/>
        <w:jc w:val="center"/>
        <w:rPr>
          <w:rFonts w:ascii="宋体" w:hAnsi="宋体" w:cs="宋体"/>
          <w:sz w:val="32"/>
          <w:szCs w:val="32"/>
        </w:rPr>
      </w:pPr>
    </w:p>
    <w:p w14:paraId="18677227">
      <w:pPr>
        <w:adjustRightInd w:val="0"/>
        <w:spacing w:line="360" w:lineRule="auto"/>
        <w:jc w:val="center"/>
        <w:rPr>
          <w:rFonts w:ascii="黑体" w:hAnsi="黑体" w:eastAsia="黑体" w:cs="宋体"/>
          <w:bCs w:val="0"/>
          <w:sz w:val="28"/>
          <w:szCs w:val="28"/>
        </w:rPr>
      </w:pPr>
    </w:p>
    <w:p w14:paraId="105E54CE">
      <w:pPr>
        <w:adjustRightInd w:val="0"/>
        <w:spacing w:line="360" w:lineRule="auto"/>
        <w:jc w:val="center"/>
        <w:rPr>
          <w:rFonts w:ascii="宋体" w:hAnsi="宋体" w:cs="Times New Roman"/>
          <w:sz w:val="32"/>
          <w:szCs w:val="32"/>
        </w:rPr>
      </w:pPr>
      <w:r>
        <w:rPr>
          <w:rFonts w:hint="eastAsia" w:ascii="宋体" w:hAnsi="宋体" w:cs="Times New Roman"/>
          <w:b/>
          <w:bCs/>
          <w:sz w:val="32"/>
          <w:szCs w:val="32"/>
        </w:rPr>
        <w:t>理财产品管理人：兴银理财有限责任公司</w:t>
      </w:r>
    </w:p>
    <w:p w14:paraId="0B8383F2">
      <w:pPr>
        <w:adjustRightInd w:val="0"/>
        <w:spacing w:line="360" w:lineRule="auto"/>
        <w:jc w:val="center"/>
        <w:rPr>
          <w:rFonts w:ascii="宋体" w:hAnsi="宋体" w:cs="宋体"/>
          <w:sz w:val="32"/>
          <w:szCs w:val="32"/>
        </w:rPr>
      </w:pPr>
    </w:p>
    <w:p w14:paraId="03C19927">
      <w:pPr>
        <w:adjustRightInd w:val="0"/>
        <w:spacing w:line="360" w:lineRule="auto"/>
        <w:jc w:val="center"/>
        <w:rPr>
          <w:rFonts w:ascii="宋体" w:hAnsi="宋体" w:cs="宋体"/>
          <w:sz w:val="32"/>
          <w:szCs w:val="32"/>
        </w:rPr>
      </w:pPr>
    </w:p>
    <w:p w14:paraId="04E2E756">
      <w:pPr>
        <w:adjustRightInd w:val="0"/>
        <w:spacing w:line="360" w:lineRule="auto"/>
        <w:jc w:val="center"/>
        <w:rPr>
          <w:rFonts w:ascii="宋体" w:hAnsi="宋体" w:cs="Times New Roman"/>
          <w:sz w:val="32"/>
          <w:szCs w:val="32"/>
        </w:rPr>
      </w:pPr>
      <w:r>
        <w:rPr>
          <w:rFonts w:hint="eastAsia" w:ascii="宋体" w:hAnsi="宋体" w:cs="Times New Roman"/>
          <w:b/>
          <w:bCs/>
          <w:sz w:val="32"/>
          <w:szCs w:val="32"/>
        </w:rPr>
        <w:t>日期</w:t>
      </w:r>
      <w:r>
        <w:rPr>
          <w:rFonts w:ascii="宋体" w:hAnsi="宋体" w:cs="Times New Roman"/>
          <w:b/>
          <w:bCs/>
          <w:sz w:val="32"/>
          <w:szCs w:val="32"/>
        </w:rPr>
        <w:t>：</w:t>
      </w:r>
      <w:r>
        <w:rPr>
          <w:rFonts w:hint="eastAsia" w:ascii="宋体" w:hAnsi="宋体" w:cs="Times New Roman"/>
          <w:b/>
          <w:bCs/>
          <w:sz w:val="32"/>
          <w:szCs w:val="32"/>
        </w:rPr>
        <w:t>【2026】年【7】月</w:t>
      </w:r>
    </w:p>
    <w:p w14:paraId="39AB8C64">
      <w:pPr>
        <w:adjustRightInd w:val="0"/>
        <w:spacing w:line="360" w:lineRule="auto"/>
        <w:jc w:val="center"/>
        <w:rPr>
          <w:rFonts w:ascii="宋体" w:hAnsi="宋体" w:cs="宋体"/>
          <w:sz w:val="32"/>
          <w:szCs w:val="32"/>
        </w:rPr>
      </w:pPr>
    </w:p>
    <w:p w14:paraId="3F4114F4">
      <w:pPr>
        <w:widowControl w:val="0"/>
        <w:autoSpaceDE w:val="0"/>
        <w:autoSpaceDN w:val="0"/>
        <w:adjustRightInd w:val="0"/>
        <w:spacing w:line="360" w:lineRule="auto"/>
        <w:rPr>
          <w:rFonts w:ascii="宋体" w:hAnsi="宋体" w:eastAsia="宋体" w:cs="宋体"/>
          <w:color w:val="000000"/>
          <w:sz w:val="28"/>
          <w:szCs w:val="28"/>
          <w:lang w:val="en-US" w:eastAsia="zh-CN" w:bidi="ar-SA"/>
        </w:rPr>
      </w:pPr>
      <w:r>
        <w:rPr>
          <w:rFonts w:ascii="宋体" w:hAnsi="宋体" w:eastAsia="宋体" w:cs="宋体"/>
          <w:color w:val="000000"/>
          <w:sz w:val="28"/>
          <w:szCs w:val="28"/>
          <w:lang w:val="en-US" w:eastAsia="zh-CN" w:bidi="ar-SA"/>
        </w:rPr>
        <w:br w:type="page"/>
      </w:r>
    </w:p>
    <w:sdt>
      <w:sdtPr>
        <w:rPr>
          <w:rFonts w:ascii="Calibri" w:hAnsi="Calibri" w:eastAsia="宋体" w:cs="宋体"/>
          <w:b w:val="0"/>
          <w:bCs w:val="0"/>
          <w:color w:val="auto"/>
          <w:kern w:val="2"/>
          <w:sz w:val="21"/>
          <w:szCs w:val="22"/>
          <w:lang w:val="zh-CN" w:eastAsia="zh-CN" w:bidi="ar-SA"/>
        </w:rPr>
        <w:id w:val="624888713"/>
        <w:docPartObj>
          <w:docPartGallery w:val="Table of Contents"/>
          <w:docPartUnique/>
        </w:docPartObj>
      </w:sdtPr>
      <w:sdtEndPr>
        <w:rPr>
          <w:rFonts w:ascii="Calibri" w:hAnsi="Calibri" w:eastAsia="宋体" w:cs="宋体"/>
          <w:b w:val="0"/>
          <w:bCs w:val="0"/>
          <w:color w:val="auto"/>
          <w:kern w:val="2"/>
          <w:sz w:val="21"/>
          <w:szCs w:val="22"/>
          <w:lang w:val="en-US" w:eastAsia="zh-CN" w:bidi="ar-SA"/>
        </w:rPr>
      </w:sdtEndPr>
      <w:sdtContent>
        <w:p w14:paraId="34CEC497">
          <w:pPr>
            <w:keepNext/>
            <w:keepLines/>
            <w:widowControl/>
            <w:spacing w:before="480" w:after="0" w:line="360" w:lineRule="auto"/>
            <w:jc w:val="center"/>
            <w:outlineLvl w:val="9"/>
            <w:rPr>
              <w:rFonts w:ascii="Cambria" w:hAnsi="Cambria" w:eastAsia="宋体" w:cs="Times New Roman"/>
              <w:b/>
              <w:bCs/>
              <w:color w:val="366091"/>
              <w:kern w:val="0"/>
              <w:sz w:val="28"/>
              <w:szCs w:val="28"/>
              <w:lang w:val="en-US" w:eastAsia="zh-CN" w:bidi="ar-SA"/>
            </w:rPr>
          </w:pPr>
          <w:bookmarkStart w:id="66" w:name="_Toc78276587"/>
          <w:r>
            <w:rPr>
              <w:rFonts w:ascii="Cambria" w:hAnsi="Cambria" w:eastAsia="宋体" w:cs="Times New Roman"/>
              <w:b/>
              <w:bCs/>
              <w:color w:val="366091"/>
              <w:kern w:val="0"/>
              <w:sz w:val="28"/>
              <w:szCs w:val="28"/>
              <w:lang w:val="zh-CN" w:eastAsia="zh-CN" w:bidi="ar-SA"/>
            </w:rPr>
            <w:t>目录</w:t>
          </w:r>
        </w:p>
        <w:p w14:paraId="5479C07A">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TOC \o "1-3" \h \z \u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"_Toc176189753"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第一条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释义</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_Toc176189753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18</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5C223282">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"_Toc176189754" </w:instrText>
          </w:r>
          <w:r>
            <w:rPr>
              <w:rFonts w:ascii="Calibri" w:hAnsi="Calibri" w:eastAsia="宋体" w:cs="宋体"/>
              <w:kern w:val="0"/>
              <w:sz w:val="22"/>
              <w:szCs w:val="22"/>
              <w:lang w:val="en-US" w:eastAsia="zh-CN" w:bidi="ar-SA"/>
            </w:rPr>
            <w:fldChar w:fldCharType="separate"/>
          </w:r>
          <w:r>
            <w:rPr>
              <w:rFonts w:hint="eastAsia" w:ascii="Times New Roman" w:hAnsi="宋体" w:eastAsia="宋体" w:cs="Times New Roman"/>
              <w:color w:val="0000FF"/>
              <w:kern w:val="0"/>
              <w:sz w:val="22"/>
              <w:szCs w:val="22"/>
              <w:u w:val="single"/>
              <w:lang w:val="en-US" w:eastAsia="zh-CN" w:bidi="ar-SA"/>
            </w:rPr>
            <w:t>第二条</w:t>
          </w:r>
          <w:r>
            <w:rPr>
              <w:rFonts w:ascii="Times New Roman" w:hAnsi="宋体" w:eastAsia="宋体" w:cs="Times New Roman"/>
              <w:color w:val="0000FF"/>
              <w:kern w:val="0"/>
              <w:sz w:val="22"/>
              <w:szCs w:val="22"/>
              <w:u w:val="single"/>
              <w:lang w:val="en-US" w:eastAsia="zh-CN" w:bidi="ar-SA"/>
            </w:rPr>
            <w:t xml:space="preserve">  </w:t>
          </w:r>
          <w:r>
            <w:rPr>
              <w:rFonts w:hint="eastAsia" w:ascii="Times New Roman" w:hAnsi="宋体" w:eastAsia="宋体" w:cs="Times New Roman"/>
              <w:color w:val="0000FF"/>
              <w:kern w:val="0"/>
              <w:sz w:val="22"/>
              <w:szCs w:val="22"/>
              <w:u w:val="single"/>
              <w:lang w:val="en-US" w:eastAsia="zh-CN" w:bidi="ar-SA"/>
            </w:rPr>
            <w:t>理财产品基本情况</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_Toc176189754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23</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605D717D">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"_Toc176189755"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第三条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理财产品的认购</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_Toc176189755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30</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68E8D5CB">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"_Toc176189756"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第四条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理财产品的申购与赎回</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_Toc176189756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32</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027E311A">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"_Toc176189757"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第五条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理财产品的投资</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_Toc176189757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33</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74BC5A2B">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"_Toc176189758"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第六条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理财产品的资产</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_Toc176189758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36</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7160DEB3">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"_Toc176189759"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第七条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理财产品项下资产的估值</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_Toc176189759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37</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7EF3E2E9">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"_Toc176189760"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第八条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理财产品的利益分配</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_Toc176189760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41</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0CF9A4B2">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"_Toc176189761"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第九条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理财产品的费用与税收</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_Toc176189761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42</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2EFB3C43">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"_Toc176189762"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理财产品的终止与清算</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_Toc176189762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45</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7AC7A7D3">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"_Toc176189763"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第十一条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理财产品的信息披露</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_Toc176189763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47</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FF1CB12">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"_Toc176189764"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第十二条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理财产品的风险揭示</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_Toc176189764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49</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2FCBA0BD">
          <w:pPr>
            <w:spacing w:line="360" w:lineRule="auto"/>
            <w:rPr>
              <w:rFonts w:ascii="Calibri" w:hAnsi="Calibri" w:cs="宋体"/>
              <w:szCs w:val="22"/>
            </w:rPr>
          </w:pPr>
          <w:r>
            <w:rPr>
              <w:rFonts w:ascii="Calibri" w:hAnsi="Calibri" w:cs="宋体"/>
              <w:szCs w:val="22"/>
            </w:rPr>
            <w:fldChar w:fldCharType="end"/>
          </w:r>
        </w:p>
      </w:sdtContent>
    </w:sdt>
    <w:p w14:paraId="0CD7FCB3">
      <w:pPr>
        <w:rPr>
          <w:rFonts w:ascii="Times New Roman" w:hAnsi="Calibri" w:cs="宋体"/>
          <w:sz w:val="30"/>
          <w:szCs w:val="22"/>
        </w:rPr>
      </w:pPr>
      <w:r>
        <w:rPr>
          <w:rFonts w:ascii="Times New Roman" w:hAnsi="Calibri" w:cs="宋体"/>
          <w:sz w:val="30"/>
          <w:szCs w:val="22"/>
        </w:rPr>
        <w:br w:type="page"/>
      </w:r>
    </w:p>
    <w:p w14:paraId="5DCBA8AF">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67" w:name="_Toc176189753"/>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 xml:space="preserve">一条 </w:t>
      </w:r>
      <w:r>
        <w:rPr>
          <w:rFonts w:ascii="Times New Roman" w:hAnsi="Calibri" w:eastAsia="宋体" w:cs="宋体"/>
          <w:b/>
          <w:bCs/>
          <w:kern w:val="44"/>
          <w:sz w:val="30"/>
          <w:szCs w:val="44"/>
          <w:lang w:val="en-US" w:eastAsia="zh-CN" w:bidi="ar-SA"/>
        </w:rPr>
        <w:t xml:space="preserve"> 释义</w:t>
      </w:r>
      <w:bookmarkEnd w:id="66"/>
      <w:bookmarkEnd w:id="67"/>
    </w:p>
    <w:p w14:paraId="2921531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（一）在本产品说明书中，除非上下文另有明确约定，下列用词</w:t>
      </w:r>
      <w:r>
        <w:rPr>
          <w:rFonts w:ascii="宋体" w:hAnsi="宋体" w:eastAsia="宋体" w:cs="宋体"/>
          <w:bCs/>
          <w:color w:val="auto"/>
          <w:sz w:val="18"/>
          <w:szCs w:val="18"/>
          <w:lang w:val="en-US" w:eastAsia="zh-CN" w:bidi="ar-SA"/>
        </w:rPr>
        <w:t>或简称</w:t>
      </w:r>
      <w:r>
        <w:rPr>
          <w:rFonts w:hint="eastAsia" w:ascii="宋体" w:hAnsi="宋体" w:eastAsia="宋体" w:cs="宋体"/>
          <w:bCs/>
          <w:color w:val="auto"/>
          <w:sz w:val="18"/>
          <w:szCs w:val="18"/>
          <w:lang w:val="en-US" w:eastAsia="zh-CN" w:bidi="ar-SA"/>
        </w:rPr>
        <w:t>具有如下含义：</w:t>
      </w:r>
      <w:r>
        <w:rPr>
          <w:rFonts w:ascii="宋体" w:hAnsi="宋体" w:eastAsia="宋体" w:cs="宋体"/>
          <w:bCs/>
          <w:color w:val="auto"/>
          <w:sz w:val="18"/>
          <w:szCs w:val="18"/>
          <w:lang w:val="en-US" w:eastAsia="zh-CN" w:bidi="ar-SA"/>
        </w:rPr>
        <w:t xml:space="preserve"> </w:t>
      </w:r>
    </w:p>
    <w:p w14:paraId="5941FCB9">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1.</w:t>
      </w:r>
      <w:r>
        <w:rPr>
          <w:rFonts w:hint="eastAsia" w:ascii="宋体" w:hAnsi="宋体" w:eastAsia="宋体" w:cs="宋体"/>
          <w:b/>
          <w:bCs/>
          <w:color w:val="auto"/>
          <w:sz w:val="18"/>
          <w:szCs w:val="18"/>
          <w:lang w:val="en-US" w:eastAsia="zh-CN" w:bidi="ar-SA"/>
        </w:rPr>
        <w:t>参与主体用语</w:t>
      </w:r>
      <w:r>
        <w:rPr>
          <w:rFonts w:ascii="宋体" w:hAnsi="宋体" w:eastAsia="宋体" w:cs="宋体"/>
          <w:b/>
          <w:bCs/>
          <w:color w:val="auto"/>
          <w:sz w:val="18"/>
          <w:szCs w:val="18"/>
          <w:lang w:val="en-US" w:eastAsia="zh-CN" w:bidi="ar-SA"/>
        </w:rPr>
        <w:t xml:space="preserve"> </w:t>
      </w:r>
    </w:p>
    <w:p w14:paraId="34B079F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黑体" w:hAnsi="黑体" w:eastAsia="黑体" w:cs="仿宋_GB2312"/>
          <w:bCs/>
          <w:color w:val="auto"/>
          <w:sz w:val="18"/>
          <w:szCs w:val="18"/>
          <w:lang w:val="en-US" w:eastAsia="zh-CN" w:bidi="ar-SA"/>
        </w:rPr>
        <w:t>★</w:t>
      </w:r>
      <w:r>
        <w:rPr>
          <w:rFonts w:hint="eastAsia" w:ascii="黑体" w:hAnsi="黑体" w:eastAsia="黑体" w:cs="宋体"/>
          <w:bCs/>
          <w:color w:val="auto"/>
          <w:sz w:val="18"/>
          <w:szCs w:val="18"/>
          <w:lang w:val="en-US" w:eastAsia="zh-CN" w:bidi="ar-SA"/>
        </w:rPr>
        <w:t>管理人</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产品管理人/理财产品</w:t>
      </w:r>
      <w:r>
        <w:rPr>
          <w:rFonts w:ascii="黑体" w:hAnsi="黑体" w:eastAsia="黑体" w:cs="宋体"/>
          <w:bCs/>
          <w:color w:val="auto"/>
          <w:sz w:val="18"/>
          <w:szCs w:val="18"/>
          <w:lang w:val="en-US" w:eastAsia="zh-CN" w:bidi="ar-SA"/>
        </w:rPr>
        <w:t>管理人</w:t>
      </w:r>
      <w:r>
        <w:rPr>
          <w:rFonts w:hint="eastAsia" w:ascii="黑体" w:hAnsi="黑体" w:eastAsia="黑体" w:cs="宋体"/>
          <w:bCs/>
          <w:color w:val="auto"/>
          <w:sz w:val="18"/>
          <w:szCs w:val="18"/>
          <w:lang w:val="en-US" w:eastAsia="zh-CN" w:bidi="ar-SA"/>
        </w:rPr>
        <w:t>：指兴银理财有限责任公司（以下简称</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兴银理财</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w:t>
      </w:r>
    </w:p>
    <w:p w14:paraId="341BE8E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2）</w:t>
      </w:r>
      <w:r>
        <w:rPr>
          <w:rFonts w:hint="eastAsia" w:ascii="宋体" w:hAnsi="宋体" w:eastAsia="宋体" w:cs="宋体"/>
          <w:bCs/>
          <w:color w:val="auto"/>
          <w:sz w:val="18"/>
          <w:szCs w:val="18"/>
          <w:lang w:val="en-US" w:eastAsia="zh-CN" w:bidi="ar-SA"/>
        </w:rPr>
        <w:t>托管人</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托管人/理财产品</w:t>
      </w:r>
      <w:r>
        <w:rPr>
          <w:rFonts w:ascii="宋体" w:hAnsi="宋体" w:eastAsia="宋体" w:cs="宋体"/>
          <w:bCs/>
          <w:color w:val="auto"/>
          <w:sz w:val="18"/>
          <w:szCs w:val="18"/>
          <w:lang w:val="en-US" w:eastAsia="zh-CN" w:bidi="ar-SA"/>
        </w:rPr>
        <w:t>托管人</w:t>
      </w:r>
      <w:r>
        <w:rPr>
          <w:rFonts w:hint="eastAsia" w:ascii="宋体" w:hAnsi="宋体" w:eastAsia="宋体" w:cs="宋体"/>
          <w:bCs/>
          <w:color w:val="auto"/>
          <w:sz w:val="18"/>
          <w:szCs w:val="18"/>
          <w:lang w:val="en-US" w:eastAsia="zh-CN" w:bidi="ar-SA"/>
        </w:rPr>
        <w:t>：中国工商银行股份有限公司（以下简称“工商银行”）。工商银行成立于1984年，于1998年开展资产托管业务，具备理财产品托管资格。托管人负责履行安全保管理财产品资金及其所投资的资产，办理清算、交割事宜，与管理人对账，监督理财产品投资运作等职责。</w:t>
      </w:r>
      <w:r>
        <w:rPr>
          <w:rFonts w:ascii="宋体" w:hAnsi="宋体" w:eastAsia="宋体" w:cs="宋体"/>
          <w:bCs/>
          <w:color w:val="auto"/>
          <w:sz w:val="18"/>
          <w:szCs w:val="18"/>
          <w:lang w:val="en-US" w:eastAsia="zh-CN" w:bidi="ar-SA"/>
        </w:rPr>
        <w:t xml:space="preserve"> </w:t>
      </w:r>
    </w:p>
    <w:p w14:paraId="055D503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w:t>
      </w:r>
      <w:r>
        <w:rPr>
          <w:rFonts w:hint="eastAsia" w:ascii="黑体" w:hAnsi="黑体" w:eastAsia="黑体" w:cs="宋体"/>
          <w:bCs/>
          <w:color w:val="auto"/>
          <w:sz w:val="18"/>
          <w:szCs w:val="18"/>
          <w:lang w:val="en-US" w:eastAsia="zh-CN" w:bidi="ar-SA"/>
        </w:rPr>
        <w:t>★销售机构：</w:t>
      </w:r>
      <w:r>
        <w:rPr>
          <w:rFonts w:hint="eastAsia" w:ascii="宋体" w:hAnsi="宋体" w:eastAsia="宋体" w:cs="宋体"/>
          <w:bCs/>
          <w:color w:val="000000"/>
          <w:sz w:val="18"/>
          <w:szCs w:val="18"/>
          <w:lang w:val="en-US" w:eastAsia="zh-CN" w:bidi="ar-SA"/>
        </w:rPr>
        <w:t>指具备理财产品</w:t>
      </w:r>
      <w:r>
        <w:rPr>
          <w:rFonts w:ascii="宋体" w:hAnsi="宋体" w:eastAsia="宋体" w:cs="宋体"/>
          <w:bCs/>
          <w:color w:val="000000"/>
          <w:sz w:val="18"/>
          <w:szCs w:val="18"/>
          <w:lang w:val="en-US" w:eastAsia="zh-CN" w:bidi="ar-SA"/>
        </w:rPr>
        <w:t>销售</w:t>
      </w:r>
      <w:r>
        <w:rPr>
          <w:rFonts w:hint="eastAsia" w:ascii="宋体" w:hAnsi="宋体" w:eastAsia="宋体" w:cs="宋体"/>
          <w:bCs/>
          <w:color w:val="000000"/>
          <w:sz w:val="18"/>
          <w:szCs w:val="18"/>
          <w:lang w:val="en-US" w:eastAsia="zh-CN" w:bidi="ar-SA"/>
        </w:rPr>
        <w:t>资格</w:t>
      </w:r>
      <w:r>
        <w:rPr>
          <w:rFonts w:ascii="宋体" w:hAnsi="宋体" w:eastAsia="宋体" w:cs="宋体"/>
          <w:bCs/>
          <w:color w:val="000000"/>
          <w:sz w:val="18"/>
          <w:szCs w:val="18"/>
          <w:lang w:val="en-US" w:eastAsia="zh-CN" w:bidi="ar-SA"/>
        </w:rPr>
        <w:t>的</w:t>
      </w:r>
      <w:r>
        <w:rPr>
          <w:rFonts w:hint="eastAsia" w:ascii="宋体" w:hAnsi="宋体" w:eastAsia="宋体" w:cs="宋体"/>
          <w:bCs/>
          <w:color w:val="000000"/>
          <w:sz w:val="18"/>
          <w:szCs w:val="18"/>
          <w:lang w:val="en-US" w:eastAsia="zh-CN" w:bidi="ar-SA"/>
        </w:rPr>
        <w:t>机构。按是否销售本公司发行的理财产品，销售机构可分为</w:t>
      </w:r>
      <w:r>
        <w:rPr>
          <w:rFonts w:hint="eastAsia" w:ascii="宋体" w:hAnsi="宋体" w:eastAsia="宋体" w:cs="宋体"/>
          <w:bCs/>
          <w:color w:val="auto"/>
          <w:sz w:val="18"/>
          <w:szCs w:val="18"/>
          <w:lang w:val="en-US" w:eastAsia="zh-CN" w:bidi="ar-SA"/>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14:paraId="55C8B08D">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auto"/>
          <w:sz w:val="18"/>
          <w:szCs w:val="18"/>
          <w:lang w:val="en-US" w:eastAsia="zh-CN" w:bidi="ar-SA"/>
        </w:rPr>
        <w:t>“销售”是指面向投资者开展的以下部分或全部业务活动：</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）以展示、介绍、比较单只或多只理财产品部分或全部特征信息并直接或间接提供认购、申购、赎回服务等方式宣传推介理财产品；</w:t>
      </w:r>
      <w:r>
        <w:rPr>
          <w:rFonts w:ascii="宋体" w:hAnsi="宋体" w:eastAsia="宋体" w:cs="宋体"/>
          <w:bCs/>
          <w:color w:val="auto"/>
          <w:sz w:val="18"/>
          <w:szCs w:val="18"/>
          <w:lang w:val="en-US" w:eastAsia="zh-CN" w:bidi="ar-SA"/>
        </w:rPr>
        <w:t>2）提供单只或多只理财产品投资建议；3）为投资者办理理财产品认购、申购和赎回；4）</w:t>
      </w:r>
      <w:r>
        <w:rPr>
          <w:rFonts w:hint="eastAsia" w:ascii="宋体" w:hAnsi="宋体" w:eastAsia="宋体" w:cs="宋体"/>
          <w:bCs/>
          <w:color w:val="auto"/>
          <w:sz w:val="18"/>
          <w:szCs w:val="18"/>
          <w:lang w:val="en-US" w:eastAsia="zh-CN" w:bidi="ar-SA"/>
        </w:rPr>
        <w:t>国家金融监督管理总局认定的其他业务活动</w:t>
      </w:r>
      <w:r>
        <w:rPr>
          <w:rFonts w:ascii="宋体" w:hAnsi="宋体" w:eastAsia="宋体" w:cs="宋体"/>
          <w:bCs/>
          <w:color w:val="auto"/>
          <w:sz w:val="18"/>
          <w:szCs w:val="18"/>
          <w:lang w:val="en-US" w:eastAsia="zh-CN" w:bidi="ar-SA"/>
        </w:rPr>
        <w:t>。各</w:t>
      </w:r>
      <w:r>
        <w:rPr>
          <w:rFonts w:hint="eastAsia" w:ascii="宋体" w:hAnsi="宋体" w:eastAsia="宋体" w:cs="宋体"/>
          <w:bCs/>
          <w:color w:val="auto"/>
          <w:sz w:val="18"/>
          <w:szCs w:val="18"/>
          <w:lang w:val="en-US" w:eastAsia="zh-CN" w:bidi="ar-SA"/>
        </w:rPr>
        <w:t>销售机构的具体名单见产品管理人届时发布的相关公告及相关《（代理）销售协议书》中的约定。</w:t>
      </w:r>
    </w:p>
    <w:p w14:paraId="660668CD">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4）</w:t>
      </w:r>
      <w:r>
        <w:rPr>
          <w:rFonts w:hint="eastAsia" w:ascii="宋体" w:hAnsi="宋体" w:eastAsia="宋体" w:cs="宋体"/>
          <w:bCs/>
          <w:color w:val="000000"/>
          <w:sz w:val="18"/>
          <w:szCs w:val="18"/>
          <w:lang w:val="en-US" w:eastAsia="zh-CN" w:bidi="ar-SA"/>
        </w:rPr>
        <w:t>投资者：指符合相关法律法规、监管规定要求的，可以购买理财产品份额的自然人、法人或者依法成立的其他组织。</w:t>
      </w:r>
      <w:r>
        <w:rPr>
          <w:rFonts w:ascii="宋体" w:hAnsi="宋体" w:eastAsia="宋体" w:cs="宋体"/>
          <w:bCs/>
          <w:color w:val="000000"/>
          <w:sz w:val="18"/>
          <w:szCs w:val="18"/>
          <w:lang w:val="en-US" w:eastAsia="zh-CN" w:bidi="ar-SA"/>
        </w:rPr>
        <w:t xml:space="preserve"> </w:t>
      </w:r>
    </w:p>
    <w:p w14:paraId="71C8D8A1">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（5）合格投资者：合格投资者是指具备相应风险识别能力和风险承受能力，投资于单只理财产品不低于一定金额且符合下列条件的自然人、法人或者依法成立的其他组织：</w:t>
      </w:r>
    </w:p>
    <w:p w14:paraId="36CB9D7E">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 xml:space="preserve"> </w:t>
      </w:r>
      <w:r>
        <w:rPr>
          <w:rFonts w:hint="eastAsia" w:ascii="宋体" w:hAnsi="宋体" w:eastAsia="宋体" w:cs="宋体"/>
          <w:bCs/>
          <w:color w:val="000000"/>
          <w:sz w:val="18"/>
          <w:szCs w:val="18"/>
          <w:lang w:val="en-US" w:eastAsia="zh-CN" w:bidi="ar-SA"/>
        </w:rPr>
        <w:t>具有</w:t>
      </w:r>
      <w:r>
        <w:rPr>
          <w:rFonts w:ascii="宋体" w:hAnsi="宋体" w:eastAsia="宋体" w:cs="宋体"/>
          <w:bCs/>
          <w:color w:val="000000"/>
          <w:sz w:val="18"/>
          <w:szCs w:val="18"/>
          <w:lang w:val="en-US" w:eastAsia="zh-CN" w:bidi="ar-SA"/>
        </w:rPr>
        <w:t>2年以上投资经历，且满足家庭金融净资产不低于300万元人民币，或者家庭金融资产不低于500万元人民币，或者近3年本人年均收入不低于40万元人民币；</w:t>
      </w:r>
    </w:p>
    <w:p w14:paraId="78BBA117">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2）最近</w:t>
      </w:r>
      <w:r>
        <w:rPr>
          <w:rFonts w:ascii="宋体" w:hAnsi="宋体" w:eastAsia="宋体" w:cs="宋体"/>
          <w:bCs/>
          <w:color w:val="000000"/>
          <w:sz w:val="18"/>
          <w:szCs w:val="18"/>
          <w:lang w:val="en-US" w:eastAsia="zh-CN" w:bidi="ar-SA"/>
        </w:rPr>
        <w:t>1年末净资产不低于1000万元人民币的法人或者依法成立的其他组织；</w:t>
      </w:r>
    </w:p>
    <w:p w14:paraId="77BB455A">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3）国务院银行业监督管理机构规定的其他情形。</w:t>
      </w:r>
    </w:p>
    <w:p w14:paraId="446BB048">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（6）专业投资者：根据监管规定，指符合下列条件之一的投资者：</w:t>
      </w:r>
    </w:p>
    <w:p w14:paraId="1B134322">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1）银行业金融机构、保险业金融机构、金融控股公司、证券基金期货经营机构、私募基金管理人；</w:t>
      </w:r>
    </w:p>
    <w:p w14:paraId="0CCF99C7">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2）上述机构面向投资者发行的金融产品，信托公司管理的资产服务信托、公益慈善信托；</w:t>
      </w:r>
    </w:p>
    <w:p w14:paraId="08D564D6">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3）社会保障基金、企业年金、职业年金等养老基金，慈善基金等社会公益基金，合格境外机构投资者（QFII）、人民币合格境外机构投资者（RQFII）。</w:t>
      </w:r>
    </w:p>
    <w:p w14:paraId="1CA8325F">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（7）普通投资者：专业投资者之外的投资者为普通投资者。</w:t>
      </w:r>
    </w:p>
    <w:p w14:paraId="7EF5978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（8）全国银行业理财信息登记系统：指供商业银行及商业银行理财公司进行理财产品电子化报告和信息登记的电子信息系统。</w:t>
      </w:r>
    </w:p>
    <w:p w14:paraId="4A5F623D">
      <w:pPr>
        <w:widowControl w:val="0"/>
        <w:autoSpaceDE w:val="0"/>
        <w:autoSpaceDN w:val="0"/>
        <w:adjustRightInd w:val="0"/>
        <w:spacing w:line="360" w:lineRule="auto"/>
        <w:ind w:firstLine="361" w:firstLineChars="200"/>
        <w:rPr>
          <w:rFonts w:ascii="宋体" w:hAnsi="宋体" w:eastAsia="宋体" w:cs="宋体"/>
          <w:bCs/>
          <w:color w:val="auto"/>
          <w:sz w:val="18"/>
          <w:szCs w:val="18"/>
          <w:lang w:val="en-US" w:eastAsia="zh-CN" w:bidi="ar-SA"/>
        </w:rPr>
      </w:pPr>
      <w:r>
        <w:rPr>
          <w:rFonts w:ascii="宋体" w:hAnsi="宋体" w:eastAsia="宋体" w:cs="宋体"/>
          <w:b/>
          <w:bCs/>
          <w:color w:val="auto"/>
          <w:sz w:val="18"/>
          <w:szCs w:val="18"/>
          <w:lang w:val="en-US" w:eastAsia="zh-CN" w:bidi="ar-SA"/>
        </w:rPr>
        <w:t xml:space="preserve">2. </w:t>
      </w:r>
      <w:r>
        <w:rPr>
          <w:rFonts w:hint="eastAsia" w:ascii="宋体" w:hAnsi="宋体" w:eastAsia="宋体" w:cs="宋体"/>
          <w:b/>
          <w:bCs/>
          <w:color w:val="auto"/>
          <w:sz w:val="18"/>
          <w:szCs w:val="18"/>
          <w:lang w:val="en-US" w:eastAsia="zh-CN" w:bidi="ar-SA"/>
        </w:rPr>
        <w:t>法律文件用语</w:t>
      </w:r>
      <w:r>
        <w:rPr>
          <w:rFonts w:ascii="宋体" w:hAnsi="宋体" w:eastAsia="宋体" w:cs="宋体"/>
          <w:b/>
          <w:bCs/>
          <w:color w:val="auto"/>
          <w:sz w:val="18"/>
          <w:szCs w:val="18"/>
          <w:lang w:val="en-US" w:eastAsia="zh-CN" w:bidi="ar-SA"/>
        </w:rPr>
        <w:t xml:space="preserve"> </w:t>
      </w:r>
    </w:p>
    <w:p w14:paraId="3DDE444D">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理财产品销售文件</w:t>
      </w:r>
      <w:r>
        <w:rPr>
          <w:rFonts w:ascii="宋体" w:hAnsi="宋体" w:eastAsia="宋体" w:cs="宋体"/>
          <w:bCs/>
          <w:color w:val="000000"/>
          <w:sz w:val="18"/>
          <w:szCs w:val="18"/>
          <w:lang w:val="en-US" w:eastAsia="zh-CN" w:bidi="ar-SA"/>
        </w:rPr>
        <w:t xml:space="preserve"> </w:t>
      </w:r>
      <w:r>
        <w:rPr>
          <w:rFonts w:hint="eastAsia" w:ascii="宋体" w:hAnsi="宋体" w:eastAsia="宋体" w:cs="宋体"/>
          <w:bCs/>
          <w:color w:val="000000"/>
          <w:sz w:val="18"/>
          <w:szCs w:val="18"/>
          <w:lang w:val="en-US" w:eastAsia="zh-CN" w:bidi="ar-SA"/>
        </w:rPr>
        <w:t>：指产品管理人向投资者提供的，用于描述产品特征，约定权利义务的文件。具体指《【兴银理财稳利恒盈封闭式2026年855期固收类理财产品】销售文件》，包括《投资协议书》《产品说明书》《（代理）销售</w:t>
      </w:r>
      <w:r>
        <w:rPr>
          <w:rFonts w:ascii="宋体" w:hAnsi="宋体" w:eastAsia="宋体" w:cs="宋体"/>
          <w:bCs/>
          <w:color w:val="000000"/>
          <w:sz w:val="18"/>
          <w:szCs w:val="18"/>
          <w:lang w:val="en-US" w:eastAsia="zh-CN" w:bidi="ar-SA"/>
        </w:rPr>
        <w:t>协议书</w:t>
      </w:r>
      <w:r>
        <w:rPr>
          <w:rFonts w:hint="eastAsia" w:ascii="宋体" w:hAnsi="宋体" w:eastAsia="宋体" w:cs="宋体"/>
          <w:bCs/>
          <w:color w:val="000000"/>
          <w:sz w:val="18"/>
          <w:szCs w:val="18"/>
          <w:lang w:val="en-US" w:eastAsia="zh-CN" w:bidi="ar-SA"/>
        </w:rPr>
        <w:t>》《风险揭示书》《投资者权益须知》以及对该文件的有效修改或补充。上述文件共同构成一份完整且不可分割的理财产品销售文件。经</w:t>
      </w:r>
      <w:r>
        <w:rPr>
          <w:rFonts w:ascii="宋体" w:hAnsi="宋体" w:eastAsia="宋体" w:cs="宋体"/>
          <w:bCs/>
          <w:color w:val="000000"/>
          <w:sz w:val="18"/>
          <w:szCs w:val="18"/>
          <w:lang w:val="en-US" w:eastAsia="zh-CN" w:bidi="ar-SA"/>
        </w:rPr>
        <w:t>产品</w:t>
      </w:r>
      <w:r>
        <w:rPr>
          <w:rFonts w:hint="eastAsia" w:ascii="宋体" w:hAnsi="宋体" w:eastAsia="宋体" w:cs="宋体"/>
          <w:bCs/>
          <w:color w:val="000000"/>
          <w:sz w:val="18"/>
          <w:szCs w:val="18"/>
          <w:lang w:val="en-US" w:eastAsia="zh-CN" w:bidi="ar-SA"/>
        </w:rPr>
        <w:t>管理人</w:t>
      </w:r>
      <w:r>
        <w:rPr>
          <w:rFonts w:ascii="宋体" w:hAnsi="宋体" w:eastAsia="宋体" w:cs="宋体"/>
          <w:bCs/>
          <w:color w:val="000000"/>
          <w:sz w:val="18"/>
          <w:szCs w:val="18"/>
          <w:lang w:val="en-US" w:eastAsia="zh-CN" w:bidi="ar-SA"/>
        </w:rPr>
        <w:t>委托，代理销售机构可以编制</w:t>
      </w:r>
      <w:r>
        <w:rPr>
          <w:rFonts w:hint="eastAsia" w:ascii="宋体" w:hAnsi="宋体" w:eastAsia="宋体" w:cs="宋体"/>
          <w:bCs/>
          <w:color w:val="000000"/>
          <w:sz w:val="18"/>
          <w:szCs w:val="18"/>
          <w:lang w:val="en-US" w:eastAsia="zh-CN" w:bidi="ar-SA"/>
        </w:rPr>
        <w:t>《（代理）销售</w:t>
      </w:r>
      <w:r>
        <w:rPr>
          <w:rFonts w:ascii="宋体" w:hAnsi="宋体" w:eastAsia="宋体" w:cs="宋体"/>
          <w:bCs/>
          <w:color w:val="000000"/>
          <w:sz w:val="18"/>
          <w:szCs w:val="18"/>
          <w:lang w:val="en-US" w:eastAsia="zh-CN" w:bidi="ar-SA"/>
        </w:rPr>
        <w:t>协议书</w:t>
      </w:r>
      <w:r>
        <w:rPr>
          <w:rFonts w:hint="eastAsia" w:ascii="宋体" w:hAnsi="宋体" w:eastAsia="宋体" w:cs="宋体"/>
          <w:bCs/>
          <w:color w:val="000000"/>
          <w:sz w:val="18"/>
          <w:szCs w:val="18"/>
          <w:lang w:val="en-US" w:eastAsia="zh-CN" w:bidi="ar-SA"/>
        </w:rPr>
        <w:t>》《风险揭示书》《投资者权益须知》。</w:t>
      </w:r>
    </w:p>
    <w:p w14:paraId="73BEE041">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《投资协议书》：指管理人统一编制的《【兴银理财稳利恒盈封闭式2026年855期固收类理财产品】投资协议书》，以及对该文件的有效修改或补充。</w:t>
      </w:r>
    </w:p>
    <w:p w14:paraId="656400B7">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3</w:t>
      </w:r>
      <w:r>
        <w:rPr>
          <w:rFonts w:hint="eastAsia" w:ascii="宋体" w:hAnsi="宋体" w:eastAsia="宋体" w:cs="宋体"/>
          <w:bCs/>
          <w:color w:val="000000"/>
          <w:sz w:val="18"/>
          <w:szCs w:val="18"/>
          <w:lang w:val="en-US" w:eastAsia="zh-CN" w:bidi="ar-SA"/>
        </w:rPr>
        <w:t>）《产品说明书》：指管理人统一编制的《【兴银理财稳利恒盈封闭式2026年855期固收类理财产品】产品说明书》，以及对该文件的有效修改或补充。</w:t>
      </w:r>
    </w:p>
    <w:p w14:paraId="46A69C0C">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（4）《（代理）销售协议书》：指管理人统一编制的《【兴银理财稳利恒盈封闭式2026年855期固收类理财产品】（代理）销售协议书》或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w:t>
      </w:r>
      <w:r>
        <w:rPr>
          <w:rFonts w:ascii="宋体" w:hAnsi="宋体" w:eastAsia="宋体" w:cs="宋体"/>
          <w:bCs/>
          <w:color w:val="000000"/>
          <w:sz w:val="18"/>
          <w:szCs w:val="18"/>
          <w:lang w:val="en-US" w:eastAsia="zh-CN" w:bidi="ar-SA"/>
        </w:rPr>
        <w:t>编制</w:t>
      </w:r>
      <w:r>
        <w:rPr>
          <w:rFonts w:hint="eastAsia" w:ascii="宋体" w:hAnsi="宋体" w:eastAsia="宋体" w:cs="宋体"/>
          <w:bCs/>
          <w:color w:val="000000"/>
          <w:sz w:val="18"/>
          <w:szCs w:val="18"/>
          <w:lang w:val="en-US" w:eastAsia="zh-CN" w:bidi="ar-SA"/>
        </w:rPr>
        <w:t>的《【兴银理财稳利恒盈封闭式2026年855期固收类理财产品】（代理）销售协议书》（文件名称以代理销售机构实际编制为准），以及对该文件的有效修改或补充。</w:t>
      </w:r>
    </w:p>
    <w:p w14:paraId="622E0D44">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5</w:t>
      </w:r>
      <w:r>
        <w:rPr>
          <w:rFonts w:hint="eastAsia" w:ascii="宋体" w:hAnsi="宋体" w:eastAsia="宋体" w:cs="宋体"/>
          <w:bCs/>
          <w:color w:val="000000"/>
          <w:sz w:val="18"/>
          <w:szCs w:val="18"/>
          <w:lang w:val="en-US" w:eastAsia="zh-CN" w:bidi="ar-SA"/>
        </w:rPr>
        <w:t>）《风险揭示书》：指管理人统一编制的《【兴银理财稳利恒盈封闭式2026年855期固收类理财产品】风险揭示书》或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w:t>
      </w:r>
      <w:r>
        <w:rPr>
          <w:rFonts w:ascii="宋体" w:hAnsi="宋体" w:eastAsia="宋体" w:cs="宋体"/>
          <w:bCs/>
          <w:color w:val="000000"/>
          <w:sz w:val="18"/>
          <w:szCs w:val="18"/>
          <w:lang w:val="en-US" w:eastAsia="zh-CN" w:bidi="ar-SA"/>
        </w:rPr>
        <w:t>编制</w:t>
      </w:r>
      <w:r>
        <w:rPr>
          <w:rFonts w:hint="eastAsia" w:ascii="宋体" w:hAnsi="宋体" w:eastAsia="宋体" w:cs="宋体"/>
          <w:bCs/>
          <w:color w:val="000000"/>
          <w:sz w:val="18"/>
          <w:szCs w:val="18"/>
          <w:lang w:val="en-US" w:eastAsia="zh-CN" w:bidi="ar-SA"/>
        </w:rPr>
        <w:t>的《【兴银理财稳利恒盈封闭式2026年855期固收类理财产品】风险揭示书》（文件名称以代理销售机构实际编制为准），以及对该文件的有效修改或补充。</w:t>
      </w:r>
    </w:p>
    <w:p w14:paraId="2C2E2C18">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6</w:t>
      </w:r>
      <w:r>
        <w:rPr>
          <w:rFonts w:hint="eastAsia" w:ascii="宋体" w:hAnsi="宋体" w:eastAsia="宋体" w:cs="宋体"/>
          <w:bCs/>
          <w:color w:val="000000"/>
          <w:sz w:val="18"/>
          <w:szCs w:val="18"/>
          <w:lang w:val="en-US" w:eastAsia="zh-CN" w:bidi="ar-SA"/>
        </w:rPr>
        <w:t>）《投资者权益须知》：指管理人统一编制的《【兴银理财稳利恒盈封闭式2026年855期固收类理财产品】投资者权益须知》或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自行编制</w:t>
      </w:r>
      <w:r>
        <w:rPr>
          <w:rFonts w:ascii="宋体" w:hAnsi="宋体" w:eastAsia="宋体" w:cs="宋体"/>
          <w:bCs/>
          <w:color w:val="000000"/>
          <w:sz w:val="18"/>
          <w:szCs w:val="18"/>
          <w:lang w:val="en-US" w:eastAsia="zh-CN" w:bidi="ar-SA"/>
        </w:rPr>
        <w:t>的</w:t>
      </w:r>
      <w:r>
        <w:rPr>
          <w:rFonts w:hint="eastAsia" w:ascii="宋体" w:hAnsi="宋体" w:eastAsia="宋体" w:cs="宋体"/>
          <w:bCs/>
          <w:color w:val="000000"/>
          <w:sz w:val="18"/>
          <w:szCs w:val="18"/>
          <w:lang w:val="en-US" w:eastAsia="zh-CN" w:bidi="ar-SA"/>
        </w:rPr>
        <w:t>《【兴银理财稳利恒盈封闭式2026年855期固收类理财产品】投资者权益须知》（文件名称以代理销售机构实际编制为准），以及对该文件的有效修改或补充。</w:t>
      </w:r>
    </w:p>
    <w:p w14:paraId="0355DAB4">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3. </w:t>
      </w:r>
      <w:r>
        <w:rPr>
          <w:rFonts w:hint="eastAsia" w:ascii="宋体" w:hAnsi="宋体" w:eastAsia="宋体" w:cs="宋体"/>
          <w:b/>
          <w:bCs/>
          <w:color w:val="auto"/>
          <w:sz w:val="18"/>
          <w:szCs w:val="18"/>
          <w:lang w:val="en-US" w:eastAsia="zh-CN" w:bidi="ar-SA"/>
        </w:rPr>
        <w:t>理财产品用语</w:t>
      </w:r>
      <w:r>
        <w:rPr>
          <w:rFonts w:ascii="宋体" w:hAnsi="宋体" w:eastAsia="宋体" w:cs="宋体"/>
          <w:b/>
          <w:bCs/>
          <w:color w:val="auto"/>
          <w:sz w:val="18"/>
          <w:szCs w:val="18"/>
          <w:lang w:val="en-US" w:eastAsia="zh-CN" w:bidi="ar-SA"/>
        </w:rPr>
        <w:t xml:space="preserve"> </w:t>
      </w:r>
    </w:p>
    <w:p w14:paraId="72A99FE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1）理财产品登记编码：指本款理财产品</w:t>
      </w:r>
      <w:r>
        <w:rPr>
          <w:rFonts w:hint="eastAsia" w:ascii="宋体" w:hAnsi="宋体" w:eastAsia="宋体" w:cs="宋体"/>
          <w:bCs/>
          <w:color w:val="auto"/>
          <w:sz w:val="18"/>
          <w:szCs w:val="18"/>
          <w:lang w:val="en-US" w:eastAsia="zh-CN" w:bidi="ar-SA"/>
        </w:rPr>
        <w:t>在全国银行业理财信息登记系统</w:t>
      </w:r>
      <w:r>
        <w:rPr>
          <w:rFonts w:ascii="宋体" w:hAnsi="宋体" w:eastAsia="宋体" w:cs="宋体"/>
          <w:bCs/>
          <w:color w:val="auto"/>
          <w:sz w:val="18"/>
          <w:szCs w:val="18"/>
          <w:lang w:val="en-US" w:eastAsia="zh-CN" w:bidi="ar-SA"/>
        </w:rPr>
        <w:t>对理财产品进行信息登记后</w:t>
      </w:r>
      <w:r>
        <w:rPr>
          <w:rFonts w:hint="eastAsia" w:ascii="宋体" w:hAnsi="宋体" w:eastAsia="宋体" w:cs="宋体"/>
          <w:bCs/>
          <w:color w:val="auto"/>
          <w:sz w:val="18"/>
          <w:szCs w:val="18"/>
          <w:lang w:val="en-US" w:eastAsia="zh-CN" w:bidi="ar-SA"/>
        </w:rPr>
        <w:t>，由全国银行业理财信息登记系统发放的唯一性的理财产品编码。投资者可依据登记编码在中国理财网（w</w:t>
      </w:r>
      <w:r>
        <w:rPr>
          <w:rFonts w:ascii="宋体" w:hAnsi="宋体" w:eastAsia="宋体" w:cs="宋体"/>
          <w:bCs/>
          <w:color w:val="auto"/>
          <w:sz w:val="18"/>
          <w:szCs w:val="18"/>
          <w:lang w:val="en-US" w:eastAsia="zh-CN" w:bidi="ar-SA"/>
        </w:rPr>
        <w:t>ww.chinawealth.com.cn</w:t>
      </w:r>
      <w:r>
        <w:rPr>
          <w:rFonts w:hint="eastAsia" w:ascii="宋体" w:hAnsi="宋体" w:eastAsia="宋体" w:cs="宋体"/>
          <w:bCs/>
          <w:color w:val="auto"/>
          <w:sz w:val="18"/>
          <w:szCs w:val="18"/>
          <w:lang w:val="en-US" w:eastAsia="zh-CN" w:bidi="ar-SA"/>
        </w:rPr>
        <w:t>）查询产品信息。</w:t>
      </w:r>
    </w:p>
    <w:p w14:paraId="3A8A3CA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2）理财</w:t>
      </w:r>
      <w:r>
        <w:rPr>
          <w:rFonts w:hint="eastAsia" w:ascii="宋体" w:hAnsi="宋体" w:eastAsia="宋体" w:cs="宋体"/>
          <w:bCs/>
          <w:color w:val="auto"/>
          <w:sz w:val="18"/>
          <w:szCs w:val="18"/>
          <w:lang w:val="en-US" w:eastAsia="zh-CN" w:bidi="ar-SA"/>
        </w:rPr>
        <w:t>产品代码</w:t>
      </w:r>
      <w:r>
        <w:rPr>
          <w:rFonts w:ascii="宋体" w:hAnsi="宋体" w:eastAsia="宋体" w:cs="宋体"/>
          <w:bCs/>
          <w:color w:val="auto"/>
          <w:sz w:val="18"/>
          <w:szCs w:val="18"/>
          <w:lang w:val="en-US" w:eastAsia="zh-CN" w:bidi="ar-SA"/>
        </w:rPr>
        <w:t>/产品代码</w:t>
      </w:r>
      <w:r>
        <w:rPr>
          <w:rFonts w:hint="eastAsia" w:ascii="宋体" w:hAnsi="宋体" w:eastAsia="宋体" w:cs="宋体"/>
          <w:bCs/>
          <w:color w:val="auto"/>
          <w:sz w:val="18"/>
          <w:szCs w:val="18"/>
          <w:lang w:val="en-US" w:eastAsia="zh-CN" w:bidi="ar-SA"/>
        </w:rPr>
        <w:t>：指产品管理人在全国银行业理财信息登记系统中为理财产品设置的内部识别码。</w:t>
      </w:r>
    </w:p>
    <w:p w14:paraId="4D7C6BF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（3）理财产品销售代码/销售代码</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指本款理财产品若设置不同</w:t>
      </w:r>
      <w:r>
        <w:rPr>
          <w:rFonts w:ascii="宋体" w:hAnsi="宋体" w:eastAsia="宋体" w:cs="宋体"/>
          <w:bCs/>
          <w:color w:val="auto"/>
          <w:sz w:val="18"/>
          <w:szCs w:val="18"/>
          <w:lang w:val="en-US" w:eastAsia="zh-CN" w:bidi="ar-SA"/>
        </w:rPr>
        <w:t>产品份额类别</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为</w:t>
      </w:r>
      <w:r>
        <w:rPr>
          <w:rFonts w:hint="eastAsia" w:ascii="宋体" w:hAnsi="宋体" w:eastAsia="宋体" w:cs="宋体"/>
          <w:bCs/>
          <w:color w:val="auto"/>
          <w:sz w:val="18"/>
          <w:szCs w:val="18"/>
          <w:lang w:val="en-US" w:eastAsia="zh-CN" w:bidi="ar-SA"/>
        </w:rPr>
        <w:t>在理财产品销售管理</w:t>
      </w:r>
      <w:r>
        <w:rPr>
          <w:rFonts w:ascii="宋体" w:hAnsi="宋体" w:eastAsia="宋体" w:cs="宋体"/>
          <w:bCs/>
          <w:color w:val="auto"/>
          <w:sz w:val="18"/>
          <w:szCs w:val="18"/>
          <w:lang w:val="en-US" w:eastAsia="zh-CN" w:bidi="ar-SA"/>
        </w:rPr>
        <w:t>过程中</w:t>
      </w:r>
      <w:r>
        <w:rPr>
          <w:rFonts w:hint="eastAsia" w:ascii="宋体" w:hAnsi="宋体" w:eastAsia="宋体" w:cs="宋体"/>
          <w:bCs/>
          <w:color w:val="auto"/>
          <w:sz w:val="18"/>
          <w:szCs w:val="18"/>
          <w:lang w:val="en-US" w:eastAsia="zh-CN" w:bidi="ar-SA"/>
        </w:rPr>
        <w:t>区分不同产品份额类别，管理人</w:t>
      </w:r>
      <w:r>
        <w:rPr>
          <w:rFonts w:ascii="宋体" w:hAnsi="宋体" w:eastAsia="宋体" w:cs="宋体"/>
          <w:bCs/>
          <w:color w:val="auto"/>
          <w:sz w:val="18"/>
          <w:szCs w:val="18"/>
          <w:lang w:val="en-US" w:eastAsia="zh-CN" w:bidi="ar-SA"/>
        </w:rPr>
        <w:t>在同一</w:t>
      </w:r>
      <w:r>
        <w:rPr>
          <w:rFonts w:hint="eastAsia" w:ascii="宋体" w:hAnsi="宋体" w:eastAsia="宋体" w:cs="宋体"/>
          <w:bCs/>
          <w:color w:val="auto"/>
          <w:sz w:val="18"/>
          <w:szCs w:val="18"/>
          <w:lang w:val="en-US" w:eastAsia="zh-CN" w:bidi="ar-SA"/>
        </w:rPr>
        <w:t>理财</w:t>
      </w:r>
      <w:r>
        <w:rPr>
          <w:rFonts w:ascii="宋体" w:hAnsi="宋体" w:eastAsia="宋体" w:cs="宋体"/>
          <w:bCs/>
          <w:color w:val="auto"/>
          <w:sz w:val="18"/>
          <w:szCs w:val="18"/>
          <w:lang w:val="en-US" w:eastAsia="zh-CN" w:bidi="ar-SA"/>
        </w:rPr>
        <w:t>产品代码项下</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为每类份额类别设置的唯一性</w:t>
      </w:r>
      <w:r>
        <w:rPr>
          <w:rFonts w:hint="eastAsia" w:ascii="宋体" w:hAnsi="宋体" w:eastAsia="宋体" w:cs="宋体"/>
          <w:bCs/>
          <w:color w:val="auto"/>
          <w:sz w:val="18"/>
          <w:szCs w:val="18"/>
          <w:lang w:val="en-US" w:eastAsia="zh-CN" w:bidi="ar-SA"/>
        </w:rPr>
        <w:t>内部识别码。若本款理财产品不设置差异化产品份额类别，理财产品代码即为理财产品销售代码。</w:t>
      </w:r>
    </w:p>
    <w:p w14:paraId="5F8E338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（4）理财产品风险等级：理财产品风险等级为产品管理人和销售机构经过审慎评估后确定的产品风险等级。</w:t>
      </w:r>
      <w:r>
        <w:rPr>
          <w:rFonts w:hint="eastAsia" w:ascii="宋体" w:hAnsi="宋体" w:eastAsia="宋体" w:cs="宋体"/>
          <w:bCs/>
          <w:color w:val="000000"/>
          <w:sz w:val="18"/>
          <w:szCs w:val="18"/>
          <w:lang w:val="en-US" w:eastAsia="zh-CN" w:bidi="ar-SA"/>
        </w:rPr>
        <w:t>若</w:t>
      </w:r>
      <w:r>
        <w:rPr>
          <w:rFonts w:ascii="宋体" w:hAnsi="宋体" w:eastAsia="宋体" w:cs="宋体"/>
          <w:bCs/>
          <w:color w:val="000000"/>
          <w:sz w:val="18"/>
          <w:szCs w:val="18"/>
          <w:lang w:val="en-US" w:eastAsia="zh-CN" w:bidi="ar-SA"/>
        </w:rPr>
        <w:t>理财</w:t>
      </w:r>
      <w:r>
        <w:rPr>
          <w:rFonts w:hint="eastAsia" w:ascii="宋体" w:hAnsi="宋体" w:eastAsia="宋体" w:cs="宋体"/>
          <w:bCs/>
          <w:color w:val="000000"/>
          <w:sz w:val="18"/>
          <w:szCs w:val="18"/>
          <w:lang w:val="en-US" w:eastAsia="zh-CN" w:bidi="ar-SA"/>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4272BAB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（5）投资者风险承受能力评估：指销售机构对理财投资者的风险承受能力进行评价的过程。</w:t>
      </w:r>
    </w:p>
    <w:p w14:paraId="1BF41C7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6</w:t>
      </w:r>
      <w:r>
        <w:rPr>
          <w:rFonts w:hint="eastAsia" w:ascii="宋体" w:hAnsi="宋体" w:eastAsia="宋体" w:cs="宋体"/>
          <w:bCs/>
          <w:color w:val="auto"/>
          <w:sz w:val="18"/>
          <w:szCs w:val="18"/>
          <w:lang w:val="en-US" w:eastAsia="zh-CN" w:bidi="ar-SA"/>
        </w:rPr>
        <w:t>）适合投资者：指适合购买</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产品的投资者类型。</w:t>
      </w:r>
    </w:p>
    <w:p w14:paraId="769A014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7</w:t>
      </w:r>
      <w:r>
        <w:rPr>
          <w:rFonts w:hint="eastAsia" w:ascii="宋体" w:hAnsi="宋体" w:eastAsia="宋体" w:cs="宋体"/>
          <w:bCs/>
          <w:color w:val="auto"/>
          <w:sz w:val="18"/>
          <w:szCs w:val="18"/>
          <w:lang w:val="en-US" w:eastAsia="zh-CN" w:bidi="ar-SA"/>
        </w:rPr>
        <w:t>）理财产品份额/产品份额/理财份额：指投资者持有本理财产品的单位数额。投资者基于其所持有的理财产品单位数额享有理财产品利益、承担理财产品风险。理财</w:t>
      </w:r>
      <w:r>
        <w:rPr>
          <w:rFonts w:ascii="宋体" w:hAnsi="宋体" w:eastAsia="宋体" w:cs="宋体"/>
          <w:bCs/>
          <w:color w:val="auto"/>
          <w:sz w:val="18"/>
          <w:szCs w:val="18"/>
          <w:lang w:val="en-US" w:eastAsia="zh-CN" w:bidi="ar-SA"/>
        </w:rPr>
        <w:t>产品份额四舍五入保留2位小数</w:t>
      </w:r>
      <w:r>
        <w:rPr>
          <w:rFonts w:hint="eastAsia" w:ascii="宋体" w:hAnsi="宋体" w:eastAsia="宋体" w:cs="宋体"/>
          <w:bCs/>
          <w:color w:val="auto"/>
          <w:sz w:val="18"/>
          <w:szCs w:val="18"/>
          <w:lang w:val="en-US" w:eastAsia="zh-CN" w:bidi="ar-SA"/>
        </w:rPr>
        <w:t>。</w:t>
      </w:r>
    </w:p>
    <w:p w14:paraId="3F69AC0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8</w:t>
      </w:r>
      <w:r>
        <w:rPr>
          <w:rFonts w:hint="eastAsia" w:ascii="宋体" w:hAnsi="宋体" w:eastAsia="宋体" w:cs="宋体"/>
          <w:bCs/>
          <w:color w:val="auto"/>
          <w:sz w:val="18"/>
          <w:szCs w:val="18"/>
          <w:lang w:val="en-US" w:eastAsia="zh-CN" w:bidi="ar-SA"/>
        </w:rPr>
        <w:t>）</w:t>
      </w:r>
      <w:r>
        <w:rPr>
          <w:rFonts w:hint="eastAsia" w:ascii="宋体" w:hAnsi="宋体" w:eastAsia="宋体" w:cs="宋体"/>
          <w:color w:val="auto"/>
          <w:sz w:val="18"/>
          <w:szCs w:val="18"/>
          <w:lang w:val="en-US" w:eastAsia="zh-CN" w:bidi="ar-SA"/>
        </w:rPr>
        <w:t>理财产品资产净值/理财资产净值/产品资产净值</w:t>
      </w:r>
      <w:r>
        <w:rPr>
          <w:rFonts w:hint="eastAsia" w:ascii="宋体" w:hAnsi="宋体" w:eastAsia="宋体" w:cs="宋体"/>
          <w:bCs/>
          <w:color w:val="auto"/>
          <w:sz w:val="18"/>
          <w:szCs w:val="18"/>
          <w:lang w:val="en-US" w:eastAsia="zh-CN" w:bidi="ar-SA"/>
        </w:rPr>
        <w:t>：理财产品资产净值</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产品资产总值</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产品负债总值。</w:t>
      </w:r>
    </w:p>
    <w:p w14:paraId="5EFEAC6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理财产品资产总值是指理财产品拥有的各类有价证券、银行存款、应收款项及其他资产的价值总和。</w:t>
      </w:r>
    </w:p>
    <w:p w14:paraId="37E77E8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理财产品负债总值是指理财产品运作及融资时形成的负债价值总和，包括融资资金本息、应付各项费用（包括托管费、销售服务费、固定管理费、计入负债的业绩报酬、其他费用等）、应付税金及其他应付款项等。</w:t>
      </w:r>
    </w:p>
    <w:p w14:paraId="5912B46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9</w:t>
      </w:r>
      <w:r>
        <w:rPr>
          <w:rFonts w:hint="eastAsia" w:ascii="宋体" w:hAnsi="宋体" w:eastAsia="宋体" w:cs="宋体"/>
          <w:bCs/>
          <w:color w:val="auto"/>
          <w:sz w:val="18"/>
          <w:szCs w:val="18"/>
          <w:lang w:val="en-US" w:eastAsia="zh-CN" w:bidi="ar-SA"/>
        </w:rPr>
        <w:t>）理财产品份额净值/理财份额净值/产品份额净值：指理财产品份额的单位净值，即每</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份理财产品份额以人民币计价的价格。理财产品份额净值</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理财资产净值</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总</w:t>
      </w:r>
      <w:r>
        <w:rPr>
          <w:rFonts w:ascii="宋体" w:hAnsi="宋体" w:eastAsia="宋体" w:cs="宋体"/>
          <w:bCs/>
          <w:color w:val="auto"/>
          <w:sz w:val="18"/>
          <w:szCs w:val="18"/>
          <w:lang w:val="en-US" w:eastAsia="zh-CN" w:bidi="ar-SA"/>
        </w:rPr>
        <w:t>份额</w:t>
      </w:r>
      <w:r>
        <w:rPr>
          <w:rFonts w:hint="eastAsia" w:ascii="宋体" w:hAnsi="宋体" w:eastAsia="宋体" w:cs="宋体"/>
          <w:bCs/>
          <w:color w:val="auto"/>
          <w:sz w:val="18"/>
          <w:szCs w:val="18"/>
          <w:lang w:val="en-US" w:eastAsia="zh-CN" w:bidi="ar-SA"/>
        </w:rPr>
        <w:t>。投资者按该份额净值进行理财产品申购、赎回和终止时分配。</w:t>
      </w:r>
    </w:p>
    <w:p w14:paraId="36FBB0A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理财产品份额净值</w:t>
      </w:r>
      <w:r>
        <w:rPr>
          <w:rFonts w:hint="eastAsia" w:ascii="宋体" w:hAnsi="宋体" w:eastAsia="宋体" w:cs="宋体"/>
          <w:bCs/>
          <w:color w:val="auto"/>
          <w:sz w:val="18"/>
          <w:szCs w:val="18"/>
          <w:lang w:val="en-US" w:eastAsia="zh-CN" w:bidi="ar-SA"/>
        </w:rPr>
        <w:t>可以展示为</w:t>
      </w:r>
      <w:r>
        <w:rPr>
          <w:rFonts w:ascii="宋体" w:hAnsi="宋体" w:eastAsia="宋体" w:cs="宋体"/>
          <w:bCs/>
          <w:color w:val="auto"/>
          <w:sz w:val="18"/>
          <w:szCs w:val="18"/>
          <w:lang w:val="en-US" w:eastAsia="zh-CN" w:bidi="ar-SA"/>
        </w:rPr>
        <w:t>当前理财产品份额净值</w:t>
      </w:r>
      <w:r>
        <w:rPr>
          <w:rFonts w:hint="eastAsia" w:ascii="宋体" w:hAnsi="宋体" w:eastAsia="宋体" w:cs="宋体"/>
          <w:bCs/>
          <w:color w:val="auto"/>
          <w:sz w:val="18"/>
          <w:szCs w:val="18"/>
          <w:lang w:val="en-US" w:eastAsia="zh-CN" w:bidi="ar-SA"/>
        </w:rPr>
        <w:t>和累计理财产品份额净值。</w:t>
      </w:r>
    </w:p>
    <w:p w14:paraId="0994B324">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当前理财产品份额净值，指</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当前</w:t>
      </w:r>
      <w:r>
        <w:rPr>
          <w:rFonts w:ascii="宋体" w:hAnsi="宋体" w:eastAsia="宋体" w:cs="宋体"/>
          <w:bCs/>
          <w:color w:val="auto"/>
          <w:sz w:val="18"/>
          <w:szCs w:val="18"/>
          <w:lang w:val="en-US" w:eastAsia="zh-CN" w:bidi="ar-SA"/>
        </w:rPr>
        <w:t>的</w:t>
      </w:r>
      <w:r>
        <w:rPr>
          <w:rFonts w:hint="eastAsia" w:ascii="宋体" w:hAnsi="宋体" w:eastAsia="宋体" w:cs="宋体"/>
          <w:bCs/>
          <w:color w:val="auto"/>
          <w:sz w:val="18"/>
          <w:szCs w:val="18"/>
          <w:lang w:val="en-US" w:eastAsia="zh-CN" w:bidi="ar-SA"/>
        </w:rPr>
        <w:t>份额净值。</w:t>
      </w:r>
    </w:p>
    <w:p w14:paraId="6B1BA6C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累计理财产品份额净值</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指产品当前份额净值及产品成立到现在</w:t>
      </w:r>
      <w:r>
        <w:rPr>
          <w:rFonts w:hint="eastAsia" w:ascii="宋体" w:hAnsi="宋体" w:eastAsia="宋体" w:cs="宋体"/>
          <w:bCs/>
          <w:color w:val="auto"/>
          <w:sz w:val="18"/>
          <w:szCs w:val="18"/>
          <w:lang w:val="en-US" w:eastAsia="zh-CN" w:bidi="ar-SA"/>
        </w:rPr>
        <w:t>单位</w:t>
      </w:r>
      <w:r>
        <w:rPr>
          <w:rFonts w:ascii="宋体" w:hAnsi="宋体" w:eastAsia="宋体" w:cs="宋体"/>
          <w:bCs/>
          <w:color w:val="auto"/>
          <w:sz w:val="18"/>
          <w:szCs w:val="18"/>
          <w:lang w:val="en-US" w:eastAsia="zh-CN" w:bidi="ar-SA"/>
        </w:rPr>
        <w:t>理财产品</w:t>
      </w:r>
      <w:r>
        <w:rPr>
          <w:rFonts w:hint="eastAsia" w:ascii="宋体" w:hAnsi="宋体" w:eastAsia="宋体" w:cs="宋体"/>
          <w:bCs/>
          <w:color w:val="auto"/>
          <w:sz w:val="18"/>
          <w:szCs w:val="18"/>
          <w:lang w:val="en-US" w:eastAsia="zh-CN" w:bidi="ar-SA"/>
        </w:rPr>
        <w:t>份额</w:t>
      </w:r>
      <w:r>
        <w:rPr>
          <w:rFonts w:ascii="宋体" w:hAnsi="宋体" w:eastAsia="宋体" w:cs="宋体"/>
          <w:bCs/>
          <w:color w:val="auto"/>
          <w:sz w:val="18"/>
          <w:szCs w:val="18"/>
          <w:lang w:val="en-US" w:eastAsia="zh-CN" w:bidi="ar-SA"/>
        </w:rPr>
        <w:t>分红之和</w:t>
      </w:r>
      <w:r>
        <w:rPr>
          <w:rFonts w:hint="eastAsia" w:ascii="宋体" w:hAnsi="宋体" w:eastAsia="宋体" w:cs="宋体"/>
          <w:bCs/>
          <w:color w:val="auto"/>
          <w:sz w:val="18"/>
          <w:szCs w:val="18"/>
          <w:lang w:val="en-US" w:eastAsia="zh-CN" w:bidi="ar-SA"/>
        </w:rPr>
        <w:t>。</w:t>
      </w:r>
    </w:p>
    <w:p w14:paraId="5D33A70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（注：若无特别说明，理财产品份额净值通常指当前理财产品份额净值）</w:t>
      </w:r>
    </w:p>
    <w:p w14:paraId="6006AD4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0）理财产品估值：指计算评估理财产品资产和理财产品负债的价值，以确定理财产品份额净值的过程。</w:t>
      </w:r>
    </w:p>
    <w:p w14:paraId="761E83B8">
      <w:pPr>
        <w:widowControl w:val="0"/>
        <w:autoSpaceDE w:val="0"/>
        <w:autoSpaceDN w:val="0"/>
        <w:adjustRightInd w:val="0"/>
        <w:spacing w:line="360" w:lineRule="auto"/>
        <w:ind w:firstLine="360" w:firstLineChars="200"/>
        <w:rPr>
          <w:rFonts w:ascii="黑体" w:hAnsi="黑体" w:eastAsia="黑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1）</w:t>
      </w:r>
      <w:r>
        <w:rPr>
          <w:rFonts w:hint="eastAsia" w:ascii="黑体" w:hAnsi="黑体" w:eastAsia="黑体" w:cs="宋体"/>
          <w:bCs/>
          <w:color w:val="auto"/>
          <w:sz w:val="18"/>
          <w:szCs w:val="18"/>
          <w:lang w:val="en-US" w:eastAsia="zh-CN" w:bidi="ar-SA"/>
        </w:rPr>
        <w:t>★业绩比较基准：</w:t>
      </w:r>
      <w:r>
        <w:rPr>
          <w:rFonts w:hint="eastAsia" w:ascii="宋体" w:hAnsi="宋体" w:eastAsia="宋体" w:cs="宋体"/>
          <w:bCs/>
          <w:color w:val="auto"/>
          <w:sz w:val="18"/>
          <w:szCs w:val="18"/>
          <w:lang w:val="en-US" w:eastAsia="zh-CN" w:bidi="ar-SA"/>
        </w:rPr>
        <w:t>指管理人综合考虑市场环境、产品性质、投资策略、过往表现等因素，对理财产品设置的投资目标和相关解释说明。</w:t>
      </w:r>
      <w:r>
        <w:rPr>
          <w:rFonts w:hint="eastAsia" w:ascii="黑体" w:hAnsi="黑体" w:eastAsia="黑体" w:cs="宋体"/>
          <w:bCs/>
          <w:color w:val="auto"/>
          <w:sz w:val="18"/>
          <w:szCs w:val="18"/>
          <w:lang w:val="en-US" w:eastAsia="zh-CN" w:bidi="ar-SA"/>
        </w:rPr>
        <w:t>业绩比较基准不是预期收益率，不代表产品的未来表现和实际收益，</w:t>
      </w:r>
      <w:r>
        <w:rPr>
          <w:rFonts w:hint="eastAsia" w:ascii="黑体" w:hAnsi="黑体" w:eastAsia="黑体" w:cs="宋体"/>
          <w:color w:val="000000"/>
          <w:sz w:val="18"/>
          <w:szCs w:val="24"/>
          <w:lang w:val="en-US" w:eastAsia="zh-CN" w:bidi="ar-SA"/>
        </w:rPr>
        <w:t>不</w:t>
      </w:r>
      <w:r>
        <w:rPr>
          <w:rFonts w:hint="eastAsia" w:ascii="黑体" w:hAnsi="黑体" w:eastAsia="黑体" w:cs="宋体"/>
          <w:bCs/>
          <w:color w:val="000000"/>
          <w:sz w:val="18"/>
          <w:szCs w:val="18"/>
          <w:lang w:val="en-US" w:eastAsia="zh-CN" w:bidi="ar-SA"/>
        </w:rPr>
        <w:t>构成对</w:t>
      </w:r>
      <w:r>
        <w:rPr>
          <w:rFonts w:hint="eastAsia" w:ascii="黑体" w:hAnsi="黑体" w:eastAsia="黑体" w:cs="宋体"/>
          <w:color w:val="000000"/>
          <w:sz w:val="18"/>
          <w:szCs w:val="24"/>
          <w:lang w:val="en-US" w:eastAsia="zh-CN" w:bidi="ar-SA"/>
        </w:rPr>
        <w:t>产品收益的</w:t>
      </w:r>
      <w:r>
        <w:rPr>
          <w:rFonts w:hint="eastAsia" w:ascii="黑体" w:hAnsi="黑体" w:eastAsia="黑体" w:cs="宋体"/>
          <w:bCs/>
          <w:color w:val="000000"/>
          <w:sz w:val="18"/>
          <w:szCs w:val="18"/>
          <w:lang w:val="en-US" w:eastAsia="zh-CN" w:bidi="ar-SA"/>
        </w:rPr>
        <w:t>承诺</w:t>
      </w:r>
      <w:r>
        <w:rPr>
          <w:rFonts w:hint="eastAsia" w:ascii="黑体" w:hAnsi="黑体" w:eastAsia="黑体" w:cs="宋体"/>
          <w:color w:val="000000"/>
          <w:sz w:val="18"/>
          <w:szCs w:val="24"/>
          <w:lang w:val="en-US" w:eastAsia="zh-CN" w:bidi="ar-SA"/>
        </w:rPr>
        <w:t>，</w:t>
      </w:r>
      <w:r>
        <w:rPr>
          <w:rFonts w:hint="eastAsia" w:ascii="黑体" w:hAnsi="黑体" w:eastAsia="黑体" w:cs="宋体"/>
          <w:bCs/>
          <w:color w:val="auto"/>
          <w:sz w:val="18"/>
          <w:szCs w:val="18"/>
          <w:lang w:val="en-US" w:eastAsia="zh-CN" w:bidi="ar-SA"/>
        </w:rPr>
        <w:t>投资须谨慎。</w:t>
      </w:r>
    </w:p>
    <w:p w14:paraId="39C5C970">
      <w:pPr>
        <w:widowControl w:val="0"/>
        <w:autoSpaceDE w:val="0"/>
        <w:autoSpaceDN w:val="0"/>
        <w:adjustRightInd w:val="0"/>
        <w:spacing w:line="360" w:lineRule="auto"/>
        <w:ind w:firstLine="360" w:firstLineChars="200"/>
        <w:rPr>
          <w:rFonts w:ascii="黑体" w:hAnsi="黑体" w:eastAsia="黑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2）</w:t>
      </w:r>
      <w:r>
        <w:rPr>
          <w:rFonts w:hint="eastAsia" w:ascii="黑体" w:hAnsi="黑体" w:eastAsia="黑体" w:cs="宋体"/>
          <w:bCs/>
          <w:color w:val="auto"/>
          <w:sz w:val="18"/>
          <w:szCs w:val="18"/>
          <w:lang w:val="en-US" w:eastAsia="zh-CN" w:bidi="ar-SA"/>
        </w:rPr>
        <w:t>★业绩报酬计提基准：</w:t>
      </w:r>
      <w:r>
        <w:rPr>
          <w:rFonts w:hint="eastAsia" w:ascii="宋体" w:hAnsi="宋体" w:eastAsia="宋体" w:cs="宋体"/>
          <w:bCs/>
          <w:color w:val="auto"/>
          <w:sz w:val="18"/>
          <w:szCs w:val="18"/>
          <w:lang w:val="en-US" w:eastAsia="zh-CN" w:bidi="ar-SA"/>
        </w:rPr>
        <w:t>指管理人计算超额业绩报酬的参照</w:t>
      </w:r>
      <w:r>
        <w:rPr>
          <w:rFonts w:ascii="宋体" w:hAnsi="宋体" w:eastAsia="宋体" w:cs="宋体"/>
          <w:bCs/>
          <w:color w:val="auto"/>
          <w:sz w:val="18"/>
          <w:szCs w:val="18"/>
          <w:lang w:val="en-US" w:eastAsia="zh-CN" w:bidi="ar-SA"/>
        </w:rPr>
        <w:t>标准</w:t>
      </w:r>
      <w:r>
        <w:rPr>
          <w:rFonts w:hint="eastAsia" w:ascii="宋体" w:hAnsi="宋体" w:eastAsia="宋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业绩报酬计提基准不是预期收益率，不代表产品的未来表现和实际收益，不构成对产品收益的承诺，投资须谨慎。</w:t>
      </w:r>
    </w:p>
    <w:p w14:paraId="7772FE3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3）理财产品利益/理财利益：指投资者因持有理财产品份额，按照销售文件约定取得或有权取得的理财产品管理人分配的理财产品资产。</w:t>
      </w:r>
    </w:p>
    <w:p w14:paraId="526D9EC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4</w:t>
      </w:r>
      <w:r>
        <w:rPr>
          <w:rFonts w:ascii="宋体" w:hAnsi="宋体" w:eastAsia="宋体" w:cs="宋体"/>
          <w:bCs/>
          <w:color w:val="auto"/>
          <w:sz w:val="18"/>
          <w:szCs w:val="18"/>
          <w:lang w:val="en-US" w:eastAsia="zh-CN" w:bidi="ar-SA"/>
        </w:rPr>
        <w:t xml:space="preserve">）利益分配：指产品管理人向投资者进行理财产品利益分配。 </w:t>
      </w:r>
    </w:p>
    <w:p w14:paraId="548AEECF">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5</w:t>
      </w:r>
      <w:r>
        <w:rPr>
          <w:rFonts w:ascii="宋体" w:hAnsi="宋体" w:eastAsia="宋体" w:cs="宋体"/>
          <w:bCs/>
          <w:color w:val="auto"/>
          <w:sz w:val="18"/>
          <w:szCs w:val="18"/>
          <w:lang w:val="en-US" w:eastAsia="zh-CN" w:bidi="ar-SA"/>
        </w:rPr>
        <w:t xml:space="preserve">）期间分配：指在理财产品终止日（不含当日）前的理财产品利益分配。 </w:t>
      </w:r>
    </w:p>
    <w:p w14:paraId="1A4AC9E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6</w:t>
      </w:r>
      <w:r>
        <w:rPr>
          <w:rFonts w:ascii="宋体" w:hAnsi="宋体" w:eastAsia="宋体" w:cs="宋体"/>
          <w:bCs/>
          <w:color w:val="auto"/>
          <w:sz w:val="18"/>
          <w:szCs w:val="18"/>
          <w:lang w:val="en-US" w:eastAsia="zh-CN" w:bidi="ar-SA"/>
        </w:rPr>
        <w:t>）终止分配：指在理财产品终止日当日及之后的理财产品利益分配。</w:t>
      </w:r>
    </w:p>
    <w:p w14:paraId="0E4056D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7）认购：指投资者根据本销售文件约定在认购期</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募集期内申请购买理财产品份额的行为。</w:t>
      </w:r>
      <w:r>
        <w:rPr>
          <w:rFonts w:ascii="宋体" w:hAnsi="宋体" w:eastAsia="宋体" w:cs="宋体"/>
          <w:bCs/>
          <w:color w:val="auto"/>
          <w:sz w:val="18"/>
          <w:szCs w:val="18"/>
          <w:lang w:val="en-US" w:eastAsia="zh-CN" w:bidi="ar-SA"/>
        </w:rPr>
        <w:t xml:space="preserve"> </w:t>
      </w:r>
    </w:p>
    <w:p w14:paraId="7B8674A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18</w:t>
      </w:r>
      <w:r>
        <w:rPr>
          <w:rFonts w:hint="eastAsia" w:ascii="宋体" w:hAnsi="宋体" w:eastAsia="宋体" w:cs="宋体"/>
          <w:bCs/>
          <w:color w:val="auto"/>
          <w:sz w:val="18"/>
          <w:szCs w:val="18"/>
          <w:lang w:val="en-US" w:eastAsia="zh-CN" w:bidi="ar-SA"/>
        </w:rPr>
        <w:t>）申购：</w:t>
      </w:r>
      <w:r>
        <w:rPr>
          <w:rFonts w:hint="eastAsia" w:ascii="宋体" w:hAnsi="宋体" w:eastAsia="宋体" w:cs="宋体"/>
          <w:color w:val="auto"/>
          <w:sz w:val="18"/>
          <w:szCs w:val="18"/>
          <w:lang w:val="en-US" w:eastAsia="zh-CN" w:bidi="ar-SA"/>
        </w:rPr>
        <w:t>指开放式理财产品成立后，投资者申请购买理财产品份额的行为。</w:t>
      </w:r>
    </w:p>
    <w:p w14:paraId="706F232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首次申购，指未进行认购的投资者，在理财产品成立后申请购买理财产品份额的行为。</w:t>
      </w:r>
      <w:r>
        <w:rPr>
          <w:rFonts w:ascii="宋体" w:hAnsi="宋体" w:eastAsia="宋体" w:cs="宋体"/>
          <w:color w:val="auto"/>
          <w:sz w:val="18"/>
          <w:szCs w:val="18"/>
          <w:lang w:val="en-US" w:eastAsia="zh-CN" w:bidi="ar-SA"/>
        </w:rPr>
        <w:t>投资者全额赎回不再持有理财产品份额后再次申购</w:t>
      </w:r>
      <w:r>
        <w:rPr>
          <w:rFonts w:hint="eastAsia" w:ascii="宋体" w:hAnsi="宋体" w:eastAsia="宋体" w:cs="宋体"/>
          <w:color w:val="auto"/>
          <w:sz w:val="18"/>
          <w:szCs w:val="18"/>
          <w:lang w:val="en-US" w:eastAsia="zh-CN" w:bidi="ar-SA"/>
        </w:rPr>
        <w:t>的</w:t>
      </w:r>
      <w:r>
        <w:rPr>
          <w:rFonts w:ascii="宋体" w:hAnsi="宋体" w:eastAsia="宋体" w:cs="宋体"/>
          <w:color w:val="auto"/>
          <w:sz w:val="18"/>
          <w:szCs w:val="18"/>
          <w:lang w:val="en-US" w:eastAsia="zh-CN" w:bidi="ar-SA"/>
        </w:rPr>
        <w:t>，视同首次申购处理。</w:t>
      </w:r>
    </w:p>
    <w:p w14:paraId="62B359F4">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追加申购，指已经完成认购或首次申购的投资者，在理财产品成立后申请购买理财产品份额的行为。</w:t>
      </w:r>
    </w:p>
    <w:p w14:paraId="76799F3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19</w:t>
      </w:r>
      <w:r>
        <w:rPr>
          <w:rFonts w:hint="eastAsia" w:ascii="宋体" w:hAnsi="宋体" w:eastAsia="宋体" w:cs="宋体"/>
          <w:bCs/>
          <w:color w:val="auto"/>
          <w:sz w:val="18"/>
          <w:szCs w:val="18"/>
          <w:lang w:val="en-US" w:eastAsia="zh-CN" w:bidi="ar-SA"/>
        </w:rPr>
        <w:t>）赎回：</w:t>
      </w:r>
      <w:r>
        <w:rPr>
          <w:rFonts w:hint="eastAsia" w:ascii="宋体" w:hAnsi="宋体" w:eastAsia="宋体" w:cs="宋体"/>
          <w:color w:val="auto"/>
          <w:sz w:val="18"/>
          <w:szCs w:val="18"/>
          <w:lang w:val="en-US" w:eastAsia="zh-CN" w:bidi="ar-SA"/>
        </w:rPr>
        <w:t>指开放式理财产品成立后，投资者申请赎回理财产品份额的行为，即投资者申请将理财产品份额兑换为现金。</w:t>
      </w:r>
    </w:p>
    <w:p w14:paraId="3C0189EF">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4. </w:t>
      </w:r>
      <w:r>
        <w:rPr>
          <w:rFonts w:hint="eastAsia" w:ascii="宋体" w:hAnsi="宋体" w:eastAsia="宋体" w:cs="宋体"/>
          <w:b/>
          <w:bCs/>
          <w:color w:val="auto"/>
          <w:sz w:val="18"/>
          <w:szCs w:val="18"/>
          <w:lang w:val="en-US" w:eastAsia="zh-CN" w:bidi="ar-SA"/>
        </w:rPr>
        <w:t>期间与日期</w:t>
      </w:r>
      <w:r>
        <w:rPr>
          <w:rFonts w:ascii="宋体" w:hAnsi="宋体" w:eastAsia="宋体" w:cs="宋体"/>
          <w:b/>
          <w:bCs/>
          <w:color w:val="auto"/>
          <w:sz w:val="18"/>
          <w:szCs w:val="18"/>
          <w:lang w:val="en-US" w:eastAsia="zh-CN" w:bidi="ar-SA"/>
        </w:rPr>
        <w:t xml:space="preserve"> </w:t>
      </w:r>
    </w:p>
    <w:p w14:paraId="38A52CA4">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1）日</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指自然日</w:t>
      </w:r>
      <w:r>
        <w:rPr>
          <w:rFonts w:hint="eastAsia" w:ascii="宋体" w:hAnsi="宋体" w:eastAsia="宋体" w:cs="宋体"/>
          <w:bCs/>
          <w:color w:val="auto"/>
          <w:sz w:val="18"/>
          <w:szCs w:val="18"/>
          <w:lang w:val="en-US" w:eastAsia="zh-CN" w:bidi="ar-SA"/>
        </w:rPr>
        <w:t>。</w:t>
      </w:r>
    </w:p>
    <w:p w14:paraId="7035DBCF">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（2）交易日：指银行间市场、证券交易所市场的共同正常开盘交易日。</w:t>
      </w:r>
      <w:r>
        <w:rPr>
          <w:rFonts w:ascii="宋体" w:hAnsi="宋体" w:eastAsia="宋体" w:cs="宋体"/>
          <w:bCs/>
          <w:color w:val="auto"/>
          <w:sz w:val="18"/>
          <w:szCs w:val="18"/>
          <w:lang w:val="en-US" w:eastAsia="zh-CN" w:bidi="ar-SA"/>
        </w:rPr>
        <w:t xml:space="preserve"> </w:t>
      </w:r>
    </w:p>
    <w:p w14:paraId="6FDAA4C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3）</w:t>
      </w:r>
      <w:r>
        <w:rPr>
          <w:rFonts w:hint="eastAsia" w:ascii="宋体" w:hAnsi="宋体" w:eastAsia="宋体" w:cs="宋体"/>
          <w:bCs/>
          <w:color w:val="auto"/>
          <w:sz w:val="18"/>
          <w:szCs w:val="18"/>
          <w:lang w:val="en-US" w:eastAsia="zh-CN" w:bidi="ar-SA"/>
        </w:rPr>
        <w:t>工作日：指除中国法定节假日和公休日外的其他日。</w:t>
      </w:r>
    </w:p>
    <w:p w14:paraId="224D1F32">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4</w:t>
      </w:r>
      <w:r>
        <w:rPr>
          <w:rFonts w:hint="eastAsia" w:ascii="宋体" w:hAnsi="Calibri" w:eastAsia="宋体" w:cs="宋体"/>
          <w:color w:val="auto"/>
          <w:sz w:val="18"/>
          <w:szCs w:val="18"/>
          <w:lang w:val="en-US" w:eastAsia="zh-CN" w:bidi="ar-SA"/>
        </w:rPr>
        <w:t>）成立日：指</w:t>
      </w:r>
      <w:r>
        <w:rPr>
          <w:rFonts w:ascii="宋体" w:hAnsi="Calibri" w:eastAsia="宋体" w:cs="宋体"/>
          <w:color w:val="auto"/>
          <w:sz w:val="18"/>
          <w:szCs w:val="18"/>
          <w:lang w:val="en-US" w:eastAsia="zh-CN" w:bidi="ar-SA"/>
        </w:rPr>
        <w:t>理财</w:t>
      </w:r>
      <w:r>
        <w:rPr>
          <w:rFonts w:hint="eastAsia" w:ascii="宋体" w:hAnsi="Calibri" w:eastAsia="宋体" w:cs="宋体"/>
          <w:color w:val="auto"/>
          <w:sz w:val="18"/>
          <w:szCs w:val="18"/>
          <w:lang w:val="en-US" w:eastAsia="zh-CN" w:bidi="ar-SA"/>
        </w:rPr>
        <w:t>产品开始运作的日期。</w:t>
      </w:r>
    </w:p>
    <w:p w14:paraId="36D5BDD5">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5</w:t>
      </w:r>
      <w:r>
        <w:rPr>
          <w:rFonts w:hint="eastAsia" w:ascii="宋体" w:hAnsi="Calibri" w:eastAsia="宋体" w:cs="宋体"/>
          <w:color w:val="auto"/>
          <w:sz w:val="18"/>
          <w:szCs w:val="18"/>
          <w:lang w:val="en-US" w:eastAsia="zh-CN" w:bidi="ar-SA"/>
        </w:rPr>
        <w:t>）终止日：指</w:t>
      </w:r>
      <w:r>
        <w:rPr>
          <w:rFonts w:ascii="宋体" w:hAnsi="Calibri" w:eastAsia="宋体" w:cs="宋体"/>
          <w:color w:val="auto"/>
          <w:sz w:val="18"/>
          <w:szCs w:val="18"/>
          <w:lang w:val="en-US" w:eastAsia="zh-CN" w:bidi="ar-SA"/>
        </w:rPr>
        <w:t>理财</w:t>
      </w:r>
      <w:r>
        <w:rPr>
          <w:rFonts w:hint="eastAsia" w:ascii="宋体" w:hAnsi="Calibri" w:eastAsia="宋体" w:cs="宋体"/>
          <w:color w:val="auto"/>
          <w:sz w:val="18"/>
          <w:szCs w:val="18"/>
          <w:lang w:val="en-US" w:eastAsia="zh-CN" w:bidi="ar-SA"/>
        </w:rPr>
        <w:t>产品终止的日期。</w:t>
      </w:r>
    </w:p>
    <w:p w14:paraId="14613D1A">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6</w:t>
      </w:r>
      <w:r>
        <w:rPr>
          <w:rFonts w:hint="eastAsia" w:ascii="宋体" w:hAnsi="Calibri" w:eastAsia="宋体" w:cs="宋体"/>
          <w:color w:val="auto"/>
          <w:sz w:val="18"/>
          <w:szCs w:val="18"/>
          <w:lang w:val="en-US" w:eastAsia="zh-CN" w:bidi="ar-SA"/>
        </w:rPr>
        <w:t>）估值日：指产品管理人对理财产品项下资产进行估值的日期。</w:t>
      </w:r>
    </w:p>
    <w:p w14:paraId="2DBB2EE8">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7</w:t>
      </w:r>
      <w:r>
        <w:rPr>
          <w:rFonts w:hint="eastAsia" w:ascii="宋体" w:hAnsi="Calibri" w:eastAsia="宋体" w:cs="宋体"/>
          <w:color w:val="auto"/>
          <w:sz w:val="18"/>
          <w:szCs w:val="18"/>
          <w:lang w:val="en-US" w:eastAsia="zh-CN" w:bidi="ar-SA"/>
        </w:rPr>
        <w:t>）分配基准日：指本产品管理人以该</w:t>
      </w:r>
      <w:r>
        <w:rPr>
          <w:rFonts w:ascii="宋体" w:hAnsi="宋体" w:eastAsia="宋体" w:cs="宋体"/>
          <w:color w:val="auto"/>
          <w:sz w:val="18"/>
          <w:szCs w:val="18"/>
          <w:lang w:val="en-US" w:eastAsia="zh-CN" w:bidi="ar-SA"/>
        </w:rPr>
        <w:t>日</w:t>
      </w:r>
      <w:r>
        <w:rPr>
          <w:rFonts w:hint="eastAsia" w:ascii="宋体" w:hAnsi="宋体" w:eastAsia="宋体" w:cs="宋体"/>
          <w:color w:val="auto"/>
          <w:sz w:val="18"/>
          <w:szCs w:val="18"/>
          <w:lang w:val="en-US" w:eastAsia="zh-CN" w:bidi="ar-SA"/>
        </w:rPr>
        <w:t>日</w:t>
      </w:r>
      <w:r>
        <w:rPr>
          <w:rFonts w:ascii="宋体" w:hAnsi="宋体" w:eastAsia="宋体" w:cs="宋体"/>
          <w:color w:val="auto"/>
          <w:sz w:val="18"/>
          <w:szCs w:val="18"/>
          <w:lang w:val="en-US" w:eastAsia="zh-CN" w:bidi="ar-SA"/>
        </w:rPr>
        <w:t>终</w:t>
      </w:r>
      <w:r>
        <w:rPr>
          <w:rFonts w:hint="eastAsia" w:ascii="宋体" w:hAnsi="宋体" w:eastAsia="宋体" w:cs="宋体"/>
          <w:color w:val="auto"/>
          <w:sz w:val="18"/>
          <w:szCs w:val="18"/>
          <w:lang w:val="en-US" w:eastAsia="zh-CN" w:bidi="ar-SA"/>
        </w:rPr>
        <w:t>产品份额净值</w:t>
      </w:r>
      <w:r>
        <w:rPr>
          <w:rFonts w:ascii="宋体" w:hAnsi="宋体" w:eastAsia="宋体" w:cs="宋体"/>
          <w:color w:val="auto"/>
          <w:sz w:val="18"/>
          <w:szCs w:val="18"/>
          <w:lang w:val="en-US" w:eastAsia="zh-CN" w:bidi="ar-SA"/>
        </w:rPr>
        <w:t>计算</w:t>
      </w:r>
      <w:r>
        <w:rPr>
          <w:rFonts w:hint="eastAsia" w:ascii="宋体" w:hAnsi="宋体" w:eastAsia="宋体" w:cs="宋体"/>
          <w:color w:val="auto"/>
          <w:sz w:val="18"/>
          <w:szCs w:val="18"/>
          <w:lang w:val="en-US" w:eastAsia="zh-CN" w:bidi="ar-SA"/>
        </w:rPr>
        <w:t>并确定可供分配的</w:t>
      </w:r>
      <w:r>
        <w:rPr>
          <w:rFonts w:ascii="宋体" w:hAnsi="宋体" w:eastAsia="宋体" w:cs="宋体"/>
          <w:color w:val="auto"/>
          <w:sz w:val="18"/>
          <w:szCs w:val="18"/>
          <w:lang w:val="en-US" w:eastAsia="zh-CN" w:bidi="ar-SA"/>
        </w:rPr>
        <w:t>投资</w:t>
      </w:r>
      <w:r>
        <w:rPr>
          <w:rFonts w:hint="eastAsia" w:ascii="宋体" w:hAnsi="宋体" w:eastAsia="宋体" w:cs="宋体"/>
          <w:color w:val="auto"/>
          <w:sz w:val="18"/>
          <w:szCs w:val="18"/>
          <w:lang w:val="en-US" w:eastAsia="zh-CN" w:bidi="ar-SA"/>
        </w:rPr>
        <w:t>期间</w:t>
      </w:r>
      <w:r>
        <w:rPr>
          <w:rFonts w:ascii="宋体" w:hAnsi="宋体" w:eastAsia="宋体" w:cs="宋体"/>
          <w:color w:val="auto"/>
          <w:sz w:val="18"/>
          <w:szCs w:val="18"/>
          <w:lang w:val="en-US" w:eastAsia="zh-CN" w:bidi="ar-SA"/>
        </w:rPr>
        <w:t>理财利益</w:t>
      </w:r>
      <w:r>
        <w:rPr>
          <w:rFonts w:hint="eastAsia" w:ascii="宋体" w:hAnsi="宋体" w:eastAsia="宋体" w:cs="宋体"/>
          <w:color w:val="auto"/>
          <w:sz w:val="18"/>
          <w:szCs w:val="18"/>
          <w:lang w:val="en-US" w:eastAsia="zh-CN" w:bidi="ar-SA"/>
        </w:rPr>
        <w:t>的日期。</w:t>
      </w:r>
    </w:p>
    <w:p w14:paraId="76E5DAC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8</w:t>
      </w:r>
      <w:r>
        <w:rPr>
          <w:rFonts w:hint="eastAsia" w:ascii="宋体" w:hAnsi="宋体" w:eastAsia="宋体" w:cs="宋体"/>
          <w:bCs/>
          <w:color w:val="auto"/>
          <w:sz w:val="18"/>
          <w:szCs w:val="18"/>
          <w:lang w:val="en-US" w:eastAsia="zh-CN" w:bidi="ar-SA"/>
        </w:rPr>
        <w:t>）分配日：指</w:t>
      </w:r>
      <w:r>
        <w:rPr>
          <w:rFonts w:ascii="宋体" w:hAnsi="宋体" w:eastAsia="宋体" w:cs="宋体"/>
          <w:bCs/>
          <w:color w:val="auto"/>
          <w:sz w:val="18"/>
          <w:szCs w:val="18"/>
          <w:lang w:val="en-US" w:eastAsia="zh-CN" w:bidi="ar-SA"/>
        </w:rPr>
        <w:t>产品管理人向投资者进行理财产品利益分配</w:t>
      </w:r>
      <w:r>
        <w:rPr>
          <w:rFonts w:hint="eastAsia" w:ascii="宋体" w:hAnsi="宋体" w:eastAsia="宋体" w:cs="宋体"/>
          <w:bCs/>
          <w:color w:val="auto"/>
          <w:sz w:val="18"/>
          <w:szCs w:val="18"/>
          <w:lang w:val="en-US" w:eastAsia="zh-CN" w:bidi="ar-SA"/>
        </w:rPr>
        <w:t>的日期。</w:t>
      </w:r>
    </w:p>
    <w:p w14:paraId="64CBDC44">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9</w:t>
      </w:r>
      <w:r>
        <w:rPr>
          <w:rFonts w:hint="eastAsia" w:ascii="宋体" w:hAnsi="宋体" w:eastAsia="宋体" w:cs="宋体"/>
          <w:bCs/>
          <w:color w:val="auto"/>
          <w:sz w:val="18"/>
          <w:szCs w:val="18"/>
          <w:lang w:val="en-US" w:eastAsia="zh-CN" w:bidi="ar-SA"/>
        </w:rPr>
        <w:t>）募集期：指理财产品成立前，理财产品管理人接受理财产品认购的时间。</w:t>
      </w:r>
    </w:p>
    <w:p w14:paraId="4C1E9D8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（10）持有期：指自产品成立日/申购确认日起，投资者持有该产品份额的期间。</w:t>
      </w:r>
    </w:p>
    <w:p w14:paraId="1069AB3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（11）产品存续期：指自理财产品成立日起，至理财产品终止日的期间。</w:t>
      </w:r>
    </w:p>
    <w:p w14:paraId="2E8B5C8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2）清算期：指自本理财产品终止日至投资者理财利益到账日之间的期间。</w:t>
      </w:r>
    </w:p>
    <w:p w14:paraId="25912BF5">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5. </w:t>
      </w:r>
      <w:r>
        <w:rPr>
          <w:rFonts w:hint="eastAsia" w:ascii="宋体" w:hAnsi="宋体" w:eastAsia="宋体" w:cs="宋体"/>
          <w:b/>
          <w:bCs/>
          <w:color w:val="auto"/>
          <w:sz w:val="18"/>
          <w:szCs w:val="18"/>
          <w:lang w:val="en-US" w:eastAsia="zh-CN" w:bidi="ar-SA"/>
        </w:rPr>
        <w:t>费用</w:t>
      </w:r>
    </w:p>
    <w:p w14:paraId="284DBD32">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r>
        <w:rPr>
          <w:rFonts w:hint="eastAsia" w:ascii="黑体" w:hAnsi="黑体" w:eastAsia="黑体" w:cs="仿宋_GB2312"/>
          <w:bCs/>
          <w:color w:val="auto"/>
          <w:sz w:val="18"/>
          <w:szCs w:val="18"/>
          <w:lang w:val="en-US" w:eastAsia="zh-CN" w:bidi="ar-SA"/>
        </w:rPr>
        <w:t>★</w:t>
      </w:r>
      <w:r>
        <w:rPr>
          <w:rFonts w:ascii="宋体" w:hAnsi="宋体" w:eastAsia="宋体" w:cs="宋体"/>
          <w:color w:val="000000"/>
          <w:sz w:val="18"/>
          <w:szCs w:val="18"/>
          <w:lang w:val="en-US" w:eastAsia="zh-CN" w:bidi="ar-SA"/>
        </w:rPr>
        <w:t>认购费：</w:t>
      </w:r>
      <w:r>
        <w:rPr>
          <w:rFonts w:hint="eastAsia" w:ascii="宋体" w:hAnsi="宋体" w:eastAsia="宋体" w:cs="宋体"/>
          <w:color w:val="000000"/>
          <w:sz w:val="18"/>
          <w:szCs w:val="18"/>
          <w:lang w:val="en-US" w:eastAsia="zh-CN" w:bidi="ar-SA"/>
        </w:rPr>
        <w:t>指</w:t>
      </w:r>
      <w:r>
        <w:rPr>
          <w:rFonts w:ascii="宋体" w:hAnsi="宋体" w:eastAsia="宋体" w:cs="宋体"/>
          <w:color w:val="000000"/>
          <w:sz w:val="18"/>
          <w:szCs w:val="18"/>
          <w:lang w:val="en-US" w:eastAsia="zh-CN" w:bidi="ar-SA"/>
        </w:rPr>
        <w:t>投资者认购产品时</w:t>
      </w:r>
      <w:r>
        <w:rPr>
          <w:rFonts w:hint="eastAsia" w:ascii="宋体" w:hAnsi="宋体" w:eastAsia="宋体" w:cs="宋体"/>
          <w:color w:val="000000"/>
          <w:sz w:val="18"/>
          <w:szCs w:val="18"/>
          <w:lang w:val="en-US" w:eastAsia="zh-CN" w:bidi="ar-SA"/>
        </w:rPr>
        <w:t>需缴纳的费用。</w:t>
      </w:r>
    </w:p>
    <w:p w14:paraId="367EFA1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2）</w:t>
      </w:r>
      <w:r>
        <w:rPr>
          <w:rFonts w:hint="eastAsia" w:ascii="宋体" w:hAnsi="宋体" w:eastAsia="宋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销售服务费：指因理财产品销售行为产生的费用。</w:t>
      </w:r>
    </w:p>
    <w:p w14:paraId="37BA88E9">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投资管理费：指因理财产品投资管理产生的费用。</w:t>
      </w:r>
    </w:p>
    <w:p w14:paraId="142B876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（4）</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产品托管费：指因理财产品进行托管产生的费用。</w:t>
      </w:r>
    </w:p>
    <w:p w14:paraId="6A44AD0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color w:val="000000"/>
          <w:sz w:val="18"/>
          <w:szCs w:val="18"/>
          <w:lang w:val="en-US" w:eastAsia="zh-CN" w:bidi="ar-SA"/>
        </w:rPr>
        <w:t>（5）</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超额业绩报酬/业绩报酬：指产品管理人依照理财产品销售</w:t>
      </w:r>
      <w:r>
        <w:rPr>
          <w:rFonts w:ascii="宋体" w:hAnsi="宋体" w:eastAsia="宋体" w:cs="宋体"/>
          <w:color w:val="000000"/>
          <w:sz w:val="18"/>
          <w:szCs w:val="18"/>
          <w:lang w:val="en-US" w:eastAsia="zh-CN" w:bidi="ar-SA"/>
        </w:rPr>
        <w:t>文件</w:t>
      </w:r>
      <w:r>
        <w:rPr>
          <w:rFonts w:hint="eastAsia" w:ascii="宋体" w:hAnsi="宋体" w:eastAsia="宋体" w:cs="宋体"/>
          <w:color w:val="000000"/>
          <w:sz w:val="18"/>
          <w:szCs w:val="18"/>
          <w:lang w:val="en-US" w:eastAsia="zh-CN" w:bidi="ar-SA"/>
        </w:rPr>
        <w:t>约定规则收取的浮动性质的管理费用。</w:t>
      </w:r>
    </w:p>
    <w:p w14:paraId="4FB9185C">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6. </w:t>
      </w:r>
      <w:r>
        <w:rPr>
          <w:rFonts w:hint="eastAsia" w:ascii="宋体" w:hAnsi="宋体" w:eastAsia="宋体" w:cs="宋体"/>
          <w:b/>
          <w:bCs/>
          <w:color w:val="auto"/>
          <w:sz w:val="18"/>
          <w:szCs w:val="18"/>
          <w:lang w:val="en-US" w:eastAsia="zh-CN" w:bidi="ar-SA"/>
        </w:rPr>
        <w:t>其他</w:t>
      </w:r>
      <w:r>
        <w:rPr>
          <w:rFonts w:ascii="宋体" w:hAnsi="宋体" w:eastAsia="宋体" w:cs="宋体"/>
          <w:b/>
          <w:bCs/>
          <w:color w:val="auto"/>
          <w:sz w:val="18"/>
          <w:szCs w:val="18"/>
          <w:lang w:val="en-US" w:eastAsia="zh-CN" w:bidi="ar-SA"/>
        </w:rPr>
        <w:t xml:space="preserve"> </w:t>
      </w:r>
    </w:p>
    <w:p w14:paraId="5D7460B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元：指人民币元。</w:t>
      </w:r>
      <w:r>
        <w:rPr>
          <w:rFonts w:ascii="宋体" w:hAnsi="宋体" w:eastAsia="宋体" w:cs="宋体"/>
          <w:bCs/>
          <w:color w:val="auto"/>
          <w:sz w:val="18"/>
          <w:szCs w:val="18"/>
          <w:lang w:val="en-US" w:eastAsia="zh-CN" w:bidi="ar-SA"/>
        </w:rPr>
        <w:t xml:space="preserve"> </w:t>
      </w:r>
    </w:p>
    <w:p w14:paraId="12BEE446">
      <w:pPr>
        <w:widowControl w:val="0"/>
        <w:autoSpaceDE w:val="0"/>
        <w:autoSpaceDN w:val="0"/>
        <w:adjustRightInd w:val="0"/>
        <w:spacing w:line="360" w:lineRule="auto"/>
        <w:ind w:firstLine="360" w:firstLineChars="200"/>
        <w:rPr>
          <w:rFonts w:ascii="宋体" w:hAnsi="宋体" w:eastAsia="宋体" w:cs="宋体"/>
          <w:color w:val="000000"/>
          <w:sz w:val="28"/>
          <w:szCs w:val="2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）适用法律：指在理财销售文件签署日和履行过程中，适用中华人民共和国法律（为本销售文件之目的，在此不包括香港、澳门特别行政区和台湾地区的法律），包括中国任何立法机构、政府部门、银行业</w:t>
      </w:r>
      <w:r>
        <w:rPr>
          <w:rFonts w:ascii="宋体" w:hAnsi="宋体" w:eastAsia="宋体" w:cs="宋体"/>
          <w:bCs/>
          <w:color w:val="000000"/>
          <w:sz w:val="18"/>
          <w:szCs w:val="18"/>
          <w:lang w:val="en-US" w:eastAsia="zh-CN" w:bidi="ar-SA"/>
        </w:rPr>
        <w:t>理财登记托管中心、</w:t>
      </w:r>
      <w:r>
        <w:rPr>
          <w:rFonts w:hint="eastAsia" w:ascii="宋体" w:hAnsi="宋体" w:eastAsia="宋体" w:cs="宋体"/>
          <w:bCs/>
          <w:color w:val="000000"/>
          <w:sz w:val="18"/>
          <w:szCs w:val="18"/>
          <w:lang w:val="en-US" w:eastAsia="zh-CN" w:bidi="ar-SA"/>
        </w:rPr>
        <w:t>银行间交易商协会、证券交易所、证券登记结算机构、相关</w:t>
      </w:r>
      <w:r>
        <w:rPr>
          <w:rFonts w:ascii="宋体" w:hAnsi="宋体" w:eastAsia="宋体" w:cs="宋体"/>
          <w:bCs/>
          <w:color w:val="000000"/>
          <w:sz w:val="18"/>
          <w:szCs w:val="18"/>
          <w:lang w:val="en-US" w:eastAsia="zh-CN" w:bidi="ar-SA"/>
        </w:rPr>
        <w:t>行</w:t>
      </w:r>
      <w:r>
        <w:rPr>
          <w:rFonts w:hint="eastAsia" w:ascii="宋体" w:hAnsi="宋体" w:eastAsia="宋体" w:cs="宋体"/>
          <w:bCs/>
          <w:color w:val="000000"/>
          <w:sz w:val="18"/>
          <w:szCs w:val="18"/>
          <w:lang w:val="en-US" w:eastAsia="zh-CN" w:bidi="ar-SA"/>
        </w:rPr>
        <w:t>业协会依法颁布的，适用于本理财产品相关事宜的法律、行政法规、地方法规、部委规章、地方政府规章、规范性文件、规则、通知、须知、业务指南、指引或操作规程，及其有效的修改、更新或补充。</w:t>
      </w:r>
      <w:r>
        <w:rPr>
          <w:rFonts w:ascii="宋体" w:hAnsi="宋体" w:eastAsia="宋体" w:cs="宋体"/>
          <w:color w:val="000000"/>
          <w:sz w:val="28"/>
          <w:szCs w:val="28"/>
          <w:lang w:val="en-US" w:eastAsia="zh-CN" w:bidi="ar-SA"/>
        </w:rPr>
        <w:br w:type="page"/>
      </w:r>
    </w:p>
    <w:p w14:paraId="2B3DB154">
      <w:pPr>
        <w:keepNext/>
        <w:keepLines/>
        <w:widowControl w:val="0"/>
        <w:spacing w:before="0" w:after="0" w:line="360" w:lineRule="auto"/>
        <w:jc w:val="center"/>
        <w:outlineLvl w:val="0"/>
        <w:rPr>
          <w:rFonts w:ascii="Calibri" w:hAnsi="宋体" w:eastAsia="宋体" w:cs="宋体"/>
          <w:b/>
          <w:bCs/>
          <w:kern w:val="44"/>
          <w:sz w:val="28"/>
          <w:szCs w:val="28"/>
          <w:lang w:val="en-US" w:eastAsia="zh-CN" w:bidi="ar-SA"/>
        </w:rPr>
      </w:pPr>
      <w:bookmarkStart w:id="68" w:name="_Toc176189754"/>
      <w:bookmarkStart w:id="69" w:name="_Toc79154665"/>
      <w:r>
        <w:rPr>
          <w:rFonts w:hint="eastAsia" w:ascii="Calibri" w:hAnsi="宋体" w:eastAsia="宋体" w:cs="宋体"/>
          <w:b/>
          <w:bCs/>
          <w:kern w:val="44"/>
          <w:sz w:val="28"/>
          <w:szCs w:val="28"/>
          <w:lang w:val="en-US" w:eastAsia="zh-CN" w:bidi="ar-SA"/>
        </w:rPr>
        <w:t>第二条  理财产品基本情况</w:t>
      </w:r>
      <w:bookmarkEnd w:id="68"/>
      <w:bookmarkEnd w:id="69"/>
      <w:r>
        <w:rPr>
          <w:rFonts w:hint="eastAsia" w:ascii="Calibri" w:hAnsi="宋体" w:eastAsia="宋体" w:cs="宋体"/>
          <w:b/>
          <w:bCs/>
          <w:kern w:val="44"/>
          <w:sz w:val="28"/>
          <w:szCs w:val="28"/>
          <w:lang w:val="en-US" w:eastAsia="zh-CN" w:bidi="ar-SA"/>
        </w:rPr>
        <w:t xml:space="preserve"> </w:t>
      </w:r>
    </w:p>
    <w:tbl>
      <w:tblPr>
        <w:tblStyle w:val="7"/>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14:paraId="46C3C9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70" w:type="dxa"/>
            <w:shd w:val="solid" w:color="FFFFFF" w:fill="FFFFFF"/>
          </w:tcPr>
          <w:p w14:paraId="12E19494">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理财产品名称</w:t>
            </w:r>
          </w:p>
        </w:tc>
        <w:tc>
          <w:tcPr>
            <w:tcW w:w="7674" w:type="dxa"/>
            <w:shd w:val="solid" w:color="FFFFFF" w:fill="FFFFFF"/>
          </w:tcPr>
          <w:p w14:paraId="3453D12F">
            <w:pPr>
              <w:spacing w:line="360" w:lineRule="auto"/>
              <w:jc w:val="left"/>
              <w:rPr>
                <w:rFonts w:ascii="宋体" w:hAnsi="宋体" w:cs="宋体"/>
                <w:bCs/>
                <w:sz w:val="18"/>
                <w:szCs w:val="18"/>
              </w:rPr>
            </w:pPr>
            <w:r>
              <w:rPr>
                <w:rFonts w:hint="eastAsia" w:ascii="宋体" w:hAnsi="宋体" w:eastAsia="宋体" w:cs="宋体"/>
                <w:bCs/>
                <w:kern w:val="0"/>
                <w:sz w:val="18"/>
                <w:szCs w:val="18"/>
              </w:rPr>
              <w:t>【</w:t>
            </w:r>
            <w:r>
              <w:rPr>
                <w:rFonts w:hint="eastAsia" w:ascii="宋体" w:hAnsi="宋体" w:eastAsia="宋体" w:cs="宋体"/>
                <w:bCs/>
                <w:sz w:val="18"/>
                <w:szCs w:val="18"/>
              </w:rPr>
              <w:t>兴银理财稳利恒盈封闭式2026年855期固收类理财产品</w:t>
            </w:r>
            <w:r>
              <w:rPr>
                <w:rFonts w:hint="eastAsia" w:ascii="宋体" w:hAnsi="宋体" w:eastAsia="宋体" w:cs="宋体"/>
                <w:bCs/>
                <w:kern w:val="0"/>
                <w:sz w:val="18"/>
                <w:szCs w:val="18"/>
              </w:rPr>
              <w:t>】</w:t>
            </w:r>
          </w:p>
        </w:tc>
      </w:tr>
      <w:tr w14:paraId="000E58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970" w:type="dxa"/>
            <w:shd w:val="solid" w:color="FFFFFF" w:fill="FFFFFF"/>
          </w:tcPr>
          <w:p w14:paraId="7357D690">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产品销售名称</w:t>
            </w:r>
          </w:p>
        </w:tc>
        <w:tc>
          <w:tcPr>
            <w:tcW w:w="7674" w:type="dxa"/>
            <w:shd w:val="solid" w:color="FFFFFF" w:fill="FFFFFF"/>
          </w:tcPr>
          <w:p w14:paraId="712A64FA">
            <w:pPr>
              <w:widowControl/>
              <w:spacing w:line="360" w:lineRule="auto"/>
              <w:jc w:val="left"/>
              <w:rPr>
                <w:rFonts w:ascii="宋体" w:hAnsi="宋体" w:cs="宋体"/>
                <w:kern w:val="0"/>
                <w:sz w:val="22"/>
                <w:szCs w:val="22"/>
              </w:rPr>
            </w:pPr>
            <w:r>
              <w:rPr>
                <w:rFonts w:ascii="宋体" w:hAnsi="宋体" w:eastAsia="宋体" w:cs="宋体"/>
                <w:sz w:val="18"/>
                <w:szCs w:val="22"/>
              </w:rPr>
              <w:t>【稳利恒盈封闭式2026年855期（兴嘉选）A】 (适用【A】类份额)</w:t>
            </w:r>
            <w:r>
              <w:rPr>
                <w:rFonts w:ascii="宋体" w:hAnsi="宋体" w:eastAsia="宋体" w:cs="宋体"/>
                <w:sz w:val="18"/>
                <w:szCs w:val="22"/>
              </w:rPr>
              <w:br w:type="textWrapping"/>
            </w:r>
            <w:r>
              <w:rPr>
                <w:rFonts w:ascii="宋体" w:hAnsi="宋体" w:eastAsia="宋体" w:cs="宋体"/>
                <w:sz w:val="18"/>
                <w:szCs w:val="22"/>
              </w:rPr>
              <w:t>【稳利恒盈封闭式2026年855期（兴嘉选）B】 (适用【B】类份额)</w:t>
            </w:r>
            <w:r>
              <w:rPr>
                <w:rFonts w:ascii="宋体" w:hAnsi="宋体" w:eastAsia="宋体" w:cs="宋体"/>
                <w:sz w:val="18"/>
                <w:szCs w:val="22"/>
              </w:rPr>
              <w:br w:type="textWrapping"/>
            </w:r>
            <w:r>
              <w:rPr>
                <w:rFonts w:ascii="宋体" w:hAnsi="宋体" w:eastAsia="宋体" w:cs="宋体"/>
                <w:sz w:val="18"/>
                <w:szCs w:val="22"/>
              </w:rPr>
              <w:t>【稳利恒盈封闭式2026年855期（兴嘉选）C】 (适用【C】类份额)</w:t>
            </w:r>
            <w:r>
              <w:rPr>
                <w:rFonts w:ascii="宋体" w:hAnsi="宋体" w:eastAsia="宋体" w:cs="宋体"/>
                <w:sz w:val="18"/>
                <w:szCs w:val="22"/>
              </w:rPr>
              <w:br w:type="textWrapping"/>
            </w:r>
            <w:r>
              <w:rPr>
                <w:rFonts w:ascii="宋体" w:hAnsi="宋体" w:eastAsia="宋体" w:cs="宋体"/>
                <w:sz w:val="18"/>
                <w:szCs w:val="22"/>
              </w:rPr>
              <w:t>【稳利恒盈封闭式2026年855期（兴嘉选）D】 (适用【D】类份额)</w:t>
            </w:r>
            <w:r>
              <w:rPr>
                <w:rFonts w:ascii="宋体" w:hAnsi="宋体" w:eastAsia="宋体" w:cs="宋体"/>
                <w:sz w:val="18"/>
                <w:szCs w:val="22"/>
              </w:rPr>
              <w:br w:type="textWrapping"/>
            </w:r>
            <w:r>
              <w:rPr>
                <w:rFonts w:ascii="宋体" w:hAnsi="宋体" w:eastAsia="宋体" w:cs="宋体"/>
                <w:sz w:val="18"/>
                <w:szCs w:val="22"/>
              </w:rPr>
              <w:t>【稳利恒盈封闭式2026年855期（兴嘉选）E】 (适用【E】类份额)</w:t>
            </w:r>
          </w:p>
        </w:tc>
      </w:tr>
      <w:tr w14:paraId="18EC85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14:paraId="5D3A14DD">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产品登记编码</w:t>
            </w:r>
          </w:p>
        </w:tc>
        <w:tc>
          <w:tcPr>
            <w:tcW w:w="7674" w:type="dxa"/>
            <w:shd w:val="solid" w:color="FFFFFF" w:fill="FFFFFF"/>
          </w:tcPr>
          <w:p w14:paraId="664DE0F3">
            <w:pPr>
              <w:spacing w:line="360" w:lineRule="auto"/>
              <w:jc w:val="left"/>
              <w:rPr>
                <w:rFonts w:ascii="宋体" w:hAnsi="宋体" w:cs="宋体"/>
                <w:b/>
                <w:sz w:val="18"/>
                <w:szCs w:val="18"/>
              </w:rPr>
            </w:pPr>
            <w:r>
              <w:rPr>
                <w:rFonts w:hint="eastAsia" w:ascii="宋体" w:hAnsi="宋体" w:cs="宋体"/>
                <w:sz w:val="18"/>
                <w:szCs w:val="18"/>
              </w:rPr>
              <w:t>【Z7002026001197】</w:t>
            </w:r>
            <w:r>
              <w:rPr>
                <w:rFonts w:hint="eastAsia" w:ascii="宋体" w:hAnsi="宋体" w:eastAsia="宋体" w:cs="宋体"/>
                <w:sz w:val="18"/>
                <w:szCs w:val="18"/>
              </w:rPr>
              <w:t>投资者可依据理财产品登记编码在中国理财网</w:t>
            </w:r>
            <w:r>
              <w:rPr>
                <w:rFonts w:ascii="宋体" w:hAnsi="宋体" w:eastAsia="宋体" w:cs="宋体"/>
                <w:sz w:val="18"/>
                <w:szCs w:val="18"/>
              </w:rPr>
              <w:t>(</w:t>
            </w:r>
            <w:r>
              <w:rPr>
                <w:rFonts w:ascii="Calibri" w:hAnsi="Calibri" w:cs="宋体"/>
                <w:szCs w:val="22"/>
              </w:rPr>
              <w:fldChar w:fldCharType="begin"/>
            </w:r>
            <w:r>
              <w:rPr>
                <w:rFonts w:ascii="Calibri" w:hAnsi="Calibri" w:cs="宋体"/>
                <w:szCs w:val="22"/>
              </w:rPr>
              <w:instrText xml:space="preserve"> HYPERLINK "http://www.chinawealth.com.cn" </w:instrText>
            </w:r>
            <w:r>
              <w:rPr>
                <w:rFonts w:ascii="Calibri" w:hAnsi="Calibri" w:cs="宋体"/>
                <w:szCs w:val="22"/>
              </w:rPr>
              <w:fldChar w:fldCharType="separate"/>
            </w:r>
            <w:r>
              <w:rPr>
                <w:rFonts w:ascii="宋体" w:hAnsi="宋体" w:eastAsia="宋体" w:cs="宋体"/>
                <w:sz w:val="18"/>
                <w:szCs w:val="18"/>
              </w:rPr>
              <w:t>www.chinawealth.com.cn</w:t>
            </w:r>
            <w:r>
              <w:rPr>
                <w:rFonts w:ascii="宋体" w:hAnsi="宋体" w:eastAsia="宋体" w:cs="宋体"/>
                <w:sz w:val="18"/>
                <w:szCs w:val="18"/>
              </w:rPr>
              <w:fldChar w:fldCharType="end"/>
            </w:r>
            <w:r>
              <w:rPr>
                <w:rFonts w:ascii="宋体" w:hAnsi="宋体" w:eastAsia="宋体" w:cs="宋体"/>
                <w:sz w:val="18"/>
                <w:szCs w:val="18"/>
              </w:rPr>
              <w:t>）</w:t>
            </w:r>
            <w:r>
              <w:rPr>
                <w:rFonts w:hint="eastAsia" w:ascii="宋体" w:hAnsi="宋体" w:eastAsia="宋体" w:cs="宋体"/>
                <w:sz w:val="18"/>
                <w:szCs w:val="18"/>
              </w:rPr>
              <w:t>查询产品信息。</w:t>
            </w:r>
          </w:p>
        </w:tc>
      </w:tr>
      <w:tr w14:paraId="4C1D64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5311BF44">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产品代码</w:t>
            </w:r>
          </w:p>
        </w:tc>
        <w:tc>
          <w:tcPr>
            <w:tcW w:w="7674" w:type="dxa"/>
            <w:shd w:val="solid" w:color="FFFFFF" w:fill="FFFFFF"/>
            <w:vAlign w:val="center"/>
          </w:tcPr>
          <w:p w14:paraId="4F8EE7D9">
            <w:pPr>
              <w:spacing w:line="360" w:lineRule="auto"/>
              <w:jc w:val="left"/>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9N268550】</w:t>
            </w:r>
          </w:p>
        </w:tc>
      </w:tr>
      <w:tr w14:paraId="325E4B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tcPr>
          <w:p w14:paraId="3B81016F">
            <w:pPr>
              <w:spacing w:line="360" w:lineRule="auto"/>
              <w:jc w:val="left"/>
              <w:rPr>
                <w:rFonts w:ascii="Calibri" w:hAnsi="宋体" w:cs="宋体"/>
                <w:b/>
                <w:sz w:val="18"/>
                <w:szCs w:val="18"/>
              </w:rPr>
            </w:pPr>
            <w:r>
              <w:rPr>
                <w:rFonts w:hint="eastAsia" w:ascii="Calibri" w:hAnsi="宋体" w:cs="宋体"/>
                <w:b/>
                <w:sz w:val="18"/>
                <w:szCs w:val="18"/>
              </w:rPr>
              <w:t>★销售代码</w:t>
            </w:r>
          </w:p>
        </w:tc>
        <w:tc>
          <w:tcPr>
            <w:tcW w:w="7674" w:type="dxa"/>
            <w:shd w:val="solid" w:color="FFFFFF" w:fill="FFFFFF"/>
          </w:tcPr>
          <w:p w14:paraId="4D6D7C6D">
            <w:pPr>
              <w:spacing w:line="360" w:lineRule="auto"/>
              <w:jc w:val="left"/>
              <w:rPr>
                <w:rFonts w:ascii="Calibri" w:hAnsi="宋体" w:cs="宋体"/>
                <w:sz w:val="18"/>
                <w:szCs w:val="18"/>
              </w:rPr>
            </w:pPr>
            <w:r>
              <w:rPr>
                <w:rFonts w:ascii="宋体" w:hAnsi="宋体" w:eastAsia="宋体" w:cs="宋体"/>
                <w:sz w:val="18"/>
                <w:szCs w:val="22"/>
              </w:rPr>
              <w:t>【9N26855A】 (适用【A】类份额)</w:t>
            </w:r>
            <w:r>
              <w:rPr>
                <w:rFonts w:ascii="宋体" w:hAnsi="宋体" w:eastAsia="宋体" w:cs="宋体"/>
                <w:sz w:val="18"/>
                <w:szCs w:val="22"/>
              </w:rPr>
              <w:br w:type="textWrapping"/>
            </w:r>
            <w:r>
              <w:rPr>
                <w:rFonts w:ascii="宋体" w:hAnsi="宋体" w:eastAsia="宋体" w:cs="宋体"/>
                <w:sz w:val="18"/>
                <w:szCs w:val="22"/>
              </w:rPr>
              <w:t>【9N26855B】 (适用【B】类份额)</w:t>
            </w:r>
            <w:r>
              <w:rPr>
                <w:rFonts w:ascii="宋体" w:hAnsi="宋体" w:eastAsia="宋体" w:cs="宋体"/>
                <w:sz w:val="18"/>
                <w:szCs w:val="22"/>
              </w:rPr>
              <w:br w:type="textWrapping"/>
            </w:r>
            <w:r>
              <w:rPr>
                <w:rFonts w:ascii="宋体" w:hAnsi="宋体" w:eastAsia="宋体" w:cs="宋体"/>
                <w:sz w:val="18"/>
                <w:szCs w:val="22"/>
              </w:rPr>
              <w:t>【9N26855C】 (适用【C】类份额)</w:t>
            </w:r>
            <w:r>
              <w:rPr>
                <w:rFonts w:ascii="宋体" w:hAnsi="宋体" w:eastAsia="宋体" w:cs="宋体"/>
                <w:sz w:val="18"/>
                <w:szCs w:val="22"/>
              </w:rPr>
              <w:br w:type="textWrapping"/>
            </w:r>
            <w:r>
              <w:rPr>
                <w:rFonts w:ascii="宋体" w:hAnsi="宋体" w:eastAsia="宋体" w:cs="宋体"/>
                <w:sz w:val="18"/>
                <w:szCs w:val="22"/>
              </w:rPr>
              <w:t>【9N26855D】 (适用【D】类份额)</w:t>
            </w:r>
            <w:r>
              <w:rPr>
                <w:rFonts w:ascii="宋体" w:hAnsi="宋体" w:eastAsia="宋体" w:cs="宋体"/>
                <w:sz w:val="18"/>
                <w:szCs w:val="22"/>
              </w:rPr>
              <w:br w:type="textWrapping"/>
            </w:r>
            <w:r>
              <w:rPr>
                <w:rFonts w:ascii="宋体" w:hAnsi="宋体" w:eastAsia="宋体" w:cs="宋体"/>
                <w:sz w:val="18"/>
                <w:szCs w:val="22"/>
              </w:rPr>
              <w:t>【9N26855E】 (适用【E】类份额)</w:t>
            </w:r>
          </w:p>
        </w:tc>
      </w:tr>
      <w:tr w14:paraId="51B86A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79723A23">
            <w:pPr>
              <w:spacing w:line="360" w:lineRule="auto"/>
              <w:jc w:val="left"/>
              <w:rPr>
                <w:rFonts w:ascii="Calibri" w:hAnsi="宋体" w:cs="宋体"/>
                <w:sz w:val="18"/>
                <w:szCs w:val="18"/>
              </w:rPr>
            </w:pPr>
            <w:r>
              <w:rPr>
                <w:rFonts w:hint="eastAsia" w:ascii="Calibri" w:hAnsi="宋体" w:cs="宋体"/>
                <w:sz w:val="18"/>
                <w:szCs w:val="18"/>
              </w:rPr>
              <w:t>★</w:t>
            </w:r>
            <w:r>
              <w:rPr>
                <w:rFonts w:hint="eastAsia" w:ascii="Calibri" w:hAnsi="宋体" w:cs="宋体"/>
                <w:b/>
                <w:sz w:val="18"/>
                <w:szCs w:val="18"/>
              </w:rPr>
              <w:t>产品</w:t>
            </w:r>
            <w:r>
              <w:rPr>
                <w:rFonts w:ascii="Calibri" w:hAnsi="宋体" w:cs="宋体"/>
                <w:b/>
                <w:sz w:val="18"/>
                <w:szCs w:val="18"/>
              </w:rPr>
              <w:t>份额类别</w:t>
            </w:r>
          </w:p>
        </w:tc>
        <w:tc>
          <w:tcPr>
            <w:tcW w:w="7674" w:type="dxa"/>
            <w:shd w:val="solid" w:color="FFFFFF" w:fill="FFFFFF"/>
            <w:vAlign w:val="center"/>
          </w:tcPr>
          <w:p w14:paraId="24130A04">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.本产品根据投资者购买理财产品的金额、</w:t>
            </w:r>
            <w:r>
              <w:rPr>
                <w:rFonts w:ascii="宋体" w:hAnsi="宋体" w:cs="宋体"/>
                <w:bCs/>
                <w:sz w:val="18"/>
                <w:szCs w:val="18"/>
              </w:rPr>
              <w:t>投资者</w:t>
            </w:r>
            <w:r>
              <w:rPr>
                <w:rFonts w:hint="eastAsia" w:ascii="宋体" w:hAnsi="宋体" w:cs="宋体"/>
                <w:bCs/>
                <w:sz w:val="18"/>
                <w:szCs w:val="18"/>
              </w:rPr>
              <w:t>类型、</w:t>
            </w:r>
            <w:r>
              <w:rPr>
                <w:rFonts w:ascii="宋体" w:hAnsi="宋体" w:cs="宋体"/>
                <w:bCs/>
                <w:sz w:val="18"/>
                <w:szCs w:val="18"/>
              </w:rPr>
              <w:t>销售渠道</w:t>
            </w:r>
            <w:r>
              <w:rPr>
                <w:rFonts w:hint="eastAsia" w:ascii="宋体" w:hAnsi="宋体" w:cs="宋体"/>
                <w:bCs/>
                <w:sz w:val="18"/>
                <w:szCs w:val="18"/>
              </w:rPr>
              <w:t>等因素，对投资者所持有的理财产品份额设置不同的理财产品份额类别。</w:t>
            </w:r>
          </w:p>
          <w:p w14:paraId="6DEA9355">
            <w:pPr>
              <w:spacing w:line="360" w:lineRule="auto"/>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.本产品设置不同的理财产品份额，每类理财产品份额以下内容</w:t>
            </w:r>
            <w:r>
              <w:rPr>
                <w:rFonts w:ascii="宋体" w:hAnsi="宋体" w:cs="宋体"/>
                <w:bCs/>
                <w:sz w:val="18"/>
                <w:szCs w:val="18"/>
              </w:rPr>
              <w:t>可能</w:t>
            </w:r>
            <w:r>
              <w:rPr>
                <w:rFonts w:hint="eastAsia" w:ascii="宋体" w:hAnsi="宋体" w:cs="宋体"/>
                <w:bCs/>
                <w:sz w:val="18"/>
                <w:szCs w:val="18"/>
              </w:rPr>
              <w:t>单独设置：</w:t>
            </w:r>
          </w:p>
          <w:p w14:paraId="4D0663A3">
            <w:pPr>
              <w:spacing w:line="360" w:lineRule="auto"/>
              <w:rPr>
                <w:rFonts w:ascii="宋体" w:hAnsi="宋体" w:cs="宋体"/>
                <w:bCs/>
                <w:sz w:val="18"/>
                <w:szCs w:val="18"/>
              </w:rPr>
            </w:pPr>
            <w:r>
              <w:rPr>
                <w:rFonts w:hint="eastAsia" w:ascii="宋体" w:hAnsi="宋体" w:cs="宋体"/>
                <w:bCs/>
                <w:sz w:val="18"/>
                <w:szCs w:val="18"/>
              </w:rPr>
              <w:t>（1）销售名称</w:t>
            </w:r>
          </w:p>
          <w:p w14:paraId="22A6C2C4">
            <w:pPr>
              <w:spacing w:line="360" w:lineRule="auto"/>
              <w:rPr>
                <w:rFonts w:ascii="宋体" w:hAnsi="宋体" w:cs="宋体"/>
                <w:bCs/>
                <w:sz w:val="18"/>
                <w:szCs w:val="18"/>
              </w:rPr>
            </w:pPr>
            <w:r>
              <w:rPr>
                <w:rFonts w:hint="eastAsia" w:ascii="宋体" w:hAnsi="宋体" w:cs="宋体"/>
                <w:bCs/>
                <w:sz w:val="18"/>
                <w:szCs w:val="18"/>
              </w:rPr>
              <w:t>（2）收费方式</w:t>
            </w:r>
          </w:p>
          <w:p w14:paraId="4F5DA303">
            <w:pPr>
              <w:spacing w:line="360" w:lineRule="auto"/>
              <w:rPr>
                <w:rFonts w:ascii="宋体" w:hAnsi="宋体" w:cs="宋体"/>
                <w:bCs/>
                <w:sz w:val="18"/>
                <w:szCs w:val="18"/>
              </w:rPr>
            </w:pPr>
            <w:r>
              <w:rPr>
                <w:rFonts w:hint="eastAsia" w:ascii="宋体" w:hAnsi="宋体" w:cs="宋体"/>
                <w:bCs/>
                <w:sz w:val="18"/>
                <w:szCs w:val="18"/>
              </w:rPr>
              <w:t>（3）销售服务费</w:t>
            </w:r>
          </w:p>
          <w:p w14:paraId="72511ADF">
            <w:pPr>
              <w:spacing w:line="360" w:lineRule="auto"/>
              <w:rPr>
                <w:rFonts w:ascii="宋体" w:hAnsi="宋体" w:cs="宋体"/>
                <w:bCs/>
                <w:sz w:val="18"/>
                <w:szCs w:val="18"/>
              </w:rPr>
            </w:pPr>
            <w:r>
              <w:rPr>
                <w:rFonts w:hint="eastAsia" w:ascii="宋体" w:hAnsi="宋体" w:cs="宋体"/>
                <w:bCs/>
                <w:sz w:val="18"/>
                <w:szCs w:val="18"/>
              </w:rPr>
              <w:t>（4）销售代码</w:t>
            </w:r>
          </w:p>
          <w:p w14:paraId="21EEFBB7">
            <w:pPr>
              <w:spacing w:line="360" w:lineRule="auto"/>
              <w:rPr>
                <w:rFonts w:ascii="宋体" w:hAnsi="宋体" w:cs="宋体"/>
                <w:bCs/>
                <w:sz w:val="18"/>
                <w:szCs w:val="18"/>
              </w:rPr>
            </w:pPr>
            <w:r>
              <w:rPr>
                <w:rFonts w:hint="eastAsia" w:ascii="宋体" w:hAnsi="宋体" w:cs="宋体"/>
                <w:bCs/>
                <w:sz w:val="18"/>
                <w:szCs w:val="18"/>
              </w:rPr>
              <w:t>（5）销售对象</w:t>
            </w:r>
          </w:p>
          <w:p w14:paraId="53C08720">
            <w:pPr>
              <w:spacing w:line="360" w:lineRule="auto"/>
              <w:rPr>
                <w:rFonts w:ascii="宋体" w:hAnsi="宋体" w:cs="宋体"/>
                <w:bCs/>
                <w:sz w:val="18"/>
                <w:szCs w:val="18"/>
              </w:rPr>
            </w:pPr>
            <w:r>
              <w:rPr>
                <w:rFonts w:hint="eastAsia" w:ascii="宋体" w:hAnsi="宋体" w:cs="宋体"/>
                <w:bCs/>
                <w:sz w:val="18"/>
                <w:szCs w:val="18"/>
              </w:rPr>
              <w:t>（6）销售起点金额（认购、申购的起点金额）</w:t>
            </w:r>
          </w:p>
          <w:p w14:paraId="6866690E">
            <w:pPr>
              <w:spacing w:line="360" w:lineRule="auto"/>
              <w:rPr>
                <w:rFonts w:ascii="宋体" w:hAnsi="宋体" w:cs="宋体"/>
                <w:bCs/>
                <w:sz w:val="18"/>
                <w:szCs w:val="18"/>
              </w:rPr>
            </w:pPr>
            <w:r>
              <w:rPr>
                <w:rFonts w:hint="eastAsia" w:ascii="宋体" w:hAnsi="宋体" w:cs="宋体"/>
                <w:bCs/>
                <w:sz w:val="18"/>
                <w:szCs w:val="18"/>
              </w:rPr>
              <w:t>（7）投资者认购、申购和赎回的数量限制</w:t>
            </w:r>
          </w:p>
          <w:p w14:paraId="1CE97BFB">
            <w:pPr>
              <w:spacing w:line="360" w:lineRule="auto"/>
              <w:rPr>
                <w:rFonts w:ascii="宋体" w:hAnsi="宋体" w:cs="宋体"/>
                <w:bCs/>
                <w:sz w:val="18"/>
                <w:szCs w:val="18"/>
              </w:rPr>
            </w:pPr>
            <w:r>
              <w:rPr>
                <w:rFonts w:hint="eastAsia" w:ascii="宋体" w:hAnsi="宋体" w:cs="宋体"/>
                <w:bCs/>
                <w:sz w:val="18"/>
                <w:szCs w:val="18"/>
              </w:rPr>
              <w:t>（8）投资者持有本产品的最高限额、最低限额</w:t>
            </w:r>
          </w:p>
          <w:p w14:paraId="48863570">
            <w:pPr>
              <w:spacing w:line="360" w:lineRule="auto"/>
              <w:rPr>
                <w:rFonts w:ascii="宋体" w:hAnsi="宋体" w:cs="宋体"/>
                <w:bCs/>
                <w:sz w:val="18"/>
                <w:szCs w:val="18"/>
              </w:rPr>
            </w:pPr>
            <w:r>
              <w:rPr>
                <w:rFonts w:hint="eastAsia" w:ascii="宋体" w:hAnsi="宋体" w:cs="宋体"/>
                <w:bCs/>
                <w:sz w:val="18"/>
                <w:szCs w:val="18"/>
              </w:rPr>
              <w:t>（9）分别计算和公告产品份额净值</w:t>
            </w:r>
          </w:p>
          <w:p w14:paraId="1408EE81">
            <w:pPr>
              <w:spacing w:line="360" w:lineRule="auto"/>
              <w:rPr>
                <w:rFonts w:ascii="宋体" w:hAnsi="宋体" w:cs="宋体"/>
                <w:bCs/>
                <w:sz w:val="18"/>
                <w:szCs w:val="18"/>
              </w:rPr>
            </w:pPr>
            <w:r>
              <w:rPr>
                <w:rFonts w:ascii="宋体" w:hAnsi="宋体" w:cs="宋体"/>
                <w:bCs/>
                <w:sz w:val="18"/>
                <w:szCs w:val="18"/>
              </w:rPr>
              <w:t>3</w:t>
            </w:r>
            <w:r>
              <w:rPr>
                <w:rFonts w:hint="eastAsia" w:ascii="宋体" w:hAnsi="宋体" w:cs="宋体"/>
                <w:bCs/>
                <w:sz w:val="18"/>
                <w:szCs w:val="18"/>
              </w:rPr>
              <w:t>.投资者可根据实际情况自行选择认购的产品份额类别。</w:t>
            </w:r>
          </w:p>
          <w:p w14:paraId="28211D1E">
            <w:pPr>
              <w:spacing w:line="360" w:lineRule="auto"/>
              <w:rPr>
                <w:rFonts w:ascii="宋体" w:hAnsi="宋体" w:cs="宋体"/>
                <w:b/>
                <w:bCs/>
                <w:sz w:val="18"/>
                <w:szCs w:val="18"/>
              </w:rPr>
            </w:pPr>
            <w:r>
              <w:rPr>
                <w:rFonts w:hint="eastAsia" w:ascii="黑体" w:hAnsi="黑体" w:eastAsia="黑体" w:cs="宋体"/>
                <w:sz w:val="18"/>
                <w:szCs w:val="18"/>
              </w:rPr>
              <w:t>注：本产品说明书所列示产品份额类别仅为本产品项下某一类产品份额。其他类别的产品份额情况以产品管理人披露为准。</w:t>
            </w:r>
          </w:p>
        </w:tc>
      </w:tr>
      <w:tr w14:paraId="6C5CE8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FE7D66E">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sz w:val="18"/>
                <w:szCs w:val="18"/>
              </w:rPr>
              <w:t>产品基本类型</w:t>
            </w:r>
          </w:p>
        </w:tc>
        <w:tc>
          <w:tcPr>
            <w:tcW w:w="7674" w:type="dxa"/>
            <w:shd w:val="solid" w:color="FFFFFF" w:fill="FFFFFF"/>
            <w:vAlign w:val="center"/>
          </w:tcPr>
          <w:p w14:paraId="03281691">
            <w:pPr>
              <w:spacing w:line="360" w:lineRule="auto"/>
              <w:rPr>
                <w:rFonts w:ascii="宋体" w:hAnsi="宋体" w:cs="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14:paraId="61577B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FD70BFF">
            <w:pPr>
              <w:spacing w:line="360" w:lineRule="auto"/>
              <w:jc w:val="left"/>
              <w:rPr>
                <w:rFonts w:ascii="宋体" w:hAnsi="宋体" w:cs="宋体"/>
                <w:b/>
                <w:bCs/>
                <w:sz w:val="18"/>
                <w:szCs w:val="18"/>
              </w:rPr>
            </w:pPr>
            <w:r>
              <w:rPr>
                <w:rFonts w:hint="eastAsia" w:ascii="宋体" w:hAnsi="宋体" w:eastAsia="宋体" w:cs="宋体"/>
                <w:b/>
                <w:sz w:val="18"/>
                <w:szCs w:val="18"/>
              </w:rPr>
              <w:t>产品募集方式</w:t>
            </w:r>
          </w:p>
        </w:tc>
        <w:tc>
          <w:tcPr>
            <w:tcW w:w="7674" w:type="dxa"/>
            <w:shd w:val="solid" w:color="FFFFFF" w:fill="FFFFFF"/>
            <w:vAlign w:val="center"/>
          </w:tcPr>
          <w:p w14:paraId="400051F8">
            <w:pPr>
              <w:spacing w:line="360" w:lineRule="auto"/>
              <w:rPr>
                <w:rFonts w:ascii="宋体" w:hAnsi="宋体" w:cs="宋体"/>
                <w:bCs/>
                <w:sz w:val="18"/>
                <w:szCs w:val="18"/>
              </w:rPr>
            </w:pPr>
            <w:r>
              <w:rPr>
                <w:rFonts w:hint="eastAsia" w:ascii="宋体" w:hAnsi="宋体" w:eastAsia="宋体" w:cs="宋体"/>
                <w:sz w:val="18"/>
                <w:szCs w:val="18"/>
              </w:rPr>
              <w:t>公募</w:t>
            </w:r>
          </w:p>
        </w:tc>
      </w:tr>
      <w:tr w14:paraId="52FCAB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DAE5E93">
            <w:pPr>
              <w:spacing w:line="360" w:lineRule="auto"/>
              <w:jc w:val="left"/>
              <w:rPr>
                <w:rFonts w:ascii="宋体" w:hAnsi="宋体" w:cs="宋体"/>
                <w:b/>
                <w:bCs/>
                <w:sz w:val="18"/>
                <w:szCs w:val="18"/>
              </w:rPr>
            </w:pPr>
            <w:r>
              <w:rPr>
                <w:rFonts w:hint="eastAsia" w:ascii="宋体" w:hAnsi="宋体" w:eastAsia="宋体" w:cs="宋体"/>
                <w:b/>
                <w:sz w:val="18"/>
                <w:szCs w:val="18"/>
              </w:rPr>
              <w:t>产品运作方式</w:t>
            </w:r>
          </w:p>
        </w:tc>
        <w:tc>
          <w:tcPr>
            <w:tcW w:w="7674" w:type="dxa"/>
            <w:shd w:val="solid" w:color="FFFFFF" w:fill="FFFFFF"/>
            <w:vAlign w:val="center"/>
          </w:tcPr>
          <w:p w14:paraId="33FF52F4">
            <w:pPr>
              <w:spacing w:line="360" w:lineRule="auto"/>
              <w:rPr>
                <w:rFonts w:ascii="宋体" w:hAnsi="宋体" w:cs="宋体"/>
                <w:bCs/>
                <w:sz w:val="18"/>
                <w:szCs w:val="18"/>
              </w:rPr>
            </w:pPr>
            <w:r>
              <w:rPr>
                <w:rFonts w:hint="eastAsia" w:ascii="宋体" w:hAnsi="宋体" w:cs="宋体"/>
                <w:bCs/>
                <w:sz w:val="18"/>
                <w:szCs w:val="18"/>
              </w:rPr>
              <w:t>封闭式</w:t>
            </w:r>
          </w:p>
        </w:tc>
      </w:tr>
      <w:tr w14:paraId="10235E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C7E27D6">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eastAsia="宋体" w:cs="宋体"/>
                <w:b/>
                <w:sz w:val="18"/>
                <w:szCs w:val="18"/>
              </w:rPr>
              <w:t>产品投资性质</w:t>
            </w:r>
          </w:p>
        </w:tc>
        <w:tc>
          <w:tcPr>
            <w:tcW w:w="7674" w:type="dxa"/>
            <w:shd w:val="solid" w:color="FFFFFF" w:fill="FFFFFF"/>
            <w:vAlign w:val="center"/>
          </w:tcPr>
          <w:p w14:paraId="7CF40208">
            <w:pPr>
              <w:adjustRightInd w:val="0"/>
              <w:snapToGrid w:val="0"/>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固定收益类</w:t>
            </w:r>
          </w:p>
          <w:p w14:paraId="0E6479A8">
            <w:pPr>
              <w:adjustRightInd w:val="0"/>
              <w:snapToGrid w:val="0"/>
              <w:spacing w:line="360" w:lineRule="auto"/>
              <w:rPr>
                <w:rFonts w:ascii="黑体" w:hAnsi="黑体" w:eastAsia="黑体" w:cs="宋体"/>
                <w:bCs/>
                <w:sz w:val="18"/>
                <w:szCs w:val="18"/>
              </w:rPr>
            </w:pPr>
            <w:r>
              <w:rPr>
                <w:rFonts w:hint="eastAsia" w:ascii="黑体" w:hAnsi="黑体" w:eastAsia="黑体" w:cs="宋体"/>
                <w:sz w:val="18"/>
                <w:szCs w:val="18"/>
              </w:rPr>
              <w:t>固定</w:t>
            </w:r>
            <w:r>
              <w:rPr>
                <w:rFonts w:ascii="黑体" w:hAnsi="黑体" w:eastAsia="黑体" w:cs="宋体"/>
                <w:sz w:val="18"/>
                <w:szCs w:val="18"/>
              </w:rPr>
              <w:t>收益</w:t>
            </w:r>
            <w:r>
              <w:rPr>
                <w:rFonts w:hint="eastAsia" w:ascii="黑体" w:hAnsi="黑体" w:eastAsia="黑体" w:cs="宋体"/>
                <w:sz w:val="18"/>
                <w:szCs w:val="18"/>
              </w:rPr>
              <w:t>类</w:t>
            </w:r>
            <w:r>
              <w:rPr>
                <w:rFonts w:ascii="黑体" w:hAnsi="黑体" w:eastAsia="黑体" w:cs="宋体"/>
                <w:sz w:val="18"/>
                <w:szCs w:val="18"/>
              </w:rPr>
              <w:t>产品是指根据监管</w:t>
            </w:r>
            <w:r>
              <w:rPr>
                <w:rFonts w:hint="eastAsia" w:ascii="黑体" w:hAnsi="黑体" w:eastAsia="黑体" w:cs="宋体"/>
                <w:sz w:val="18"/>
                <w:szCs w:val="18"/>
              </w:rPr>
              <w:t>相关规定</w:t>
            </w:r>
            <w:r>
              <w:rPr>
                <w:rFonts w:ascii="黑体" w:hAnsi="黑体" w:eastAsia="黑体" w:cs="宋体"/>
                <w:sz w:val="18"/>
                <w:szCs w:val="18"/>
              </w:rPr>
              <w:t>，投资于债权类资产的</w:t>
            </w:r>
            <w:r>
              <w:rPr>
                <w:rFonts w:hint="eastAsia" w:ascii="黑体" w:hAnsi="黑体" w:eastAsia="黑体" w:cs="宋体"/>
                <w:sz w:val="18"/>
                <w:szCs w:val="18"/>
              </w:rPr>
              <w:t>比例</w:t>
            </w:r>
            <w:r>
              <w:rPr>
                <w:rFonts w:ascii="黑体" w:hAnsi="黑体" w:eastAsia="黑体" w:cs="宋体"/>
                <w:sz w:val="18"/>
                <w:szCs w:val="18"/>
              </w:rPr>
              <w:t>不低于80%的产品</w:t>
            </w:r>
            <w:r>
              <w:rPr>
                <w:rFonts w:hint="eastAsia" w:ascii="黑体" w:hAnsi="黑体" w:eastAsia="黑体" w:cs="宋体"/>
                <w:bCs/>
                <w:sz w:val="18"/>
                <w:szCs w:val="18"/>
              </w:rPr>
              <w:t>。</w:t>
            </w:r>
          </w:p>
        </w:tc>
      </w:tr>
      <w:tr w14:paraId="0A09A4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411FB7F">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eastAsia="宋体" w:cs="宋体"/>
                <w:b/>
                <w:sz w:val="18"/>
                <w:szCs w:val="18"/>
              </w:rPr>
              <w:t>产品</w:t>
            </w:r>
            <w:r>
              <w:rPr>
                <w:rFonts w:ascii="宋体" w:hAnsi="宋体" w:eastAsia="宋体" w:cs="宋体"/>
                <w:b/>
                <w:sz w:val="18"/>
                <w:szCs w:val="18"/>
              </w:rPr>
              <w:t>收益特征</w:t>
            </w:r>
          </w:p>
        </w:tc>
        <w:tc>
          <w:tcPr>
            <w:tcW w:w="7674" w:type="dxa"/>
            <w:shd w:val="solid" w:color="FFFFFF" w:fill="FFFFFF"/>
            <w:vAlign w:val="center"/>
          </w:tcPr>
          <w:p w14:paraId="4466BD3F">
            <w:pPr>
              <w:adjustRightInd w:val="0"/>
              <w:snapToGrid w:val="0"/>
              <w:spacing w:line="360" w:lineRule="auto"/>
              <w:rPr>
                <w:rFonts w:ascii="黑体" w:hAnsi="黑体" w:eastAsia="黑体" w:cs="宋体"/>
                <w:sz w:val="18"/>
                <w:szCs w:val="18"/>
              </w:rPr>
            </w:pPr>
            <w:r>
              <w:rPr>
                <w:rFonts w:hint="eastAsia" w:ascii="黑体" w:hAnsi="黑体" w:eastAsia="黑体" w:cs="宋体"/>
                <w:sz w:val="18"/>
                <w:szCs w:val="18"/>
              </w:rPr>
              <w:t>非保本浮动收益</w:t>
            </w:r>
          </w:p>
          <w:p w14:paraId="45EC769B">
            <w:pPr>
              <w:adjustRightInd w:val="0"/>
              <w:snapToGrid w:val="0"/>
              <w:spacing w:line="360" w:lineRule="auto"/>
              <w:rPr>
                <w:rFonts w:ascii="黑体" w:hAnsi="黑体" w:eastAsia="黑体" w:cs="宋体"/>
                <w:sz w:val="18"/>
                <w:szCs w:val="18"/>
              </w:rPr>
            </w:pPr>
            <w:r>
              <w:rPr>
                <w:rFonts w:hint="eastAsia" w:ascii="黑体" w:hAnsi="黑体" w:eastAsia="黑体" w:cs="宋体"/>
                <w:sz w:val="18"/>
                <w:szCs w:val="18"/>
              </w:rPr>
              <w:t>本产品不保证本金且不保证收益。本产品的收益随投资收益浮动，投资者可能会因市场变动而蒙受损失。</w:t>
            </w:r>
          </w:p>
          <w:p w14:paraId="388454CE">
            <w:pPr>
              <w:adjustRightInd w:val="0"/>
              <w:snapToGrid w:val="0"/>
              <w:spacing w:line="360" w:lineRule="auto"/>
              <w:rPr>
                <w:rFonts w:ascii="宋体" w:hAnsi="宋体" w:eastAsia="宋体" w:cs="宋体"/>
                <w:color w:val="000000"/>
                <w:sz w:val="18"/>
                <w:szCs w:val="18"/>
              </w:rPr>
            </w:pPr>
            <w:r>
              <w:rPr>
                <w:rFonts w:hint="eastAsia" w:ascii="黑体" w:hAnsi="黑体" w:eastAsia="黑体" w:cs="宋体"/>
                <w:sz w:val="18"/>
                <w:szCs w:val="18"/>
              </w:rPr>
              <w:t>产品管理人对本产品的本金并不提供保证，也不承诺任何固定收益。</w:t>
            </w:r>
          </w:p>
        </w:tc>
      </w:tr>
      <w:tr w14:paraId="4EC41A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658ED72">
            <w:pPr>
              <w:spacing w:line="360" w:lineRule="auto"/>
              <w:jc w:val="left"/>
              <w:rPr>
                <w:rFonts w:ascii="宋体" w:hAnsi="宋体" w:cs="宋体"/>
                <w:b/>
                <w:bCs/>
                <w:sz w:val="18"/>
                <w:szCs w:val="18"/>
              </w:rPr>
            </w:pPr>
            <w:r>
              <w:rPr>
                <w:rFonts w:hint="eastAsia" w:ascii="宋体" w:hAnsi="宋体" w:eastAsia="宋体" w:cs="宋体"/>
                <w:b/>
                <w:sz w:val="18"/>
                <w:szCs w:val="18"/>
              </w:rPr>
              <w:t>理财币种</w:t>
            </w:r>
          </w:p>
        </w:tc>
        <w:tc>
          <w:tcPr>
            <w:tcW w:w="7674" w:type="dxa"/>
            <w:shd w:val="solid" w:color="FFFFFF" w:fill="FFFFFF"/>
            <w:vAlign w:val="center"/>
          </w:tcPr>
          <w:p w14:paraId="0CB0B5B8">
            <w:pPr>
              <w:spacing w:line="360" w:lineRule="auto"/>
              <w:rPr>
                <w:rFonts w:ascii="宋体" w:hAnsi="宋体" w:cs="宋体"/>
                <w:bCs/>
                <w:sz w:val="18"/>
                <w:szCs w:val="18"/>
              </w:rPr>
            </w:pPr>
            <w:r>
              <w:rPr>
                <w:rFonts w:hint="eastAsia" w:ascii="宋体" w:hAnsi="宋体" w:eastAsia="宋体" w:cs="宋体"/>
                <w:sz w:val="18"/>
                <w:szCs w:val="18"/>
              </w:rPr>
              <w:t>人民币</w:t>
            </w:r>
          </w:p>
        </w:tc>
      </w:tr>
      <w:tr w14:paraId="6B4229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FEF152E">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eastAsia="宋体" w:cs="宋体"/>
                <w:b/>
                <w:bCs/>
                <w:sz w:val="18"/>
                <w:szCs w:val="18"/>
              </w:rPr>
              <w:t>产品风险评级</w:t>
            </w:r>
          </w:p>
        </w:tc>
        <w:tc>
          <w:tcPr>
            <w:tcW w:w="7674" w:type="dxa"/>
            <w:shd w:val="solid" w:color="FFFFFF" w:fill="FFFFFF"/>
          </w:tcPr>
          <w:p w14:paraId="788A3E59">
            <w:pPr>
              <w:spacing w:line="360" w:lineRule="auto"/>
              <w:rPr>
                <w:rFonts w:hint="eastAsia" w:ascii="黑体" w:hAnsi="黑体" w:eastAsia="黑体" w:cs="黑体"/>
                <w:bCs/>
                <w:sz w:val="18"/>
                <w:szCs w:val="18"/>
              </w:rPr>
            </w:pPr>
            <w:r>
              <w:rPr>
                <w:rFonts w:hint="eastAsia" w:ascii="黑体" w:hAnsi="黑体" w:eastAsia="黑体" w:cs="黑体"/>
                <w:bCs/>
                <w:sz w:val="18"/>
                <w:szCs w:val="18"/>
              </w:rPr>
              <w:t>本产品属于【□ R1、■ R2、□ R3、□ R4、□ R5】理财产品。</w:t>
            </w:r>
          </w:p>
          <w:p w14:paraId="09087BB7">
            <w:pPr>
              <w:spacing w:line="360" w:lineRule="auto"/>
              <w:rPr>
                <w:rFonts w:ascii="黑体" w:hAnsi="黑体" w:eastAsia="黑体" w:cs="宋体"/>
                <w:sz w:val="18"/>
                <w:szCs w:val="18"/>
              </w:rPr>
            </w:pPr>
            <w:r>
              <w:rPr>
                <w:rFonts w:hint="eastAsia" w:ascii="黑体" w:hAnsi="黑体" w:eastAsia="黑体" w:cs="宋体"/>
                <w:sz w:val="18"/>
                <w:szCs w:val="18"/>
              </w:rPr>
              <w:t>本评级为理财产品管理人内部评级，仅供参考。</w:t>
            </w:r>
          </w:p>
          <w:p w14:paraId="1AE5888D">
            <w:pPr>
              <w:spacing w:line="360" w:lineRule="auto"/>
              <w:rPr>
                <w:rFonts w:ascii="宋体" w:hAnsi="宋体" w:cs="宋体"/>
                <w:b/>
                <w:bCs/>
                <w:sz w:val="18"/>
                <w:szCs w:val="18"/>
              </w:rPr>
            </w:pPr>
            <w:r>
              <w:rPr>
                <w:rFonts w:hint="eastAsia" w:ascii="黑体" w:hAnsi="黑体" w:eastAsia="黑体" w:cs="宋体"/>
                <w:bCs/>
                <w:sz w:val="18"/>
                <w:szCs w:val="18"/>
              </w:rPr>
              <w:t>注</w:t>
            </w:r>
            <w:r>
              <w:rPr>
                <w:rFonts w:ascii="黑体" w:hAnsi="黑体" w:eastAsia="黑体" w:cs="宋体"/>
                <w:bCs/>
                <w:sz w:val="18"/>
                <w:szCs w:val="18"/>
              </w:rPr>
              <w:t>：</w:t>
            </w:r>
            <w:r>
              <w:rPr>
                <w:rFonts w:hint="eastAsia" w:ascii="黑体" w:hAnsi="黑体" w:eastAsia="黑体" w:cs="宋体"/>
                <w:bCs/>
                <w:sz w:val="18"/>
                <w:szCs w:val="18"/>
              </w:rPr>
              <w:t>若本</w:t>
            </w:r>
            <w:r>
              <w:rPr>
                <w:rFonts w:ascii="黑体" w:hAnsi="黑体" w:eastAsia="黑体" w:cs="宋体"/>
                <w:bCs/>
                <w:sz w:val="18"/>
                <w:szCs w:val="18"/>
              </w:rPr>
              <w:t>产品通过代理销售机构销售的，</w:t>
            </w:r>
            <w:r>
              <w:rPr>
                <w:rFonts w:hint="eastAsia" w:ascii="黑体" w:hAnsi="黑体" w:eastAsia="黑体" w:cs="宋体"/>
                <w:bCs/>
                <w:sz w:val="18"/>
                <w:szCs w:val="18"/>
              </w:rPr>
              <w:t>理财产品</w:t>
            </w:r>
            <w:r>
              <w:rPr>
                <w:rFonts w:ascii="黑体" w:hAnsi="黑体" w:eastAsia="黑体" w:cs="宋体"/>
                <w:bCs/>
                <w:sz w:val="18"/>
                <w:szCs w:val="18"/>
              </w:rPr>
              <w:t>评级</w:t>
            </w:r>
            <w:r>
              <w:rPr>
                <w:rFonts w:hint="eastAsia" w:ascii="黑体" w:hAnsi="黑体" w:eastAsia="黑体" w:cs="宋体"/>
                <w:bCs/>
                <w:sz w:val="18"/>
                <w:szCs w:val="18"/>
              </w:rPr>
              <w:t>以</w:t>
            </w:r>
            <w:r>
              <w:rPr>
                <w:rFonts w:ascii="黑体" w:hAnsi="黑体" w:eastAsia="黑体" w:cs="宋体"/>
                <w:bCs/>
                <w:sz w:val="18"/>
                <w:szCs w:val="18"/>
              </w:rPr>
              <w:t>代理销售机构最终披露的评级结果为准。</w:t>
            </w:r>
            <w:r>
              <w:rPr>
                <w:rFonts w:hint="eastAsia" w:ascii="黑体" w:hAnsi="黑体" w:eastAsia="黑体" w:cs="宋体"/>
                <w:bCs/>
                <w:sz w:val="18"/>
                <w:szCs w:val="18"/>
              </w:rPr>
              <w:t>本产品存续期内，产品风险评级可能会根据实际情况进行调整。</w:t>
            </w:r>
          </w:p>
        </w:tc>
      </w:tr>
      <w:tr w14:paraId="5EA57C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723F823">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bCs/>
                <w:sz w:val="18"/>
                <w:szCs w:val="18"/>
              </w:rPr>
              <w:t>销售对象</w:t>
            </w:r>
          </w:p>
        </w:tc>
        <w:tc>
          <w:tcPr>
            <w:tcW w:w="7674" w:type="dxa"/>
            <w:shd w:val="solid" w:color="FFFFFF" w:fill="FFFFFF"/>
            <w:vAlign w:val="bottom"/>
          </w:tcPr>
          <w:p w14:paraId="290D2D5C">
            <w:pPr>
              <w:spacing w:line="360" w:lineRule="auto"/>
              <w:rPr>
                <w:rFonts w:ascii="宋体" w:hAnsi="宋体" w:eastAsia="宋体" w:cs="宋体"/>
                <w:bCs/>
                <w:color w:val="000000"/>
                <w:sz w:val="18"/>
                <w:szCs w:val="18"/>
              </w:rPr>
            </w:pPr>
            <w:r>
              <w:rPr>
                <w:rFonts w:ascii="宋体" w:hAnsi="宋体" w:eastAsia="宋体" w:cs="宋体"/>
                <w:bCs/>
                <w:color w:val="000000"/>
                <w:sz w:val="18"/>
                <w:szCs w:val="18"/>
              </w:rPr>
              <w:t>本产品适合以下类型投资者：</w:t>
            </w:r>
          </w:p>
          <w:p w14:paraId="225D9B94">
            <w:pPr>
              <w:keepNext w:val="0"/>
              <w:keepLines w:val="0"/>
              <w:suppressLineNumbers w:val="0"/>
              <w:spacing w:before="0" w:beforeAutospacing="0" w:after="0" w:afterAutospacing="0" w:line="360" w:lineRule="auto"/>
              <w:ind w:left="0" w:right="0"/>
              <w:rPr>
                <w:rFonts w:hint="eastAsia" w:ascii="宋体" w:hAnsi="宋体" w:eastAsia="宋体" w:cs="宋体"/>
                <w:bCs/>
                <w:color w:val="000000"/>
                <w:sz w:val="18"/>
                <w:szCs w:val="18"/>
              </w:rPr>
            </w:pPr>
            <w:r>
              <w:rPr>
                <w:rFonts w:hint="eastAsia" w:ascii="宋体" w:hAnsi="宋体" w:eastAsia="宋体" w:cs="宋体"/>
                <w:bCs/>
                <w:color w:val="000000"/>
                <w:sz w:val="18"/>
                <w:szCs w:val="18"/>
              </w:rPr>
              <w:t>■个人投资者</w:t>
            </w:r>
          </w:p>
          <w:p w14:paraId="7678062D">
            <w:pPr>
              <w:spacing w:line="360" w:lineRule="auto"/>
              <w:rPr>
                <w:rFonts w:ascii="宋体" w:hAnsi="宋体" w:eastAsia="宋体" w:cs="宋体"/>
                <w:bCs/>
                <w:sz w:val="18"/>
                <w:szCs w:val="18"/>
              </w:rPr>
            </w:pPr>
            <w:r>
              <w:rPr>
                <w:rFonts w:hint="eastAsia" w:ascii="宋体" w:hAnsi="宋体" w:eastAsia="宋体" w:cs="宋体"/>
                <w:bCs/>
                <w:color w:val="000000"/>
                <w:sz w:val="18"/>
                <w:szCs w:val="18"/>
              </w:rPr>
              <w:t>■机构投资者</w:t>
            </w:r>
          </w:p>
        </w:tc>
      </w:tr>
      <w:tr w14:paraId="0E444A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EE1748C">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bCs/>
                <w:sz w:val="18"/>
                <w:szCs w:val="18"/>
              </w:rPr>
              <w:t>销售场景</w:t>
            </w:r>
          </w:p>
        </w:tc>
        <w:tc>
          <w:tcPr>
            <w:tcW w:w="7674" w:type="dxa"/>
            <w:shd w:val="solid" w:color="FFFFFF" w:fill="FFFFFF"/>
            <w:vAlign w:val="center"/>
          </w:tcPr>
          <w:p w14:paraId="02E3C124">
            <w:pPr>
              <w:spacing w:line="360" w:lineRule="auto"/>
              <w:rPr>
                <w:rFonts w:ascii="宋体" w:hAnsi="宋体" w:eastAsia="宋体" w:cs="宋体"/>
                <w:bCs/>
                <w:sz w:val="18"/>
                <w:szCs w:val="18"/>
              </w:rPr>
            </w:pPr>
            <w:r>
              <w:rPr>
                <w:rFonts w:hint="eastAsia" w:ascii="宋体" w:hAnsi="宋体" w:eastAsia="宋体" w:cs="宋体"/>
                <w:bCs/>
                <w:sz w:val="18"/>
                <w:szCs w:val="18"/>
              </w:rPr>
              <w:t>本产品可在销售机构线上渠道和线下渠道等场景进行销售。</w:t>
            </w:r>
          </w:p>
          <w:p w14:paraId="4C27BD1F">
            <w:pPr>
              <w:spacing w:line="360" w:lineRule="auto"/>
              <w:rPr>
                <w:rFonts w:ascii="宋体" w:hAnsi="宋体" w:eastAsia="宋体" w:cs="宋体"/>
                <w:b/>
                <w:bCs/>
                <w:color w:val="000000"/>
                <w:sz w:val="18"/>
                <w:szCs w:val="18"/>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14:paraId="702DAA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0103380">
            <w:pPr>
              <w:spacing w:line="360" w:lineRule="auto"/>
              <w:jc w:val="left"/>
              <w:rPr>
                <w:rFonts w:ascii="Calibri" w:hAnsi="宋体" w:cs="宋体"/>
                <w:sz w:val="18"/>
                <w:szCs w:val="18"/>
              </w:rPr>
            </w:pPr>
            <w:r>
              <w:rPr>
                <w:rFonts w:hint="eastAsia" w:ascii="宋体" w:hAnsi="宋体" w:eastAsia="宋体" w:cs="宋体"/>
                <w:b/>
                <w:sz w:val="18"/>
                <w:szCs w:val="18"/>
              </w:rPr>
              <w:t>销售机构</w:t>
            </w:r>
          </w:p>
        </w:tc>
        <w:tc>
          <w:tcPr>
            <w:tcW w:w="7674" w:type="dxa"/>
            <w:shd w:val="solid" w:color="FFFFFF" w:fill="FFFFFF"/>
            <w:vAlign w:val="center"/>
          </w:tcPr>
          <w:p w14:paraId="1AA885AB">
            <w:pPr>
              <w:spacing w:line="360" w:lineRule="auto"/>
              <w:jc w:val="left"/>
              <w:rPr>
                <w:rFonts w:ascii="宋体" w:hAnsi="宋体" w:cs="宋体"/>
                <w:sz w:val="18"/>
                <w:szCs w:val="18"/>
              </w:rPr>
            </w:pPr>
            <w:r>
              <w:rPr>
                <w:rFonts w:hint="eastAsia" w:ascii="宋体" w:hAnsi="宋体" w:cs="宋体"/>
                <w:sz w:val="18"/>
                <w:szCs w:val="18"/>
              </w:rPr>
              <w:t>□ 直销适用</w:t>
            </w:r>
          </w:p>
          <w:p w14:paraId="3903FB02">
            <w:pPr>
              <w:spacing w:line="360" w:lineRule="auto"/>
              <w:jc w:val="left"/>
              <w:rPr>
                <w:rFonts w:ascii="宋体" w:hAnsi="宋体" w:cs="宋体"/>
                <w:sz w:val="18"/>
                <w:szCs w:val="18"/>
              </w:rPr>
            </w:pPr>
            <w:r>
              <w:rPr>
                <w:rFonts w:hint="eastAsia" w:ascii="宋体" w:hAnsi="宋体" w:cs="宋体"/>
                <w:sz w:val="18"/>
                <w:szCs w:val="18"/>
              </w:rPr>
              <w:t>本产品由产品管理人销售。</w:t>
            </w:r>
          </w:p>
          <w:p w14:paraId="7BE7B90D">
            <w:pPr>
              <w:spacing w:line="360" w:lineRule="auto"/>
              <w:jc w:val="left"/>
              <w:rPr>
                <w:rFonts w:ascii="宋体" w:hAnsi="宋体" w:cs="宋体"/>
                <w:sz w:val="18"/>
                <w:szCs w:val="18"/>
              </w:rPr>
            </w:pPr>
            <w:r>
              <w:rPr>
                <w:rFonts w:hint="eastAsia" w:ascii="宋体" w:hAnsi="宋体" w:cs="宋体"/>
                <w:bCs/>
                <w:sz w:val="18"/>
                <w:szCs w:val="18"/>
                <w:lang w:bidi="ar"/>
              </w:rPr>
              <w:t>■</w:t>
            </w:r>
            <w:r>
              <w:rPr>
                <w:rFonts w:hint="eastAsia" w:ascii="宋体" w:hAnsi="宋体" w:cs="宋体"/>
                <w:sz w:val="18"/>
                <w:szCs w:val="18"/>
              </w:rPr>
              <w:t xml:space="preserve"> 代销适用</w:t>
            </w:r>
          </w:p>
          <w:p w14:paraId="352E543B">
            <w:pPr>
              <w:spacing w:line="360" w:lineRule="auto"/>
              <w:jc w:val="left"/>
              <w:rPr>
                <w:rFonts w:ascii="宋体" w:hAnsi="宋体" w:cs="宋体"/>
                <w:sz w:val="18"/>
                <w:szCs w:val="18"/>
              </w:rPr>
            </w:pPr>
            <w:r>
              <w:rPr>
                <w:rFonts w:hint="eastAsia" w:ascii="宋体" w:hAnsi="宋体" w:cs="宋体"/>
                <w:sz w:val="18"/>
                <w:szCs w:val="18"/>
              </w:rPr>
              <w:t>本产品由代理销售机构</w:t>
            </w:r>
            <w:r>
              <w:rPr>
                <w:rFonts w:ascii="宋体" w:hAnsi="宋体" w:cs="宋体"/>
                <w:sz w:val="18"/>
                <w:szCs w:val="18"/>
              </w:rPr>
              <w:t>销售</w:t>
            </w:r>
            <w:r>
              <w:rPr>
                <w:rFonts w:hint="eastAsia" w:ascii="宋体" w:hAnsi="宋体" w:cs="宋体"/>
                <w:sz w:val="18"/>
                <w:szCs w:val="18"/>
              </w:rPr>
              <w:t>。</w:t>
            </w:r>
          </w:p>
          <w:p w14:paraId="61497ECE">
            <w:pPr>
              <w:spacing w:line="360" w:lineRule="auto"/>
              <w:rPr>
                <w:rFonts w:ascii="宋体" w:hAnsi="宋体" w:eastAsia="宋体" w:cs="宋体"/>
                <w:bCs/>
                <w:sz w:val="18"/>
                <w:szCs w:val="18"/>
              </w:rPr>
            </w:pPr>
            <w:r>
              <w:rPr>
                <w:rFonts w:hint="eastAsia" w:ascii="宋体" w:hAnsi="宋体" w:cs="宋体"/>
                <w:sz w:val="18"/>
                <w:szCs w:val="18"/>
              </w:rPr>
              <w:t>代理销售</w:t>
            </w:r>
            <w:r>
              <w:rPr>
                <w:rFonts w:ascii="宋体" w:hAnsi="宋体" w:cs="宋体"/>
                <w:sz w:val="18"/>
                <w:szCs w:val="18"/>
              </w:rPr>
              <w:t>机构</w:t>
            </w:r>
            <w:r>
              <w:rPr>
                <w:rFonts w:hint="eastAsia" w:ascii="宋体" w:hAnsi="宋体" w:cs="宋体"/>
                <w:sz w:val="18"/>
                <w:szCs w:val="18"/>
              </w:rPr>
              <w:t>合作业务</w:t>
            </w:r>
            <w:r>
              <w:rPr>
                <w:rFonts w:ascii="宋体" w:hAnsi="宋体" w:cs="宋体"/>
                <w:sz w:val="18"/>
                <w:szCs w:val="18"/>
              </w:rPr>
              <w:t>情况</w:t>
            </w:r>
            <w:r>
              <w:rPr>
                <w:rFonts w:hint="eastAsia" w:ascii="宋体" w:hAnsi="宋体" w:cs="宋体"/>
                <w:sz w:val="18"/>
                <w:szCs w:val="18"/>
              </w:rPr>
              <w:t>以</w:t>
            </w:r>
            <w:r>
              <w:rPr>
                <w:rFonts w:ascii="宋体" w:hAnsi="宋体" w:cs="宋体"/>
                <w:sz w:val="18"/>
                <w:szCs w:val="18"/>
              </w:rPr>
              <w:t>产品管理人</w:t>
            </w:r>
            <w:r>
              <w:rPr>
                <w:rFonts w:hint="eastAsia" w:ascii="宋体" w:hAnsi="宋体" w:cs="宋体"/>
                <w:sz w:val="18"/>
                <w:szCs w:val="18"/>
              </w:rPr>
              <w:t>公告为准，</w:t>
            </w:r>
            <w:r>
              <w:rPr>
                <w:rFonts w:ascii="宋体" w:hAnsi="宋体" w:cs="宋体"/>
                <w:sz w:val="18"/>
                <w:szCs w:val="18"/>
              </w:rPr>
              <w:t>具体代理</w:t>
            </w:r>
            <w:r>
              <w:rPr>
                <w:rFonts w:hint="eastAsia" w:ascii="宋体" w:hAnsi="宋体" w:cs="宋体"/>
                <w:sz w:val="18"/>
                <w:szCs w:val="18"/>
              </w:rPr>
              <w:t>销售机构</w:t>
            </w:r>
            <w:r>
              <w:rPr>
                <w:rFonts w:ascii="宋体" w:hAnsi="宋体" w:cs="宋体"/>
                <w:sz w:val="18"/>
                <w:szCs w:val="18"/>
              </w:rPr>
              <w:t>以《</w:t>
            </w:r>
            <w:r>
              <w:rPr>
                <w:rFonts w:hint="eastAsia" w:ascii="宋体" w:hAnsi="宋体" w:cs="宋体"/>
                <w:sz w:val="18"/>
                <w:szCs w:val="18"/>
              </w:rPr>
              <w:t>（代理）</w:t>
            </w:r>
            <w:r>
              <w:rPr>
                <w:rFonts w:ascii="宋体" w:hAnsi="宋体" w:cs="宋体"/>
                <w:sz w:val="18"/>
                <w:szCs w:val="18"/>
              </w:rPr>
              <w:t>销售协议书》</w:t>
            </w:r>
            <w:r>
              <w:rPr>
                <w:rFonts w:hint="eastAsia" w:ascii="宋体" w:hAnsi="宋体" w:cs="宋体"/>
                <w:sz w:val="18"/>
                <w:szCs w:val="18"/>
              </w:rPr>
              <w:t>为准</w:t>
            </w:r>
            <w:r>
              <w:rPr>
                <w:rFonts w:ascii="宋体" w:hAnsi="宋体" w:cs="宋体"/>
                <w:sz w:val="18"/>
                <w:szCs w:val="18"/>
              </w:rPr>
              <w:t>。</w:t>
            </w:r>
          </w:p>
        </w:tc>
      </w:tr>
      <w:tr w14:paraId="53EEE0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325B029">
            <w:pPr>
              <w:spacing w:line="360" w:lineRule="auto"/>
              <w:jc w:val="left"/>
              <w:rPr>
                <w:rFonts w:ascii="Calibri" w:hAnsi="宋体" w:cs="宋体"/>
                <w:sz w:val="18"/>
                <w:szCs w:val="18"/>
              </w:rPr>
            </w:pPr>
            <w:r>
              <w:rPr>
                <w:rFonts w:hint="eastAsia" w:ascii="宋体" w:hAnsi="宋体" w:eastAsia="宋体" w:cs="宋体"/>
                <w:b/>
                <w:bCs/>
                <w:sz w:val="18"/>
                <w:szCs w:val="18"/>
              </w:rPr>
              <w:t>理财产品</w:t>
            </w:r>
            <w:r>
              <w:rPr>
                <w:rFonts w:ascii="宋体" w:hAnsi="宋体" w:eastAsia="宋体" w:cs="宋体"/>
                <w:b/>
                <w:bCs/>
                <w:sz w:val="18"/>
                <w:szCs w:val="18"/>
              </w:rPr>
              <w:t>管理人</w:t>
            </w:r>
          </w:p>
        </w:tc>
        <w:tc>
          <w:tcPr>
            <w:tcW w:w="7674" w:type="dxa"/>
            <w:shd w:val="solid" w:color="FFFFFF" w:fill="FFFFFF"/>
            <w:vAlign w:val="center"/>
          </w:tcPr>
          <w:p w14:paraId="137CD87E">
            <w:pPr>
              <w:spacing w:line="360" w:lineRule="auto"/>
              <w:rPr>
                <w:rFonts w:ascii="宋体" w:hAnsi="宋体" w:eastAsia="宋体" w:cs="宋体"/>
                <w:bCs/>
                <w:sz w:val="18"/>
                <w:szCs w:val="18"/>
              </w:rPr>
            </w:pPr>
            <w:r>
              <w:rPr>
                <w:rFonts w:hint="eastAsia" w:ascii="黑体" w:hAnsi="黑体" w:eastAsia="黑体" w:cs="黑体"/>
                <w:bCs/>
                <w:sz w:val="18"/>
                <w:szCs w:val="18"/>
              </w:rPr>
              <w:t>兴银理财有限责任公司</w:t>
            </w:r>
          </w:p>
        </w:tc>
      </w:tr>
      <w:tr w14:paraId="28E0C3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B0F6CD7">
            <w:pPr>
              <w:spacing w:line="360" w:lineRule="auto"/>
              <w:jc w:val="left"/>
              <w:rPr>
                <w:rFonts w:ascii="Calibri" w:hAnsi="宋体" w:cs="宋体"/>
                <w:sz w:val="18"/>
                <w:szCs w:val="18"/>
              </w:rPr>
            </w:pPr>
            <w:r>
              <w:rPr>
                <w:rFonts w:hint="eastAsia" w:ascii="宋体" w:hAnsi="宋体" w:eastAsia="宋体" w:cs="宋体"/>
                <w:b/>
                <w:bCs/>
                <w:sz w:val="18"/>
                <w:szCs w:val="18"/>
              </w:rPr>
              <w:t>理财产品托管人</w:t>
            </w:r>
          </w:p>
        </w:tc>
        <w:tc>
          <w:tcPr>
            <w:tcW w:w="7674" w:type="dxa"/>
            <w:shd w:val="solid" w:color="FFFFFF" w:fill="FFFFFF"/>
            <w:vAlign w:val="center"/>
          </w:tcPr>
          <w:p w14:paraId="7FB1E635">
            <w:pPr>
              <w:spacing w:line="360" w:lineRule="auto"/>
              <w:rPr>
                <w:rFonts w:ascii="宋体" w:hAnsi="宋体" w:eastAsia="宋体" w:cs="宋体"/>
                <w:bCs/>
                <w:sz w:val="18"/>
                <w:szCs w:val="18"/>
              </w:rPr>
            </w:pPr>
            <w:r>
              <w:rPr>
                <w:rFonts w:hint="eastAsia" w:ascii="宋体" w:hAnsi="宋体" w:eastAsia="宋体" w:cs="宋体"/>
                <w:bCs/>
                <w:sz w:val="18"/>
                <w:szCs w:val="18"/>
              </w:rPr>
              <w:t>中国工商银行股份有限公司</w:t>
            </w:r>
          </w:p>
        </w:tc>
      </w:tr>
      <w:tr w14:paraId="22749B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DB2A7FB">
            <w:pPr>
              <w:spacing w:line="360" w:lineRule="auto"/>
              <w:jc w:val="left"/>
              <w:rPr>
                <w:rFonts w:ascii="宋体" w:hAnsi="宋体" w:eastAsia="宋体" w:cs="宋体"/>
                <w:b/>
                <w:bCs/>
                <w:sz w:val="18"/>
                <w:szCs w:val="18"/>
              </w:rPr>
            </w:pPr>
            <w:r>
              <w:rPr>
                <w:rFonts w:hint="eastAsia" w:ascii="宋体" w:hAnsi="宋体" w:eastAsia="宋体" w:cs="宋体"/>
                <w:b/>
                <w:bCs/>
                <w:sz w:val="18"/>
                <w:szCs w:val="18"/>
              </w:rPr>
              <w:t>产品规模</w:t>
            </w:r>
          </w:p>
        </w:tc>
        <w:tc>
          <w:tcPr>
            <w:tcW w:w="7674" w:type="dxa"/>
            <w:shd w:val="solid" w:color="FFFFFF" w:fill="FFFFFF"/>
            <w:vAlign w:val="center"/>
          </w:tcPr>
          <w:p w14:paraId="094CB38E">
            <w:pPr>
              <w:spacing w:line="360" w:lineRule="auto"/>
              <w:rPr>
                <w:rFonts w:ascii="宋体" w:hAnsi="宋体" w:eastAsia="宋体" w:cs="宋体"/>
                <w:bCs/>
                <w:sz w:val="18"/>
                <w:szCs w:val="18"/>
              </w:rPr>
            </w:pPr>
            <w:r>
              <w:rPr>
                <w:rFonts w:hint="eastAsia" w:ascii="宋体" w:hAnsi="宋体" w:eastAsia="宋体" w:cs="宋体"/>
                <w:bCs/>
                <w:sz w:val="18"/>
                <w:szCs w:val="18"/>
              </w:rPr>
              <w:t>1.本产品计划初始</w:t>
            </w:r>
            <w:r>
              <w:rPr>
                <w:rFonts w:ascii="宋体" w:hAnsi="宋体" w:eastAsia="宋体" w:cs="宋体"/>
                <w:bCs/>
                <w:sz w:val="18"/>
                <w:szCs w:val="18"/>
              </w:rPr>
              <w:t>募集</w:t>
            </w:r>
            <w:r>
              <w:rPr>
                <w:rFonts w:hint="eastAsia" w:ascii="宋体" w:hAnsi="宋体" w:eastAsia="宋体" w:cs="宋体"/>
                <w:bCs/>
                <w:sz w:val="18"/>
                <w:szCs w:val="18"/>
              </w:rPr>
              <w:t>规模为【2】亿元，最小成立规模为【/】亿元。</w:t>
            </w:r>
          </w:p>
          <w:p w14:paraId="370032A8">
            <w:pPr>
              <w:spacing w:line="360" w:lineRule="auto"/>
              <w:rPr>
                <w:rFonts w:ascii="宋体" w:hAnsi="宋体" w:eastAsia="宋体" w:cs="宋体"/>
                <w:bCs/>
                <w:sz w:val="18"/>
                <w:szCs w:val="18"/>
              </w:rPr>
            </w:pPr>
            <w:r>
              <w:rPr>
                <w:rFonts w:hint="eastAsia" w:ascii="宋体" w:hAnsi="宋体" w:eastAsia="宋体" w:cs="宋体"/>
                <w:bCs/>
                <w:sz w:val="18"/>
                <w:szCs w:val="18"/>
              </w:rPr>
              <w:t>2.产品管理人</w:t>
            </w:r>
            <w:r>
              <w:rPr>
                <w:rFonts w:ascii="宋体" w:hAnsi="宋体" w:eastAsia="宋体" w:cs="宋体"/>
                <w:bCs/>
                <w:sz w:val="18"/>
                <w:szCs w:val="18"/>
              </w:rPr>
              <w:t>有权根据实际需要对产品规模进行调整，产品最终规模以</w:t>
            </w:r>
            <w:r>
              <w:rPr>
                <w:rFonts w:hint="eastAsia" w:ascii="宋体" w:hAnsi="宋体" w:eastAsia="宋体" w:cs="宋体"/>
                <w:bCs/>
                <w:sz w:val="18"/>
                <w:szCs w:val="18"/>
              </w:rPr>
              <w:t>产品管理人</w:t>
            </w:r>
            <w:r>
              <w:rPr>
                <w:rFonts w:ascii="宋体" w:hAnsi="宋体" w:eastAsia="宋体" w:cs="宋体"/>
                <w:bCs/>
                <w:sz w:val="18"/>
                <w:szCs w:val="18"/>
              </w:rPr>
              <w:t>实际募集/管理的</w:t>
            </w:r>
            <w:r>
              <w:rPr>
                <w:rFonts w:hint="eastAsia" w:ascii="宋体" w:hAnsi="宋体" w:eastAsia="宋体" w:cs="宋体"/>
                <w:bCs/>
                <w:sz w:val="18"/>
                <w:szCs w:val="18"/>
              </w:rPr>
              <w:t>金</w:t>
            </w:r>
            <w:r>
              <w:rPr>
                <w:rFonts w:ascii="宋体" w:hAnsi="宋体" w:eastAsia="宋体" w:cs="宋体"/>
                <w:bCs/>
                <w:sz w:val="18"/>
                <w:szCs w:val="18"/>
              </w:rPr>
              <w:t>额为准。</w:t>
            </w:r>
          </w:p>
        </w:tc>
      </w:tr>
      <w:tr w14:paraId="703BEB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2DB7B8E">
            <w:pPr>
              <w:spacing w:line="360" w:lineRule="auto"/>
              <w:jc w:val="left"/>
              <w:rPr>
                <w:rFonts w:ascii="宋体" w:hAnsi="宋体" w:eastAsia="宋体" w:cs="宋体"/>
                <w:b/>
                <w:bCs/>
                <w:sz w:val="18"/>
                <w:szCs w:val="18"/>
              </w:rPr>
            </w:pPr>
            <w:r>
              <w:rPr>
                <w:rFonts w:hint="eastAsia" w:ascii="宋体" w:hAnsi="宋体" w:eastAsia="宋体" w:cs="宋体"/>
                <w:b/>
                <w:sz w:val="18"/>
                <w:szCs w:val="18"/>
              </w:rPr>
              <w:t>产品期限</w:t>
            </w:r>
          </w:p>
        </w:tc>
        <w:tc>
          <w:tcPr>
            <w:tcW w:w="7674" w:type="dxa"/>
            <w:shd w:val="solid" w:color="FFFFFF" w:fill="FFFFFF"/>
            <w:vAlign w:val="center"/>
          </w:tcPr>
          <w:p w14:paraId="303B4222">
            <w:pPr>
              <w:keepNext w:val="0"/>
              <w:keepLines w:val="0"/>
              <w:suppressLineNumbers w:val="0"/>
              <w:spacing w:before="0" w:beforeAutospacing="0" w:after="0" w:afterAutospacing="0" w:line="360" w:lineRule="auto"/>
              <w:ind w:left="0" w:right="0"/>
              <w:rPr>
                <w:rFonts w:hint="eastAsia" w:ascii="黑体" w:hAnsi="黑体" w:eastAsia="黑体" w:cs="宋体"/>
                <w:bCs/>
                <w:sz w:val="18"/>
                <w:szCs w:val="18"/>
              </w:rPr>
            </w:pPr>
            <w:r>
              <w:rPr>
                <w:rFonts w:hint="eastAsia" w:ascii="黑体" w:hAnsi="黑体" w:eastAsia="黑体" w:cs="宋体"/>
                <w:bCs/>
                <w:sz w:val="18"/>
                <w:szCs w:val="18"/>
              </w:rPr>
              <w:t>■有固定期限:【1094天】</w:t>
            </w:r>
          </w:p>
          <w:p w14:paraId="74D0AF8B">
            <w:pPr>
              <w:keepNext w:val="0"/>
              <w:keepLines w:val="0"/>
              <w:suppressLineNumbers w:val="0"/>
              <w:spacing w:before="0" w:beforeAutospacing="0" w:after="0" w:afterAutospacing="0" w:line="360" w:lineRule="auto"/>
              <w:ind w:left="0" w:right="0"/>
              <w:rPr>
                <w:rFonts w:hint="eastAsia" w:ascii="黑体" w:hAnsi="黑体" w:eastAsia="黑体" w:cs="宋体"/>
                <w:bCs/>
                <w:sz w:val="18"/>
                <w:szCs w:val="18"/>
              </w:rPr>
            </w:pPr>
            <w:r>
              <w:rPr>
                <w:rFonts w:hint="eastAsia" w:ascii="黑体" w:hAnsi="黑体" w:eastAsia="黑体" w:cs="宋体"/>
                <w:bCs/>
                <w:sz w:val="18"/>
                <w:szCs w:val="18"/>
              </w:rPr>
              <w:t>□无固定期限</w:t>
            </w:r>
          </w:p>
          <w:p w14:paraId="53DDFB15">
            <w:pPr>
              <w:spacing w:line="360" w:lineRule="auto"/>
              <w:rPr>
                <w:rFonts w:ascii="宋体" w:hAnsi="宋体" w:eastAsia="宋体" w:cs="宋体"/>
                <w:bCs/>
                <w:sz w:val="18"/>
                <w:szCs w:val="18"/>
              </w:rPr>
            </w:pPr>
            <w:r>
              <w:rPr>
                <w:rFonts w:hint="eastAsia" w:ascii="黑体" w:hAnsi="黑体" w:eastAsia="黑体" w:cs="宋体"/>
                <w:bCs/>
                <w:sz w:val="18"/>
                <w:szCs w:val="18"/>
              </w:rPr>
              <w:t>注：本产品的实际期限受制于本理财产品销售文件“提前终止”及“延期终止”情形。</w:t>
            </w:r>
          </w:p>
        </w:tc>
      </w:tr>
      <w:tr w14:paraId="312D82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E443CA9">
            <w:pPr>
              <w:spacing w:line="360" w:lineRule="auto"/>
              <w:jc w:val="left"/>
              <w:rPr>
                <w:rFonts w:ascii="宋体" w:hAnsi="宋体" w:eastAsia="宋体" w:cs="宋体"/>
                <w:b/>
                <w:bCs/>
                <w:sz w:val="18"/>
                <w:szCs w:val="18"/>
              </w:rPr>
            </w:pPr>
            <w:r>
              <w:rPr>
                <w:rFonts w:hint="eastAsia" w:ascii="宋体" w:hAnsi="宋体" w:cs="宋体"/>
                <w:b/>
                <w:sz w:val="18"/>
                <w:szCs w:val="18"/>
              </w:rPr>
              <w:t>认购期/募集期</w:t>
            </w:r>
          </w:p>
        </w:tc>
        <w:tc>
          <w:tcPr>
            <w:tcW w:w="7674" w:type="dxa"/>
            <w:shd w:val="solid" w:color="FFFFFF" w:fill="FFFFFF"/>
            <w:vAlign w:val="center"/>
          </w:tcPr>
          <w:p w14:paraId="115E25B8">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w:t>
            </w:r>
            <w:r>
              <w:rPr>
                <w:rFonts w:ascii="宋体" w:hAnsi="宋体" w:cs="宋体"/>
                <w:bCs/>
                <w:sz w:val="18"/>
                <w:szCs w:val="18"/>
              </w:rPr>
              <w:t>本产品认购期/募集期为</w:t>
            </w:r>
            <w:r>
              <w:rPr>
                <w:rFonts w:hint="eastAsia" w:ascii="宋体" w:hAnsi="宋体" w:cs="宋体"/>
                <w:bCs/>
                <w:sz w:val="18"/>
                <w:szCs w:val="18"/>
              </w:rPr>
              <w:t>：</w:t>
            </w:r>
            <w:r>
              <w:rPr>
                <w:rFonts w:hint="eastAsia" w:ascii="宋体" w:hAnsi="宋体" w:eastAsia="宋体" w:cs="宋体"/>
                <w:kern w:val="2"/>
                <w:sz w:val="18"/>
                <w:szCs w:val="18"/>
                <w:lang w:val="en-US" w:eastAsia="zh-CN" w:bidi="ar"/>
              </w:rPr>
              <w:t>【2026年07月14日】【09:00】至【2026年07月27日】【17:00】</w:t>
            </w:r>
            <w:r>
              <w:rPr>
                <w:rFonts w:ascii="宋体" w:hAnsi="宋体" w:eastAsia="宋体" w:cs="宋体"/>
                <w:sz w:val="18"/>
                <w:szCs w:val="18"/>
              </w:rPr>
              <w:t>。</w:t>
            </w:r>
          </w:p>
          <w:p w14:paraId="5D1F7DCC">
            <w:pPr>
              <w:spacing w:line="360" w:lineRule="auto"/>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.投资者在认购期/募集</w:t>
            </w:r>
            <w:r>
              <w:rPr>
                <w:rFonts w:hint="eastAsia" w:ascii="宋体" w:hAnsi="宋体" w:cs="宋体"/>
                <w:sz w:val="18"/>
                <w:szCs w:val="22"/>
              </w:rPr>
              <w:t>期内认购</w:t>
            </w:r>
            <w:r>
              <w:rPr>
                <w:rFonts w:hint="eastAsia" w:ascii="宋体" w:hAnsi="宋体" w:cs="宋体"/>
                <w:bCs/>
                <w:sz w:val="18"/>
                <w:szCs w:val="18"/>
              </w:rPr>
              <w:t>本</w:t>
            </w:r>
            <w:r>
              <w:rPr>
                <w:rFonts w:hint="eastAsia" w:ascii="宋体" w:hAnsi="宋体" w:cs="宋体"/>
                <w:sz w:val="18"/>
                <w:szCs w:val="22"/>
              </w:rPr>
              <w:t>理财</w:t>
            </w:r>
            <w:r>
              <w:rPr>
                <w:rFonts w:hint="eastAsia" w:ascii="宋体" w:hAnsi="宋体" w:cs="宋体"/>
                <w:bCs/>
                <w:sz w:val="18"/>
                <w:szCs w:val="18"/>
              </w:rPr>
              <w:t>产品后，</w:t>
            </w:r>
            <w:r>
              <w:rPr>
                <w:rFonts w:hint="eastAsia" w:ascii="宋体" w:hAnsi="宋体" w:cs="宋体"/>
                <w:sz w:val="18"/>
                <w:szCs w:val="22"/>
              </w:rPr>
              <w:t>理财</w:t>
            </w:r>
            <w:r>
              <w:rPr>
                <w:rFonts w:hint="eastAsia" w:ascii="宋体" w:hAnsi="宋体" w:cs="宋体"/>
                <w:bCs/>
                <w:sz w:val="18"/>
                <w:szCs w:val="18"/>
              </w:rPr>
              <w:t>资金将在成立日开始进行投资。</w:t>
            </w:r>
          </w:p>
          <w:p w14:paraId="5BCF0AEC">
            <w:pPr>
              <w:spacing w:line="360" w:lineRule="auto"/>
              <w:rPr>
                <w:rFonts w:ascii="宋体" w:hAnsi="宋体" w:cs="宋体"/>
                <w:sz w:val="18"/>
                <w:szCs w:val="22"/>
              </w:rPr>
            </w:pPr>
            <w:r>
              <w:rPr>
                <w:rFonts w:ascii="宋体" w:hAnsi="宋体" w:cs="宋体"/>
                <w:bCs/>
                <w:sz w:val="18"/>
                <w:szCs w:val="18"/>
              </w:rPr>
              <w:t>3</w:t>
            </w:r>
            <w:r>
              <w:rPr>
                <w:rFonts w:hint="eastAsia" w:ascii="宋体" w:hAnsi="宋体" w:cs="宋体"/>
                <w:bCs/>
                <w:sz w:val="18"/>
                <w:szCs w:val="18"/>
              </w:rPr>
              <w:t>.投资者认购资金实际扣划至管理人募集账户后，认购资金在认购期/募集期内产生的利息（如有）归投资者所有；投资者认购资金实际扣划至管理人募集账户前的计息规则，具体以销售机构实际情况为准</w:t>
            </w:r>
            <w:r>
              <w:rPr>
                <w:rFonts w:hint="eastAsia" w:ascii="宋体" w:hAnsi="宋体" w:cs="宋体"/>
                <w:sz w:val="18"/>
                <w:szCs w:val="22"/>
              </w:rPr>
              <w:t>。</w:t>
            </w:r>
          </w:p>
          <w:p w14:paraId="72B81AF0">
            <w:pPr>
              <w:spacing w:line="360" w:lineRule="auto"/>
              <w:rPr>
                <w:rFonts w:ascii="黑体" w:hAnsi="黑体" w:eastAsia="黑体" w:cs="黑体"/>
                <w:bCs/>
                <w:color w:val="000000"/>
                <w:sz w:val="18"/>
                <w:szCs w:val="18"/>
              </w:rPr>
            </w:pPr>
            <w:r>
              <w:rPr>
                <w:rFonts w:hint="eastAsia" w:ascii="黑体" w:hAnsi="黑体" w:eastAsia="黑体" w:cs="黑体"/>
                <w:bCs/>
                <w:color w:val="000000"/>
                <w:sz w:val="18"/>
                <w:szCs w:val="18"/>
              </w:rPr>
              <w:t>注：关于代理销售机构的实际工作服务时段的提示</w:t>
            </w:r>
          </w:p>
          <w:p w14:paraId="7766ABB2">
            <w:pPr>
              <w:spacing w:line="360" w:lineRule="auto"/>
              <w:rPr>
                <w:rFonts w:ascii="黑体" w:hAnsi="黑体" w:eastAsia="黑体" w:cs="黑体"/>
                <w:bCs/>
                <w:color w:val="000000"/>
                <w:sz w:val="18"/>
                <w:szCs w:val="18"/>
              </w:rPr>
            </w:pPr>
            <w:r>
              <w:rPr>
                <w:rFonts w:hint="eastAsia" w:ascii="黑体" w:hAnsi="黑体" w:eastAsia="黑体" w:cs="黑体"/>
                <w:bCs/>
                <w:color w:val="000000"/>
                <w:sz w:val="18"/>
                <w:szCs w:val="18"/>
              </w:rPr>
              <w:t>①为本产品办理相关交易的实际工作服务时段，因代理销售机构的不同可能存在差异（可能晚于销售文件约定的起始时点开始或早于销售文件约定的终止时点结束），投资者应当以代理销售机构的展示为准。</w:t>
            </w:r>
          </w:p>
          <w:p w14:paraId="2DF274D3">
            <w:pPr>
              <w:spacing w:line="360" w:lineRule="auto"/>
              <w:rPr>
                <w:rFonts w:ascii="宋体" w:hAnsi="宋体" w:eastAsia="宋体" w:cs="宋体"/>
                <w:bCs/>
                <w:sz w:val="18"/>
                <w:szCs w:val="18"/>
              </w:rPr>
            </w:pPr>
            <w:r>
              <w:rPr>
                <w:rFonts w:hint="eastAsia" w:ascii="黑体" w:hAnsi="黑体" w:eastAsia="黑体" w:cs="黑体"/>
                <w:bCs/>
                <w:color w:val="000000"/>
                <w:sz w:val="18"/>
                <w:szCs w:val="18"/>
              </w:rPr>
              <w:t>②代理销售机构的实际工作服务时段，最早不得早于销售文件约定的起始时点、最晚不得晚于销售文件约定的终止时点。</w:t>
            </w:r>
          </w:p>
        </w:tc>
      </w:tr>
      <w:tr w14:paraId="043B85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C3A3338">
            <w:pPr>
              <w:spacing w:line="360" w:lineRule="auto"/>
              <w:jc w:val="left"/>
              <w:rPr>
                <w:rFonts w:ascii="宋体" w:hAnsi="宋体" w:eastAsia="宋体" w:cs="宋体"/>
                <w:b/>
                <w:bCs/>
                <w:sz w:val="18"/>
                <w:szCs w:val="18"/>
              </w:rPr>
            </w:pPr>
            <w:r>
              <w:rPr>
                <w:rFonts w:hint="eastAsia" w:ascii="Calibri" w:hAnsi="宋体" w:cs="宋体"/>
                <w:sz w:val="18"/>
                <w:szCs w:val="18"/>
              </w:rPr>
              <w:t>★</w:t>
            </w:r>
            <w:r>
              <w:rPr>
                <w:rFonts w:hint="eastAsia" w:ascii="宋体" w:hAnsi="宋体" w:eastAsia="宋体" w:cs="宋体"/>
                <w:b/>
                <w:bCs/>
                <w:sz w:val="18"/>
                <w:szCs w:val="18"/>
              </w:rPr>
              <w:t>投资冷静期</w:t>
            </w:r>
          </w:p>
        </w:tc>
        <w:tc>
          <w:tcPr>
            <w:tcW w:w="7674" w:type="dxa"/>
            <w:shd w:val="solid" w:color="FFFFFF" w:fill="FFFFFF"/>
            <w:vAlign w:val="center"/>
          </w:tcPr>
          <w:p w14:paraId="3674F523">
            <w:pPr>
              <w:spacing w:line="360" w:lineRule="auto"/>
              <w:rPr>
                <w:rFonts w:ascii="宋体" w:hAnsi="宋体" w:eastAsia="宋体" w:cs="宋体"/>
                <w:bCs/>
                <w:sz w:val="18"/>
                <w:szCs w:val="18"/>
              </w:rPr>
            </w:pPr>
            <w:r>
              <w:rPr>
                <w:rFonts w:hint="eastAsia" w:ascii="宋体" w:hAnsi="宋体" w:eastAsia="宋体" w:cs="宋体"/>
                <w:bCs/>
                <w:sz w:val="18"/>
                <w:szCs w:val="18"/>
              </w:rPr>
              <w:t>本产品为公募理财产品，无投资冷静期设置。</w:t>
            </w:r>
          </w:p>
        </w:tc>
      </w:tr>
      <w:tr w14:paraId="19802A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071BAB9">
            <w:pPr>
              <w:spacing w:line="360" w:lineRule="auto"/>
              <w:jc w:val="left"/>
              <w:rPr>
                <w:rFonts w:ascii="宋体" w:hAnsi="宋体" w:eastAsia="宋体" w:cs="宋体"/>
                <w:b/>
                <w:bCs/>
                <w:sz w:val="18"/>
                <w:szCs w:val="18"/>
              </w:rPr>
            </w:pPr>
            <w:r>
              <w:rPr>
                <w:rFonts w:hint="eastAsia" w:ascii="宋体" w:hAnsi="宋体" w:cs="宋体"/>
                <w:b/>
                <w:bCs/>
                <w:sz w:val="18"/>
                <w:szCs w:val="18"/>
              </w:rPr>
              <w:t>成立日</w:t>
            </w:r>
          </w:p>
        </w:tc>
        <w:tc>
          <w:tcPr>
            <w:tcW w:w="7674" w:type="dxa"/>
            <w:shd w:val="solid" w:color="FFFFFF" w:fill="FFFFFF"/>
            <w:vAlign w:val="center"/>
          </w:tcPr>
          <w:p w14:paraId="6ED0E823">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.本产品的计划成立日为</w:t>
            </w:r>
            <w:r>
              <w:rPr>
                <w:rFonts w:ascii="宋体" w:hAnsi="宋体" w:cs="宋体"/>
                <w:bCs/>
                <w:sz w:val="18"/>
                <w:szCs w:val="18"/>
              </w:rPr>
              <w:t>：</w:t>
            </w:r>
            <w:r>
              <w:rPr>
                <w:rFonts w:hint="eastAsia" w:ascii="宋体" w:hAnsi="宋体" w:cs="Times New Roman"/>
                <w:sz w:val="18"/>
                <w:szCs w:val="18"/>
              </w:rPr>
              <w:t>【2026年07月28日】（遇节假日顺延）</w:t>
            </w:r>
            <w:r>
              <w:rPr>
                <w:rFonts w:hint="eastAsia" w:ascii="宋体" w:hAnsi="宋体" w:cs="宋体"/>
                <w:bCs/>
                <w:sz w:val="18"/>
                <w:szCs w:val="18"/>
              </w:rPr>
              <w:t>。</w:t>
            </w:r>
          </w:p>
          <w:p w14:paraId="592C4CD1">
            <w:pPr>
              <w:spacing w:line="360" w:lineRule="auto"/>
              <w:rPr>
                <w:rFonts w:ascii="宋体" w:hAnsi="宋体" w:eastAsia="宋体" w:cs="宋体"/>
                <w:bCs/>
                <w:sz w:val="18"/>
                <w:szCs w:val="18"/>
              </w:rPr>
            </w:pPr>
            <w:r>
              <w:rPr>
                <w:rFonts w:ascii="宋体" w:hAnsi="宋体" w:cs="宋体"/>
                <w:bCs/>
                <w:sz w:val="18"/>
                <w:szCs w:val="18"/>
              </w:rPr>
              <w:t>2</w:t>
            </w:r>
            <w:r>
              <w:rPr>
                <w:rFonts w:hint="eastAsia" w:ascii="宋体" w:hAnsi="宋体" w:cs="宋体"/>
                <w:bCs/>
                <w:sz w:val="18"/>
                <w:szCs w:val="18"/>
              </w:rPr>
              <w:t>.</w:t>
            </w:r>
            <w:r>
              <w:rPr>
                <w:rFonts w:ascii="宋体" w:hAnsi="宋体" w:cs="宋体"/>
                <w:bCs/>
                <w:sz w:val="18"/>
                <w:szCs w:val="18"/>
              </w:rPr>
              <w:t>产品管理人有权根据实际募集情况提前或延后产品成立日期，并相应调整其他产品要素</w:t>
            </w:r>
            <w:r>
              <w:rPr>
                <w:rFonts w:hint="eastAsia" w:ascii="宋体" w:hAnsi="宋体" w:cs="宋体"/>
                <w:bCs/>
                <w:sz w:val="18"/>
                <w:szCs w:val="18"/>
              </w:rPr>
              <w:t>，</w:t>
            </w:r>
            <w:r>
              <w:rPr>
                <w:rFonts w:ascii="宋体" w:hAnsi="宋体" w:cs="宋体"/>
                <w:bCs/>
                <w:sz w:val="18"/>
                <w:szCs w:val="18"/>
              </w:rPr>
              <w:t>将依约</w:t>
            </w:r>
            <w:r>
              <w:rPr>
                <w:rFonts w:hint="eastAsia" w:ascii="宋体" w:hAnsi="宋体" w:cs="宋体"/>
                <w:bCs/>
                <w:sz w:val="18"/>
                <w:szCs w:val="18"/>
              </w:rPr>
              <w:t>定进行公告。</w:t>
            </w:r>
          </w:p>
        </w:tc>
      </w:tr>
      <w:tr w14:paraId="34C0C08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6DBEE6A">
            <w:pPr>
              <w:spacing w:line="360" w:lineRule="auto"/>
              <w:jc w:val="left"/>
              <w:rPr>
                <w:rFonts w:ascii="宋体" w:hAnsi="宋体" w:cs="宋体"/>
                <w:b/>
                <w:bCs/>
                <w:sz w:val="18"/>
                <w:szCs w:val="18"/>
              </w:rPr>
            </w:pPr>
            <w:r>
              <w:rPr>
                <w:rFonts w:hint="eastAsia" w:ascii="宋体" w:hAnsi="宋体" w:cs="宋体"/>
                <w:b/>
                <w:bCs/>
                <w:sz w:val="18"/>
                <w:szCs w:val="18"/>
              </w:rPr>
              <w:t>终止日</w:t>
            </w:r>
          </w:p>
        </w:tc>
        <w:tc>
          <w:tcPr>
            <w:tcW w:w="7674" w:type="dxa"/>
            <w:shd w:val="solid" w:color="FFFFFF" w:fill="FFFFFF"/>
            <w:vAlign w:val="center"/>
          </w:tcPr>
          <w:p w14:paraId="7BAF8182">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.本产品的计划终止日为</w:t>
            </w:r>
            <w:r>
              <w:rPr>
                <w:rFonts w:ascii="宋体" w:hAnsi="宋体" w:cs="宋体"/>
                <w:bCs/>
                <w:sz w:val="18"/>
                <w:szCs w:val="18"/>
              </w:rPr>
              <w:t>：</w:t>
            </w:r>
            <w:r>
              <w:rPr>
                <w:rFonts w:hint="eastAsia" w:ascii="宋体" w:hAnsi="宋体" w:cs="Times New Roman"/>
                <w:sz w:val="18"/>
                <w:szCs w:val="18"/>
              </w:rPr>
              <w:t>【2029年07月26日】（遇节假日顺延）</w:t>
            </w:r>
            <w:r>
              <w:rPr>
                <w:rFonts w:hint="eastAsia" w:ascii="宋体" w:hAnsi="宋体" w:cs="宋体"/>
                <w:bCs/>
                <w:sz w:val="18"/>
                <w:szCs w:val="18"/>
              </w:rPr>
              <w:t>。</w:t>
            </w:r>
          </w:p>
          <w:p w14:paraId="47BA5355">
            <w:pPr>
              <w:spacing w:line="360" w:lineRule="auto"/>
              <w:rPr>
                <w:rFonts w:ascii="宋体" w:hAnsi="宋体" w:cs="Times New Roman"/>
                <w:sz w:val="18"/>
                <w:szCs w:val="18"/>
              </w:rPr>
            </w:pPr>
            <w:r>
              <w:rPr>
                <w:rFonts w:hint="eastAsia" w:ascii="宋体" w:hAnsi="宋体" w:cs="宋体"/>
                <w:bCs/>
                <w:sz w:val="18"/>
                <w:szCs w:val="18"/>
              </w:rPr>
              <w:t>2.本产品的实际终止日受制于本理财产品销售文件“提前终止”及“延期终止”情形。</w:t>
            </w:r>
          </w:p>
        </w:tc>
      </w:tr>
      <w:tr w14:paraId="450521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CCB078A">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cs="宋体"/>
                <w:b/>
                <w:bCs/>
                <w:kern w:val="0"/>
                <w:sz w:val="18"/>
                <w:szCs w:val="18"/>
              </w:rPr>
              <w:t>销售起点金额</w:t>
            </w:r>
            <w:r>
              <w:rPr>
                <w:rFonts w:hint="eastAsia" w:ascii="宋体" w:hAnsi="宋体" w:eastAsia="宋体" w:cs="宋体"/>
                <w:b/>
                <w:bCs/>
                <w:sz w:val="18"/>
                <w:szCs w:val="18"/>
              </w:rPr>
              <w:t>及</w:t>
            </w:r>
            <w:r>
              <w:rPr>
                <w:rFonts w:ascii="宋体" w:hAnsi="宋体" w:eastAsia="宋体" w:cs="宋体"/>
                <w:b/>
                <w:bCs/>
                <w:sz w:val="18"/>
                <w:szCs w:val="18"/>
              </w:rPr>
              <w:t>递增金额</w:t>
            </w:r>
          </w:p>
        </w:tc>
        <w:tc>
          <w:tcPr>
            <w:tcW w:w="7674" w:type="dxa"/>
            <w:shd w:val="solid" w:color="FFFFFF" w:fill="FFFFFF"/>
            <w:vAlign w:val="center"/>
          </w:tcPr>
          <w:p w14:paraId="69B57A60">
            <w:pPr>
              <w:keepNext w:val="0"/>
              <w:keepLines w:val="0"/>
              <w:suppressLineNumbers w:val="0"/>
              <w:spacing w:before="0" w:beforeAutospacing="0" w:after="0" w:afterAutospacing="0" w:line="360" w:lineRule="auto"/>
              <w:ind w:left="0" w:right="0"/>
              <w:rPr>
                <w:rFonts w:hint="default" w:ascii="宋体" w:hAnsi="宋体" w:eastAsia="宋体" w:cs="宋体"/>
                <w:bCs/>
                <w:sz w:val="18"/>
                <w:szCs w:val="18"/>
              </w:rPr>
            </w:pPr>
            <w:r>
              <w:rPr>
                <w:rFonts w:ascii="宋体" w:hAnsi="宋体" w:eastAsia="宋体" w:cs="宋体"/>
                <w:sz w:val="18"/>
                <w:szCs w:val="22"/>
              </w:rPr>
              <w:t>每笔购买起点金额为【1】元; 超出起点金额的部分以【0.01】元的整数倍递增。（适用【A】类份额)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超出起点金额的部分以【0.01】元的整数倍递增。（适用【B】类份额)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超出起点金额的部分以【0.01】元的整数倍递增。（适用【C】类份额)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超出起点金额的部分以【0.01】元的整数倍递增。（适用【D】类份额)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超出起点金额的部分以【0.01】元的整数倍递增。（适用【E】类份额)</w:t>
            </w:r>
          </w:p>
          <w:p w14:paraId="5CA562AE">
            <w:pPr>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注</w:t>
            </w:r>
            <w:r>
              <w:rPr>
                <w:rFonts w:ascii="黑体" w:hAnsi="黑体" w:eastAsia="黑体" w:cs="宋体"/>
                <w:color w:val="000000"/>
                <w:sz w:val="18"/>
                <w:szCs w:val="18"/>
              </w:rPr>
              <w:t>：</w:t>
            </w:r>
            <w:r>
              <w:rPr>
                <w:rFonts w:hint="eastAsia" w:ascii="黑体" w:hAnsi="黑体" w:eastAsia="黑体" w:cs="宋体"/>
                <w:color w:val="000000"/>
                <w:sz w:val="18"/>
                <w:szCs w:val="18"/>
              </w:rPr>
              <w:t>关于代理销售机构的实际销售</w:t>
            </w:r>
            <w:r>
              <w:rPr>
                <w:rFonts w:ascii="黑体" w:hAnsi="黑体" w:eastAsia="黑体" w:cs="宋体"/>
                <w:color w:val="000000"/>
                <w:sz w:val="18"/>
                <w:szCs w:val="18"/>
              </w:rPr>
              <w:t>起点金额</w:t>
            </w:r>
            <w:r>
              <w:rPr>
                <w:rFonts w:hint="eastAsia" w:ascii="黑体" w:hAnsi="黑体" w:eastAsia="黑体" w:cs="宋体"/>
                <w:color w:val="000000"/>
                <w:sz w:val="18"/>
                <w:szCs w:val="18"/>
              </w:rPr>
              <w:t>的提示</w:t>
            </w:r>
          </w:p>
          <w:p w14:paraId="441CEFCB">
            <w:pPr>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①本产品在代理销售机构的实际销售起点金额，因代理销售机构的不同可能存在差异（可能高于销售文件约定的销售起点金额），应当</w:t>
            </w:r>
            <w:r>
              <w:rPr>
                <w:rFonts w:ascii="黑体" w:hAnsi="黑体" w:eastAsia="黑体" w:cs="宋体"/>
                <w:color w:val="000000"/>
                <w:sz w:val="18"/>
                <w:szCs w:val="18"/>
              </w:rPr>
              <w:t>以</w:t>
            </w:r>
            <w:r>
              <w:rPr>
                <w:rFonts w:hint="eastAsia" w:ascii="黑体" w:hAnsi="黑体" w:eastAsia="黑体" w:cs="宋体"/>
                <w:color w:val="000000"/>
                <w:sz w:val="18"/>
                <w:szCs w:val="18"/>
              </w:rPr>
              <w:t>代理销售机构展示</w:t>
            </w:r>
            <w:r>
              <w:rPr>
                <w:rFonts w:ascii="黑体" w:hAnsi="黑体" w:eastAsia="黑体" w:cs="宋体"/>
                <w:color w:val="000000"/>
                <w:sz w:val="18"/>
                <w:szCs w:val="18"/>
              </w:rPr>
              <w:t>为准</w:t>
            </w:r>
            <w:r>
              <w:rPr>
                <w:rFonts w:hint="eastAsia" w:ascii="黑体" w:hAnsi="黑体" w:eastAsia="黑体" w:cs="宋体"/>
                <w:color w:val="000000"/>
                <w:sz w:val="18"/>
                <w:szCs w:val="18"/>
              </w:rPr>
              <w:t>。</w:t>
            </w:r>
          </w:p>
          <w:p w14:paraId="4D0B208A">
            <w:pPr>
              <w:spacing w:line="360" w:lineRule="auto"/>
              <w:jc w:val="left"/>
              <w:rPr>
                <w:rFonts w:ascii="宋体" w:hAnsi="宋体" w:cs="Times New Roman"/>
                <w:sz w:val="18"/>
                <w:szCs w:val="18"/>
              </w:rPr>
            </w:pPr>
            <w:r>
              <w:rPr>
                <w:rFonts w:hint="eastAsia" w:ascii="黑体" w:hAnsi="黑体" w:eastAsia="黑体" w:cs="宋体"/>
                <w:color w:val="000000"/>
                <w:sz w:val="18"/>
                <w:szCs w:val="18"/>
              </w:rPr>
              <w:t>②代理销售机构的实际销售起点金额，</w:t>
            </w:r>
            <w:r>
              <w:rPr>
                <w:rFonts w:ascii="黑体" w:hAnsi="黑体" w:eastAsia="黑体" w:cs="宋体"/>
                <w:color w:val="000000"/>
                <w:sz w:val="18"/>
                <w:szCs w:val="18"/>
              </w:rPr>
              <w:t>不得低于</w:t>
            </w:r>
            <w:r>
              <w:rPr>
                <w:rFonts w:hint="eastAsia" w:ascii="黑体" w:hAnsi="黑体" w:eastAsia="黑体" w:cs="宋体"/>
                <w:color w:val="000000"/>
                <w:sz w:val="18"/>
                <w:szCs w:val="18"/>
              </w:rPr>
              <w:t>销售</w:t>
            </w:r>
            <w:r>
              <w:rPr>
                <w:rFonts w:ascii="黑体" w:hAnsi="黑体" w:eastAsia="黑体" w:cs="宋体"/>
                <w:color w:val="000000"/>
                <w:sz w:val="18"/>
                <w:szCs w:val="18"/>
              </w:rPr>
              <w:t>文件约定的</w:t>
            </w:r>
            <w:r>
              <w:rPr>
                <w:rFonts w:hint="eastAsia" w:ascii="黑体" w:hAnsi="黑体" w:eastAsia="黑体" w:cs="宋体"/>
                <w:color w:val="000000"/>
                <w:sz w:val="18"/>
                <w:szCs w:val="18"/>
              </w:rPr>
              <w:t>销售</w:t>
            </w:r>
            <w:r>
              <w:rPr>
                <w:rFonts w:ascii="黑体" w:hAnsi="黑体" w:eastAsia="黑体" w:cs="宋体"/>
                <w:color w:val="000000"/>
                <w:sz w:val="18"/>
                <w:szCs w:val="18"/>
              </w:rPr>
              <w:t>起点金额</w:t>
            </w:r>
            <w:r>
              <w:rPr>
                <w:rFonts w:hint="eastAsia" w:ascii="黑体" w:hAnsi="黑体" w:eastAsia="黑体" w:cs="宋体"/>
                <w:color w:val="000000"/>
                <w:sz w:val="18"/>
                <w:szCs w:val="18"/>
              </w:rPr>
              <w:t>。</w:t>
            </w:r>
          </w:p>
        </w:tc>
      </w:tr>
      <w:tr w14:paraId="24BAA7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A87DFC0">
            <w:pPr>
              <w:spacing w:line="360" w:lineRule="auto"/>
              <w:jc w:val="left"/>
              <w:rPr>
                <w:rFonts w:ascii="Calibri" w:hAnsi="宋体" w:cs="宋体"/>
                <w:sz w:val="18"/>
                <w:szCs w:val="18"/>
              </w:rPr>
            </w:pPr>
            <w:r>
              <w:rPr>
                <w:rFonts w:hint="eastAsia" w:ascii="Calibri" w:hAnsi="宋体" w:cs="宋体"/>
                <w:b/>
                <w:sz w:val="18"/>
                <w:szCs w:val="18"/>
              </w:rPr>
              <w:t>★认购的数量限制</w:t>
            </w:r>
          </w:p>
        </w:tc>
        <w:tc>
          <w:tcPr>
            <w:tcW w:w="7674" w:type="dxa"/>
            <w:shd w:val="solid" w:color="FFFFFF" w:fill="FFFFFF"/>
            <w:vAlign w:val="center"/>
          </w:tcPr>
          <w:p w14:paraId="2133A0F8">
            <w:pPr>
              <w:keepNext w:val="0"/>
              <w:keepLines w:val="0"/>
              <w:suppressLineNumbers w:val="0"/>
              <w:spacing w:before="0" w:beforeAutospacing="0" w:after="0" w:afterAutospacing="0" w:line="360" w:lineRule="auto"/>
              <w:ind w:left="0" w:right="0"/>
              <w:rPr>
                <w:rFonts w:hint="default" w:ascii="宋体" w:hAnsi="宋体" w:eastAsia="宋体" w:cs="宋体"/>
                <w:sz w:val="18"/>
                <w:szCs w:val="22"/>
              </w:rPr>
            </w:pPr>
            <w:r>
              <w:rPr>
                <w:rFonts w:ascii="宋体" w:hAnsi="宋体" w:eastAsia="宋体" w:cs="宋体"/>
                <w:sz w:val="18"/>
                <w:szCs w:val="22"/>
              </w:rPr>
              <w:t>认购的数量限制</w:t>
            </w:r>
            <w:r>
              <w:rPr>
                <w:rFonts w:ascii="宋体" w:hAnsi="宋体" w:eastAsia="宋体" w:cs="宋体"/>
                <w:sz w:val="18"/>
                <w:szCs w:val="22"/>
              </w:rPr>
              <w:br w:type="textWrapping"/>
            </w:r>
            <w:r>
              <w:rPr>
                <w:rFonts w:ascii="宋体" w:hAnsi="宋体" w:eastAsia="宋体" w:cs="宋体"/>
                <w:sz w:val="18"/>
                <w:szCs w:val="22"/>
              </w:rPr>
              <w:t>（1）单一投资者认购上限为【/】元。（适用【A】类份额)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单一投资者认购上限为【/】元。（适用【B】类份额)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单一投资者认购上限为【/】元。（适用【C】类份额)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单一投资者认购上限为【/】元。（适用【D】类份额)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单一投资者认购上限为【/】元。（适用【E】类份额)</w:t>
            </w:r>
            <w:r>
              <w:rPr>
                <w:rFonts w:ascii="宋体" w:hAnsi="宋体" w:eastAsia="宋体" w:cs="宋体"/>
                <w:sz w:val="18"/>
                <w:szCs w:val="22"/>
              </w:rPr>
              <w:br w:type="textWrapping"/>
            </w:r>
            <w:r>
              <w:rPr>
                <w:rFonts w:ascii="宋体" w:hAnsi="宋体" w:eastAsia="宋体" w:cs="宋体"/>
                <w:sz w:val="18"/>
                <w:szCs w:val="22"/>
              </w:rPr>
              <w:t>（2）产品存续期间，单一投资者最高持有份额上限为【/】份，符合产品管理人流动性管理的稳定资金除外。（适用【A】类份额)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产品存续期间，单一投资者最高持有份额上限为【/】份，符合产品管理人流动性管理的稳定资金除外。（适用【B】类份额)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产品存续期间，单一投资者最高持有份额上限为【/】份，符合产品管理人流动性管理的稳定资金除外。（适用【C】类份额)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产品存续期间，单一投资者最高持有份额上限为【/】份，符合产品管理人流动性管理的稳定资金除外。（适用【D】类份额)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产品存续期间，单一投资者最高持有份额上限为【/】份，符合产品管理人流动性管理的稳定资金除外。（适用【E】类份额)</w:t>
            </w:r>
          </w:p>
          <w:p w14:paraId="57273354">
            <w:pPr>
              <w:widowControl w:val="0"/>
              <w:autoSpaceDE w:val="0"/>
              <w:autoSpaceDN w:val="0"/>
              <w:adjustRightInd w:val="0"/>
              <w:spacing w:line="360" w:lineRule="auto"/>
              <w:rPr>
                <w:rFonts w:ascii="黑体" w:hAnsi="黑体" w:eastAsia="黑体" w:cs="宋体"/>
                <w:color w:val="000000"/>
                <w:sz w:val="18"/>
                <w:szCs w:val="18"/>
                <w:lang w:val="en-US" w:eastAsia="zh-CN" w:bidi="ar-SA"/>
              </w:rPr>
            </w:pPr>
            <w:r>
              <w:rPr>
                <w:rFonts w:hint="eastAsia" w:ascii="宋体" w:hAnsi="宋体" w:eastAsia="宋体" w:cs="宋体"/>
                <w:color w:val="auto"/>
                <w:sz w:val="18"/>
                <w:szCs w:val="18"/>
                <w:lang w:val="en-US" w:eastAsia="zh-CN" w:bidi="ar-SA"/>
              </w:rPr>
              <w:t xml:space="preserve">如需突破上限，请与产品管理人或销售机构客户经理联系。 </w:t>
            </w:r>
          </w:p>
          <w:p w14:paraId="2647FD9F">
            <w:pPr>
              <w:spacing w:line="360" w:lineRule="auto"/>
              <w:rPr>
                <w:rFonts w:ascii="宋体" w:hAnsi="宋体" w:eastAsia="宋体" w:cs="宋体"/>
                <w:sz w:val="18"/>
                <w:szCs w:val="18"/>
              </w:rPr>
            </w:pPr>
            <w:r>
              <w:rPr>
                <w:rFonts w:ascii="黑体" w:hAnsi="黑体" w:eastAsia="黑体" w:cs="黑体"/>
                <w:sz w:val="18"/>
                <w:szCs w:val="22"/>
              </w:rPr>
              <w:t>注：本产品单一投资者持有份额不得超过产品总份额50%。</w:t>
            </w:r>
            <w:r>
              <w:rPr>
                <w:rFonts w:ascii="黑体" w:hAnsi="黑体" w:eastAsia="黑体" w:cs="黑体"/>
                <w:sz w:val="18"/>
                <w:szCs w:val="22"/>
              </w:rPr>
              <w:br w:type="textWrapping"/>
            </w:r>
            <w:r>
              <w:rPr>
                <w:rFonts w:ascii="黑体" w:hAnsi="黑体" w:eastAsia="黑体" w:cs="黑体"/>
                <w:sz w:val="18"/>
                <w:szCs w:val="22"/>
              </w:rPr>
              <w:t>（1）投资者认购或申购确认后可能导致其持有份额超过产品总份额50%的，管理人有权拒绝或暂停认购、申购。</w:t>
            </w:r>
            <w:r>
              <w:rPr>
                <w:rFonts w:ascii="黑体" w:hAnsi="黑体" w:eastAsia="黑体" w:cs="黑体"/>
                <w:sz w:val="18"/>
                <w:szCs w:val="22"/>
              </w:rPr>
              <w:br w:type="textWrapping"/>
            </w:r>
            <w:r>
              <w:rPr>
                <w:rFonts w:ascii="黑体" w:hAnsi="黑体" w:eastAsia="黑体" w:cs="黑体"/>
                <w:sz w:val="18"/>
                <w:szCs w:val="22"/>
              </w:rPr>
              <w:t>（2）非因管理人主观因素导致突破该比例限制的，在单一投资者持有比例降至50%以下之前，管理人不再接受该投资者对本产品的认购、申购申请。</w:t>
            </w:r>
          </w:p>
        </w:tc>
      </w:tr>
      <w:tr w14:paraId="5958C8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FF43E9A">
            <w:pPr>
              <w:spacing w:line="360" w:lineRule="auto"/>
              <w:jc w:val="left"/>
              <w:rPr>
                <w:rFonts w:ascii="Calibri" w:hAnsi="宋体" w:cs="宋体"/>
                <w:sz w:val="18"/>
                <w:szCs w:val="18"/>
              </w:rPr>
            </w:pPr>
            <w:r>
              <w:rPr>
                <w:rFonts w:hint="eastAsia" w:ascii="宋体" w:hAnsi="宋体" w:eastAsia="宋体" w:cs="宋体"/>
                <w:b/>
                <w:bCs/>
                <w:sz w:val="18"/>
                <w:szCs w:val="18"/>
              </w:rPr>
              <w:t>理财产品</w:t>
            </w:r>
            <w:r>
              <w:rPr>
                <w:rFonts w:ascii="宋体" w:hAnsi="宋体" w:eastAsia="宋体" w:cs="宋体"/>
                <w:b/>
                <w:bCs/>
                <w:sz w:val="18"/>
                <w:szCs w:val="18"/>
              </w:rPr>
              <w:t>份额发售面值</w:t>
            </w:r>
          </w:p>
        </w:tc>
        <w:tc>
          <w:tcPr>
            <w:tcW w:w="7674" w:type="dxa"/>
            <w:shd w:val="solid" w:color="FFFFFF" w:fill="FFFFFF"/>
            <w:vAlign w:val="center"/>
          </w:tcPr>
          <w:p w14:paraId="21536658">
            <w:pPr>
              <w:spacing w:line="360" w:lineRule="auto"/>
              <w:rPr>
                <w:rFonts w:ascii="宋体" w:hAnsi="宋体" w:eastAsia="宋体" w:cs="宋体"/>
                <w:sz w:val="18"/>
                <w:szCs w:val="18"/>
              </w:rPr>
            </w:pPr>
            <w:r>
              <w:rPr>
                <w:rFonts w:ascii="宋体" w:hAnsi="宋体" w:eastAsia="宋体" w:cs="仿宋_GB2312"/>
                <w:kern w:val="0"/>
                <w:sz w:val="18"/>
                <w:szCs w:val="18"/>
              </w:rPr>
              <w:t>1.00</w:t>
            </w:r>
            <w:r>
              <w:rPr>
                <w:rFonts w:hint="eastAsia" w:ascii="宋体" w:hAnsi="宋体" w:eastAsia="宋体" w:cs="仿宋_GB2312"/>
                <w:kern w:val="0"/>
                <w:sz w:val="18"/>
                <w:szCs w:val="18"/>
              </w:rPr>
              <w:t>元</w:t>
            </w:r>
          </w:p>
        </w:tc>
      </w:tr>
      <w:tr w14:paraId="6E459C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2539140">
            <w:pPr>
              <w:spacing w:line="360" w:lineRule="auto"/>
              <w:jc w:val="left"/>
              <w:rPr>
                <w:rFonts w:ascii="宋体" w:hAnsi="宋体" w:eastAsia="宋体" w:cs="宋体"/>
                <w:b/>
                <w:sz w:val="18"/>
                <w:szCs w:val="18"/>
              </w:rPr>
            </w:pPr>
            <w:r>
              <w:rPr>
                <w:rFonts w:hint="eastAsia" w:ascii="宋体" w:hAnsi="宋体" w:cs="宋体"/>
                <w:b/>
                <w:bCs/>
                <w:kern w:val="0"/>
                <w:sz w:val="18"/>
                <w:szCs w:val="18"/>
              </w:rPr>
              <w:t>理财产品份额净值</w:t>
            </w:r>
          </w:p>
        </w:tc>
        <w:tc>
          <w:tcPr>
            <w:tcW w:w="7674" w:type="dxa"/>
            <w:shd w:val="solid" w:color="FFFFFF" w:fill="FFFFFF"/>
            <w:vAlign w:val="center"/>
          </w:tcPr>
          <w:p w14:paraId="58F5BE26">
            <w:pPr>
              <w:spacing w:line="360" w:lineRule="auto"/>
              <w:jc w:val="left"/>
              <w:rPr>
                <w:rFonts w:ascii="宋体" w:hAnsi="宋体" w:eastAsia="宋体" w:cs="宋体"/>
                <w:bCs/>
                <w:sz w:val="18"/>
                <w:szCs w:val="18"/>
              </w:rPr>
            </w:pPr>
            <w:r>
              <w:rPr>
                <w:rFonts w:hint="eastAsia" w:ascii="宋体" w:hAnsi="宋体" w:eastAsia="宋体" w:cs="宋体"/>
                <w:bCs/>
                <w:sz w:val="18"/>
                <w:szCs w:val="18"/>
              </w:rPr>
              <w:t>1</w:t>
            </w:r>
            <w:r>
              <w:rPr>
                <w:rFonts w:ascii="宋体" w:hAnsi="宋体" w:eastAsia="宋体" w:cs="宋体"/>
                <w:color w:val="000000"/>
                <w:sz w:val="18"/>
                <w:szCs w:val="18"/>
              </w:rPr>
              <w:t>.</w:t>
            </w:r>
            <w:r>
              <w:rPr>
                <w:rFonts w:ascii="宋体" w:hAnsi="宋体" w:eastAsia="宋体" w:cs="宋体"/>
                <w:bCs/>
                <w:sz w:val="18"/>
                <w:szCs w:val="18"/>
              </w:rPr>
              <w:t>若产品投资资产运作出现损失的，产品份额净值下降，投资</w:t>
            </w:r>
            <w:r>
              <w:rPr>
                <w:rFonts w:hint="eastAsia" w:ascii="宋体" w:hAnsi="宋体" w:eastAsia="宋体" w:cs="宋体"/>
                <w:bCs/>
                <w:sz w:val="18"/>
                <w:szCs w:val="18"/>
              </w:rPr>
              <w:t>者</w:t>
            </w:r>
            <w:r>
              <w:rPr>
                <w:rFonts w:ascii="宋体" w:hAnsi="宋体" w:eastAsia="宋体" w:cs="宋体"/>
                <w:bCs/>
                <w:sz w:val="18"/>
                <w:szCs w:val="18"/>
              </w:rPr>
              <w:t>分配所得可能小于投资</w:t>
            </w:r>
            <w:r>
              <w:rPr>
                <w:rFonts w:hint="eastAsia" w:ascii="宋体" w:hAnsi="宋体" w:eastAsia="宋体" w:cs="宋体"/>
                <w:bCs/>
                <w:sz w:val="18"/>
                <w:szCs w:val="18"/>
              </w:rPr>
              <w:t>者</w:t>
            </w:r>
            <w:r>
              <w:rPr>
                <w:rFonts w:ascii="宋体" w:hAnsi="宋体" w:eastAsia="宋体" w:cs="宋体"/>
                <w:bCs/>
                <w:sz w:val="18"/>
                <w:szCs w:val="18"/>
              </w:rPr>
              <w:t>初始投资资金。投资</w:t>
            </w:r>
            <w:r>
              <w:rPr>
                <w:rFonts w:hint="eastAsia" w:ascii="宋体" w:hAnsi="宋体" w:eastAsia="宋体" w:cs="宋体"/>
                <w:bCs/>
                <w:sz w:val="18"/>
                <w:szCs w:val="18"/>
              </w:rPr>
              <w:t>者</w:t>
            </w:r>
            <w:r>
              <w:rPr>
                <w:rFonts w:ascii="宋体" w:hAnsi="宋体" w:eastAsia="宋体" w:cs="宋体"/>
                <w:bCs/>
                <w:sz w:val="18"/>
                <w:szCs w:val="18"/>
              </w:rPr>
              <w:t>分配所得以实际到账金额为准。</w:t>
            </w:r>
          </w:p>
          <w:p w14:paraId="3F95EB4D">
            <w:pPr>
              <w:spacing w:line="360" w:lineRule="auto"/>
              <w:rPr>
                <w:rFonts w:ascii="宋体" w:hAnsi="宋体" w:eastAsia="宋体" w:cs="宋体"/>
                <w:bCs/>
                <w:sz w:val="18"/>
                <w:szCs w:val="18"/>
              </w:rPr>
            </w:pPr>
            <w:r>
              <w:rPr>
                <w:rFonts w:ascii="宋体" w:hAnsi="宋体" w:eastAsia="宋体" w:cs="宋体"/>
                <w:bCs/>
                <w:sz w:val="18"/>
                <w:szCs w:val="18"/>
              </w:rPr>
              <w:t>2．产品实际</w:t>
            </w:r>
            <w:r>
              <w:rPr>
                <w:rFonts w:hint="eastAsia" w:ascii="宋体" w:hAnsi="宋体" w:eastAsia="宋体" w:cs="宋体"/>
                <w:bCs/>
                <w:sz w:val="18"/>
                <w:szCs w:val="18"/>
              </w:rPr>
              <w:t>终止</w:t>
            </w:r>
            <w:r>
              <w:rPr>
                <w:rFonts w:ascii="宋体" w:hAnsi="宋体" w:eastAsia="宋体" w:cs="宋体"/>
                <w:bCs/>
                <w:sz w:val="18"/>
                <w:szCs w:val="18"/>
              </w:rPr>
              <w:t>日之前的估值日公布的产品份额净值已扣除</w:t>
            </w:r>
            <w:r>
              <w:rPr>
                <w:rFonts w:hint="eastAsia" w:ascii="宋体" w:hAnsi="宋体" w:eastAsia="宋体" w:cs="宋体"/>
                <w:bCs/>
                <w:sz w:val="18"/>
                <w:szCs w:val="18"/>
              </w:rPr>
              <w:t>理财产品</w:t>
            </w:r>
            <w:r>
              <w:rPr>
                <w:rFonts w:ascii="宋体" w:hAnsi="宋体" w:eastAsia="宋体" w:cs="宋体"/>
                <w:bCs/>
                <w:sz w:val="18"/>
                <w:szCs w:val="18"/>
              </w:rPr>
              <w:t>的费用和税收。</w:t>
            </w:r>
          </w:p>
          <w:p w14:paraId="4B9B672A">
            <w:pPr>
              <w:spacing w:line="360" w:lineRule="auto"/>
              <w:jc w:val="left"/>
              <w:rPr>
                <w:rFonts w:ascii="宋体" w:hAnsi="宋体" w:eastAsia="宋体" w:cs="宋体"/>
                <w:bCs/>
                <w:sz w:val="18"/>
                <w:szCs w:val="18"/>
              </w:rPr>
            </w:pPr>
            <w:r>
              <w:rPr>
                <w:rFonts w:ascii="宋体" w:hAnsi="宋体" w:eastAsia="宋体" w:cs="宋体"/>
                <w:bCs/>
                <w:sz w:val="18"/>
                <w:szCs w:val="18"/>
              </w:rPr>
              <w:t>3．产品管理人依约定公布产品份额净值</w:t>
            </w:r>
            <w:r>
              <w:rPr>
                <w:rFonts w:hint="eastAsia" w:ascii="宋体" w:hAnsi="宋体" w:eastAsia="宋体" w:cs="宋体"/>
                <w:bCs/>
                <w:sz w:val="18"/>
                <w:szCs w:val="18"/>
              </w:rPr>
              <w:t>，产品管理人</w:t>
            </w:r>
            <w:r>
              <w:rPr>
                <w:rFonts w:ascii="宋体" w:hAnsi="宋体" w:eastAsia="宋体" w:cs="宋体"/>
                <w:bCs/>
                <w:sz w:val="18"/>
                <w:szCs w:val="18"/>
              </w:rPr>
              <w:t>以</w:t>
            </w:r>
            <w:r>
              <w:rPr>
                <w:rFonts w:hint="eastAsia" w:ascii="宋体" w:hAnsi="宋体" w:eastAsia="宋体" w:cs="宋体"/>
                <w:bCs/>
                <w:sz w:val="18"/>
                <w:szCs w:val="18"/>
              </w:rPr>
              <w:t>产品终止日</w:t>
            </w:r>
            <w:r>
              <w:rPr>
                <w:rFonts w:ascii="宋体" w:hAnsi="宋体" w:eastAsia="宋体" w:cs="宋体"/>
                <w:bCs/>
                <w:sz w:val="18"/>
                <w:szCs w:val="18"/>
              </w:rPr>
              <w:t>产品份额净值为基础进行利益分配。</w:t>
            </w:r>
          </w:p>
          <w:p w14:paraId="07FEAE24">
            <w:pPr>
              <w:spacing w:line="360" w:lineRule="auto"/>
              <w:jc w:val="left"/>
              <w:rPr>
                <w:rFonts w:ascii="宋体" w:hAnsi="宋体" w:eastAsia="宋体" w:cs="宋体"/>
                <w:bCs/>
                <w:sz w:val="18"/>
                <w:szCs w:val="18"/>
              </w:rPr>
            </w:pPr>
            <w:r>
              <w:rPr>
                <w:rFonts w:hint="eastAsia" w:ascii="宋体" w:hAnsi="宋体" w:eastAsia="宋体" w:cs="宋体"/>
                <w:bCs/>
                <w:sz w:val="18"/>
                <w:szCs w:val="18"/>
                <w:lang w:val="en-US" w:eastAsia="zh-CN"/>
              </w:rPr>
              <w:t>4.理财产品份额净值四舍五入保留5位小数。</w:t>
            </w:r>
          </w:p>
        </w:tc>
      </w:tr>
      <w:tr w14:paraId="321469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06B89CFC">
            <w:pPr>
              <w:spacing w:line="360" w:lineRule="auto"/>
              <w:jc w:val="left"/>
              <w:rPr>
                <w:rFonts w:ascii="宋体" w:hAnsi="宋体" w:eastAsia="宋体" w:cs="宋体"/>
                <w:b/>
                <w:sz w:val="18"/>
                <w:szCs w:val="18"/>
              </w:rPr>
            </w:pPr>
            <w:r>
              <w:rPr>
                <w:rFonts w:hint="eastAsia" w:ascii="Calibri" w:hAnsi="Calibri" w:cs="宋体"/>
                <w:sz w:val="18"/>
                <w:szCs w:val="18"/>
              </w:rPr>
              <w:t>★</w:t>
            </w:r>
            <w:r>
              <w:rPr>
                <w:rFonts w:hint="eastAsia" w:ascii="宋体" w:hAnsi="宋体" w:eastAsia="宋体" w:cs="宋体"/>
                <w:b/>
                <w:bCs/>
                <w:sz w:val="18"/>
                <w:szCs w:val="18"/>
              </w:rPr>
              <w:t>业绩比较基准</w:t>
            </w:r>
          </w:p>
        </w:tc>
        <w:tc>
          <w:tcPr>
            <w:tcW w:w="7674" w:type="dxa"/>
            <w:shd w:val="solid" w:color="FFFFFF" w:fill="FFFFFF"/>
            <w:vAlign w:val="center"/>
          </w:tcPr>
          <w:p w14:paraId="33CD6372">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kern w:val="0"/>
                <w:sz w:val="18"/>
                <w:szCs w:val="18"/>
              </w:rPr>
            </w:pPr>
            <w:r>
              <w:rPr>
                <w:rFonts w:ascii="宋体" w:hAnsi="宋体" w:eastAsia="宋体" w:cs="宋体"/>
                <w:sz w:val="18"/>
                <w:szCs w:val="22"/>
              </w:rPr>
              <w:t>1.业绩比较基准的设置</w:t>
            </w:r>
            <w:r>
              <w:rPr>
                <w:rFonts w:ascii="宋体" w:hAnsi="宋体" w:eastAsia="宋体" w:cs="宋体"/>
                <w:sz w:val="18"/>
                <w:szCs w:val="22"/>
              </w:rPr>
              <w:br w:type="textWrapping"/>
            </w:r>
            <w:r>
              <w:rPr>
                <w:rFonts w:ascii="宋体" w:hAnsi="宋体" w:eastAsia="宋体" w:cs="宋体"/>
                <w:sz w:val="18"/>
                <w:szCs w:val="22"/>
              </w:rPr>
              <w:t>■ 产品管理人设置业绩比较基准。</w:t>
            </w:r>
            <w:r>
              <w:rPr>
                <w:rFonts w:ascii="宋体" w:hAnsi="宋体" w:eastAsia="宋体" w:cs="宋体"/>
                <w:sz w:val="18"/>
                <w:szCs w:val="22"/>
              </w:rPr>
              <w:br w:type="textWrapping"/>
            </w:r>
            <w:r>
              <w:rPr>
                <w:rFonts w:ascii="宋体" w:hAnsi="宋体" w:eastAsia="宋体" w:cs="宋体"/>
                <w:sz w:val="18"/>
                <w:szCs w:val="22"/>
              </w:rPr>
              <w:t>（1）业绩比较基准的说明：【根据本产品各类资产的拟投资比例、资产信用利差、久期敞口以及流动性溢价，结合当前宏观环境和各类资产价格所处的位置，参考历史经验和回测结果，设定业绩基准】。</w:t>
            </w:r>
            <w:r>
              <w:rPr>
                <w:rFonts w:ascii="宋体" w:hAnsi="宋体" w:eastAsia="宋体" w:cs="宋体"/>
                <w:sz w:val="18"/>
                <w:szCs w:val="22"/>
              </w:rPr>
              <w:br w:type="textWrapping"/>
            </w:r>
            <w:r>
              <w:rPr>
                <w:rFonts w:ascii="宋体" w:hAnsi="宋体" w:eastAsia="宋体" w:cs="宋体"/>
                <w:sz w:val="18"/>
                <w:szCs w:val="22"/>
              </w:rPr>
              <w:t>（2）业绩比较基准的设定：管理人对本产品设定业绩比较基准：</w:t>
            </w:r>
            <w:r>
              <w:rPr>
                <w:rFonts w:ascii="宋体" w:hAnsi="宋体" w:eastAsia="宋体" w:cs="宋体"/>
                <w:sz w:val="18"/>
                <w:szCs w:val="22"/>
              </w:rPr>
              <w:br w:type="textWrapping"/>
            </w:r>
            <w:r>
              <w:rPr>
                <w:rFonts w:ascii="宋体" w:hAnsi="宋体" w:eastAsia="宋体" w:cs="宋体"/>
                <w:sz w:val="18"/>
                <w:szCs w:val="22"/>
              </w:rPr>
              <w:t>年化【2.87%-3.37%】。（适用【A】类份额)</w:t>
            </w:r>
            <w:r>
              <w:rPr>
                <w:rFonts w:ascii="宋体" w:hAnsi="宋体" w:eastAsia="宋体" w:cs="宋体"/>
                <w:sz w:val="18"/>
                <w:szCs w:val="22"/>
              </w:rPr>
              <w:br w:type="textWrapping"/>
            </w:r>
            <w:r>
              <w:rPr>
                <w:rFonts w:ascii="宋体" w:hAnsi="宋体" w:eastAsia="宋体" w:cs="宋体"/>
                <w:sz w:val="18"/>
                <w:szCs w:val="22"/>
              </w:rPr>
              <w:t>年化【2.82%-3.32%】。（适用【B】类份额)</w:t>
            </w:r>
            <w:r>
              <w:rPr>
                <w:rFonts w:ascii="宋体" w:hAnsi="宋体" w:eastAsia="宋体" w:cs="宋体"/>
                <w:sz w:val="18"/>
                <w:szCs w:val="22"/>
              </w:rPr>
              <w:br w:type="textWrapping"/>
            </w:r>
            <w:r>
              <w:rPr>
                <w:rFonts w:ascii="宋体" w:hAnsi="宋体" w:eastAsia="宋体" w:cs="宋体"/>
                <w:sz w:val="18"/>
                <w:szCs w:val="22"/>
              </w:rPr>
              <w:t>年化【2.77%-3.27%】。（适用【C】类份额)</w:t>
            </w:r>
            <w:r>
              <w:rPr>
                <w:rFonts w:ascii="宋体" w:hAnsi="宋体" w:eastAsia="宋体" w:cs="宋体"/>
                <w:sz w:val="18"/>
                <w:szCs w:val="22"/>
              </w:rPr>
              <w:br w:type="textWrapping"/>
            </w:r>
            <w:r>
              <w:rPr>
                <w:rFonts w:ascii="宋体" w:hAnsi="宋体" w:eastAsia="宋体" w:cs="宋体"/>
                <w:sz w:val="18"/>
                <w:szCs w:val="22"/>
              </w:rPr>
              <w:t>年化【2.72%-3.22%】。（适用【D】类份额)</w:t>
            </w:r>
            <w:r>
              <w:rPr>
                <w:rFonts w:ascii="宋体" w:hAnsi="宋体" w:eastAsia="宋体" w:cs="宋体"/>
                <w:sz w:val="18"/>
                <w:szCs w:val="22"/>
              </w:rPr>
              <w:br w:type="textWrapping"/>
            </w:r>
            <w:r>
              <w:rPr>
                <w:rFonts w:ascii="宋体" w:hAnsi="宋体" w:eastAsia="宋体" w:cs="宋体"/>
                <w:sz w:val="18"/>
                <w:szCs w:val="22"/>
              </w:rPr>
              <w:t>年化【2.62%-3.12%】。（适用【E】类份额)</w:t>
            </w:r>
            <w:r>
              <w:rPr>
                <w:rFonts w:ascii="宋体" w:hAnsi="宋体" w:eastAsia="宋体" w:cs="宋体"/>
                <w:sz w:val="18"/>
                <w:szCs w:val="22"/>
              </w:rPr>
              <w:br w:type="textWrapping"/>
            </w:r>
            <w:r>
              <w:rPr>
                <w:rFonts w:ascii="宋体" w:hAnsi="宋体" w:eastAsia="宋体" w:cs="宋体"/>
                <w:sz w:val="18"/>
                <w:szCs w:val="22"/>
              </w:rPr>
              <w:t>□ 产品管理人不设置业绩比较基准。</w:t>
            </w:r>
          </w:p>
          <w:p w14:paraId="3175A747">
            <w:pPr>
              <w:spacing w:line="360" w:lineRule="auto"/>
              <w:jc w:val="left"/>
              <w:rPr>
                <w:rFonts w:ascii="宋体" w:hAnsi="宋体" w:eastAsia="宋体" w:cs="宋体"/>
                <w:bCs/>
                <w:sz w:val="18"/>
                <w:szCs w:val="18"/>
              </w:rPr>
            </w:pPr>
            <w:r>
              <w:rPr>
                <w:rFonts w:ascii="宋体" w:hAnsi="宋体" w:eastAsia="宋体" w:cs="宋体"/>
                <w:bCs/>
                <w:sz w:val="18"/>
                <w:szCs w:val="18"/>
              </w:rPr>
              <w:t>2.业绩比较基准的提示：</w:t>
            </w:r>
          </w:p>
          <w:p w14:paraId="374E3912">
            <w:pPr>
              <w:spacing w:line="360" w:lineRule="auto"/>
              <w:jc w:val="left"/>
              <w:rPr>
                <w:rFonts w:ascii="宋体" w:hAnsi="宋体" w:eastAsia="宋体" w:cs="宋体"/>
                <w:b/>
                <w:bCs/>
                <w:sz w:val="18"/>
                <w:szCs w:val="18"/>
              </w:rPr>
            </w:pPr>
            <w:r>
              <w:rPr>
                <w:rFonts w:hint="eastAsia" w:ascii="宋体" w:hAnsi="宋体" w:cs="宋体"/>
                <w:b/>
                <w:sz w:val="18"/>
                <w:szCs w:val="22"/>
              </w:rPr>
              <w:t>（1）</w:t>
            </w:r>
            <w:r>
              <w:rPr>
                <w:rFonts w:hint="eastAsia" w:ascii="黑体" w:hAnsi="黑体" w:eastAsia="黑体" w:cs="宋体"/>
                <w:sz w:val="18"/>
                <w:szCs w:val="18"/>
              </w:rPr>
              <w:t>★</w:t>
            </w:r>
            <w:r>
              <w:rPr>
                <w:rFonts w:hint="eastAsia" w:ascii="黑体" w:hAnsi="黑体" w:eastAsia="黑体" w:cs="宋体"/>
                <w:sz w:val="18"/>
                <w:szCs w:val="22"/>
              </w:rPr>
              <w:t>业绩比较基准</w:t>
            </w:r>
            <w:r>
              <w:rPr>
                <w:rFonts w:hint="eastAsia" w:ascii="黑体" w:hAnsi="黑体" w:eastAsia="黑体" w:cs="宋体"/>
                <w:bCs/>
                <w:sz w:val="18"/>
                <w:szCs w:val="18"/>
              </w:rPr>
              <w:t>不是预期收益率，</w:t>
            </w:r>
            <w:r>
              <w:rPr>
                <w:rFonts w:hint="eastAsia" w:ascii="黑体" w:hAnsi="黑体" w:eastAsia="黑体" w:cs="宋体"/>
                <w:sz w:val="18"/>
                <w:szCs w:val="22"/>
              </w:rPr>
              <w:t>不代表产品</w:t>
            </w:r>
            <w:r>
              <w:rPr>
                <w:rFonts w:hint="eastAsia" w:ascii="黑体" w:hAnsi="黑体" w:eastAsia="黑体" w:cs="宋体"/>
                <w:bCs/>
                <w:sz w:val="18"/>
                <w:szCs w:val="18"/>
              </w:rPr>
              <w:t>的</w:t>
            </w:r>
            <w:r>
              <w:rPr>
                <w:rFonts w:hint="eastAsia" w:ascii="黑体" w:hAnsi="黑体" w:eastAsia="黑体" w:cs="宋体"/>
                <w:sz w:val="18"/>
                <w:szCs w:val="22"/>
              </w:rPr>
              <w:t>未来表现</w:t>
            </w:r>
            <w:r>
              <w:rPr>
                <w:rFonts w:hint="eastAsia" w:ascii="黑体" w:hAnsi="黑体" w:eastAsia="黑体" w:cs="宋体"/>
                <w:bCs/>
                <w:sz w:val="18"/>
                <w:szCs w:val="18"/>
              </w:rPr>
              <w:t>和</w:t>
            </w:r>
            <w:r>
              <w:rPr>
                <w:rFonts w:hint="eastAsia" w:ascii="黑体" w:hAnsi="黑体" w:eastAsia="黑体" w:cs="宋体"/>
                <w:sz w:val="18"/>
                <w:szCs w:val="22"/>
              </w:rPr>
              <w:t>实际收益，不</w:t>
            </w:r>
            <w:r>
              <w:rPr>
                <w:rFonts w:hint="eastAsia" w:ascii="黑体" w:hAnsi="黑体" w:eastAsia="黑体" w:cs="宋体"/>
                <w:bCs/>
                <w:sz w:val="18"/>
                <w:szCs w:val="18"/>
              </w:rPr>
              <w:t>构成对</w:t>
            </w:r>
            <w:r>
              <w:rPr>
                <w:rFonts w:hint="eastAsia" w:ascii="黑体" w:hAnsi="黑体" w:eastAsia="黑体" w:cs="宋体"/>
                <w:sz w:val="18"/>
                <w:szCs w:val="22"/>
              </w:rPr>
              <w:t>产品收益的</w:t>
            </w:r>
            <w:r>
              <w:rPr>
                <w:rFonts w:hint="eastAsia" w:ascii="黑体" w:hAnsi="黑体" w:eastAsia="黑体" w:cs="宋体"/>
                <w:bCs/>
                <w:sz w:val="18"/>
                <w:szCs w:val="18"/>
              </w:rPr>
              <w:t>承诺</w:t>
            </w:r>
            <w:r>
              <w:rPr>
                <w:rFonts w:hint="eastAsia" w:ascii="黑体" w:hAnsi="黑体" w:eastAsia="黑体" w:cs="宋体"/>
                <w:sz w:val="18"/>
                <w:szCs w:val="22"/>
              </w:rPr>
              <w:t>，投资须谨慎。</w:t>
            </w:r>
          </w:p>
        </w:tc>
      </w:tr>
      <w:tr w14:paraId="6EBF87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64613F87">
            <w:pPr>
              <w:spacing w:line="360" w:lineRule="auto"/>
              <w:jc w:val="left"/>
              <w:rPr>
                <w:rFonts w:ascii="Calibri" w:hAnsi="Calibri" w:cs="宋体"/>
                <w:sz w:val="18"/>
                <w:szCs w:val="18"/>
              </w:rPr>
            </w:pPr>
            <w:r>
              <w:rPr>
                <w:rFonts w:hint="eastAsia" w:ascii="Calibri" w:hAnsi="Calibri" w:cs="宋体"/>
                <w:sz w:val="18"/>
                <w:szCs w:val="18"/>
              </w:rPr>
              <w:t>★</w:t>
            </w:r>
            <w:r>
              <w:rPr>
                <w:rFonts w:hint="eastAsia" w:ascii="Calibri" w:hAnsi="Calibri" w:cs="宋体"/>
                <w:b/>
                <w:sz w:val="18"/>
                <w:szCs w:val="18"/>
              </w:rPr>
              <w:t>业绩报酬计提</w:t>
            </w:r>
            <w:r>
              <w:rPr>
                <w:rFonts w:ascii="宋体" w:hAnsi="宋体" w:cs="宋体"/>
                <w:b/>
                <w:sz w:val="18"/>
                <w:szCs w:val="18"/>
              </w:rPr>
              <w:t>基准</w:t>
            </w:r>
          </w:p>
        </w:tc>
        <w:tc>
          <w:tcPr>
            <w:tcW w:w="7674" w:type="dxa"/>
            <w:shd w:val="solid" w:color="FFFFFF" w:fill="FFFFFF"/>
            <w:vAlign w:val="center"/>
          </w:tcPr>
          <w:p w14:paraId="37E587F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kern w:val="2"/>
                <w:sz w:val="18"/>
                <w:szCs w:val="18"/>
              </w:rPr>
            </w:pPr>
            <w:r>
              <w:rPr>
                <w:rFonts w:ascii="宋体" w:hAnsi="宋体" w:eastAsia="宋体" w:cs="宋体"/>
                <w:sz w:val="18"/>
                <w:szCs w:val="22"/>
              </w:rPr>
              <w:t>1.业绩报酬计提基准的设置</w:t>
            </w:r>
            <w:r>
              <w:rPr>
                <w:rFonts w:ascii="宋体" w:hAnsi="宋体" w:eastAsia="宋体" w:cs="宋体"/>
                <w:sz w:val="18"/>
                <w:szCs w:val="22"/>
              </w:rPr>
              <w:br w:type="textWrapping"/>
            </w:r>
            <w:r>
              <w:rPr>
                <w:rFonts w:ascii="宋体" w:hAnsi="宋体" w:eastAsia="宋体" w:cs="宋体"/>
                <w:sz w:val="18"/>
                <w:szCs w:val="22"/>
              </w:rPr>
              <w:t>■ 产品管理人设置业绩报酬计提基准。</w:t>
            </w:r>
            <w:r>
              <w:rPr>
                <w:rFonts w:ascii="宋体" w:hAnsi="宋体" w:eastAsia="宋体" w:cs="宋体"/>
                <w:sz w:val="18"/>
                <w:szCs w:val="22"/>
              </w:rPr>
              <w:br w:type="textWrapping"/>
            </w:r>
            <w:r>
              <w:rPr>
                <w:rFonts w:ascii="宋体" w:hAnsi="宋体" w:eastAsia="宋体" w:cs="宋体"/>
                <w:sz w:val="18"/>
                <w:szCs w:val="22"/>
              </w:rPr>
              <w:t>业绩报酬计提基准的设定：管理人对本产品设定业绩报酬计提基准：</w:t>
            </w:r>
            <w:r>
              <w:rPr>
                <w:rFonts w:ascii="宋体" w:hAnsi="宋体" w:eastAsia="宋体" w:cs="宋体"/>
                <w:sz w:val="18"/>
                <w:szCs w:val="22"/>
              </w:rPr>
              <w:br w:type="textWrapping"/>
            </w:r>
            <w:r>
              <w:rPr>
                <w:rFonts w:ascii="宋体" w:hAnsi="宋体" w:eastAsia="宋体" w:cs="宋体"/>
                <w:sz w:val="18"/>
                <w:szCs w:val="22"/>
              </w:rPr>
              <w:t>年化【3.12%】。（适用【A】类份额)</w:t>
            </w:r>
            <w:r>
              <w:rPr>
                <w:rFonts w:ascii="宋体" w:hAnsi="宋体" w:eastAsia="宋体" w:cs="宋体"/>
                <w:sz w:val="18"/>
                <w:szCs w:val="22"/>
              </w:rPr>
              <w:br w:type="textWrapping"/>
            </w:r>
            <w:r>
              <w:rPr>
                <w:rFonts w:ascii="宋体" w:hAnsi="宋体" w:eastAsia="宋体" w:cs="宋体"/>
                <w:sz w:val="18"/>
                <w:szCs w:val="22"/>
              </w:rPr>
              <w:t>年化【3.07%】。（适用【B】类份额)</w:t>
            </w:r>
            <w:r>
              <w:rPr>
                <w:rFonts w:ascii="宋体" w:hAnsi="宋体" w:eastAsia="宋体" w:cs="宋体"/>
                <w:sz w:val="18"/>
                <w:szCs w:val="22"/>
              </w:rPr>
              <w:br w:type="textWrapping"/>
            </w:r>
            <w:r>
              <w:rPr>
                <w:rFonts w:ascii="宋体" w:hAnsi="宋体" w:eastAsia="宋体" w:cs="宋体"/>
                <w:sz w:val="18"/>
                <w:szCs w:val="22"/>
              </w:rPr>
              <w:t>年化【3.02%】。（适用【C】类份额)</w:t>
            </w:r>
            <w:r>
              <w:rPr>
                <w:rFonts w:ascii="宋体" w:hAnsi="宋体" w:eastAsia="宋体" w:cs="宋体"/>
                <w:sz w:val="18"/>
                <w:szCs w:val="22"/>
              </w:rPr>
              <w:br w:type="textWrapping"/>
            </w:r>
            <w:r>
              <w:rPr>
                <w:rFonts w:ascii="宋体" w:hAnsi="宋体" w:eastAsia="宋体" w:cs="宋体"/>
                <w:sz w:val="18"/>
                <w:szCs w:val="22"/>
              </w:rPr>
              <w:t>年化【2.97%】。（适用【D】类份额)</w:t>
            </w:r>
            <w:r>
              <w:rPr>
                <w:rFonts w:ascii="宋体" w:hAnsi="宋体" w:eastAsia="宋体" w:cs="宋体"/>
                <w:sz w:val="18"/>
                <w:szCs w:val="22"/>
              </w:rPr>
              <w:br w:type="textWrapping"/>
            </w:r>
            <w:r>
              <w:rPr>
                <w:rFonts w:ascii="宋体" w:hAnsi="宋体" w:eastAsia="宋体" w:cs="宋体"/>
                <w:sz w:val="18"/>
                <w:szCs w:val="22"/>
              </w:rPr>
              <w:t>年化【2.87%】。（适用【E】类份额)</w:t>
            </w:r>
            <w:r>
              <w:rPr>
                <w:rFonts w:ascii="宋体" w:hAnsi="宋体" w:eastAsia="宋体" w:cs="宋体"/>
                <w:sz w:val="18"/>
                <w:szCs w:val="22"/>
              </w:rPr>
              <w:br w:type="textWrapping"/>
            </w:r>
            <w:r>
              <w:rPr>
                <w:rFonts w:ascii="宋体" w:hAnsi="宋体" w:eastAsia="宋体" w:cs="宋体"/>
                <w:sz w:val="18"/>
                <w:szCs w:val="22"/>
              </w:rPr>
              <w:t>□ 产品管理人不设置业绩报酬计提基准。</w:t>
            </w:r>
          </w:p>
          <w:p w14:paraId="3045EE0F">
            <w:pPr>
              <w:spacing w:line="360" w:lineRule="auto"/>
              <w:jc w:val="left"/>
              <w:rPr>
                <w:rFonts w:ascii="宋体" w:hAnsi="宋体" w:cs="宋体"/>
                <w:bCs/>
                <w:sz w:val="18"/>
                <w:szCs w:val="18"/>
              </w:rPr>
            </w:pPr>
            <w:r>
              <w:rPr>
                <w:rFonts w:ascii="宋体" w:hAnsi="宋体" w:cs="宋体"/>
                <w:bCs/>
                <w:sz w:val="18"/>
                <w:szCs w:val="18"/>
              </w:rPr>
              <w:t>2.业绩报酬计提基准的提示</w:t>
            </w:r>
            <w:r>
              <w:rPr>
                <w:rFonts w:hint="eastAsia" w:ascii="宋体" w:hAnsi="宋体" w:cs="宋体"/>
                <w:bCs/>
                <w:sz w:val="18"/>
                <w:szCs w:val="18"/>
              </w:rPr>
              <w:t>：</w:t>
            </w:r>
          </w:p>
          <w:p w14:paraId="58AC95C8">
            <w:pPr>
              <w:autoSpaceDE w:val="0"/>
              <w:autoSpaceDN w:val="0"/>
              <w:adjustRightInd w:val="0"/>
              <w:spacing w:line="360" w:lineRule="auto"/>
              <w:jc w:val="left"/>
              <w:rPr>
                <w:rFonts w:ascii="黑体" w:hAnsi="黑体" w:eastAsia="黑体" w:cs="宋体"/>
                <w:sz w:val="18"/>
                <w:szCs w:val="22"/>
              </w:rPr>
            </w:pPr>
            <w:r>
              <w:rPr>
                <w:rFonts w:hint="eastAsia" w:ascii="黑体" w:hAnsi="黑体" w:eastAsia="黑体" w:cs="宋体"/>
                <w:sz w:val="18"/>
                <w:szCs w:val="22"/>
              </w:rPr>
              <w:t>（</w:t>
            </w:r>
            <w:r>
              <w:rPr>
                <w:rFonts w:ascii="黑体" w:hAnsi="黑体" w:eastAsia="黑体" w:cs="宋体"/>
                <w:sz w:val="18"/>
                <w:szCs w:val="22"/>
              </w:rPr>
              <w:t>1）</w:t>
            </w:r>
            <w:r>
              <w:rPr>
                <w:rFonts w:hint="eastAsia" w:ascii="黑体" w:hAnsi="黑体" w:eastAsia="黑体" w:cs="宋体"/>
                <w:sz w:val="18"/>
                <w:szCs w:val="18"/>
              </w:rPr>
              <w:t>★</w:t>
            </w:r>
            <w:r>
              <w:rPr>
                <w:rFonts w:hint="eastAsia" w:ascii="黑体" w:hAnsi="黑体" w:eastAsia="黑体" w:cs="宋体"/>
                <w:sz w:val="18"/>
                <w:szCs w:val="22"/>
              </w:rPr>
              <w:t>业绩报酬计提基准仅作为管理人计算超额业绩报酬的参照标准</w:t>
            </w:r>
            <w:r>
              <w:rPr>
                <w:rFonts w:hint="eastAsia" w:ascii="黑体" w:hAnsi="黑体" w:eastAsia="黑体" w:cs="宋体"/>
                <w:bCs/>
                <w:sz w:val="18"/>
                <w:szCs w:val="18"/>
              </w:rPr>
              <w:t>。业绩报酬计提基准不是预期收益率</w:t>
            </w:r>
            <w:r>
              <w:rPr>
                <w:rFonts w:hint="eastAsia" w:ascii="黑体" w:hAnsi="黑体" w:eastAsia="黑体" w:cs="宋体"/>
                <w:sz w:val="18"/>
                <w:szCs w:val="22"/>
              </w:rPr>
              <w:t>，不代表产品</w:t>
            </w:r>
            <w:r>
              <w:rPr>
                <w:rFonts w:hint="eastAsia" w:ascii="黑体" w:hAnsi="黑体" w:eastAsia="黑体" w:cs="宋体"/>
                <w:bCs/>
                <w:sz w:val="18"/>
                <w:szCs w:val="18"/>
              </w:rPr>
              <w:t>的</w:t>
            </w:r>
            <w:r>
              <w:rPr>
                <w:rFonts w:hint="eastAsia" w:ascii="黑体" w:hAnsi="黑体" w:eastAsia="黑体" w:cs="宋体"/>
                <w:sz w:val="18"/>
                <w:szCs w:val="22"/>
              </w:rPr>
              <w:t>未来表现</w:t>
            </w:r>
            <w:r>
              <w:rPr>
                <w:rFonts w:hint="eastAsia" w:ascii="黑体" w:hAnsi="黑体" w:eastAsia="黑体" w:cs="宋体"/>
                <w:bCs/>
                <w:sz w:val="18"/>
                <w:szCs w:val="18"/>
              </w:rPr>
              <w:t>和</w:t>
            </w:r>
            <w:r>
              <w:rPr>
                <w:rFonts w:hint="eastAsia" w:ascii="黑体" w:hAnsi="黑体" w:eastAsia="黑体" w:cs="宋体"/>
                <w:sz w:val="18"/>
                <w:szCs w:val="22"/>
              </w:rPr>
              <w:t>实际收益，不</w:t>
            </w:r>
            <w:r>
              <w:rPr>
                <w:rFonts w:hint="eastAsia" w:ascii="黑体" w:hAnsi="黑体" w:eastAsia="黑体" w:cs="宋体"/>
                <w:bCs/>
                <w:sz w:val="18"/>
                <w:szCs w:val="18"/>
              </w:rPr>
              <w:t>构成对</w:t>
            </w:r>
            <w:r>
              <w:rPr>
                <w:rFonts w:hint="eastAsia" w:ascii="黑体" w:hAnsi="黑体" w:eastAsia="黑体" w:cs="宋体"/>
                <w:sz w:val="18"/>
                <w:szCs w:val="22"/>
              </w:rPr>
              <w:t>产品收益的</w:t>
            </w:r>
            <w:r>
              <w:rPr>
                <w:rFonts w:hint="eastAsia" w:ascii="黑体" w:hAnsi="黑体" w:eastAsia="黑体" w:cs="宋体"/>
                <w:bCs/>
                <w:sz w:val="18"/>
                <w:szCs w:val="18"/>
              </w:rPr>
              <w:t>承诺</w:t>
            </w:r>
            <w:r>
              <w:rPr>
                <w:rFonts w:hint="eastAsia" w:ascii="黑体" w:hAnsi="黑体" w:eastAsia="黑体" w:cs="宋体"/>
                <w:sz w:val="18"/>
                <w:szCs w:val="22"/>
              </w:rPr>
              <w:t>，投资须谨慎。</w:t>
            </w:r>
          </w:p>
          <w:p w14:paraId="216002A7">
            <w:pPr>
              <w:spacing w:line="360" w:lineRule="auto"/>
              <w:jc w:val="left"/>
              <w:rPr>
                <w:rFonts w:ascii="宋体" w:hAnsi="宋体" w:cs="宋体"/>
                <w:b/>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如果今后法律法规发生变化，或者有其他代表性更强、更科学客观的业绩报酬计提基准适用于本产品时，经产品管理人和产品托管人协商一致后，本产品可以变更业绩报酬计提基准并按照本产品说明书“理财产品的信息披露”条款约定及时公告。</w:t>
            </w:r>
          </w:p>
        </w:tc>
      </w:tr>
      <w:tr w14:paraId="22E683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3EC75879">
            <w:pPr>
              <w:spacing w:line="360" w:lineRule="auto"/>
              <w:jc w:val="left"/>
              <w:rPr>
                <w:rFonts w:ascii="Calibri" w:hAnsi="Calibri" w:cs="宋体"/>
                <w:sz w:val="18"/>
                <w:szCs w:val="18"/>
              </w:rPr>
            </w:pPr>
            <w:r>
              <w:rPr>
                <w:rFonts w:hint="eastAsia" w:ascii="Calibri" w:hAnsi="宋体" w:cs="宋体"/>
                <w:b/>
                <w:sz w:val="18"/>
                <w:szCs w:val="18"/>
              </w:rPr>
              <w:t>★</w:t>
            </w:r>
            <w:r>
              <w:rPr>
                <w:rFonts w:hint="eastAsia" w:ascii="Calibri" w:hAnsi="Calibri" w:cs="宋体"/>
                <w:b/>
                <w:sz w:val="18"/>
                <w:szCs w:val="18"/>
              </w:rPr>
              <w:t>理财产品利益分配</w:t>
            </w:r>
          </w:p>
        </w:tc>
        <w:tc>
          <w:tcPr>
            <w:tcW w:w="7674" w:type="dxa"/>
            <w:shd w:val="solid" w:color="FFFFFF" w:fill="FFFFFF"/>
            <w:vAlign w:val="center"/>
          </w:tcPr>
          <w:p w14:paraId="41FD4DAA">
            <w:pPr>
              <w:spacing w:line="360" w:lineRule="auto"/>
              <w:jc w:val="left"/>
              <w:rPr>
                <w:rFonts w:hint="eastAsia" w:ascii="Calibri" w:hAnsi="宋体" w:cs="宋体"/>
                <w:bCs/>
                <w:sz w:val="18"/>
                <w:szCs w:val="18"/>
              </w:rPr>
            </w:pPr>
            <w:r>
              <w:rPr>
                <w:rFonts w:hint="eastAsia" w:ascii="Calibri" w:hAnsi="宋体" w:cs="宋体"/>
                <w:bCs/>
                <w:sz w:val="18"/>
                <w:szCs w:val="18"/>
              </w:rPr>
              <w:t>1.自产品成立日后【第十二个月】，产品管理人有权进行首次理财利益的分配，其后每隔【十二个月】产品管理人有权进行理财利益的分配。若分配基准日投资收益实际表现所折算的年化收益率超过【2.00】%（不含），则产品管理人有权视理财产品收益情况，在分配日主动先行向投资者分配相关收益，分配收益所折算的年化收益率不超过【2.00】%，且分配后产品份额净值不低于【1.01】，分配后有剩余收益的，仍留存在理财产品中。相应分配基准日、分配方案由管理人及时披露。</w:t>
            </w:r>
          </w:p>
          <w:p w14:paraId="4947CFC5">
            <w:pPr>
              <w:spacing w:line="360" w:lineRule="auto"/>
              <w:jc w:val="left"/>
              <w:rPr>
                <w:rFonts w:ascii="Calibri" w:hAnsi="宋体" w:cs="宋体"/>
                <w:bCs/>
                <w:sz w:val="18"/>
                <w:szCs w:val="18"/>
              </w:rPr>
            </w:pPr>
            <w:r>
              <w:rPr>
                <w:rFonts w:hint="eastAsia" w:ascii="Calibri" w:hAnsi="宋体" w:cs="宋体"/>
                <w:bCs/>
                <w:sz w:val="18"/>
                <w:szCs w:val="18"/>
              </w:rPr>
              <w:t>2.具体理财产品利益分配详见《产品说明书》“第八条 理财产品的利益分配。</w:t>
            </w:r>
          </w:p>
        </w:tc>
      </w:tr>
      <w:tr w14:paraId="715199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1C1DCA2">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eastAsia="宋体" w:cs="宋体"/>
                <w:b/>
                <w:bCs/>
                <w:sz w:val="18"/>
                <w:szCs w:val="18"/>
              </w:rPr>
              <w:t>理财产品费用</w:t>
            </w:r>
          </w:p>
        </w:tc>
        <w:tc>
          <w:tcPr>
            <w:tcW w:w="7674" w:type="dxa"/>
            <w:shd w:val="solid" w:color="FFFFFF" w:fill="FFFFFF"/>
            <w:vAlign w:val="center"/>
          </w:tcPr>
          <w:p w14:paraId="13E4D0D9">
            <w:pPr>
              <w:keepNext w:val="0"/>
              <w:keepLines w:val="0"/>
              <w:suppressLineNumbers w:val="0"/>
              <w:spacing w:before="0" w:beforeAutospacing="0" w:after="0" w:afterAutospacing="0" w:line="360" w:lineRule="auto"/>
              <w:ind w:left="0" w:right="0"/>
              <w:rPr>
                <w:rFonts w:hint="eastAsia" w:ascii="黑体" w:hAnsi="黑体" w:eastAsia="黑体" w:cs="宋体"/>
                <w:bCs/>
                <w:sz w:val="18"/>
                <w:szCs w:val="18"/>
              </w:rPr>
            </w:pPr>
            <w:r>
              <w:rPr>
                <w:rFonts w:ascii="黑体" w:hAnsi="黑体" w:eastAsia="黑体" w:cs="黑体"/>
                <w:sz w:val="18"/>
                <w:szCs w:val="22"/>
              </w:rPr>
              <w:t>1.理财产品的费率标准</w:t>
            </w:r>
            <w:r>
              <w:rPr>
                <w:rFonts w:ascii="黑体" w:hAnsi="黑体" w:eastAsia="黑体" w:cs="黑体"/>
                <w:sz w:val="18"/>
                <w:szCs w:val="22"/>
              </w:rPr>
              <w:br w:type="textWrapping"/>
            </w:r>
            <w:r>
              <w:rPr>
                <w:rFonts w:ascii="黑体" w:hAnsi="黑体" w:eastAsia="黑体" w:cs="黑体"/>
                <w:sz w:val="18"/>
                <w:szCs w:val="22"/>
              </w:rPr>
              <w:t>（1）认购费：</w:t>
            </w:r>
            <w:r>
              <w:rPr>
                <w:rFonts w:ascii="黑体" w:hAnsi="黑体" w:eastAsia="黑体" w:cs="黑体"/>
                <w:sz w:val="18"/>
                <w:szCs w:val="22"/>
              </w:rPr>
              <w:br w:type="textWrapping"/>
            </w:r>
            <w:r>
              <w:rPr>
                <w:rFonts w:ascii="黑体" w:hAnsi="黑体" w:eastAsia="黑体" w:cs="黑体"/>
                <w:sz w:val="18"/>
                <w:szCs w:val="22"/>
              </w:rPr>
              <w:t>【/】。（适用【A】类份额）</w:t>
            </w:r>
            <w:r>
              <w:rPr>
                <w:rFonts w:ascii="黑体" w:hAnsi="黑体" w:eastAsia="黑体" w:cs="黑体"/>
                <w:sz w:val="18"/>
                <w:szCs w:val="22"/>
              </w:rPr>
              <w:br w:type="textWrapping"/>
            </w:r>
            <w:r>
              <w:rPr>
                <w:rFonts w:ascii="黑体" w:hAnsi="黑体" w:eastAsia="黑体" w:cs="黑体"/>
                <w:sz w:val="18"/>
                <w:szCs w:val="22"/>
              </w:rPr>
              <w:t>【/】。（适用【B】类份额）</w:t>
            </w:r>
            <w:r>
              <w:rPr>
                <w:rFonts w:ascii="黑体" w:hAnsi="黑体" w:eastAsia="黑体" w:cs="黑体"/>
                <w:sz w:val="18"/>
                <w:szCs w:val="22"/>
              </w:rPr>
              <w:br w:type="textWrapping"/>
            </w:r>
            <w:r>
              <w:rPr>
                <w:rFonts w:ascii="黑体" w:hAnsi="黑体" w:eastAsia="黑体" w:cs="黑体"/>
                <w:sz w:val="18"/>
                <w:szCs w:val="22"/>
              </w:rPr>
              <w:t>【/】。（适用【C】类份额）</w:t>
            </w:r>
            <w:r>
              <w:rPr>
                <w:rFonts w:ascii="黑体" w:hAnsi="黑体" w:eastAsia="黑体" w:cs="黑体"/>
                <w:sz w:val="18"/>
                <w:szCs w:val="22"/>
              </w:rPr>
              <w:br w:type="textWrapping"/>
            </w:r>
            <w:r>
              <w:rPr>
                <w:rFonts w:ascii="黑体" w:hAnsi="黑体" w:eastAsia="黑体" w:cs="黑体"/>
                <w:sz w:val="18"/>
                <w:szCs w:val="22"/>
              </w:rPr>
              <w:t>【/】。（适用【D】类份额）</w:t>
            </w:r>
            <w:r>
              <w:rPr>
                <w:rFonts w:ascii="黑体" w:hAnsi="黑体" w:eastAsia="黑体" w:cs="黑体"/>
                <w:sz w:val="18"/>
                <w:szCs w:val="22"/>
              </w:rPr>
              <w:br w:type="textWrapping"/>
            </w:r>
            <w:r>
              <w:rPr>
                <w:rFonts w:ascii="黑体" w:hAnsi="黑体" w:eastAsia="黑体" w:cs="黑体"/>
                <w:sz w:val="18"/>
                <w:szCs w:val="22"/>
              </w:rPr>
              <w:t>【/】。（适用【E】类份额）</w:t>
            </w:r>
            <w:r>
              <w:rPr>
                <w:rFonts w:ascii="黑体" w:hAnsi="黑体" w:eastAsia="黑体" w:cs="黑体"/>
                <w:sz w:val="18"/>
                <w:szCs w:val="22"/>
              </w:rPr>
              <w:br w:type="textWrapping"/>
            </w:r>
            <w:r>
              <w:rPr>
                <w:rFonts w:ascii="黑体" w:hAnsi="黑体" w:eastAsia="黑体" w:cs="黑体"/>
                <w:sz w:val="18"/>
                <w:szCs w:val="22"/>
              </w:rPr>
              <w:t>（2）销售服务费：</w:t>
            </w:r>
            <w:r>
              <w:rPr>
                <w:rFonts w:ascii="黑体" w:hAnsi="黑体" w:eastAsia="黑体" w:cs="黑体"/>
                <w:sz w:val="18"/>
                <w:szCs w:val="22"/>
              </w:rPr>
              <w:br w:type="textWrapping"/>
            </w:r>
            <w:r>
              <w:rPr>
                <w:rFonts w:ascii="黑体" w:hAnsi="黑体" w:eastAsia="黑体" w:cs="黑体"/>
                <w:sz w:val="18"/>
                <w:szCs w:val="22"/>
              </w:rPr>
              <w:t>年化费率【0.05%】。（适用【A】类份额）</w:t>
            </w:r>
            <w:r>
              <w:rPr>
                <w:rFonts w:ascii="黑体" w:hAnsi="黑体" w:eastAsia="黑体" w:cs="黑体"/>
                <w:sz w:val="18"/>
                <w:szCs w:val="22"/>
              </w:rPr>
              <w:br w:type="textWrapping"/>
            </w:r>
            <w:r>
              <w:rPr>
                <w:rFonts w:ascii="黑体" w:hAnsi="黑体" w:eastAsia="黑体" w:cs="黑体"/>
                <w:sz w:val="18"/>
                <w:szCs w:val="22"/>
              </w:rPr>
              <w:t>年化费率【0.1%】。（适用【B】类份额）</w:t>
            </w:r>
            <w:r>
              <w:rPr>
                <w:rFonts w:ascii="黑体" w:hAnsi="黑体" w:eastAsia="黑体" w:cs="黑体"/>
                <w:sz w:val="18"/>
                <w:szCs w:val="22"/>
              </w:rPr>
              <w:br w:type="textWrapping"/>
            </w:r>
            <w:r>
              <w:rPr>
                <w:rFonts w:ascii="黑体" w:hAnsi="黑体" w:eastAsia="黑体" w:cs="黑体"/>
                <w:sz w:val="18"/>
                <w:szCs w:val="22"/>
              </w:rPr>
              <w:t>年化费率【0.15%】。（适用【C】类份额）</w:t>
            </w:r>
            <w:r>
              <w:rPr>
                <w:rFonts w:ascii="黑体" w:hAnsi="黑体" w:eastAsia="黑体" w:cs="黑体"/>
                <w:sz w:val="18"/>
                <w:szCs w:val="22"/>
              </w:rPr>
              <w:br w:type="textWrapping"/>
            </w:r>
            <w:r>
              <w:rPr>
                <w:rFonts w:ascii="黑体" w:hAnsi="黑体" w:eastAsia="黑体" w:cs="黑体"/>
                <w:sz w:val="18"/>
                <w:szCs w:val="22"/>
              </w:rPr>
              <w:t>年化费率【0.2%】。（适用【D】类份额）</w:t>
            </w:r>
            <w:r>
              <w:rPr>
                <w:rFonts w:ascii="黑体" w:hAnsi="黑体" w:eastAsia="黑体" w:cs="黑体"/>
                <w:sz w:val="18"/>
                <w:szCs w:val="22"/>
              </w:rPr>
              <w:br w:type="textWrapping"/>
            </w:r>
            <w:r>
              <w:rPr>
                <w:rFonts w:ascii="黑体" w:hAnsi="黑体" w:eastAsia="黑体" w:cs="黑体"/>
                <w:sz w:val="18"/>
                <w:szCs w:val="22"/>
              </w:rPr>
              <w:t>年化费率【0.3%】。（适用【E】类份额）</w:t>
            </w:r>
            <w:r>
              <w:rPr>
                <w:rFonts w:ascii="黑体" w:hAnsi="黑体" w:eastAsia="黑体" w:cs="黑体"/>
                <w:sz w:val="18"/>
                <w:szCs w:val="22"/>
              </w:rPr>
              <w:br w:type="textWrapping"/>
            </w:r>
            <w:r>
              <w:rPr>
                <w:rFonts w:ascii="黑体" w:hAnsi="黑体" w:eastAsia="黑体" w:cs="黑体"/>
                <w:sz w:val="18"/>
                <w:szCs w:val="22"/>
              </w:rPr>
              <w:t>（3）投资管理费：年化费率【0.1%】</w:t>
            </w:r>
            <w:r>
              <w:rPr>
                <w:rFonts w:ascii="黑体" w:hAnsi="黑体" w:eastAsia="黑体" w:cs="黑体"/>
                <w:sz w:val="18"/>
                <w:szCs w:val="22"/>
              </w:rPr>
              <w:br w:type="textWrapping"/>
            </w:r>
            <w:r>
              <w:rPr>
                <w:rFonts w:ascii="黑体" w:hAnsi="黑体" w:eastAsia="黑体" w:cs="黑体"/>
                <w:sz w:val="18"/>
                <w:szCs w:val="22"/>
              </w:rPr>
              <w:t>（4）产品托管费：年化费率【0.02%】</w:t>
            </w:r>
            <w:r>
              <w:rPr>
                <w:rFonts w:ascii="黑体" w:hAnsi="黑体" w:eastAsia="黑体" w:cs="黑体"/>
                <w:sz w:val="18"/>
                <w:szCs w:val="22"/>
              </w:rPr>
              <w:br w:type="textWrapping"/>
            </w:r>
            <w:r>
              <w:rPr>
                <w:rFonts w:ascii="黑体" w:hAnsi="黑体" w:eastAsia="黑体" w:cs="黑体"/>
                <w:sz w:val="18"/>
                <w:szCs w:val="22"/>
              </w:rPr>
              <w:t>（5）超额业绩报酬：</w:t>
            </w:r>
            <w:r>
              <w:rPr>
                <w:rFonts w:ascii="黑体" w:hAnsi="黑体" w:eastAsia="黑体" w:cs="黑体"/>
                <w:sz w:val="18"/>
                <w:szCs w:val="22"/>
              </w:rPr>
              <w:br w:type="textWrapping"/>
            </w:r>
            <w:r>
              <w:rPr>
                <w:rFonts w:ascii="黑体" w:hAnsi="黑体" w:eastAsia="黑体" w:cs="黑体"/>
                <w:sz w:val="18"/>
                <w:szCs w:val="22"/>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50%】作为超额业绩报酬。</w:t>
            </w:r>
          </w:p>
          <w:p w14:paraId="41B134C5">
            <w:pPr>
              <w:spacing w:line="360" w:lineRule="auto"/>
              <w:rPr>
                <w:rFonts w:hint="eastAsia" w:ascii="黑体" w:hAnsi="黑体" w:eastAsia="黑体" w:cs="宋体"/>
                <w:bCs/>
                <w:sz w:val="18"/>
                <w:szCs w:val="18"/>
              </w:rPr>
            </w:pPr>
            <w:r>
              <w:rPr>
                <w:rFonts w:hint="eastAsia" w:ascii="黑体" w:hAnsi="黑体" w:eastAsia="黑体" w:cs="宋体"/>
                <w:bCs/>
                <w:sz w:val="18"/>
                <w:szCs w:val="18"/>
              </w:rPr>
              <w:t>2.以上费用金额均按照四舍五入方法，保留到小数点后2位。</w:t>
            </w:r>
          </w:p>
          <w:p w14:paraId="075450A9">
            <w:pPr>
              <w:spacing w:line="360" w:lineRule="auto"/>
              <w:rPr>
                <w:rFonts w:ascii="黑体" w:hAnsi="黑体" w:eastAsia="黑体" w:cs="宋体"/>
                <w:bCs/>
                <w:sz w:val="18"/>
                <w:szCs w:val="18"/>
              </w:rPr>
            </w:pPr>
            <w:r>
              <w:rPr>
                <w:rFonts w:hint="eastAsia" w:ascii="黑体" w:hAnsi="黑体" w:eastAsia="黑体" w:cs="宋体"/>
                <w:bCs/>
                <w:sz w:val="18"/>
                <w:szCs w:val="18"/>
              </w:rPr>
              <w:t>3.产品管理人有权根据相关法律和国家政策规定，对理财产品费用的收费项目、收费条件、收费标准和收费方式等进行调整。产品管理人对费用的调整将依本产品说明书的“理财产品的信息披露”条款约定进行公告。</w:t>
            </w:r>
          </w:p>
        </w:tc>
      </w:tr>
      <w:tr w14:paraId="499FDF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9C81AC2">
            <w:pPr>
              <w:spacing w:line="360" w:lineRule="auto"/>
              <w:jc w:val="left"/>
              <w:rPr>
                <w:rFonts w:ascii="Calibri" w:hAnsi="宋体" w:cs="宋体"/>
                <w:sz w:val="18"/>
                <w:szCs w:val="18"/>
              </w:rPr>
            </w:pPr>
            <w:r>
              <w:rPr>
                <w:rFonts w:hint="eastAsia" w:ascii="宋体" w:hAnsi="宋体" w:cs="宋体"/>
                <w:b/>
                <w:bCs/>
                <w:kern w:val="0"/>
                <w:sz w:val="18"/>
                <w:szCs w:val="18"/>
              </w:rPr>
              <w:t>税收</w:t>
            </w:r>
          </w:p>
        </w:tc>
        <w:tc>
          <w:tcPr>
            <w:tcW w:w="7674" w:type="dxa"/>
            <w:shd w:val="solid" w:color="FFFFFF" w:fill="FFFFFF"/>
            <w:vAlign w:val="center"/>
          </w:tcPr>
          <w:p w14:paraId="00D6FEE5">
            <w:pPr>
              <w:spacing w:line="360" w:lineRule="auto"/>
              <w:rPr>
                <w:rFonts w:ascii="宋体" w:hAnsi="宋体" w:cs="宋体"/>
                <w:bCs/>
                <w:color w:val="000000"/>
                <w:sz w:val="18"/>
                <w:szCs w:val="18"/>
              </w:rPr>
            </w:pPr>
            <w:r>
              <w:rPr>
                <w:rFonts w:hint="eastAsia" w:ascii="Calibri" w:hAnsi="宋体" w:cs="仿宋_GB2312"/>
                <w:sz w:val="18"/>
                <w:szCs w:val="18"/>
              </w:rPr>
              <w:t>本理财产品运作过程中涉及的各纳税主体，其纳税义务按国家税收法律、法规执行。</w:t>
            </w:r>
          </w:p>
        </w:tc>
      </w:tr>
      <w:tr w14:paraId="244F55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A9AFD88">
            <w:pPr>
              <w:spacing w:line="360" w:lineRule="auto"/>
              <w:jc w:val="left"/>
              <w:rPr>
                <w:rFonts w:ascii="宋体" w:hAnsi="宋体" w:eastAsia="宋体" w:cs="宋体"/>
                <w:b/>
                <w:sz w:val="18"/>
                <w:szCs w:val="18"/>
              </w:rPr>
            </w:pPr>
            <w:r>
              <w:rPr>
                <w:rFonts w:hint="eastAsia" w:ascii="宋体" w:hAnsi="宋体" w:eastAsia="宋体" w:cs="宋体"/>
                <w:b/>
                <w:sz w:val="18"/>
                <w:szCs w:val="18"/>
              </w:rPr>
              <w:t>理财产品份额的转让</w:t>
            </w:r>
          </w:p>
        </w:tc>
        <w:tc>
          <w:tcPr>
            <w:tcW w:w="7674" w:type="dxa"/>
            <w:shd w:val="solid" w:color="FFFFFF" w:fill="FFFFFF"/>
            <w:vAlign w:val="center"/>
          </w:tcPr>
          <w:p w14:paraId="29F343F1">
            <w:pPr>
              <w:spacing w:line="360" w:lineRule="auto"/>
              <w:jc w:val="left"/>
              <w:rPr>
                <w:rFonts w:ascii="宋体" w:hAnsi="宋体" w:cs="宋体"/>
                <w:sz w:val="18"/>
                <w:szCs w:val="18"/>
              </w:rPr>
            </w:pPr>
            <w:r>
              <w:rPr>
                <w:rFonts w:hint="eastAsia" w:ascii="宋体" w:hAnsi="宋体" w:cs="宋体"/>
                <w:sz w:val="18"/>
                <w:szCs w:val="18"/>
              </w:rPr>
              <w:t>理财产品份额的转让将依照理财产品销售文件及销售机构的业务政策执行。</w:t>
            </w:r>
          </w:p>
        </w:tc>
      </w:tr>
      <w:tr w14:paraId="763329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F83196D">
            <w:pPr>
              <w:spacing w:line="360" w:lineRule="auto"/>
              <w:jc w:val="left"/>
              <w:rPr>
                <w:rFonts w:ascii="宋体" w:hAnsi="宋体" w:eastAsia="宋体" w:cs="宋体"/>
                <w:b/>
                <w:sz w:val="18"/>
                <w:szCs w:val="18"/>
              </w:rPr>
            </w:pPr>
            <w:r>
              <w:rPr>
                <w:rFonts w:hint="eastAsia" w:ascii="宋体" w:hAnsi="宋体" w:eastAsia="宋体" w:cs="宋体"/>
                <w:b/>
                <w:sz w:val="18"/>
                <w:szCs w:val="18"/>
              </w:rPr>
              <w:t>理财产品份额的质押</w:t>
            </w:r>
          </w:p>
        </w:tc>
        <w:tc>
          <w:tcPr>
            <w:tcW w:w="7674" w:type="dxa"/>
            <w:shd w:val="solid" w:color="FFFFFF" w:fill="FFFFFF"/>
            <w:vAlign w:val="center"/>
          </w:tcPr>
          <w:p w14:paraId="468ADF00">
            <w:pPr>
              <w:spacing w:line="360" w:lineRule="auto"/>
              <w:jc w:val="left"/>
              <w:rPr>
                <w:rFonts w:ascii="宋体" w:hAnsi="宋体" w:cs="宋体"/>
                <w:sz w:val="18"/>
                <w:szCs w:val="18"/>
              </w:rPr>
            </w:pPr>
            <w:r>
              <w:rPr>
                <w:rFonts w:hint="eastAsia" w:ascii="宋体" w:hAnsi="宋体" w:cs="宋体"/>
                <w:sz w:val="18"/>
                <w:szCs w:val="18"/>
              </w:rPr>
              <w:t>理财产品份额的质押将依照理财产品销售文件及销售机构的业务政策执行。</w:t>
            </w:r>
          </w:p>
        </w:tc>
      </w:tr>
    </w:tbl>
    <w:p w14:paraId="300A9B94">
      <w:pPr>
        <w:widowControl w:val="0"/>
        <w:autoSpaceDE w:val="0"/>
        <w:autoSpaceDN w:val="0"/>
        <w:adjustRightInd w:val="0"/>
        <w:spacing w:line="360" w:lineRule="auto"/>
        <w:rPr>
          <w:rFonts w:ascii="宋体" w:hAnsi="宋体" w:eastAsia="宋体" w:cs="宋体"/>
          <w:color w:val="000000"/>
          <w:sz w:val="18"/>
          <w:szCs w:val="18"/>
          <w:lang w:val="en-US" w:eastAsia="zh-CN" w:bidi="ar-SA"/>
        </w:rPr>
      </w:pPr>
    </w:p>
    <w:p w14:paraId="16FDC969">
      <w:pPr>
        <w:widowControl/>
        <w:spacing w:line="360" w:lineRule="auto"/>
        <w:jc w:val="left"/>
        <w:rPr>
          <w:rFonts w:ascii="宋体" w:hAnsi="宋体" w:cs="宋体"/>
          <w:color w:val="000000"/>
          <w:kern w:val="0"/>
          <w:sz w:val="18"/>
          <w:szCs w:val="18"/>
        </w:rPr>
      </w:pPr>
      <w:r>
        <w:rPr>
          <w:rFonts w:ascii="Calibri" w:hAnsi="宋体" w:cs="宋体"/>
          <w:sz w:val="18"/>
          <w:szCs w:val="18"/>
        </w:rPr>
        <w:br w:type="page"/>
      </w:r>
    </w:p>
    <w:p w14:paraId="19BE6A73">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70" w:name="_Toc79154666"/>
      <w:bookmarkStart w:id="71" w:name="_Toc176189755"/>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三条</w:t>
      </w:r>
      <w:r>
        <w:rPr>
          <w:rFonts w:ascii="Times New Roman" w:hAnsi="Calibri" w:eastAsia="宋体" w:cs="宋体"/>
          <w:b/>
          <w:bCs/>
          <w:kern w:val="44"/>
          <w:sz w:val="30"/>
          <w:szCs w:val="44"/>
          <w:lang w:val="en-US" w:eastAsia="zh-CN" w:bidi="ar-SA"/>
        </w:rPr>
        <w:t xml:space="preserve">  </w:t>
      </w:r>
      <w:bookmarkStart w:id="72" w:name="_Toc79392573"/>
      <w:r>
        <w:rPr>
          <w:rFonts w:hint="eastAsia" w:ascii="Times New Roman" w:hAnsi="Calibri" w:eastAsia="宋体" w:cs="宋体"/>
          <w:b/>
          <w:bCs/>
          <w:kern w:val="44"/>
          <w:sz w:val="30"/>
          <w:szCs w:val="44"/>
          <w:lang w:val="en-US" w:eastAsia="zh-CN" w:bidi="ar-SA"/>
        </w:rPr>
        <w:t>理财产品的认购</w:t>
      </w:r>
      <w:bookmarkEnd w:id="70"/>
      <w:bookmarkEnd w:id="71"/>
    </w:p>
    <w:p w14:paraId="62133CE8">
      <w:pPr>
        <w:spacing w:line="360" w:lineRule="auto"/>
        <w:ind w:firstLine="361" w:firstLineChars="200"/>
        <w:rPr>
          <w:rFonts w:ascii="宋体" w:hAnsi="宋体" w:cs="宋体"/>
          <w:b/>
          <w:bCs/>
          <w:sz w:val="18"/>
          <w:szCs w:val="18"/>
        </w:rPr>
      </w:pPr>
      <w:bookmarkStart w:id="73" w:name="_Hlt88031774"/>
      <w:bookmarkEnd w:id="73"/>
      <w:bookmarkStart w:id="74" w:name="_Hlt88031741"/>
      <w:r>
        <w:rPr>
          <w:rFonts w:hint="eastAsia" w:ascii="宋体" w:hAnsi="宋体" w:cs="宋体"/>
          <w:b/>
          <w:bCs/>
          <w:sz w:val="18"/>
          <w:szCs w:val="18"/>
        </w:rPr>
        <w:t>（一）理财产品的认购</w:t>
      </w:r>
    </w:p>
    <w:p w14:paraId="4DD0E732">
      <w:pPr>
        <w:spacing w:line="360" w:lineRule="auto"/>
        <w:ind w:firstLine="361" w:firstLineChars="200"/>
        <w:rPr>
          <w:rFonts w:ascii="宋体" w:hAnsi="宋体" w:cs="宋体"/>
          <w:b/>
          <w:bCs/>
          <w:sz w:val="18"/>
          <w:szCs w:val="18"/>
        </w:rPr>
      </w:pPr>
      <w:r>
        <w:rPr>
          <w:rFonts w:ascii="宋体" w:hAnsi="宋体" w:cs="宋体"/>
          <w:b/>
          <w:bCs/>
          <w:sz w:val="18"/>
          <w:szCs w:val="18"/>
        </w:rPr>
        <w:t>1.</w:t>
      </w:r>
      <w:r>
        <w:rPr>
          <w:rFonts w:hint="eastAsia" w:ascii="宋体" w:hAnsi="宋体" w:cs="宋体"/>
          <w:b/>
          <w:bCs/>
          <w:sz w:val="18"/>
          <w:szCs w:val="18"/>
        </w:rPr>
        <w:t>认购的时间</w:t>
      </w:r>
    </w:p>
    <w:p w14:paraId="73E4E63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本产品认购期/募集期详见《产品说明书》“第二条 理财产品基本情况”。</w:t>
      </w:r>
      <w:r>
        <w:rPr>
          <w:rFonts w:ascii="宋体" w:hAnsi="宋体" w:eastAsia="宋体" w:cs="宋体"/>
          <w:color w:val="auto"/>
          <w:sz w:val="18"/>
          <w:szCs w:val="18"/>
          <w:lang w:val="en-US" w:eastAsia="zh-CN" w:bidi="ar-SA"/>
        </w:rPr>
        <w:t>产品管理人有权根据实际募集情况提前或延后产品成立日期，并</w:t>
      </w:r>
      <w:r>
        <w:rPr>
          <w:rFonts w:hint="eastAsia" w:ascii="宋体" w:hAnsi="宋体" w:eastAsia="宋体" w:cs="宋体"/>
          <w:color w:val="auto"/>
          <w:sz w:val="18"/>
          <w:szCs w:val="18"/>
          <w:lang w:val="en-US" w:eastAsia="zh-CN" w:bidi="ar-SA"/>
        </w:rPr>
        <w:t>相应调整其他产品要素，</w:t>
      </w:r>
      <w:r>
        <w:rPr>
          <w:rFonts w:ascii="宋体" w:hAnsi="宋体" w:eastAsia="宋体" w:cs="宋体"/>
          <w:color w:val="auto"/>
          <w:sz w:val="18"/>
          <w:szCs w:val="18"/>
          <w:lang w:val="en-US" w:eastAsia="zh-CN" w:bidi="ar-SA"/>
        </w:rPr>
        <w:t>将依约</w:t>
      </w:r>
      <w:r>
        <w:rPr>
          <w:rFonts w:hint="eastAsia" w:ascii="宋体" w:hAnsi="宋体" w:eastAsia="宋体" w:cs="宋体"/>
          <w:color w:val="auto"/>
          <w:sz w:val="18"/>
          <w:szCs w:val="18"/>
          <w:lang w:val="en-US" w:eastAsia="zh-CN" w:bidi="ar-SA"/>
        </w:rPr>
        <w:t>定进行公告。</w:t>
      </w:r>
    </w:p>
    <w:p w14:paraId="2E5AB8A5">
      <w:pPr>
        <w:spacing w:line="360" w:lineRule="auto"/>
        <w:ind w:firstLine="361" w:firstLineChars="200"/>
        <w:rPr>
          <w:rFonts w:ascii="宋体" w:hAnsi="宋体" w:cs="宋体"/>
          <w:b/>
          <w:bCs/>
          <w:sz w:val="18"/>
          <w:szCs w:val="18"/>
        </w:rPr>
      </w:pPr>
      <w:r>
        <w:rPr>
          <w:rFonts w:ascii="宋体" w:hAnsi="宋体" w:cs="宋体"/>
          <w:b/>
          <w:bCs/>
          <w:sz w:val="18"/>
          <w:szCs w:val="18"/>
        </w:rPr>
        <w:t>2.认购</w:t>
      </w:r>
      <w:r>
        <w:rPr>
          <w:rFonts w:hint="eastAsia" w:ascii="宋体" w:hAnsi="宋体" w:cs="宋体"/>
          <w:b/>
          <w:bCs/>
          <w:sz w:val="18"/>
          <w:szCs w:val="18"/>
        </w:rPr>
        <w:t>的方式</w:t>
      </w:r>
    </w:p>
    <w:p w14:paraId="5C8C8CB8">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产品成立之前</w:t>
      </w:r>
      <w:r>
        <w:rPr>
          <w:rFonts w:hint="eastAsia" w:ascii="宋体" w:hAnsi="宋体" w:eastAsia="宋体" w:cs="宋体"/>
          <w:color w:val="auto"/>
          <w:sz w:val="18"/>
          <w:szCs w:val="18"/>
          <w:lang w:val="en-US" w:eastAsia="zh-CN" w:bidi="ar-SA"/>
        </w:rPr>
        <w:t>，</w:t>
      </w:r>
      <w:r>
        <w:rPr>
          <w:rFonts w:ascii="宋体" w:hAnsi="宋体" w:eastAsia="宋体" w:cs="宋体"/>
          <w:color w:val="auto"/>
          <w:sz w:val="18"/>
          <w:szCs w:val="18"/>
          <w:lang w:val="en-US" w:eastAsia="zh-CN" w:bidi="ar-SA"/>
        </w:rPr>
        <w:t>投资者可通过</w:t>
      </w:r>
      <w:r>
        <w:rPr>
          <w:rFonts w:hint="eastAsia" w:ascii="宋体" w:hAnsi="宋体" w:eastAsia="宋体" w:cs="宋体"/>
          <w:color w:val="auto"/>
          <w:sz w:val="18"/>
          <w:szCs w:val="18"/>
          <w:lang w:val="en-US" w:eastAsia="zh-CN" w:bidi="ar-SA"/>
        </w:rPr>
        <w:t>销售机构销售</w:t>
      </w:r>
      <w:r>
        <w:rPr>
          <w:rFonts w:ascii="宋体" w:hAnsi="宋体" w:eastAsia="宋体" w:cs="宋体"/>
          <w:color w:val="auto"/>
          <w:sz w:val="18"/>
          <w:szCs w:val="18"/>
          <w:lang w:val="en-US" w:eastAsia="zh-CN" w:bidi="ar-SA"/>
        </w:rPr>
        <w:t>渠道</w:t>
      </w:r>
      <w:r>
        <w:rPr>
          <w:rFonts w:hint="eastAsia" w:ascii="宋体" w:hAnsi="宋体" w:eastAsia="宋体" w:cs="宋体"/>
          <w:color w:val="auto"/>
          <w:sz w:val="18"/>
          <w:szCs w:val="18"/>
          <w:lang w:val="en-US" w:eastAsia="zh-CN" w:bidi="ar-SA"/>
        </w:rPr>
        <w:t>认购</w:t>
      </w:r>
      <w:r>
        <w:rPr>
          <w:rFonts w:ascii="宋体" w:hAnsi="宋体" w:eastAsia="宋体" w:cs="宋体"/>
          <w:color w:val="auto"/>
          <w:sz w:val="18"/>
          <w:szCs w:val="18"/>
          <w:lang w:val="en-US" w:eastAsia="zh-CN" w:bidi="ar-SA"/>
        </w:rPr>
        <w:t>。</w:t>
      </w:r>
    </w:p>
    <w:p w14:paraId="51788F7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投资者通过</w:t>
      </w:r>
      <w:r>
        <w:rPr>
          <w:rFonts w:hint="eastAsia" w:ascii="宋体" w:hAnsi="宋体" w:eastAsia="宋体" w:cs="宋体"/>
          <w:color w:val="auto"/>
          <w:sz w:val="18"/>
          <w:szCs w:val="18"/>
          <w:lang w:val="en-US" w:eastAsia="zh-CN" w:bidi="ar-SA"/>
        </w:rPr>
        <w:t>销售机构线下渠道认购的，应签署有关理财产品销售文件。</w:t>
      </w:r>
    </w:p>
    <w:p w14:paraId="2A2C5A8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auto"/>
          <w:sz w:val="18"/>
          <w:szCs w:val="18"/>
          <w:lang w:val="en-US" w:eastAsia="zh-CN" w:bidi="ar-SA"/>
        </w:rPr>
        <w:t>投资者通过</w:t>
      </w:r>
      <w:r>
        <w:rPr>
          <w:rFonts w:hint="eastAsia" w:ascii="宋体" w:hAnsi="宋体" w:eastAsia="宋体" w:cs="宋体"/>
          <w:color w:val="auto"/>
          <w:sz w:val="18"/>
          <w:szCs w:val="18"/>
          <w:lang w:val="en-US" w:eastAsia="zh-CN" w:bidi="ar-SA"/>
        </w:rPr>
        <w:t>销售机构线上渠道认购的，</w:t>
      </w:r>
      <w:r>
        <w:rPr>
          <w:rFonts w:hint="eastAsia" w:ascii="宋体" w:hAnsi="宋体" w:eastAsia="宋体" w:cs="宋体"/>
          <w:bCs/>
          <w:color w:val="auto"/>
          <w:sz w:val="18"/>
          <w:szCs w:val="18"/>
          <w:lang w:val="en-US" w:eastAsia="zh-CN" w:bidi="ar-SA"/>
        </w:rPr>
        <w:t>应根据</w:t>
      </w:r>
      <w:r>
        <w:rPr>
          <w:rFonts w:hint="eastAsia" w:ascii="宋体" w:hAnsi="宋体" w:eastAsia="宋体" w:cs="宋体"/>
          <w:color w:val="auto"/>
          <w:sz w:val="18"/>
          <w:szCs w:val="18"/>
          <w:lang w:val="en-US" w:eastAsia="zh-CN" w:bidi="ar-SA"/>
        </w:rPr>
        <w:t>销售机构</w:t>
      </w:r>
      <w:r>
        <w:rPr>
          <w:rFonts w:hint="eastAsia" w:ascii="宋体" w:hAnsi="宋体" w:eastAsia="宋体" w:cs="宋体"/>
          <w:bCs/>
          <w:color w:val="auto"/>
          <w:sz w:val="18"/>
          <w:szCs w:val="18"/>
          <w:lang w:val="en-US" w:eastAsia="zh-CN" w:bidi="ar-SA"/>
        </w:rPr>
        <w:t>线上渠道的具体要求执行。</w:t>
      </w:r>
    </w:p>
    <w:p w14:paraId="69B764A1">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3.</w:t>
      </w:r>
      <w:r>
        <w:rPr>
          <w:rFonts w:hint="eastAsia" w:ascii="宋体" w:hAnsi="宋体" w:eastAsia="宋体" w:cs="宋体"/>
          <w:b/>
          <w:bCs/>
          <w:color w:val="auto"/>
          <w:sz w:val="18"/>
          <w:szCs w:val="18"/>
          <w:lang w:val="en-US" w:eastAsia="zh-CN" w:bidi="ar-SA"/>
        </w:rPr>
        <w:t>认购的确认</w:t>
      </w:r>
    </w:p>
    <w:tbl>
      <w:tblPr>
        <w:tblStyle w:val="8"/>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14:paraId="137896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245F73A3">
            <w:pPr>
              <w:spacing w:line="360" w:lineRule="auto"/>
              <w:ind w:firstLine="361" w:firstLineChars="200"/>
              <w:rPr>
                <w:rFonts w:ascii="宋体" w:hAnsi="宋体" w:eastAsia="宋体" w:cs="宋体"/>
                <w:b/>
                <w:bCs/>
                <w:sz w:val="18"/>
                <w:szCs w:val="18"/>
              </w:rPr>
            </w:pPr>
            <w:r>
              <w:rPr>
                <w:rFonts w:hint="eastAsia" w:ascii="宋体" w:hAnsi="宋体" w:cs="Times New Roman"/>
                <w:b/>
                <w:bCs/>
                <w:kern w:val="0"/>
                <w:sz w:val="18"/>
                <w:szCs w:val="18"/>
              </w:rPr>
              <w:t>认购期/募集期</w:t>
            </w:r>
          </w:p>
        </w:tc>
        <w:tc>
          <w:tcPr>
            <w:tcW w:w="4267" w:type="dxa"/>
            <w:vAlign w:val="center"/>
          </w:tcPr>
          <w:p w14:paraId="44F130BE">
            <w:pPr>
              <w:spacing w:line="360" w:lineRule="auto"/>
              <w:ind w:firstLine="361" w:firstLineChars="200"/>
              <w:jc w:val="center"/>
              <w:rPr>
                <w:rFonts w:ascii="宋体" w:hAnsi="宋体" w:eastAsia="宋体" w:cs="宋体"/>
                <w:b/>
                <w:bCs/>
                <w:sz w:val="18"/>
                <w:szCs w:val="18"/>
              </w:rPr>
            </w:pPr>
            <w:r>
              <w:rPr>
                <w:rFonts w:hint="eastAsia" w:ascii="宋体" w:hAnsi="宋体" w:cs="Times New Roman"/>
                <w:b/>
                <w:bCs/>
                <w:kern w:val="0"/>
                <w:sz w:val="18"/>
                <w:szCs w:val="18"/>
              </w:rPr>
              <w:t>认购确认方式</w:t>
            </w:r>
          </w:p>
        </w:tc>
        <w:tc>
          <w:tcPr>
            <w:tcW w:w="1610" w:type="dxa"/>
            <w:vAlign w:val="center"/>
          </w:tcPr>
          <w:p w14:paraId="3B1F9FE1">
            <w:pPr>
              <w:spacing w:line="360" w:lineRule="auto"/>
              <w:rPr>
                <w:rFonts w:ascii="宋体" w:hAnsi="宋体" w:eastAsia="宋体" w:cs="宋体"/>
                <w:b/>
                <w:bCs/>
                <w:sz w:val="18"/>
                <w:szCs w:val="18"/>
              </w:rPr>
            </w:pPr>
            <w:r>
              <w:rPr>
                <w:rFonts w:hint="eastAsia" w:ascii="宋体" w:hAnsi="宋体" w:cs="Times New Roman"/>
                <w:b/>
                <w:bCs/>
                <w:kern w:val="0"/>
                <w:sz w:val="18"/>
                <w:szCs w:val="18"/>
              </w:rPr>
              <w:t>认购确认日</w:t>
            </w:r>
          </w:p>
        </w:tc>
      </w:tr>
      <w:tr w14:paraId="4F7DBB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41E4B3A1">
            <w:pPr>
              <w:spacing w:line="360" w:lineRule="auto"/>
              <w:jc w:val="left"/>
              <w:rPr>
                <w:rFonts w:ascii="宋体" w:hAnsi="宋体" w:eastAsia="宋体" w:cs="宋体"/>
                <w:bCs/>
                <w:kern w:val="0"/>
                <w:sz w:val="18"/>
                <w:szCs w:val="18"/>
              </w:rPr>
            </w:pPr>
            <w:r>
              <w:rPr>
                <w:rFonts w:hint="eastAsia" w:ascii="宋体" w:hAnsi="宋体" w:eastAsia="宋体" w:cs="Times New Roman"/>
                <w:bCs/>
                <w:kern w:val="0"/>
                <w:sz w:val="18"/>
                <w:szCs w:val="18"/>
              </w:rPr>
              <w:t>募集期开始日</w:t>
            </w:r>
            <w:r>
              <w:rPr>
                <w:rFonts w:ascii="宋体" w:hAnsi="宋体" w:eastAsia="宋体" w:cs="Times New Roman"/>
                <w:bCs/>
                <w:kern w:val="0"/>
                <w:sz w:val="18"/>
                <w:szCs w:val="18"/>
              </w:rPr>
              <w:t>至募集期终止日</w:t>
            </w:r>
          </w:p>
        </w:tc>
        <w:tc>
          <w:tcPr>
            <w:tcW w:w="4267" w:type="dxa"/>
            <w:vAlign w:val="center"/>
          </w:tcPr>
          <w:p w14:paraId="301DBE18">
            <w:pPr>
              <w:spacing w:line="360" w:lineRule="auto"/>
              <w:rPr>
                <w:rFonts w:ascii="宋体" w:hAnsi="宋体" w:eastAsia="宋体" w:cs="宋体"/>
                <w:bCs/>
                <w:sz w:val="18"/>
                <w:szCs w:val="18"/>
              </w:rPr>
            </w:pPr>
            <w:r>
              <w:rPr>
                <w:rFonts w:hint="eastAsia" w:ascii="宋体" w:hAnsi="宋体" w:cs="Times New Roman"/>
                <w:bCs/>
                <w:kern w:val="0"/>
                <w:sz w:val="18"/>
                <w:szCs w:val="18"/>
              </w:rPr>
              <w:t>产品管理人在产品成立日对投资者的认购申请的有效性进行确认，并登记理财份额。</w:t>
            </w:r>
          </w:p>
        </w:tc>
        <w:tc>
          <w:tcPr>
            <w:tcW w:w="1610" w:type="dxa"/>
            <w:vAlign w:val="center"/>
          </w:tcPr>
          <w:p w14:paraId="4323F55C">
            <w:pPr>
              <w:spacing w:line="360" w:lineRule="auto"/>
              <w:rPr>
                <w:rFonts w:ascii="宋体" w:hAnsi="宋体" w:eastAsia="宋体" w:cs="宋体"/>
                <w:bCs/>
                <w:sz w:val="18"/>
                <w:szCs w:val="18"/>
              </w:rPr>
            </w:pPr>
            <w:r>
              <w:rPr>
                <w:rFonts w:hint="eastAsia" w:ascii="宋体" w:hAnsi="宋体" w:cs="Times New Roman"/>
                <w:bCs/>
                <w:kern w:val="0"/>
                <w:sz w:val="18"/>
                <w:szCs w:val="18"/>
              </w:rPr>
              <w:t>产品成立日</w:t>
            </w:r>
          </w:p>
        </w:tc>
      </w:tr>
    </w:tbl>
    <w:p w14:paraId="12D3F6ED">
      <w:pPr>
        <w:spacing w:line="360" w:lineRule="auto"/>
        <w:ind w:firstLine="360" w:firstLineChars="200"/>
        <w:rPr>
          <w:rFonts w:ascii="宋体" w:hAnsi="宋体" w:cs="宋体"/>
          <w:bCs/>
          <w:kern w:val="0"/>
          <w:sz w:val="18"/>
          <w:szCs w:val="18"/>
        </w:rPr>
      </w:pPr>
      <w:r>
        <w:rPr>
          <w:rFonts w:hint="eastAsia" w:ascii="宋体" w:hAnsi="宋体" w:cs="宋体"/>
          <w:bCs/>
          <w:sz w:val="18"/>
          <w:szCs w:val="18"/>
        </w:rPr>
        <w:t>认购期/募集期内投资者可</w:t>
      </w:r>
      <w:r>
        <w:rPr>
          <w:rFonts w:hint="eastAsia" w:ascii="宋体" w:hAnsi="宋体" w:cs="宋体"/>
          <w:bCs/>
          <w:kern w:val="0"/>
          <w:sz w:val="18"/>
          <w:szCs w:val="18"/>
        </w:rPr>
        <w:t>提交认购申请</w:t>
      </w:r>
      <w:r>
        <w:rPr>
          <w:rFonts w:hint="eastAsia" w:ascii="宋体" w:hAnsi="宋体" w:cs="宋体"/>
          <w:bCs/>
          <w:sz w:val="18"/>
          <w:szCs w:val="18"/>
        </w:rPr>
        <w:t>。</w:t>
      </w:r>
      <w:r>
        <w:rPr>
          <w:rFonts w:hint="eastAsia" w:ascii="宋体" w:hAnsi="宋体" w:cs="宋体"/>
          <w:bCs/>
          <w:kern w:val="0"/>
          <w:sz w:val="18"/>
          <w:szCs w:val="18"/>
        </w:rPr>
        <w:t>提交认购申请并不代表认购成功，产品管理人将在认购确认日确认投资者是否认购成功，是否成功以管理人的确认结果为准。</w:t>
      </w:r>
    </w:p>
    <w:p w14:paraId="3708EB37">
      <w:pPr>
        <w:spacing w:line="360" w:lineRule="auto"/>
        <w:ind w:firstLine="361" w:firstLineChars="200"/>
        <w:rPr>
          <w:rFonts w:ascii="宋体" w:hAnsi="宋体" w:cs="宋体"/>
          <w:b/>
          <w:bCs/>
          <w:sz w:val="18"/>
          <w:szCs w:val="18"/>
        </w:rPr>
      </w:pPr>
      <w:r>
        <w:rPr>
          <w:rFonts w:ascii="宋体" w:hAnsi="宋体" w:cs="宋体"/>
          <w:b/>
          <w:bCs/>
          <w:sz w:val="18"/>
          <w:szCs w:val="18"/>
        </w:rPr>
        <w:t>4</w:t>
      </w:r>
      <w:r>
        <w:rPr>
          <w:rFonts w:hint="eastAsia" w:ascii="宋体" w:hAnsi="宋体" w:cs="宋体"/>
          <w:b/>
          <w:bCs/>
          <w:sz w:val="18"/>
          <w:szCs w:val="18"/>
        </w:rPr>
        <w:t>.</w:t>
      </w:r>
      <w:r>
        <w:rPr>
          <w:rFonts w:ascii="宋体" w:hAnsi="宋体" w:cs="宋体"/>
          <w:b/>
          <w:bCs/>
          <w:sz w:val="18"/>
          <w:szCs w:val="18"/>
        </w:rPr>
        <w:t>认购的价格</w:t>
      </w:r>
    </w:p>
    <w:p w14:paraId="366B1BF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本产品的认购价格为每份理财份额人民币</w:t>
      </w:r>
      <w:r>
        <w:rPr>
          <w:rFonts w:ascii="宋体" w:hAnsi="宋体" w:eastAsia="宋体" w:cs="宋体"/>
          <w:color w:val="auto"/>
          <w:sz w:val="18"/>
          <w:szCs w:val="18"/>
          <w:lang w:val="en-US" w:eastAsia="zh-CN" w:bidi="ar-SA"/>
        </w:rPr>
        <w:t>1.00</w:t>
      </w:r>
      <w:r>
        <w:rPr>
          <w:rFonts w:hint="eastAsia" w:ascii="宋体" w:hAnsi="宋体" w:eastAsia="宋体" w:cs="宋体"/>
          <w:color w:val="auto"/>
          <w:sz w:val="18"/>
          <w:szCs w:val="18"/>
          <w:lang w:val="en-US" w:eastAsia="zh-CN" w:bidi="ar-SA"/>
        </w:rPr>
        <w:t>元。</w:t>
      </w:r>
    </w:p>
    <w:p w14:paraId="12DF19B6">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5</w:t>
      </w:r>
      <w:r>
        <w:rPr>
          <w:rFonts w:hint="eastAsia" w:ascii="宋体" w:hAnsi="宋体" w:eastAsia="宋体" w:cs="宋体"/>
          <w:b/>
          <w:color w:val="auto"/>
          <w:sz w:val="18"/>
          <w:szCs w:val="18"/>
          <w:lang w:val="en-US" w:eastAsia="zh-CN" w:bidi="ar-SA"/>
        </w:rPr>
        <w:t>.认购的费用</w:t>
      </w:r>
    </w:p>
    <w:p w14:paraId="3C8A24B8">
      <w:pPr>
        <w:spacing w:line="360" w:lineRule="auto"/>
        <w:ind w:firstLine="360" w:firstLineChars="200"/>
        <w:rPr>
          <w:rFonts w:ascii="Calibri" w:hAnsi="Calibri" w:cs="宋体"/>
          <w:bCs/>
          <w:sz w:val="18"/>
          <w:szCs w:val="18"/>
        </w:rPr>
      </w:pPr>
      <w:r>
        <w:rPr>
          <w:rFonts w:hint="eastAsia" w:ascii="宋体" w:hAnsi="宋体" w:cs="宋体"/>
          <w:sz w:val="18"/>
          <w:szCs w:val="18"/>
        </w:rPr>
        <w:t>详见</w:t>
      </w:r>
      <w:r>
        <w:rPr>
          <w:rFonts w:hint="eastAsia" w:ascii="宋体" w:hAnsi="宋体" w:eastAsia="宋体" w:cs="宋体"/>
          <w:sz w:val="18"/>
          <w:szCs w:val="18"/>
        </w:rPr>
        <w:t>《产品说明书》“第二条 理财产品基本情况”</w:t>
      </w:r>
      <w:r>
        <w:rPr>
          <w:rFonts w:hint="eastAsia" w:ascii="Calibri" w:hAnsi="Calibri" w:cs="宋体"/>
          <w:bCs/>
          <w:sz w:val="18"/>
          <w:szCs w:val="18"/>
        </w:rPr>
        <w:t>。</w:t>
      </w:r>
    </w:p>
    <w:p w14:paraId="6E2A3025">
      <w:pPr>
        <w:spacing w:line="360" w:lineRule="auto"/>
        <w:ind w:firstLine="361" w:firstLineChars="200"/>
        <w:rPr>
          <w:rFonts w:ascii="宋体" w:hAnsi="宋体" w:cs="宋体"/>
          <w:b/>
          <w:bCs/>
          <w:sz w:val="18"/>
          <w:szCs w:val="18"/>
        </w:rPr>
      </w:pPr>
      <w:r>
        <w:rPr>
          <w:rFonts w:ascii="宋体" w:hAnsi="宋体" w:cs="宋体"/>
          <w:b/>
          <w:bCs/>
          <w:sz w:val="18"/>
          <w:szCs w:val="18"/>
        </w:rPr>
        <w:t>6.认购份额的计算</w:t>
      </w:r>
      <w:r>
        <w:rPr>
          <w:rFonts w:hint="eastAsia" w:ascii="宋体" w:hAnsi="宋体" w:cs="宋体"/>
          <w:b/>
          <w:bCs/>
          <w:sz w:val="18"/>
          <w:szCs w:val="18"/>
        </w:rPr>
        <w:t xml:space="preserve"> </w:t>
      </w:r>
    </w:p>
    <w:p w14:paraId="790229C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本产品的认购金额包括认购费用和净认购金额。认购份额的计算公式为：</w:t>
      </w:r>
    </w:p>
    <w:p w14:paraId="5475C83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净认购金额</w:t>
      </w:r>
      <w:r>
        <w:rPr>
          <w:rFonts w:ascii="宋体" w:hAnsi="宋体" w:eastAsia="宋体" w:cs="宋体"/>
          <w:color w:val="auto"/>
          <w:sz w:val="18"/>
          <w:szCs w:val="18"/>
          <w:lang w:val="en-US" w:eastAsia="zh-CN" w:bidi="ar-SA"/>
        </w:rPr>
        <w:t>=认购金额/（1+认购费率）</w:t>
      </w:r>
    </w:p>
    <w:p w14:paraId="08F05B2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认购费用</w:t>
      </w:r>
      <w:r>
        <w:rPr>
          <w:rFonts w:ascii="宋体" w:hAnsi="宋体" w:eastAsia="宋体" w:cs="宋体"/>
          <w:color w:val="auto"/>
          <w:sz w:val="18"/>
          <w:szCs w:val="18"/>
          <w:lang w:val="en-US" w:eastAsia="zh-CN" w:bidi="ar-SA"/>
        </w:rPr>
        <w:t>=认购金额－净认购金额</w:t>
      </w:r>
    </w:p>
    <w:p w14:paraId="0B6D207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认购份额</w:t>
      </w:r>
      <w:r>
        <w:rPr>
          <w:rFonts w:ascii="宋体" w:hAnsi="宋体" w:eastAsia="宋体" w:cs="宋体"/>
          <w:color w:val="auto"/>
          <w:sz w:val="18"/>
          <w:szCs w:val="18"/>
          <w:lang w:val="en-US" w:eastAsia="zh-CN" w:bidi="ar-SA"/>
        </w:rPr>
        <w:t>=净认购金额/产品份额面值</w:t>
      </w:r>
    </w:p>
    <w:p w14:paraId="47523E5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上述计算结果均按四舍五入方法，保留到小数点后</w:t>
      </w:r>
      <w:r>
        <w:rPr>
          <w:rFonts w:ascii="宋体" w:hAnsi="宋体" w:eastAsia="宋体" w:cs="宋体"/>
          <w:bCs/>
          <w:color w:val="auto"/>
          <w:sz w:val="18"/>
          <w:szCs w:val="18"/>
          <w:lang w:val="en-US" w:eastAsia="zh-CN" w:bidi="ar-SA"/>
        </w:rPr>
        <w:t>2</w:t>
      </w:r>
      <w:r>
        <w:rPr>
          <w:rFonts w:hint="eastAsia" w:ascii="宋体" w:hAnsi="宋体" w:eastAsia="宋体" w:cs="宋体"/>
          <w:bCs/>
          <w:color w:val="auto"/>
          <w:sz w:val="18"/>
          <w:szCs w:val="18"/>
          <w:lang w:val="en-US" w:eastAsia="zh-CN" w:bidi="ar-SA"/>
        </w:rPr>
        <w:t>位，由此产生的收益或损失由理财产品承担。</w:t>
      </w:r>
    </w:p>
    <w:p w14:paraId="1EB8EB36">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7</w:t>
      </w:r>
      <w:r>
        <w:rPr>
          <w:rFonts w:hint="eastAsia" w:ascii="宋体" w:hAnsi="宋体" w:eastAsia="宋体" w:cs="宋体"/>
          <w:b/>
          <w:color w:val="auto"/>
          <w:sz w:val="18"/>
          <w:szCs w:val="18"/>
          <w:lang w:val="en-US" w:eastAsia="zh-CN" w:bidi="ar-SA"/>
        </w:rPr>
        <w:t>.认购的起点和递增金额</w:t>
      </w:r>
    </w:p>
    <w:p w14:paraId="46FCA27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详见《产品说明书》“第二条 理财产品基本情况”。</w:t>
      </w:r>
    </w:p>
    <w:p w14:paraId="2D1C5D85">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8.认购的数量限制</w:t>
      </w:r>
    </w:p>
    <w:p w14:paraId="6129148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详见《产品说明书》“第二条 理财产品基本情况”。</w:t>
      </w:r>
    </w:p>
    <w:p w14:paraId="216BBA15">
      <w:pPr>
        <w:spacing w:line="360" w:lineRule="auto"/>
        <w:ind w:firstLine="361" w:firstLineChars="200"/>
        <w:rPr>
          <w:rFonts w:ascii="宋体" w:hAnsi="宋体" w:cs="宋体"/>
          <w:b/>
          <w:bCs/>
          <w:sz w:val="18"/>
          <w:szCs w:val="18"/>
        </w:rPr>
      </w:pPr>
      <w:r>
        <w:rPr>
          <w:rFonts w:ascii="宋体" w:hAnsi="宋体" w:cs="宋体"/>
          <w:b/>
          <w:bCs/>
          <w:sz w:val="18"/>
          <w:szCs w:val="18"/>
        </w:rPr>
        <w:t>9.募集期认购资金利息的处理</w:t>
      </w:r>
    </w:p>
    <w:p w14:paraId="02EB1D5F">
      <w:pPr>
        <w:widowControl w:val="0"/>
        <w:autoSpaceDE w:val="0"/>
        <w:autoSpaceDN w:val="0"/>
        <w:adjustRightInd w:val="0"/>
        <w:spacing w:line="360" w:lineRule="auto"/>
        <w:ind w:firstLine="360" w:firstLineChars="200"/>
        <w:rPr>
          <w:rFonts w:hint="eastAsia" w:ascii="宋体" w:hAnsi="宋体" w:eastAsia="宋体" w:cs="宋体"/>
          <w:b w:val="0"/>
          <w:bCs/>
          <w:color w:val="auto"/>
          <w:sz w:val="18"/>
          <w:szCs w:val="18"/>
          <w:lang w:val="en-US" w:eastAsia="zh-CN" w:bidi="ar-SA"/>
        </w:rPr>
      </w:pPr>
      <w:r>
        <w:rPr>
          <w:rFonts w:hint="eastAsia" w:ascii="宋体" w:hAnsi="宋体" w:eastAsia="宋体" w:cs="宋体"/>
          <w:b w:val="0"/>
          <w:bCs/>
          <w:color w:val="auto"/>
          <w:sz w:val="18"/>
          <w:szCs w:val="18"/>
          <w:lang w:val="en-US" w:eastAsia="zh-CN" w:bidi="ar-SA"/>
        </w:rPr>
        <w:t>投资者认购资金实际扣划至管理人募集账户后，认购资金在认购期/募集期内产生的利息（如有）归投资者所有；投资者认购资金实际扣划至管理人募集账户前的计息规则，具体以销售机构实际情况为准。</w:t>
      </w:r>
    </w:p>
    <w:p w14:paraId="1FC1FAD7">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（二）认购的原则</w:t>
      </w:r>
    </w:p>
    <w:p w14:paraId="1EADE24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金额认购</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原则，即认购以金额申请。</w:t>
      </w:r>
    </w:p>
    <w:p w14:paraId="69B3A5A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.认购</w:t>
      </w:r>
      <w:r>
        <w:rPr>
          <w:rFonts w:ascii="宋体" w:hAnsi="宋体" w:eastAsia="宋体" w:cs="宋体"/>
          <w:color w:val="auto"/>
          <w:sz w:val="18"/>
          <w:szCs w:val="18"/>
          <w:lang w:val="en-US" w:eastAsia="zh-CN" w:bidi="ar-SA"/>
        </w:rPr>
        <w:t>申请可以在对应认购期截止前撤销，最终申</w:t>
      </w:r>
      <w:r>
        <w:rPr>
          <w:rFonts w:hint="eastAsia" w:ascii="宋体" w:hAnsi="宋体" w:eastAsia="宋体" w:cs="宋体"/>
          <w:color w:val="auto"/>
          <w:sz w:val="18"/>
          <w:szCs w:val="18"/>
          <w:lang w:val="en-US" w:eastAsia="zh-CN" w:bidi="ar-SA"/>
        </w:rPr>
        <w:t>请</w:t>
      </w:r>
      <w:r>
        <w:rPr>
          <w:rFonts w:ascii="宋体" w:hAnsi="宋体" w:eastAsia="宋体" w:cs="宋体"/>
          <w:color w:val="auto"/>
          <w:sz w:val="18"/>
          <w:szCs w:val="18"/>
          <w:lang w:val="en-US" w:eastAsia="zh-CN" w:bidi="ar-SA"/>
        </w:rPr>
        <w:t>确认情况以投资者在</w:t>
      </w:r>
      <w:r>
        <w:rPr>
          <w:rFonts w:hint="eastAsia" w:ascii="宋体" w:hAnsi="宋体" w:eastAsia="宋体" w:cs="宋体"/>
          <w:color w:val="auto"/>
          <w:sz w:val="18"/>
          <w:szCs w:val="18"/>
          <w:lang w:val="en-US" w:eastAsia="zh-CN" w:bidi="ar-SA"/>
        </w:rPr>
        <w:t>销售机构线下渠道</w:t>
      </w:r>
      <w:r>
        <w:rPr>
          <w:rFonts w:ascii="宋体" w:hAnsi="宋体" w:eastAsia="宋体" w:cs="宋体"/>
          <w:color w:val="auto"/>
          <w:sz w:val="18"/>
          <w:szCs w:val="18"/>
          <w:lang w:val="en-US" w:eastAsia="zh-CN" w:bidi="ar-SA"/>
        </w:rPr>
        <w:t>或线上渠道确认的结果为准。</w:t>
      </w:r>
    </w:p>
    <w:p w14:paraId="17F4B756">
      <w:pPr>
        <w:spacing w:line="360" w:lineRule="auto"/>
        <w:ind w:firstLine="271" w:firstLineChars="150"/>
        <w:rPr>
          <w:rFonts w:ascii="宋体" w:hAnsi="宋体" w:eastAsia="宋体" w:cs="宋体"/>
          <w:b/>
          <w:sz w:val="18"/>
          <w:szCs w:val="18"/>
        </w:rPr>
      </w:pPr>
      <w:r>
        <w:rPr>
          <w:rFonts w:hint="eastAsia" w:ascii="宋体" w:hAnsi="宋体" w:eastAsia="宋体" w:cs="宋体"/>
          <w:b/>
          <w:sz w:val="18"/>
          <w:szCs w:val="18"/>
        </w:rPr>
        <w:t>（三）拒绝或暂停认购的情形</w:t>
      </w:r>
    </w:p>
    <w:p w14:paraId="56A9F73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发生下列情况时，产品管理人可拒绝或暂停接受投资者的认购</w:t>
      </w:r>
      <w:r>
        <w:rPr>
          <w:rFonts w:ascii="宋体" w:hAnsi="宋体" w:eastAsia="宋体" w:cs="宋体"/>
          <w:color w:val="auto"/>
          <w:sz w:val="18"/>
          <w:szCs w:val="18"/>
          <w:lang w:val="en-US" w:eastAsia="zh-CN" w:bidi="ar-SA"/>
        </w:rPr>
        <w:t>申请：</w:t>
      </w:r>
    </w:p>
    <w:p w14:paraId="79606F0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.因不可抗力导致理财产品无法正常运作。</w:t>
      </w:r>
    </w:p>
    <w:p w14:paraId="13A1840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.产品管理人和产品托管人的技术保障等异常情况导致理财销售系统或会计系统无法正常运行。</w:t>
      </w:r>
    </w:p>
    <w:p w14:paraId="4985A1C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3</w:t>
      </w:r>
      <w:r>
        <w:rPr>
          <w:rFonts w:hint="eastAsia" w:ascii="宋体" w:hAnsi="宋体" w:eastAsia="宋体" w:cs="宋体"/>
          <w:color w:val="auto"/>
          <w:sz w:val="18"/>
          <w:szCs w:val="18"/>
          <w:lang w:val="en-US" w:eastAsia="zh-CN" w:bidi="ar-SA"/>
        </w:rPr>
        <w:t>.法律法规规定或监管机构认定的其他情形。</w:t>
      </w:r>
    </w:p>
    <w:p w14:paraId="2CD058E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如果投资者的认购申请被拒绝，被拒绝的认购款项将退还给投资者。在暂停认购的情况消除时，产品管理人应及时恢复认购业务的办理。</w:t>
      </w:r>
    </w:p>
    <w:p w14:paraId="1768ED5E">
      <w:pPr>
        <w:widowControl w:val="0"/>
        <w:autoSpaceDE w:val="0"/>
        <w:autoSpaceDN w:val="0"/>
        <w:adjustRightInd w:val="0"/>
        <w:spacing w:line="360" w:lineRule="auto"/>
        <w:ind w:left="210" w:leftChars="100" w:firstLine="181" w:firstLineChars="100"/>
        <w:rPr>
          <w:rFonts w:ascii="宋体" w:hAnsi="宋体" w:eastAsia="宋体" w:cs="宋体"/>
          <w:color w:val="auto"/>
          <w:sz w:val="18"/>
          <w:szCs w:val="18"/>
          <w:lang w:val="en-US" w:eastAsia="zh-CN" w:bidi="ar-SA"/>
        </w:rPr>
      </w:pPr>
      <w:r>
        <w:rPr>
          <w:rFonts w:hint="eastAsia" w:ascii="宋体" w:hAnsi="宋体" w:eastAsia="宋体" w:cs="宋体"/>
          <w:b/>
          <w:color w:val="auto"/>
          <w:sz w:val="18"/>
          <w:szCs w:val="18"/>
          <w:lang w:val="en-US" w:eastAsia="zh-CN" w:bidi="ar-SA"/>
        </w:rPr>
        <w:t>（四）日期遇非工作日的调整</w:t>
      </w:r>
    </w:p>
    <w:p w14:paraId="46A39D2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前述日期（包括但不限于认购期及</w:t>
      </w:r>
      <w:r>
        <w:rPr>
          <w:rFonts w:ascii="宋体" w:hAnsi="宋体" w:eastAsia="宋体" w:cs="宋体"/>
          <w:color w:val="auto"/>
          <w:sz w:val="18"/>
          <w:szCs w:val="18"/>
          <w:lang w:val="en-US" w:eastAsia="zh-CN" w:bidi="ar-SA"/>
        </w:rPr>
        <w:t>认购确认日</w:t>
      </w:r>
      <w:r>
        <w:rPr>
          <w:rFonts w:hint="eastAsia" w:ascii="宋体" w:hAnsi="宋体" w:eastAsia="宋体" w:cs="宋体"/>
          <w:color w:val="auto"/>
          <w:sz w:val="18"/>
          <w:szCs w:val="18"/>
          <w:lang w:val="en-US" w:eastAsia="zh-CN" w:bidi="ar-SA"/>
        </w:rPr>
        <w:t>等）如遇非工作日则产品管理人可做相应调整。产品管理人对上述日期保留变更的权利，调整后的日期以产品管理人发布的公告中所载明的日期为准。</w:t>
      </w:r>
    </w:p>
    <w:p w14:paraId="0EFE5810">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hint="eastAsia" w:ascii="宋体" w:hAnsi="宋体" w:eastAsia="宋体" w:cs="宋体"/>
          <w:b/>
          <w:bCs/>
          <w:color w:val="auto"/>
          <w:sz w:val="18"/>
          <w:szCs w:val="18"/>
          <w:lang w:val="en-US" w:eastAsia="zh-CN" w:bidi="ar-SA"/>
        </w:rPr>
        <w:t>（五）投资者持有理财份额的限额和理财产品总规模限额</w:t>
      </w:r>
    </w:p>
    <w:p w14:paraId="494C0DE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产品管理人有权决定理财份额持有人持有本产品的最高限额、最低限额和本产品的总规模限额。</w:t>
      </w:r>
    </w:p>
    <w:p w14:paraId="674EC0B7">
      <w:pPr>
        <w:widowControl/>
        <w:spacing w:line="360" w:lineRule="auto"/>
        <w:jc w:val="left"/>
        <w:rPr>
          <w:rFonts w:ascii="宋体" w:hAnsi="宋体" w:cs="宋体"/>
          <w:bCs/>
          <w:sz w:val="18"/>
          <w:szCs w:val="18"/>
        </w:rPr>
      </w:pPr>
      <w:r>
        <w:rPr>
          <w:rFonts w:ascii="宋体" w:hAnsi="宋体" w:cs="宋体"/>
          <w:bCs/>
          <w:sz w:val="18"/>
          <w:szCs w:val="18"/>
        </w:rPr>
        <w:br w:type="page"/>
      </w:r>
    </w:p>
    <w:bookmarkEnd w:id="72"/>
    <w:bookmarkEnd w:id="74"/>
    <w:p w14:paraId="55DC1FE8">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75" w:name="_Toc176189756"/>
      <w:bookmarkStart w:id="76" w:name="_Toc4771"/>
      <w:bookmarkStart w:id="77" w:name="_Toc79154668"/>
      <w:bookmarkStart w:id="78" w:name="_Toc29784"/>
      <w:bookmarkStart w:id="79" w:name="_Toc27189"/>
      <w:bookmarkStart w:id="80" w:name="_Toc90742390"/>
      <w:bookmarkStart w:id="81" w:name="_Toc16265"/>
      <w:bookmarkStart w:id="82" w:name="_Toc7151"/>
      <w:bookmarkStart w:id="83" w:name="_Toc90742321"/>
      <w:bookmarkStart w:id="84" w:name="_Toc6714"/>
      <w:bookmarkStart w:id="85" w:name="_Toc90742688"/>
      <w:bookmarkStart w:id="86" w:name="_Toc15203"/>
      <w:bookmarkStart w:id="87" w:name="_Toc3266"/>
      <w:bookmarkStart w:id="88" w:name="_Toc74065741"/>
      <w:bookmarkStart w:id="89" w:name="_Toc27226"/>
      <w:bookmarkStart w:id="90" w:name="_Toc29948"/>
      <w:bookmarkStart w:id="91" w:name="_Toc22074"/>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四条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理财产品的申购与赎回</w:t>
      </w:r>
      <w:bookmarkEnd w:id="75"/>
      <w:bookmarkEnd w:id="76"/>
    </w:p>
    <w:p w14:paraId="01A2ADE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本产品为封闭式产品，不设置申购与赎回。</w:t>
      </w:r>
    </w:p>
    <w:p w14:paraId="17EAF40F">
      <w:pPr>
        <w:widowControl/>
        <w:spacing w:line="360" w:lineRule="auto"/>
        <w:jc w:val="left"/>
        <w:rPr>
          <w:rFonts w:ascii="宋体" w:hAnsi="宋体" w:eastAsia="宋体" w:cs="宋体"/>
          <w:kern w:val="0"/>
          <w:sz w:val="18"/>
          <w:szCs w:val="18"/>
        </w:rPr>
      </w:pPr>
      <w:r>
        <w:rPr>
          <w:rFonts w:ascii="宋体" w:hAnsi="宋体" w:eastAsia="宋体" w:cs="宋体"/>
          <w:sz w:val="18"/>
          <w:szCs w:val="18"/>
        </w:rPr>
        <w:br w:type="page"/>
      </w:r>
    </w:p>
    <w:p w14:paraId="77B14B05">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92" w:name="_Toc176189757"/>
      <w:r>
        <w:rPr>
          <w:rFonts w:ascii="Times New Roman" w:hAnsi="Calibri" w:eastAsia="宋体" w:cs="宋体"/>
          <w:b/>
          <w:bCs/>
          <w:kern w:val="44"/>
          <w:sz w:val="30"/>
          <w:szCs w:val="44"/>
          <w:lang w:val="en-US" w:eastAsia="zh-CN" w:bidi="ar-SA"/>
        </w:rPr>
        <w:t>第五</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理财产品的投资</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FFAA14C">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（一）投资目标</w:t>
      </w:r>
    </w:p>
    <w:p w14:paraId="438FC688">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auto"/>
          <w:sz w:val="18"/>
          <w:szCs w:val="18"/>
          <w:lang w:val="en-US" w:eastAsia="zh-CN" w:bidi="ar-SA"/>
        </w:rPr>
        <w:t>【在严格控制组合风险的前提下，通过不断优化组合，力争实现超越业绩比较基准的收益。】</w:t>
      </w:r>
    </w:p>
    <w:p w14:paraId="15C834F6">
      <w:pPr>
        <w:widowControl w:val="0"/>
        <w:autoSpaceDE w:val="0"/>
        <w:autoSpaceDN w:val="0"/>
        <w:adjustRightInd w:val="0"/>
        <w:spacing w:line="360" w:lineRule="auto"/>
        <w:ind w:firstLine="361" w:firstLineChars="200"/>
        <w:rPr>
          <w:rFonts w:ascii="宋体" w:hAnsi="宋体" w:eastAsia="宋体" w:cs="宋体"/>
          <w:bCs/>
          <w:color w:val="auto"/>
          <w:sz w:val="18"/>
          <w:szCs w:val="18"/>
          <w:lang w:val="en-US" w:eastAsia="zh-CN" w:bidi="ar-SA"/>
        </w:rPr>
      </w:pPr>
      <w:r>
        <w:rPr>
          <w:rFonts w:hint="eastAsia" w:ascii="宋体" w:hAnsi="宋体" w:eastAsia="宋体" w:cs="宋体"/>
          <w:b/>
          <w:color w:val="auto"/>
          <w:sz w:val="18"/>
          <w:szCs w:val="18"/>
          <w:lang w:val="en-US" w:eastAsia="zh-CN" w:bidi="ar-SA"/>
        </w:rPr>
        <w:t>（二）投资范围和比例</w:t>
      </w:r>
    </w:p>
    <w:p w14:paraId="5660B259">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1.投资</w:t>
      </w:r>
      <w:r>
        <w:rPr>
          <w:rFonts w:ascii="宋体" w:hAnsi="宋体" w:eastAsia="宋体" w:cs="宋体"/>
          <w:bCs/>
          <w:sz w:val="18"/>
          <w:szCs w:val="18"/>
        </w:rPr>
        <w:t>范围</w:t>
      </w:r>
    </w:p>
    <w:p w14:paraId="642E44BD">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本产品主要投资范围包括但不限于（实际投资范围可根据法律法规及监管规定进行调整）：</w:t>
      </w:r>
    </w:p>
    <w:p w14:paraId="3039B51C">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ascii="宋体" w:hAnsi="宋体" w:eastAsia="宋体" w:cs="宋体"/>
          <w:color w:val="000000"/>
          <w:sz w:val="18"/>
          <w:szCs w:val="24"/>
          <w:lang w:val="en-US" w:eastAsia="zh-CN" w:bidi="ar-SA"/>
        </w:rPr>
        <w:t>【（1）银行存款、债券逆回购、货币基金等货币市场工具及其它银行间和交易所资金融通工具。</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债券型公募证券投资基金，以及其他固定收益类投资工具等。</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（3）以套期保值为目的的国债期货、利率互换、信用风险缓释工具、债券借贷。</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4）投资于上述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p>
    <w:p w14:paraId="7575F857">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14:paraId="268B7F16">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2.投资组合比例</w:t>
      </w:r>
    </w:p>
    <w:p w14:paraId="4FD3F787">
      <w:pPr>
        <w:widowControl w:val="0"/>
        <w:autoSpaceDE w:val="0"/>
        <w:autoSpaceDN w:val="0"/>
        <w:adjustRightInd w:val="0"/>
        <w:spacing w:line="360" w:lineRule="auto"/>
        <w:ind w:firstLine="360" w:firstLineChars="200"/>
        <w:jc w:val="both"/>
        <w:rPr>
          <w:rFonts w:hint="eastAsia" w:ascii="宋体" w:hAnsi="宋体" w:eastAsia="宋体" w:cs="宋体"/>
          <w:bCs/>
          <w:color w:val="000000"/>
          <w:sz w:val="18"/>
          <w:szCs w:val="18"/>
          <w:lang w:val="en-US" w:eastAsia="zh-CN" w:bidi="ar-SA"/>
        </w:rPr>
      </w:pPr>
      <w:r>
        <w:rPr>
          <w:rFonts w:ascii="宋体" w:hAnsi="宋体" w:eastAsia="宋体" w:cs="宋体"/>
          <w:color w:val="000000"/>
          <w:sz w:val="18"/>
          <w:szCs w:val="24"/>
          <w:lang w:val="en-US" w:eastAsia="zh-CN" w:bidi="ar-SA"/>
        </w:rPr>
        <w:t>【（1）本产品投资于债权类资产的比例不低于产品总资产的90%。</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（2）国债期货、利率互换、信用风险缓释工具等衍生品占产品总资产比例低于5%。】</w:t>
      </w:r>
    </w:p>
    <w:p w14:paraId="70C17B30">
      <w:pPr>
        <w:autoSpaceDE w:val="0"/>
        <w:autoSpaceDN w:val="0"/>
        <w:adjustRightInd w:val="0"/>
        <w:spacing w:line="360" w:lineRule="auto"/>
        <w:ind w:firstLine="360" w:firstLineChars="200"/>
        <w:jc w:val="left"/>
        <w:rPr>
          <w:rFonts w:hint="eastAsia" w:ascii="宋体" w:hAnsi="宋体" w:eastAsia="宋体" w:cs="宋体"/>
          <w:bCs/>
          <w:kern w:val="0"/>
          <w:sz w:val="18"/>
          <w:szCs w:val="18"/>
        </w:rPr>
      </w:pPr>
      <w:r>
        <w:rPr>
          <w:rFonts w:hint="eastAsia" w:ascii="宋体" w:hAnsi="宋体" w:eastAsia="宋体" w:cs="宋体"/>
          <w:bCs/>
          <w:kern w:val="0"/>
          <w:sz w:val="18"/>
          <w:szCs w:val="18"/>
        </w:rPr>
        <w:t>非因管理人主观因素导致突破前款规定比例限制的，产品管理人在流动性受限资产可出售、可转让或者恢复交易的15个交易日内调整至符合要求，监管机构规定的特殊情形除外。</w:t>
      </w:r>
    </w:p>
    <w:p w14:paraId="1478F8E1">
      <w:pPr>
        <w:autoSpaceDE w:val="0"/>
        <w:autoSpaceDN w:val="0"/>
        <w:adjustRightInd w:val="0"/>
        <w:spacing w:line="360" w:lineRule="auto"/>
        <w:ind w:firstLine="361" w:firstLineChars="200"/>
        <w:jc w:val="left"/>
        <w:rPr>
          <w:rFonts w:ascii="宋体" w:hAnsi="宋体" w:eastAsia="宋体" w:cs="宋体"/>
          <w:bCs/>
          <w:kern w:val="0"/>
          <w:sz w:val="18"/>
          <w:szCs w:val="18"/>
        </w:rPr>
      </w:pPr>
      <w:r>
        <w:rPr>
          <w:rFonts w:hint="eastAsia" w:ascii="宋体" w:hAnsi="宋体" w:eastAsia="宋体" w:cs="宋体"/>
          <w:b/>
          <w:bCs/>
          <w:sz w:val="18"/>
          <w:szCs w:val="18"/>
        </w:rPr>
        <w:t>注：本产品可能投资不存在活跃交易市场，并且需要采用估值技术确定公允价值的资产，且投资上述资产的比例达到理财产品净资产</w:t>
      </w:r>
      <w:r>
        <w:rPr>
          <w:rFonts w:ascii="宋体" w:hAnsi="宋体" w:eastAsia="宋体" w:cs="宋体"/>
          <w:b/>
          <w:bCs/>
          <w:sz w:val="18"/>
          <w:szCs w:val="18"/>
        </w:rPr>
        <w:t>50%以上。</w:t>
      </w:r>
    </w:p>
    <w:p w14:paraId="6274D06C">
      <w:pPr>
        <w:autoSpaceDE w:val="0"/>
        <w:autoSpaceDN w:val="0"/>
        <w:adjustRightInd w:val="0"/>
        <w:spacing w:line="360" w:lineRule="auto"/>
        <w:ind w:firstLine="360" w:firstLineChars="200"/>
        <w:jc w:val="left"/>
        <w:rPr>
          <w:rFonts w:ascii="宋体" w:hAnsi="宋体" w:eastAsia="宋体" w:cs="宋体"/>
          <w:bCs/>
          <w:sz w:val="18"/>
          <w:szCs w:val="18"/>
        </w:rPr>
      </w:pPr>
      <w:r>
        <w:rPr>
          <w:rFonts w:ascii="宋体" w:hAnsi="宋体" w:eastAsia="宋体" w:cs="宋体"/>
          <w:bCs/>
          <w:sz w:val="18"/>
          <w:szCs w:val="18"/>
        </w:rPr>
        <w:t>3</w:t>
      </w:r>
      <w:r>
        <w:rPr>
          <w:rFonts w:hint="eastAsia" w:ascii="宋体" w:hAnsi="宋体" w:eastAsia="宋体" w:cs="宋体"/>
          <w:bCs/>
          <w:sz w:val="18"/>
          <w:szCs w:val="18"/>
        </w:rPr>
        <w:t>.</w:t>
      </w:r>
      <w:r>
        <w:rPr>
          <w:rFonts w:ascii="宋体" w:hAnsi="宋体" w:eastAsia="宋体" w:cs="宋体"/>
          <w:bCs/>
          <w:sz w:val="18"/>
          <w:szCs w:val="18"/>
        </w:rPr>
        <w:t>本产品存续期间，</w:t>
      </w:r>
      <w:r>
        <w:rPr>
          <w:rFonts w:hint="eastAsia" w:ascii="宋体" w:hAnsi="宋体" w:eastAsia="宋体" w:cs="宋体"/>
          <w:bCs/>
          <w:sz w:val="18"/>
          <w:szCs w:val="18"/>
        </w:rPr>
        <w:t>产品管理人</w:t>
      </w:r>
      <w:r>
        <w:rPr>
          <w:rFonts w:ascii="宋体" w:hAnsi="宋体" w:eastAsia="宋体" w:cs="宋体"/>
          <w:bCs/>
          <w:sz w:val="18"/>
          <w:szCs w:val="18"/>
        </w:rPr>
        <w:t>将</w:t>
      </w:r>
      <w:r>
        <w:rPr>
          <w:rFonts w:hint="eastAsia" w:ascii="宋体" w:hAnsi="宋体" w:eastAsia="宋体" w:cs="宋体"/>
          <w:bCs/>
          <w:sz w:val="18"/>
          <w:szCs w:val="18"/>
        </w:rPr>
        <w:t>依约定公告理财投资对象与投资比例。</w:t>
      </w:r>
    </w:p>
    <w:p w14:paraId="53F10502">
      <w:pPr>
        <w:autoSpaceDE w:val="0"/>
        <w:autoSpaceDN w:val="0"/>
        <w:adjustRightInd w:val="0"/>
        <w:spacing w:line="360" w:lineRule="auto"/>
        <w:ind w:firstLine="360" w:firstLineChars="200"/>
        <w:jc w:val="left"/>
        <w:rPr>
          <w:rFonts w:ascii="宋体" w:hAnsi="宋体" w:eastAsia="宋体" w:cs="宋体"/>
          <w:bCs/>
          <w:sz w:val="18"/>
          <w:szCs w:val="18"/>
        </w:rPr>
      </w:pPr>
      <w:r>
        <w:rPr>
          <w:rFonts w:ascii="宋体" w:hAnsi="宋体" w:eastAsia="宋体" w:cs="宋体"/>
          <w:bCs/>
          <w:sz w:val="18"/>
          <w:szCs w:val="18"/>
        </w:rPr>
        <w:t>4</w:t>
      </w:r>
      <w:r>
        <w:rPr>
          <w:rFonts w:hint="eastAsia" w:ascii="宋体" w:hAnsi="宋体" w:eastAsia="宋体" w:cs="宋体"/>
          <w:bCs/>
          <w:sz w:val="18"/>
          <w:szCs w:val="18"/>
        </w:rPr>
        <w:t>.如果法律法规对本</w:t>
      </w:r>
      <w:r>
        <w:rPr>
          <w:rFonts w:ascii="宋体" w:hAnsi="宋体" w:eastAsia="宋体" w:cs="宋体"/>
          <w:bCs/>
          <w:sz w:val="18"/>
          <w:szCs w:val="18"/>
        </w:rPr>
        <w:t>销售文件</w:t>
      </w:r>
      <w:r>
        <w:rPr>
          <w:rFonts w:hint="eastAsia" w:ascii="宋体" w:hAnsi="宋体" w:eastAsia="宋体" w:cs="宋体"/>
          <w:bCs/>
          <w:sz w:val="18"/>
          <w:szCs w:val="18"/>
        </w:rPr>
        <w:t>约定投资组合比例限制进行变更的，以变更后的规定为准。</w:t>
      </w:r>
    </w:p>
    <w:p w14:paraId="554CC564">
      <w:pPr>
        <w:spacing w:line="360" w:lineRule="auto"/>
        <w:ind w:firstLine="361" w:firstLineChars="200"/>
        <w:rPr>
          <w:rFonts w:ascii="宋体" w:hAnsi="宋体" w:eastAsia="宋体" w:cs="宋体"/>
          <w:b/>
          <w:bCs/>
          <w:sz w:val="18"/>
          <w:szCs w:val="18"/>
        </w:rPr>
      </w:pPr>
      <w:r>
        <w:rPr>
          <w:rFonts w:hint="eastAsia" w:ascii="宋体" w:hAnsi="宋体" w:eastAsia="宋体" w:cs="宋体"/>
          <w:b/>
          <w:bCs/>
          <w:sz w:val="18"/>
          <w:szCs w:val="18"/>
        </w:rPr>
        <w:t>特别提示：</w:t>
      </w:r>
    </w:p>
    <w:p w14:paraId="63AAC4A7">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产品管理人应当自产品成立日起【</w:t>
      </w:r>
      <w:r>
        <w:rPr>
          <w:rFonts w:ascii="黑体" w:hAnsi="黑体" w:eastAsia="黑体" w:cs="宋体"/>
          <w:bCs/>
          <w:sz w:val="18"/>
          <w:szCs w:val="18"/>
        </w:rPr>
        <w:t>3】</w:t>
      </w:r>
      <w:r>
        <w:rPr>
          <w:rFonts w:hint="eastAsia" w:ascii="黑体" w:hAnsi="黑体" w:eastAsia="黑体" w:cs="宋体"/>
          <w:bCs/>
          <w:sz w:val="18"/>
          <w:szCs w:val="18"/>
        </w:rPr>
        <w:t>个月内</w:t>
      </w:r>
      <w:r>
        <w:rPr>
          <w:rFonts w:hint="eastAsia" w:ascii="宋体" w:hAnsi="宋体" w:eastAsia="宋体" w:cs="宋体"/>
          <w:bCs/>
          <w:sz w:val="18"/>
          <w:szCs w:val="18"/>
        </w:rPr>
        <w:t>使产品的投资组合比例符合本销售文件的有关约定，</w:t>
      </w:r>
      <w:r>
        <w:rPr>
          <w:rFonts w:ascii="宋体" w:hAnsi="宋体" w:eastAsia="宋体" w:cs="宋体"/>
          <w:bCs/>
          <w:sz w:val="18"/>
          <w:szCs w:val="18"/>
        </w:rPr>
        <w:t>上述</w:t>
      </w:r>
      <w:r>
        <w:rPr>
          <w:rFonts w:hint="eastAsia" w:ascii="宋体" w:hAnsi="宋体" w:eastAsia="宋体" w:cs="宋体"/>
          <w:bCs/>
          <w:sz w:val="18"/>
          <w:szCs w:val="18"/>
        </w:rPr>
        <w:t>期间</w:t>
      </w:r>
      <w:r>
        <w:rPr>
          <w:rFonts w:ascii="宋体" w:hAnsi="宋体" w:eastAsia="宋体" w:cs="宋体"/>
          <w:bCs/>
          <w:sz w:val="18"/>
          <w:szCs w:val="18"/>
        </w:rPr>
        <w:t>内</w:t>
      </w:r>
      <w:r>
        <w:rPr>
          <w:rFonts w:hint="eastAsia" w:ascii="宋体" w:hAnsi="宋体" w:eastAsia="宋体" w:cs="宋体"/>
          <w:bCs/>
          <w:sz w:val="18"/>
          <w:szCs w:val="18"/>
        </w:rPr>
        <w:t>，</w:t>
      </w:r>
      <w:r>
        <w:rPr>
          <w:rFonts w:ascii="宋体" w:hAnsi="宋体" w:eastAsia="宋体" w:cs="宋体"/>
          <w:bCs/>
          <w:sz w:val="18"/>
          <w:szCs w:val="18"/>
        </w:rPr>
        <w:t>本产品的投资</w:t>
      </w:r>
      <w:r>
        <w:rPr>
          <w:rFonts w:hint="eastAsia" w:ascii="宋体" w:hAnsi="宋体" w:eastAsia="宋体" w:cs="宋体"/>
          <w:bCs/>
          <w:sz w:val="18"/>
          <w:szCs w:val="18"/>
        </w:rPr>
        <w:t>范围、投资</w:t>
      </w:r>
      <w:r>
        <w:rPr>
          <w:rFonts w:ascii="宋体" w:hAnsi="宋体" w:eastAsia="宋体" w:cs="宋体"/>
          <w:bCs/>
          <w:sz w:val="18"/>
          <w:szCs w:val="18"/>
        </w:rPr>
        <w:t>策略</w:t>
      </w:r>
      <w:r>
        <w:rPr>
          <w:rFonts w:hint="eastAsia" w:ascii="宋体" w:hAnsi="宋体" w:eastAsia="宋体" w:cs="宋体"/>
          <w:bCs/>
          <w:sz w:val="18"/>
          <w:szCs w:val="18"/>
        </w:rPr>
        <w:t>应当符合本</w:t>
      </w:r>
      <w:r>
        <w:rPr>
          <w:rFonts w:ascii="宋体" w:hAnsi="宋体" w:eastAsia="宋体" w:cs="宋体"/>
          <w:bCs/>
          <w:sz w:val="18"/>
          <w:szCs w:val="18"/>
        </w:rPr>
        <w:t>销售文件的</w:t>
      </w:r>
      <w:r>
        <w:rPr>
          <w:rFonts w:hint="eastAsia" w:ascii="宋体" w:hAnsi="宋体" w:eastAsia="宋体" w:cs="宋体"/>
          <w:bCs/>
          <w:sz w:val="18"/>
          <w:szCs w:val="18"/>
        </w:rPr>
        <w:t>约定</w:t>
      </w:r>
      <w:r>
        <w:rPr>
          <w:rFonts w:ascii="宋体" w:hAnsi="宋体" w:eastAsia="宋体" w:cs="宋体"/>
          <w:bCs/>
          <w:sz w:val="18"/>
          <w:szCs w:val="18"/>
        </w:rPr>
        <w:t>。</w:t>
      </w:r>
      <w:r>
        <w:rPr>
          <w:rFonts w:hint="eastAsia" w:ascii="宋体" w:hAnsi="宋体" w:eastAsia="宋体" w:cs="宋体"/>
          <w:bCs/>
          <w:sz w:val="18"/>
          <w:szCs w:val="18"/>
        </w:rPr>
        <w:t>产品管理人将本着诚实信用、谨慎勤勉的原则，在规定的范围内运用理财资金进行投资。</w:t>
      </w:r>
    </w:p>
    <w:p w14:paraId="7F680C1C">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金融市场发生重大变化导致理财产品投资比例暂时超出浮动区间且可能对理财产品收益产生重大影响的，产品管理人依约定及时向投资者进行信息披露。</w:t>
      </w:r>
    </w:p>
    <w:p w14:paraId="4BDE105A">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3）</w:t>
      </w:r>
      <w:r>
        <w:rPr>
          <w:rFonts w:hint="eastAsia" w:ascii="Calibri" w:hAnsi="宋体" w:cs="宋体"/>
          <w:sz w:val="18"/>
          <w:szCs w:val="18"/>
        </w:rPr>
        <w:t>★</w:t>
      </w:r>
      <w:r>
        <w:rPr>
          <w:rFonts w:hint="eastAsia" w:ascii="黑体" w:hAnsi="黑体" w:eastAsia="黑体" w:cs="宋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cs="宋体"/>
          <w:bCs/>
          <w:sz w:val="18"/>
          <w:szCs w:val="18"/>
        </w:rPr>
        <w:t>无需投资者</w:t>
      </w:r>
      <w:r>
        <w:rPr>
          <w:rFonts w:hint="eastAsia" w:ascii="黑体" w:hAnsi="黑体" w:eastAsia="黑体" w:cs="宋体"/>
          <w:bCs/>
          <w:sz w:val="18"/>
          <w:szCs w:val="18"/>
        </w:rPr>
        <w:t>书面</w:t>
      </w:r>
      <w:r>
        <w:rPr>
          <w:rFonts w:ascii="黑体" w:hAnsi="黑体" w:eastAsia="黑体" w:cs="宋体"/>
          <w:bCs/>
          <w:sz w:val="18"/>
          <w:szCs w:val="18"/>
        </w:rPr>
        <w:t>同意</w:t>
      </w:r>
      <w:r>
        <w:rPr>
          <w:rFonts w:hint="eastAsia" w:ascii="黑体" w:hAnsi="黑体" w:eastAsia="黑体" w:cs="宋体"/>
          <w:bCs/>
          <w:sz w:val="18"/>
          <w:szCs w:val="18"/>
        </w:rPr>
        <w:t>。</w:t>
      </w:r>
    </w:p>
    <w:p w14:paraId="5A094BB7">
      <w:pPr>
        <w:widowControl w:val="0"/>
        <w:autoSpaceDE w:val="0"/>
        <w:autoSpaceDN w:val="0"/>
        <w:adjustRightInd w:val="0"/>
        <w:spacing w:line="360" w:lineRule="auto"/>
        <w:ind w:firstLine="360" w:firstLineChars="200"/>
        <w:jc w:val="both"/>
        <w:rPr>
          <w:rFonts w:ascii="宋体" w:hAnsi="宋体" w:eastAsia="宋体" w:cs="宋体"/>
          <w:bCs/>
          <w:color w:val="000000"/>
          <w:sz w:val="18"/>
          <w:szCs w:val="18"/>
          <w:lang w:val="en-US" w:eastAsia="zh-CN" w:bidi="ar-SA"/>
        </w:rPr>
      </w:pPr>
      <w:r>
        <w:rPr>
          <w:rFonts w:hint="eastAsia" w:ascii="黑体" w:hAnsi="黑体" w:eastAsia="黑体" w:cs="宋体"/>
          <w:bCs/>
          <w:color w:val="000000"/>
          <w:sz w:val="18"/>
          <w:szCs w:val="18"/>
          <w:lang w:val="en-US" w:eastAsia="zh-CN" w:bidi="ar-SA"/>
        </w:rPr>
        <w:t>（</w:t>
      </w:r>
      <w:r>
        <w:rPr>
          <w:rFonts w:ascii="黑体" w:hAnsi="黑体" w:eastAsia="黑体" w:cs="宋体"/>
          <w:bCs/>
          <w:color w:val="000000"/>
          <w:sz w:val="18"/>
          <w:szCs w:val="18"/>
          <w:lang w:val="en-US" w:eastAsia="zh-CN" w:bidi="ar-SA"/>
        </w:rPr>
        <w:t>4）</w:t>
      </w:r>
      <w:r>
        <w:rPr>
          <w:rFonts w:hint="eastAsia" w:ascii="宋体" w:hAnsi="宋体" w:eastAsia="宋体" w:cs="宋体"/>
          <w:color w:val="000000"/>
          <w:sz w:val="18"/>
          <w:szCs w:val="18"/>
          <w:lang w:val="en-US" w:eastAsia="zh-CN" w:bidi="ar-SA"/>
        </w:rPr>
        <w:t>★</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按照法律法规、</w:t>
      </w:r>
      <w:r>
        <w:rPr>
          <w:rFonts w:hint="eastAsia" w:ascii="黑体" w:hAnsi="黑体" w:eastAsia="黑体" w:cs="宋体"/>
          <w:bCs/>
          <w:color w:val="000000"/>
          <w:sz w:val="18"/>
          <w:szCs w:val="18"/>
          <w:lang w:val="en-US" w:eastAsia="zh-CN" w:bidi="ar-SA"/>
        </w:rPr>
        <w:t>理财产品</w:t>
      </w:r>
      <w:r>
        <w:rPr>
          <w:rFonts w:ascii="黑体" w:hAnsi="黑体" w:eastAsia="黑体" w:cs="宋体"/>
          <w:bCs/>
          <w:color w:val="000000"/>
          <w:sz w:val="18"/>
          <w:szCs w:val="18"/>
          <w:lang w:val="en-US" w:eastAsia="zh-CN" w:bidi="ar-SA"/>
        </w:rPr>
        <w:t>销售文件及其他相关约定，诚实信用、谨慎勤勉地实施投资管理行为，以专业技能管理理财</w:t>
      </w:r>
      <w:r>
        <w:rPr>
          <w:rFonts w:hint="eastAsia" w:ascii="黑体" w:hAnsi="黑体" w:eastAsia="黑体" w:cs="宋体"/>
          <w:bCs/>
          <w:color w:val="000000"/>
          <w:sz w:val="18"/>
          <w:szCs w:val="18"/>
          <w:lang w:val="en-US" w:eastAsia="zh-CN" w:bidi="ar-SA"/>
        </w:rPr>
        <w:t>产品</w:t>
      </w:r>
      <w:r>
        <w:rPr>
          <w:rFonts w:ascii="黑体" w:hAnsi="黑体" w:eastAsia="黑体" w:cs="宋体"/>
          <w:bCs/>
          <w:color w:val="000000"/>
          <w:sz w:val="18"/>
          <w:szCs w:val="18"/>
          <w:lang w:val="en-US" w:eastAsia="zh-CN" w:bidi="ar-SA"/>
        </w:rPr>
        <w:t>资产，依法维护理财产品全体投资者的利益。</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不对本产品的收益情况作出承诺或保证，亦不会承诺或保证最低收益或本金安全。</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按照本销售文件及其他相关</w:t>
      </w:r>
      <w:r>
        <w:rPr>
          <w:rFonts w:hint="eastAsia" w:ascii="黑体" w:hAnsi="黑体" w:eastAsia="黑体" w:cs="宋体"/>
          <w:bCs/>
          <w:color w:val="000000"/>
          <w:sz w:val="18"/>
          <w:szCs w:val="18"/>
          <w:lang w:val="en-US" w:eastAsia="zh-CN" w:bidi="ar-SA"/>
        </w:rPr>
        <w:t>文件</w:t>
      </w:r>
      <w:r>
        <w:rPr>
          <w:rFonts w:ascii="黑体" w:hAnsi="黑体" w:eastAsia="黑体" w:cs="宋体"/>
          <w:bCs/>
          <w:color w:val="000000"/>
          <w:sz w:val="18"/>
          <w:szCs w:val="18"/>
          <w:lang w:val="en-US" w:eastAsia="zh-CN" w:bidi="ar-SA"/>
        </w:rPr>
        <w:t>的规定进行投资运作，由此所产生的损失，</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不承担</w:t>
      </w:r>
      <w:r>
        <w:rPr>
          <w:rFonts w:hint="eastAsia" w:ascii="黑体" w:hAnsi="黑体" w:eastAsia="黑体" w:cs="宋体"/>
          <w:bCs/>
          <w:color w:val="000000"/>
          <w:sz w:val="18"/>
          <w:szCs w:val="18"/>
          <w:lang w:val="en-US" w:eastAsia="zh-CN" w:bidi="ar-SA"/>
        </w:rPr>
        <w:t>责任</w:t>
      </w:r>
      <w:r>
        <w:rPr>
          <w:rFonts w:ascii="黑体" w:hAnsi="黑体" w:eastAsia="黑体" w:cs="宋体"/>
          <w:bCs/>
          <w:color w:val="000000"/>
          <w:sz w:val="18"/>
          <w:szCs w:val="18"/>
          <w:lang w:val="en-US" w:eastAsia="zh-CN" w:bidi="ar-SA"/>
        </w:rPr>
        <w:t>。</w:t>
      </w:r>
    </w:p>
    <w:p w14:paraId="77A2623F">
      <w:pPr>
        <w:widowControl w:val="0"/>
        <w:autoSpaceDE w:val="0"/>
        <w:autoSpaceDN w:val="0"/>
        <w:adjustRightInd w:val="0"/>
        <w:spacing w:line="360" w:lineRule="auto"/>
        <w:ind w:firstLine="271" w:firstLineChars="150"/>
        <w:rPr>
          <w:rFonts w:ascii="宋体" w:hAnsi="Calibri" w:eastAsia="宋体" w:cs="宋体"/>
          <w:color w:val="000000"/>
          <w:sz w:val="24"/>
          <w:szCs w:val="24"/>
          <w:lang w:val="en-US" w:eastAsia="zh-CN" w:bidi="ar-SA"/>
        </w:rPr>
      </w:pPr>
      <w:r>
        <w:rPr>
          <w:rFonts w:hint="eastAsia" w:ascii="宋体" w:hAnsi="宋体" w:eastAsia="宋体" w:cs="宋体"/>
          <w:b/>
          <w:color w:val="auto"/>
          <w:sz w:val="18"/>
          <w:szCs w:val="18"/>
          <w:lang w:val="en-US" w:eastAsia="zh-CN" w:bidi="ar-SA"/>
        </w:rPr>
        <w:t>（三）投资限制</w:t>
      </w:r>
    </w:p>
    <w:p w14:paraId="7D149D58">
      <w:pPr>
        <w:spacing w:line="360" w:lineRule="auto"/>
        <w:ind w:firstLine="360" w:firstLineChars="200"/>
        <w:rPr>
          <w:rFonts w:ascii="宋体" w:hAnsi="宋体" w:eastAsia="宋体" w:cs="宋体"/>
          <w:bCs/>
          <w:kern w:val="0"/>
          <w:sz w:val="18"/>
          <w:szCs w:val="18"/>
        </w:rPr>
      </w:pPr>
      <w:r>
        <w:rPr>
          <w:rFonts w:hint="eastAsia" w:ascii="宋体" w:hAnsi="宋体" w:eastAsia="宋体" w:cs="宋体"/>
          <w:bCs/>
          <w:kern w:val="0"/>
          <w:sz w:val="18"/>
          <w:szCs w:val="18"/>
        </w:rPr>
        <w:t>1.组合限制</w:t>
      </w:r>
    </w:p>
    <w:p w14:paraId="246A9068">
      <w:pPr>
        <w:spacing w:line="360" w:lineRule="auto"/>
        <w:ind w:firstLine="360" w:firstLineChars="200"/>
        <w:rPr>
          <w:rFonts w:hint="eastAsia" w:ascii="宋体" w:hAnsi="宋体" w:eastAsia="宋体" w:cs="宋体"/>
          <w:bCs/>
          <w:color w:val="auto"/>
          <w:sz w:val="18"/>
          <w:szCs w:val="18"/>
        </w:rPr>
      </w:pPr>
      <w:r>
        <w:rPr>
          <w:rFonts w:ascii="宋体" w:hAnsi="宋体" w:eastAsia="宋体" w:cs="宋体"/>
          <w:sz w:val="18"/>
          <w:szCs w:val="22"/>
        </w:rPr>
        <w:t>（1）本产品投资单只证券或者单只公募证券投资基金的市值不得超过该理财产品净资产的10%。</w:t>
      </w:r>
      <w:r>
        <w:rPr>
          <w:rFonts w:ascii="宋体" w:hAnsi="宋体" w:eastAsia="宋体" w:cs="宋体"/>
          <w:sz w:val="18"/>
          <w:szCs w:val="22"/>
        </w:rPr>
        <w:br w:type="textWrapping"/>
      </w:r>
      <w:r>
        <w:rPr>
          <w:rFonts w:ascii="宋体" w:hAnsi="宋体" w:eastAsia="宋体" w:cs="宋体"/>
          <w:sz w:val="18"/>
          <w:szCs w:val="22"/>
        </w:rPr>
        <w:t>（2）本产品管理人全部公募理财产品持有单只证券或单只公募证券投资基金的市值，不得超过该证券市值或该公募证券投资基金市值的30%。</w:t>
      </w:r>
      <w:r>
        <w:rPr>
          <w:rFonts w:ascii="宋体" w:hAnsi="宋体" w:eastAsia="宋体" w:cs="宋体"/>
          <w:sz w:val="18"/>
          <w:szCs w:val="22"/>
        </w:rPr>
        <w:br w:type="textWrapping"/>
      </w:r>
      <w:r>
        <w:rPr>
          <w:rFonts w:ascii="宋体" w:hAnsi="宋体" w:eastAsia="宋体" w:cs="宋体"/>
          <w:sz w:val="18"/>
          <w:szCs w:val="22"/>
        </w:rPr>
        <w:t>（3）本产品管理人全部理财产品持有单一上市公司发行的股票，不得超过该上市公司可流通股票的30%。</w:t>
      </w:r>
      <w:r>
        <w:rPr>
          <w:rFonts w:ascii="宋体" w:hAnsi="宋体" w:eastAsia="宋体" w:cs="宋体"/>
          <w:sz w:val="18"/>
          <w:szCs w:val="22"/>
        </w:rPr>
        <w:br w:type="textWrapping"/>
      </w:r>
      <w:r>
        <w:rPr>
          <w:rFonts w:ascii="宋体" w:hAnsi="宋体" w:eastAsia="宋体" w:cs="宋体"/>
          <w:sz w:val="18"/>
          <w:szCs w:val="22"/>
        </w:rPr>
        <w:t>（4）本产品管理人全部开放式公募理财产品投资单一上市公司发行的股票不得超过该上市公司可流通股票的15%。</w:t>
      </w:r>
      <w:r>
        <w:rPr>
          <w:rFonts w:ascii="宋体" w:hAnsi="宋体" w:eastAsia="宋体" w:cs="宋体"/>
          <w:sz w:val="18"/>
          <w:szCs w:val="22"/>
        </w:rPr>
        <w:br w:type="textWrapping"/>
      </w:r>
      <w:r>
        <w:rPr>
          <w:rFonts w:ascii="宋体" w:hAnsi="宋体" w:eastAsia="宋体" w:cs="宋体"/>
          <w:sz w:val="18"/>
          <w:szCs w:val="22"/>
        </w:rPr>
        <w:t>（5）本产品因为流动性需要可开展存单质押、债券正回购等融资业务，本产品总资产不超过净资产的200%。</w:t>
      </w:r>
    </w:p>
    <w:p w14:paraId="2A896BBE">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 w14:paraId="4C7FD473">
      <w:pPr>
        <w:spacing w:line="360" w:lineRule="auto"/>
        <w:ind w:firstLine="360" w:firstLineChars="200"/>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其他投资限制：</w:t>
      </w:r>
    </w:p>
    <w:p w14:paraId="2AD93B1F">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1</w:t>
      </w:r>
      <w:r>
        <w:rPr>
          <w:rFonts w:hint="eastAsia" w:ascii="宋体" w:hAnsi="宋体" w:cs="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14:paraId="3D157207">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）面向非机构投资者发行的理财产品不得直接或间接投资于不良资产、不良资产支持证券，国务院银行业监督管理机构另有规定的除外。</w:t>
      </w:r>
    </w:p>
    <w:p w14:paraId="3C9E78DC">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3</w:t>
      </w:r>
      <w:r>
        <w:rPr>
          <w:rFonts w:hint="eastAsia" w:ascii="宋体" w:hAnsi="宋体" w:cs="宋体"/>
          <w:bCs/>
          <w:sz w:val="18"/>
          <w:szCs w:val="18"/>
        </w:rPr>
        <w:t>）不得直接或间接投资于《商业银行理财业务监督管理办法》（银保监会令</w:t>
      </w:r>
      <w:r>
        <w:rPr>
          <w:rFonts w:ascii="宋体" w:hAnsi="宋体" w:cs="宋体"/>
          <w:bCs/>
          <w:sz w:val="18"/>
          <w:szCs w:val="18"/>
        </w:rPr>
        <w:t>2018年第6号）第三十五条所列示资产之外，由未经金融监督管理部门许可设立、</w:t>
      </w:r>
      <w:r>
        <w:rPr>
          <w:rFonts w:hint="eastAsia" w:ascii="宋体" w:hAnsi="宋体" w:cs="宋体"/>
          <w:bCs/>
          <w:sz w:val="18"/>
          <w:szCs w:val="18"/>
        </w:rPr>
        <w:t>不持有金融牌照的机构发行的产品或管理的资产，金融资产投资公司的附属机构依法依规设立的私募股权投资基金以及国务院银行业监督管理机构另有规定的除外。</w:t>
      </w:r>
    </w:p>
    <w:p w14:paraId="65D81FB8">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4</w:t>
      </w:r>
      <w:r>
        <w:rPr>
          <w:rFonts w:hint="eastAsia" w:ascii="宋体" w:hAnsi="宋体" w:cs="宋体"/>
          <w:bCs/>
          <w:sz w:val="18"/>
          <w:szCs w:val="18"/>
        </w:rPr>
        <w:t>）不得直接或间接投资于兴业银行信贷资产受（收）益权，面向非机构投资者发行的理财产品不得直接或间接投资于不良资产受（收）益权。</w:t>
      </w:r>
    </w:p>
    <w:p w14:paraId="5C39BF6A">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5</w:t>
      </w:r>
      <w:r>
        <w:rPr>
          <w:rFonts w:hint="eastAsia" w:ascii="宋体" w:hAnsi="宋体" w:cs="宋体"/>
          <w:bCs/>
          <w:sz w:val="18"/>
          <w:szCs w:val="18"/>
        </w:rPr>
        <w:t>）其他法律法规规定或监管规定禁止或限制理财产品投资的情形。</w:t>
      </w:r>
    </w:p>
    <w:p w14:paraId="05DB1A31">
      <w:pPr>
        <w:spacing w:line="360" w:lineRule="auto"/>
        <w:ind w:firstLine="360" w:firstLineChars="200"/>
        <w:rPr>
          <w:rFonts w:ascii="宋体" w:hAnsi="宋体" w:eastAsia="宋体" w:cs="宋体"/>
          <w:bCs/>
          <w:sz w:val="18"/>
          <w:szCs w:val="18"/>
        </w:rPr>
      </w:pPr>
      <w:r>
        <w:rPr>
          <w:rFonts w:ascii="宋体" w:hAnsi="宋体" w:eastAsia="宋体" w:cs="宋体"/>
          <w:bCs/>
          <w:sz w:val="18"/>
          <w:szCs w:val="18"/>
        </w:rPr>
        <w:t>3</w:t>
      </w:r>
      <w:r>
        <w:rPr>
          <w:rFonts w:hint="eastAsia" w:ascii="宋体" w:hAnsi="宋体" w:eastAsia="宋体" w:cs="宋体"/>
          <w:bCs/>
          <w:sz w:val="18"/>
          <w:szCs w:val="18"/>
        </w:rPr>
        <w:t>.</w:t>
      </w:r>
      <w:r>
        <w:rPr>
          <w:rFonts w:ascii="宋体" w:hAnsi="宋体" w:eastAsia="宋体" w:cs="宋体"/>
          <w:bCs/>
          <w:sz w:val="18"/>
          <w:szCs w:val="18"/>
        </w:rPr>
        <w:t>如果法律法规对本销售文件约定的投资限制进行变更的，以变更后的规定为准。</w:t>
      </w:r>
    </w:p>
    <w:p w14:paraId="724A921C">
      <w:pPr>
        <w:spacing w:line="360" w:lineRule="auto"/>
        <w:ind w:firstLine="361" w:firstLineChars="200"/>
        <w:rPr>
          <w:rFonts w:ascii="宋体" w:hAnsi="宋体" w:eastAsia="宋体" w:cs="宋体"/>
          <w:b/>
          <w:bCs/>
          <w:sz w:val="18"/>
          <w:szCs w:val="18"/>
        </w:rPr>
      </w:pPr>
      <w:r>
        <w:rPr>
          <w:rFonts w:ascii="宋体" w:hAnsi="宋体" w:eastAsia="宋体" w:cs="宋体"/>
          <w:b/>
          <w:bCs/>
          <w:sz w:val="18"/>
          <w:szCs w:val="18"/>
        </w:rPr>
        <w:t>（</w:t>
      </w:r>
      <w:r>
        <w:rPr>
          <w:rFonts w:hint="eastAsia" w:ascii="宋体" w:hAnsi="宋体" w:eastAsia="宋体" w:cs="宋体"/>
          <w:b/>
          <w:bCs/>
          <w:sz w:val="18"/>
          <w:szCs w:val="18"/>
        </w:rPr>
        <w:t>四</w:t>
      </w:r>
      <w:r>
        <w:rPr>
          <w:rFonts w:ascii="宋体" w:hAnsi="宋体" w:eastAsia="宋体" w:cs="宋体"/>
          <w:b/>
          <w:bCs/>
          <w:sz w:val="18"/>
          <w:szCs w:val="18"/>
        </w:rPr>
        <w:t>）</w:t>
      </w:r>
      <w:r>
        <w:rPr>
          <w:rFonts w:hint="eastAsia" w:ascii="宋体" w:hAnsi="宋体" w:eastAsia="宋体" w:cs="宋体"/>
          <w:b/>
          <w:bCs/>
          <w:sz w:val="18"/>
          <w:szCs w:val="18"/>
        </w:rPr>
        <w:t>投资策略</w:t>
      </w:r>
    </w:p>
    <w:p w14:paraId="34EE1AA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hint="eastAsia" w:ascii="宋体" w:hAnsi="宋体" w:eastAsia="宋体" w:cs="宋体"/>
          <w:bCs/>
          <w:color w:val="000000"/>
          <w:sz w:val="18"/>
          <w:szCs w:val="18"/>
          <w:lang w:val="en-US" w:eastAsia="zh-CN" w:bidi="ar-SA"/>
        </w:rPr>
        <w:t>通过对经济基本面、企业盈利、无风险利率水平、资金面等因素进行定性和定量分析，根据产品的业绩目标和回撤目标制定各个阶段产品资产投资比例。</w:t>
      </w:r>
      <w:r>
        <w:rPr>
          <w:rFonts w:hint="eastAsia" w:ascii="宋体" w:hAnsi="宋体" w:eastAsia="宋体" w:cs="宋体"/>
          <w:color w:val="000000"/>
          <w:sz w:val="18"/>
          <w:szCs w:val="18"/>
          <w:lang w:val="en-US" w:eastAsia="zh-CN" w:bidi="ar-SA"/>
        </w:rPr>
        <w:t>】</w:t>
      </w:r>
    </w:p>
    <w:p w14:paraId="2546A7F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000000"/>
          <w:sz w:val="18"/>
          <w:szCs w:val="18"/>
          <w:lang w:val="en-US" w:eastAsia="zh-CN" w:bidi="ar-SA"/>
        </w:rPr>
        <w:br w:type="page"/>
      </w:r>
    </w:p>
    <w:p w14:paraId="791D06D5">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93" w:name="_Toc139991735"/>
      <w:bookmarkStart w:id="94" w:name="_Toc1823"/>
      <w:bookmarkStart w:id="95" w:name="_Toc74065742"/>
      <w:bookmarkStart w:id="96" w:name="_Toc18526"/>
      <w:bookmarkStart w:id="97" w:name="_Toc18329"/>
      <w:bookmarkStart w:id="98" w:name="_Toc14893"/>
      <w:bookmarkStart w:id="99" w:name="_Toc26986"/>
      <w:bookmarkStart w:id="100" w:name="_Toc7848"/>
      <w:bookmarkStart w:id="101" w:name="_Toc79154669"/>
      <w:bookmarkStart w:id="102" w:name="_Toc4741"/>
      <w:bookmarkStart w:id="103" w:name="_Toc21988"/>
      <w:bookmarkStart w:id="104" w:name="_Toc17912"/>
      <w:bookmarkStart w:id="105" w:name="_Toc141703885"/>
      <w:bookmarkStart w:id="106" w:name="_Toc18797"/>
      <w:bookmarkStart w:id="107" w:name="_Toc176189758"/>
      <w:r>
        <w:rPr>
          <w:rFonts w:ascii="Times New Roman" w:hAnsi="Calibri" w:eastAsia="宋体" w:cs="宋体"/>
          <w:b/>
          <w:bCs/>
          <w:kern w:val="44"/>
          <w:sz w:val="30"/>
          <w:szCs w:val="44"/>
          <w:lang w:val="en-US" w:eastAsia="zh-CN" w:bidi="ar-SA"/>
        </w:rPr>
        <w:t>第六</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理财产品的资产</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1DD4F27">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bookmarkStart w:id="108" w:name="_Hlk490214295"/>
      <w:r>
        <w:rPr>
          <w:rFonts w:hint="eastAsia" w:ascii="宋体" w:hAnsi="宋体" w:eastAsia="宋体" w:cs="宋体"/>
          <w:b/>
          <w:color w:val="auto"/>
          <w:sz w:val="18"/>
          <w:szCs w:val="18"/>
          <w:lang w:val="en-US" w:eastAsia="zh-CN" w:bidi="ar-SA"/>
        </w:rPr>
        <w:t>（一）理财产品的资产的保管和处分</w:t>
      </w:r>
    </w:p>
    <w:p w14:paraId="212DC7C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本理财产品的资产独立于产品管理人和产品托管人的财产，并由产品托管人保管。</w:t>
      </w:r>
    </w:p>
    <w:p w14:paraId="3BA3474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产品管理人和产品托管人以其自有的财产承担其自身的法律责任，其债权人不得对本产品财产行使请求冻结、扣押或其他权利。除依法律法规规定的处分外，理财产品的资产不得被处分。</w:t>
      </w:r>
    </w:p>
    <w:p w14:paraId="7EA98BF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3.</w:t>
      </w:r>
      <w:r>
        <w:rPr>
          <w:rFonts w:hint="eastAsia" w:ascii="宋体" w:hAnsi="宋体" w:eastAsia="宋体" w:cs="宋体"/>
          <w:color w:val="auto"/>
          <w:sz w:val="18"/>
          <w:szCs w:val="18"/>
          <w:lang w:val="en-US" w:eastAsia="zh-CN" w:bidi="ar-SA"/>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14:paraId="201083B8">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（二）理财产品的有关账户</w:t>
      </w:r>
    </w:p>
    <w:p w14:paraId="23ACCC6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产品管理人和产品托管人根据相关法律法规、规范性文件为本产品开立资金账户、证券账户以及投资所需的其他专用账户。</w:t>
      </w:r>
    </w:p>
    <w:p w14:paraId="59F9AD4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开立的理财专用账户与产品管理人和产品托管人自有的财产账户以及其他理财产品的有关账户相独立。</w:t>
      </w:r>
    </w:p>
    <w:p w14:paraId="3D648491">
      <w:pPr>
        <w:widowControl/>
        <w:spacing w:line="360" w:lineRule="auto"/>
        <w:jc w:val="left"/>
        <w:rPr>
          <w:rFonts w:ascii="宋体" w:hAnsi="宋体" w:eastAsia="宋体" w:cs="宋体"/>
          <w:kern w:val="0"/>
          <w:sz w:val="18"/>
          <w:szCs w:val="18"/>
        </w:rPr>
      </w:pPr>
      <w:r>
        <w:rPr>
          <w:rFonts w:ascii="宋体" w:hAnsi="宋体" w:eastAsia="宋体" w:cs="宋体"/>
          <w:sz w:val="18"/>
          <w:szCs w:val="18"/>
        </w:rPr>
        <w:br w:type="page"/>
      </w:r>
    </w:p>
    <w:bookmarkEnd w:id="108"/>
    <w:p w14:paraId="62E3A215">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109" w:name="_Toc79392606"/>
      <w:bookmarkStart w:id="110" w:name="_Toc123051452"/>
      <w:bookmarkStart w:id="111" w:name="_Toc10463"/>
      <w:bookmarkStart w:id="112" w:name="_Toc17244"/>
      <w:bookmarkStart w:id="113" w:name="_Toc141703886"/>
      <w:bookmarkStart w:id="114" w:name="_Toc1427"/>
      <w:bookmarkStart w:id="115" w:name="_Toc176189759"/>
      <w:bookmarkStart w:id="116" w:name="_Toc98560352"/>
      <w:bookmarkStart w:id="117" w:name="_Toc139991736"/>
      <w:bookmarkStart w:id="118" w:name="_Toc7920"/>
      <w:bookmarkStart w:id="119" w:name="_Toc20733"/>
      <w:bookmarkStart w:id="120" w:name="_Toc23822"/>
      <w:bookmarkStart w:id="121" w:name="_Toc79154670"/>
      <w:bookmarkStart w:id="122" w:name="_Toc74065743"/>
      <w:bookmarkStart w:id="123" w:name="_Toc23261"/>
      <w:bookmarkStart w:id="124" w:name="_Toc1270"/>
      <w:bookmarkStart w:id="125" w:name="_Toc4003"/>
      <w:bookmarkStart w:id="126" w:name="_Toc123112234"/>
      <w:bookmarkStart w:id="127" w:name="_Toc610"/>
      <w:bookmarkStart w:id="128" w:name="_Toc48649707"/>
      <w:bookmarkStart w:id="129" w:name="_Toc123102453"/>
      <w:r>
        <w:rPr>
          <w:rFonts w:ascii="Times New Roman" w:hAnsi="Calibri" w:eastAsia="宋体" w:cs="宋体"/>
          <w:b/>
          <w:bCs/>
          <w:kern w:val="44"/>
          <w:sz w:val="30"/>
          <w:szCs w:val="44"/>
          <w:lang w:val="en-US" w:eastAsia="zh-CN" w:bidi="ar-SA"/>
        </w:rPr>
        <w:t>第七</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理财产品项下资产的估值</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2DE5AA0">
      <w:pPr>
        <w:widowControl w:val="0"/>
        <w:autoSpaceDE w:val="0"/>
        <w:autoSpaceDN w:val="0"/>
        <w:adjustRightInd w:val="0"/>
        <w:spacing w:line="360" w:lineRule="auto"/>
        <w:ind w:firstLine="360" w:firstLineChars="200"/>
        <w:rPr>
          <w:rFonts w:ascii="黑体" w:hAnsi="黑体" w:eastAsia="黑体" w:cs="宋体"/>
          <w:color w:val="auto"/>
          <w:sz w:val="18"/>
          <w:szCs w:val="18"/>
          <w:lang w:val="en-US" w:eastAsia="zh-CN" w:bidi="ar-SA"/>
        </w:rPr>
      </w:pPr>
      <w:r>
        <w:rPr>
          <w:rFonts w:hint="eastAsia" w:ascii="黑体" w:hAnsi="黑体" w:eastAsia="黑体" w:cs="宋体"/>
          <w:color w:val="auto"/>
          <w:sz w:val="18"/>
          <w:szCs w:val="18"/>
          <w:lang w:val="en-US" w:eastAsia="zh-CN" w:bidi="ar-SA"/>
        </w:rPr>
        <w:t>★注：本说明书估值条款所涉及的资产相关描述，仅为估值条款完备性而设计，并不代表本产品投资范围涉及该资产。本产品的投资范围仍应以“第五条 理财产品的投资”约定为准。</w:t>
      </w:r>
    </w:p>
    <w:p w14:paraId="5C66071B">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（一）估值目的</w:t>
      </w:r>
    </w:p>
    <w:p w14:paraId="0292E90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理财资产估值的目的是客观、准确地反映理财资产是否保值、增值。</w:t>
      </w:r>
    </w:p>
    <w:p w14:paraId="21350F93">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（二）估值频率</w:t>
      </w:r>
    </w:p>
    <w:p w14:paraId="52C8C36C">
      <w:pPr>
        <w:widowControl w:val="0"/>
        <w:autoSpaceDE w:val="0"/>
        <w:autoSpaceDN w:val="0"/>
        <w:adjustRightInd w:val="0"/>
        <w:spacing w:line="360" w:lineRule="auto"/>
        <w:ind w:firstLine="450" w:firstLineChars="250"/>
        <w:rPr>
          <w:rFonts w:ascii="宋体" w:hAnsi="Calibri"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本产品存续期间，每【周】进行一次估值。如遇产品到期日、季度末、半年度末、年度末等时间节点管理人将增加估值日。</w:t>
      </w:r>
    </w:p>
    <w:p w14:paraId="64352DCF">
      <w:pPr>
        <w:widowControl w:val="0"/>
        <w:autoSpaceDE w:val="0"/>
        <w:autoSpaceDN w:val="0"/>
        <w:adjustRightInd w:val="0"/>
        <w:spacing w:line="360" w:lineRule="auto"/>
        <w:ind w:firstLine="452" w:firstLineChars="25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（三）估值对象</w:t>
      </w:r>
    </w:p>
    <w:p w14:paraId="70C1D68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本产品所拥有的各类证券、资产管理产品、银行存款、应收款项、其它投资等资产及负债。</w:t>
      </w:r>
    </w:p>
    <w:p w14:paraId="6F347113">
      <w:pPr>
        <w:widowControl w:val="0"/>
        <w:autoSpaceDE w:val="0"/>
        <w:autoSpaceDN w:val="0"/>
        <w:adjustRightInd w:val="0"/>
        <w:spacing w:line="360" w:lineRule="auto"/>
        <w:ind w:firstLine="452" w:firstLineChars="25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（四）估值方法</w:t>
      </w:r>
    </w:p>
    <w:p w14:paraId="2E2A4F1B">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1.标准化债权类资产估值</w:t>
      </w:r>
    </w:p>
    <w:p w14:paraId="5A50CA42">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标准化债权类资产，是指满足中国人民银行制定的标准化债权类资产具体认定规则的债权类资产。主要包括：证券交易所与银行间市场发行的债券、资产支持证券、资产支持票据等。估值方法具体如下：</w:t>
      </w:r>
    </w:p>
    <w:p w14:paraId="3A4F7D7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（1）投资以收取合同现金流量为目的并持有到期的标准化债权类资产，可使用摊余成本计量。</w:t>
      </w:r>
    </w:p>
    <w:p w14:paraId="1B2BC40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（2）除（1）以外的标准化债权类资产以公允价值计量，主要依据为第三方估值机构提供的价格数据。第三方估值机构包括：中央国债登记结算公司和中证指数有限公司。</w:t>
      </w:r>
    </w:p>
    <w:p w14:paraId="61FC8889">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3</w:t>
      </w:r>
      <w:r>
        <w:rPr>
          <w:rFonts w:hint="eastAsia" w:ascii="宋体" w:hAnsi="宋体" w:eastAsia="宋体" w:cs="宋体"/>
          <w:color w:val="000000"/>
          <w:sz w:val="18"/>
          <w:szCs w:val="18"/>
          <w:lang w:val="en-US" w:eastAsia="zh-CN" w:bidi="ar-SA"/>
        </w:rPr>
        <w:t>）对已发行但未上市流通，且第三方估值机构未提供估值数据的标准化债权类资产，</w:t>
      </w:r>
      <w:r>
        <w:rPr>
          <w:rFonts w:hint="eastAsia" w:ascii="宋体" w:hAnsi="宋体" w:eastAsia="宋体" w:cs="宋体"/>
          <w:bCs/>
          <w:color w:val="auto"/>
          <w:sz w:val="18"/>
          <w:szCs w:val="18"/>
          <w:lang w:val="en-US" w:eastAsia="zh-CN" w:bidi="ar-SA"/>
        </w:rPr>
        <w:t>采用当前情况下适用并且有足够可利用数据和其他信息支持的估值技术确定其公允价值。</w:t>
      </w:r>
    </w:p>
    <w:p w14:paraId="4AE2175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4</w:t>
      </w:r>
      <w:r>
        <w:rPr>
          <w:rFonts w:hint="eastAsia" w:ascii="宋体" w:hAnsi="宋体" w:eastAsia="宋体" w:cs="宋体"/>
          <w:color w:val="000000"/>
          <w:sz w:val="18"/>
          <w:szCs w:val="18"/>
          <w:lang w:val="en-US" w:eastAsia="zh-CN" w:bidi="ar-SA"/>
        </w:rPr>
        <w:t>）</w:t>
      </w:r>
      <w:r>
        <w:rPr>
          <w:rFonts w:hint="eastAsia" w:ascii="宋体" w:hAnsi="宋体" w:eastAsia="宋体" w:cs="宋体"/>
          <w:bCs/>
          <w:color w:val="auto"/>
          <w:sz w:val="18"/>
          <w:szCs w:val="18"/>
          <w:lang w:val="en-US" w:eastAsia="zh-CN" w:bidi="ar-SA"/>
        </w:rPr>
        <w:t>对于</w:t>
      </w:r>
      <w:r>
        <w:rPr>
          <w:rFonts w:ascii="宋体" w:hAnsi="宋体" w:eastAsia="宋体" w:cs="宋体"/>
          <w:bCs/>
          <w:color w:val="auto"/>
          <w:sz w:val="18"/>
          <w:szCs w:val="18"/>
          <w:lang w:val="en-US" w:eastAsia="zh-CN" w:bidi="ar-SA"/>
        </w:rPr>
        <w:t>同时在多个不同市场交易的标准化债权类资产，</w:t>
      </w:r>
      <w:r>
        <w:rPr>
          <w:rFonts w:hint="eastAsia" w:ascii="宋体" w:hAnsi="宋体" w:eastAsia="宋体" w:cs="宋体"/>
          <w:bCs/>
          <w:color w:val="auto"/>
          <w:sz w:val="18"/>
          <w:szCs w:val="18"/>
          <w:lang w:val="en-US" w:eastAsia="zh-CN" w:bidi="ar-SA"/>
        </w:rPr>
        <w:t>按照其</w:t>
      </w:r>
      <w:r>
        <w:rPr>
          <w:rFonts w:hint="eastAsia" w:ascii="宋体" w:hAnsi="宋体" w:eastAsia="宋体" w:cs="宋体"/>
          <w:color w:val="000000"/>
          <w:sz w:val="18"/>
          <w:szCs w:val="18"/>
          <w:lang w:val="en-US" w:eastAsia="zh-CN" w:bidi="ar-SA"/>
        </w:rPr>
        <w:t>所处的市场及相应的估值标准，分别进行估值。</w:t>
      </w:r>
    </w:p>
    <w:p w14:paraId="391DF1A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auto"/>
          <w:sz w:val="18"/>
          <w:szCs w:val="24"/>
          <w:lang w:val="en-US" w:eastAsia="zh-CN" w:bidi="ar-SA"/>
        </w:rPr>
        <w:t>2.</w:t>
      </w:r>
      <w:r>
        <w:rPr>
          <w:rFonts w:hint="eastAsia" w:ascii="宋体" w:hAnsi="宋体" w:eastAsia="宋体" w:cs="宋体"/>
          <w:bCs/>
          <w:color w:val="auto"/>
          <w:sz w:val="18"/>
          <w:szCs w:val="18"/>
          <w:lang w:val="en-US" w:eastAsia="zh-CN" w:bidi="ar-SA"/>
        </w:rPr>
        <w:t>境外债券</w:t>
      </w:r>
    </w:p>
    <w:p w14:paraId="44F90FA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对于境外发行的债券，</w:t>
      </w:r>
      <w:r>
        <w:rPr>
          <w:rFonts w:hint="eastAsia" w:ascii="宋体" w:hAnsi="宋体" w:eastAsia="宋体" w:cs="宋体"/>
          <w:color w:val="auto"/>
          <w:sz w:val="18"/>
          <w:szCs w:val="18"/>
          <w:lang w:val="en-US" w:eastAsia="zh-CN" w:bidi="ar-SA"/>
        </w:rPr>
        <w:t>参照主要做市商或其他权威价格提供机构的报价进行估值，若估值日债券价格无法通过公开信息取得，参照最近一个交易日可取得的主要做市商或其他权威价格提供机构的报价进行估值。</w:t>
      </w:r>
    </w:p>
    <w:p w14:paraId="70D71F0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ascii="宋体" w:hAnsi="宋体" w:eastAsia="宋体" w:cs="宋体"/>
          <w:bCs/>
          <w:color w:val="000000"/>
          <w:sz w:val="18"/>
          <w:szCs w:val="18"/>
          <w:lang w:val="en-US" w:eastAsia="zh-CN" w:bidi="ar-SA"/>
        </w:rPr>
        <w:t>3.非标准化债权类资产</w:t>
      </w:r>
    </w:p>
    <w:p w14:paraId="66DE9AE9">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非标准化债权类资产，是指不满足中国人民银行制定的标准化债权类资产认定标准的债权类资产。可选取第三方估值机构的价格数据或采用估值技术进行估值；符合监管机构规定的，可按照企业会计准则以摊余成本计量。</w:t>
      </w:r>
    </w:p>
    <w:p w14:paraId="5B6FB7A0">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4.上市公司股票估值</w:t>
      </w:r>
    </w:p>
    <w:p w14:paraId="6ABA9105">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上市公司股票包括正常流通普通股、流通受限股票、长期停牌股票和新发行未上市股票。具体估值方法如下：</w:t>
      </w:r>
    </w:p>
    <w:p w14:paraId="2095CE8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14:paraId="0C6271D9">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（2）送股、转增股、配股和公开增发新股等发行未上市的股票，按估值日在证券交易所上市的同一股票的收盘价或最近交易日的收盘价确定公允价值。</w:t>
      </w:r>
    </w:p>
    <w:p w14:paraId="312B45F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14:paraId="7BF3D41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（4）长期停牌股票，根据停牌原因、停牌时间及停牌公司公告等信息，采用估值技术确定公允价值。</w:t>
      </w:r>
    </w:p>
    <w:p w14:paraId="0EF586A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（5）新发行未上市股票，如果发行日后未发生影响公允价值计量的重大事件的，应采用发行价作为公允价值的最佳估计，已发生影响公允价值计量重大事件的应采用估值技术确定公允价值。</w:t>
      </w:r>
    </w:p>
    <w:p w14:paraId="13945436">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5.未上市公司股权</w:t>
      </w:r>
    </w:p>
    <w:p w14:paraId="4532E95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以公允价值计量，应综合考虑被评估企业实际情况、市场交易情况及其他可获得的信息，采用市场法、收益法、重置成本法等估值技术，结合流动性折扣等因素评估公允价值</w:t>
      </w:r>
      <w:r>
        <w:rPr>
          <w:rFonts w:ascii="宋体" w:hAnsi="宋体" w:eastAsia="宋体" w:cs="宋体"/>
          <w:color w:val="000000"/>
          <w:sz w:val="18"/>
          <w:szCs w:val="18"/>
          <w:lang w:val="en-US" w:eastAsia="zh-CN" w:bidi="ar-SA"/>
        </w:rPr>
        <w:t>；或采用第三方估值机构提供的价格数据确认公允价值</w:t>
      </w:r>
      <w:r>
        <w:rPr>
          <w:rFonts w:hint="eastAsia" w:ascii="宋体" w:hAnsi="宋体" w:eastAsia="宋体" w:cs="宋体"/>
          <w:color w:val="000000"/>
          <w:sz w:val="18"/>
          <w:szCs w:val="18"/>
          <w:lang w:val="en-US" w:eastAsia="zh-CN" w:bidi="ar-SA"/>
        </w:rPr>
        <w:t>。</w:t>
      </w:r>
    </w:p>
    <w:p w14:paraId="4B05C1B4">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6.优先股</w:t>
      </w:r>
    </w:p>
    <w:p w14:paraId="0E7E3C6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优先股交易量及交易频率足以持续提供定价信息的，可按估值日或最近交易日的收盘价估值；不满足上述条件的，可根据优先股股息支付条款，采用估值模型或依据第三方估值机构提供的价格数据估值。</w:t>
      </w:r>
    </w:p>
    <w:p w14:paraId="496F9757">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7.证券投资基金估值</w:t>
      </w:r>
    </w:p>
    <w:p w14:paraId="739EF05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（1）非上市基金估值</w:t>
      </w:r>
    </w:p>
    <w:p w14:paraId="5EA71FD2">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1)本产品投资的境内非货币市场基金，按所投资基金估值日的基金份额净值估值；估值日基金净值未公布的，以基金管理人最近公布的基金份额净值计算。</w:t>
      </w:r>
    </w:p>
    <w:p w14:paraId="17BCB9BF">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2)本产品投资的境内货币市场基金，按所投资基金前一估值日后至估值日期间（含节假日）的万份收益计提估值日基金收益；</w:t>
      </w:r>
      <w:r>
        <w:rPr>
          <w:rFonts w:hint="eastAsia" w:ascii="宋体" w:hAnsi="宋体" w:eastAsia="宋体" w:cs="宋体"/>
          <w:color w:val="auto"/>
          <w:sz w:val="18"/>
          <w:szCs w:val="18"/>
          <w:lang w:val="en-US" w:eastAsia="zh-CN" w:bidi="ar-SA"/>
        </w:rPr>
        <w:t>若前一估值日后至估值日期间（含节假日）基金万份收益未公布的，以基金管理人公布的最近一个估值日基金万份收益计算。</w:t>
      </w:r>
    </w:p>
    <w:p w14:paraId="342E304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（2）上市基金估值</w:t>
      </w:r>
    </w:p>
    <w:p w14:paraId="62B4C5E2">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1)本产品投资的ETF基金、境内上市定期开放式基金、封闭式基金，按照所投资基金估值日的收盘价估值；估值日无交易的，以最近交易日的收盘价估值。</w:t>
      </w:r>
    </w:p>
    <w:p w14:paraId="6412E4E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2)本产品投资的境内上市开放式基金（LOF），按所投资基金估值日的基金份额净值估值；估值日基金净值未公布的，以基金管理人最近公布的基金份额净值计算。</w:t>
      </w:r>
    </w:p>
    <w:p w14:paraId="05EEE266">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3)本产品投资的境内上市交易型货币市场基金，如所投资基金披露份额净值，则按所投资基金估值日的份额净值估值</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若估值日基金份额净值未公布的，以基金管理人最近公布的基金份额净值计算</w:t>
      </w:r>
      <w:r>
        <w:rPr>
          <w:rFonts w:hint="eastAsia" w:ascii="宋体" w:hAnsi="宋体" w:eastAsia="宋体" w:cs="宋体"/>
          <w:color w:val="000000"/>
          <w:sz w:val="18"/>
          <w:szCs w:val="18"/>
          <w:lang w:val="en-US" w:eastAsia="zh-CN" w:bidi="ar-SA"/>
        </w:rPr>
        <w:t>；如所投资基金披露万份（百份）收益，则按所投资基金前一估值日后至估值日期间（含节假日）的万份（百份）收益计提估值日基金收益，</w:t>
      </w:r>
      <w:r>
        <w:rPr>
          <w:rFonts w:hint="eastAsia" w:ascii="宋体" w:hAnsi="宋体" w:eastAsia="宋体" w:cs="宋体"/>
          <w:color w:val="auto"/>
          <w:sz w:val="18"/>
          <w:szCs w:val="18"/>
          <w:lang w:val="en-US" w:eastAsia="zh-CN" w:bidi="ar-SA"/>
        </w:rPr>
        <w:t>若前一估值日后至估值日期间（含节假日）的万份（百份）收益未公布的，则按最新万份（百份）收益计提估值日基金收益。</w:t>
      </w:r>
    </w:p>
    <w:p w14:paraId="4E322880">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8.其他资产管理产品的估值</w:t>
      </w:r>
    </w:p>
    <w:p w14:paraId="3D9EBFC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宋体" w:hAnsi="宋体" w:eastAsia="宋体" w:cs="宋体"/>
          <w:bCs/>
          <w:color w:val="000000"/>
          <w:sz w:val="18"/>
          <w:szCs w:val="18"/>
          <w:lang w:val="en-US" w:eastAsia="zh-CN" w:bidi="ar-SA"/>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14:paraId="00205272">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9.衍生金融工具估值</w:t>
      </w:r>
    </w:p>
    <w:p w14:paraId="23C6748B">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14:paraId="20528E5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）对于非交易所交易的衍生金融工具，可依据第三方机构提供的价格数据或采取相应衍生金融工具估值模型确定公允价值。</w:t>
      </w:r>
    </w:p>
    <w:p w14:paraId="59B2E990">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10.存款、拆借、回购等货币市场工具的估值</w:t>
      </w:r>
    </w:p>
    <w:p w14:paraId="1913B15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以本金列示，按商定利率在实际持有期间内逐日计提利息。如有估值技术能更准确反映其公允价值的，采用估值技术进行估值。</w:t>
      </w:r>
    </w:p>
    <w:p w14:paraId="22ED120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r>
        <w:rPr>
          <w:rFonts w:ascii="宋体" w:hAnsi="宋体" w:eastAsia="宋体" w:cs="宋体"/>
          <w:color w:val="000000"/>
          <w:sz w:val="18"/>
          <w:szCs w:val="18"/>
          <w:lang w:val="en-US" w:eastAsia="zh-CN" w:bidi="ar-SA"/>
        </w:rPr>
        <w:t>1</w:t>
      </w:r>
      <w:r>
        <w:rPr>
          <w:rFonts w:hint="eastAsia" w:ascii="宋体" w:hAnsi="宋体" w:eastAsia="宋体" w:cs="宋体"/>
          <w:color w:val="000000"/>
          <w:sz w:val="18"/>
          <w:szCs w:val="18"/>
          <w:lang w:val="en-US" w:eastAsia="zh-CN" w:bidi="ar-SA"/>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14:paraId="10B0CA16">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ascii="黑体" w:hAnsi="黑体" w:eastAsia="黑体" w:cs="宋体"/>
          <w:color w:val="000000"/>
          <w:sz w:val="18"/>
          <w:szCs w:val="18"/>
          <w:lang w:val="en-US" w:eastAsia="zh-CN" w:bidi="ar-SA"/>
        </w:rPr>
        <w:t>12.★估值方法的调整</w:t>
      </w:r>
    </w:p>
    <w:p w14:paraId="73E54D8C">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若因相关法律法规以及监管部门有规定，需要调整估值方法的，管理人应按相关规定要求使用调整后的估值方法进行估值。</w:t>
      </w:r>
    </w:p>
    <w:p w14:paraId="637C3C2D">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（五）估值程序</w:t>
      </w:r>
    </w:p>
    <w:p w14:paraId="07522FB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1.产品份额净值是按照估值日产品资产净值除以当日产品总份额计算。国家另有规定的，从其规定。</w:t>
      </w:r>
    </w:p>
    <w:p w14:paraId="2B3795F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2.产品管理人对理财资产估值后，将产品份额净值发送产品托管人，经产品托管人复核无误后，由产品管理人按规定对外公布。 </w:t>
      </w:r>
    </w:p>
    <w:p w14:paraId="20EB678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3.如产品管理人或产品托管人发现理财估值违反本说明书约定的估值方法、程序及相关法律法规的规定或者未能充分维护理财份额持有人权益时，应立即通知对方，共同查明原因，双方协商解决。 </w:t>
      </w:r>
    </w:p>
    <w:p w14:paraId="784EFA04">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（六）估值主体</w:t>
      </w:r>
    </w:p>
    <w:p w14:paraId="467AF18F">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14:paraId="1786BD64">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（七）★暂停估值</w:t>
      </w:r>
    </w:p>
    <w:p w14:paraId="3A8AE9F3">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当发生以下情况时，产品管理人可暂停估值。估值条件恢复时，将按规定完成估值工作：</w:t>
      </w:r>
    </w:p>
    <w:p w14:paraId="5A85182D">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1.理财产品投资涉及的交易市场遇法定节假日或其他原因暂停营业时；</w:t>
      </w:r>
    </w:p>
    <w:p w14:paraId="70CA2E94">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2.因任何不可抗力致使理财产品管理人、托管人无法准确评估资产价值时；</w:t>
      </w:r>
    </w:p>
    <w:p w14:paraId="7175F55B">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3.开放式理财产品在前一估值日内理财产品资产净值50%以上的资产不具备活跃交易市场或者在活跃市场中无报价，且不能采用估值技术可靠计量公允价值的；</w:t>
      </w:r>
    </w:p>
    <w:p w14:paraId="412BB906">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4.监管机构规定的其他情形。</w:t>
      </w:r>
    </w:p>
    <w:p w14:paraId="7A8A18EC">
      <w:pPr>
        <w:widowControl/>
        <w:spacing w:line="360" w:lineRule="auto"/>
        <w:jc w:val="left"/>
        <w:rPr>
          <w:rFonts w:ascii="宋体" w:hAnsi="宋体" w:cs="宋体"/>
          <w:kern w:val="0"/>
          <w:sz w:val="18"/>
          <w:szCs w:val="18"/>
        </w:rPr>
      </w:pPr>
      <w:r>
        <w:rPr>
          <w:rFonts w:ascii="Calibri" w:hAnsi="宋体" w:cs="宋体"/>
          <w:sz w:val="18"/>
          <w:szCs w:val="18"/>
        </w:rPr>
        <w:br w:type="page"/>
      </w:r>
    </w:p>
    <w:p w14:paraId="323A09DE">
      <w:pPr>
        <w:keepNext/>
        <w:keepLines/>
        <w:widowControl w:val="0"/>
        <w:spacing w:before="0" w:after="0" w:line="360" w:lineRule="auto"/>
        <w:ind w:left="60" w:firstLine="10"/>
        <w:jc w:val="center"/>
        <w:outlineLvl w:val="0"/>
        <w:rPr>
          <w:rFonts w:ascii="Times New Roman" w:hAnsi="Calibri" w:eastAsia="宋体" w:cs="宋体"/>
          <w:b/>
          <w:bCs/>
          <w:kern w:val="44"/>
          <w:sz w:val="30"/>
          <w:szCs w:val="44"/>
          <w:lang w:val="en-US" w:eastAsia="zh-CN" w:bidi="ar-SA"/>
        </w:rPr>
      </w:pPr>
      <w:bookmarkStart w:id="130" w:name="_Hlt70481650"/>
      <w:bookmarkEnd w:id="130"/>
      <w:bookmarkStart w:id="131" w:name="_Toc141703887"/>
      <w:bookmarkStart w:id="132" w:name="_Toc123051453"/>
      <w:bookmarkStart w:id="133" w:name="_Toc123112235"/>
      <w:bookmarkStart w:id="134" w:name="_Toc12245"/>
      <w:bookmarkStart w:id="135" w:name="_Toc176189760"/>
      <w:bookmarkStart w:id="136" w:name="_Toc31653"/>
      <w:bookmarkStart w:id="137" w:name="_Toc15143"/>
      <w:bookmarkStart w:id="138" w:name="_Toc79154671"/>
      <w:bookmarkStart w:id="139" w:name="_Toc3601"/>
      <w:bookmarkStart w:id="140" w:name="_Toc123102454"/>
      <w:bookmarkStart w:id="141" w:name="_Toc14835"/>
      <w:bookmarkStart w:id="142" w:name="_Toc6405"/>
      <w:bookmarkStart w:id="143" w:name="_Toc29251"/>
      <w:bookmarkStart w:id="144" w:name="_Toc31235"/>
      <w:bookmarkStart w:id="145" w:name="_Toc31644"/>
      <w:bookmarkStart w:id="146" w:name="_Toc98560353"/>
      <w:bookmarkStart w:id="147" w:name="_Toc74065744"/>
      <w:bookmarkStart w:id="148" w:name="_Toc26207"/>
      <w:bookmarkStart w:id="149" w:name="_Toc139991737"/>
      <w:r>
        <w:rPr>
          <w:rFonts w:ascii="Times New Roman" w:hAnsi="Calibri" w:eastAsia="宋体" w:cs="宋体"/>
          <w:b/>
          <w:bCs/>
          <w:kern w:val="44"/>
          <w:sz w:val="30"/>
          <w:szCs w:val="44"/>
          <w:lang w:val="en-US" w:eastAsia="zh-CN" w:bidi="ar-SA"/>
        </w:rPr>
        <w:t>第八</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理财产品的利益分配</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Start w:id="150" w:name="_Hlt55355235"/>
      <w:bookmarkEnd w:id="150"/>
      <w:bookmarkStart w:id="151" w:name="_Toc523711668"/>
      <w:bookmarkStart w:id="152" w:name="_Toc15118234"/>
      <w:bookmarkStart w:id="153" w:name="_Toc57530239"/>
      <w:bookmarkStart w:id="154" w:name="_Toc79392580"/>
    </w:p>
    <w:p w14:paraId="7578C12E">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（一）理财利益的分配类型</w:t>
      </w:r>
    </w:p>
    <w:p w14:paraId="4525EC3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1.依据分配时点，理财利益的分配可分为“期间分配”与“终止分配”。</w:t>
      </w:r>
    </w:p>
    <w:p w14:paraId="3801273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2.依据分配方式，理财利益的分配可分为“现金分配”与“非现金分配”。</w:t>
      </w:r>
    </w:p>
    <w:p w14:paraId="11B77EEC">
      <w:pPr>
        <w:widowControl w:val="0"/>
        <w:autoSpaceDE w:val="0"/>
        <w:autoSpaceDN w:val="0"/>
        <w:adjustRightInd w:val="0"/>
        <w:spacing w:line="360" w:lineRule="auto"/>
        <w:ind w:firstLine="361" w:firstLineChars="200"/>
        <w:rPr>
          <w:rFonts w:ascii="宋体" w:hAnsi="宋体" w:eastAsia="宋体" w:cs="宋体"/>
          <w:color w:val="auto"/>
          <w:sz w:val="18"/>
          <w:szCs w:val="18"/>
          <w:lang w:val="en-US" w:eastAsia="zh-CN" w:bidi="ar-SA"/>
        </w:rPr>
      </w:pPr>
      <w:r>
        <w:rPr>
          <w:rFonts w:hint="eastAsia" w:ascii="宋体" w:hAnsi="宋体" w:eastAsia="宋体" w:cs="宋体"/>
          <w:b/>
          <w:color w:val="auto"/>
          <w:sz w:val="18"/>
          <w:szCs w:val="18"/>
          <w:lang w:val="en-US" w:eastAsia="zh-CN" w:bidi="ar-SA"/>
        </w:rPr>
        <w:t>（二）理财利益的分配原则</w:t>
      </w:r>
    </w:p>
    <w:p w14:paraId="2433920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 xml:space="preserve">1.本产品利益分配应遵循下列原则： </w:t>
      </w:r>
    </w:p>
    <w:p w14:paraId="0A0A80F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每一</w:t>
      </w:r>
      <w:r>
        <w:rPr>
          <w:rFonts w:hint="eastAsia" w:ascii="宋体" w:hAnsi="宋体" w:eastAsia="宋体" w:cs="宋体"/>
          <w:color w:val="auto"/>
          <w:sz w:val="18"/>
          <w:szCs w:val="18"/>
          <w:lang w:val="en-US" w:eastAsia="zh-CN" w:bidi="ar-SA"/>
        </w:rPr>
        <w:t>产品</w:t>
      </w:r>
      <w:r>
        <w:rPr>
          <w:rFonts w:ascii="宋体" w:hAnsi="宋体" w:eastAsia="宋体" w:cs="宋体"/>
          <w:color w:val="auto"/>
          <w:sz w:val="18"/>
          <w:szCs w:val="18"/>
          <w:lang w:val="en-US" w:eastAsia="zh-CN" w:bidi="ar-SA"/>
        </w:rPr>
        <w:t>份额享有同等分配权</w:t>
      </w:r>
      <w:r>
        <w:rPr>
          <w:rFonts w:hint="eastAsia" w:ascii="宋体" w:hAnsi="宋体" w:eastAsia="宋体" w:cs="宋体"/>
          <w:color w:val="auto"/>
          <w:sz w:val="18"/>
          <w:szCs w:val="18"/>
          <w:lang w:val="en-US" w:eastAsia="zh-CN" w:bidi="ar-SA"/>
        </w:rPr>
        <w:t>。</w:t>
      </w:r>
    </w:p>
    <w:p w14:paraId="7C47B27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w:t>
      </w:r>
      <w:r>
        <w:rPr>
          <w:rFonts w:ascii="宋体" w:hAnsi="宋体" w:eastAsia="宋体" w:cs="宋体"/>
          <w:color w:val="auto"/>
          <w:sz w:val="18"/>
          <w:szCs w:val="18"/>
          <w:lang w:val="en-US" w:eastAsia="zh-CN" w:bidi="ar-SA"/>
        </w:rPr>
        <w:t>在不违反法律法规、</w:t>
      </w:r>
      <w:r>
        <w:rPr>
          <w:rFonts w:hint="eastAsia" w:ascii="宋体" w:hAnsi="宋体" w:eastAsia="宋体" w:cs="宋体"/>
          <w:color w:val="auto"/>
          <w:sz w:val="18"/>
          <w:szCs w:val="18"/>
          <w:lang w:val="en-US" w:eastAsia="zh-CN" w:bidi="ar-SA"/>
        </w:rPr>
        <w:t>理财产品销售文件</w:t>
      </w:r>
      <w:r>
        <w:rPr>
          <w:rFonts w:ascii="宋体" w:hAnsi="宋体" w:eastAsia="宋体" w:cs="宋体"/>
          <w:color w:val="auto"/>
          <w:sz w:val="18"/>
          <w:szCs w:val="18"/>
          <w:lang w:val="en-US" w:eastAsia="zh-CN" w:bidi="ar-SA"/>
        </w:rPr>
        <w:t>约定以及对份额持有人</w:t>
      </w:r>
      <w:r>
        <w:rPr>
          <w:rFonts w:hint="eastAsia" w:ascii="宋体" w:hAnsi="宋体" w:eastAsia="宋体" w:cs="宋体"/>
          <w:color w:val="auto"/>
          <w:sz w:val="18"/>
          <w:szCs w:val="18"/>
          <w:lang w:val="en-US" w:eastAsia="zh-CN" w:bidi="ar-SA"/>
        </w:rPr>
        <w:t>权益</w:t>
      </w:r>
      <w:r>
        <w:rPr>
          <w:rFonts w:ascii="宋体" w:hAnsi="宋体" w:eastAsia="宋体" w:cs="宋体"/>
          <w:color w:val="auto"/>
          <w:sz w:val="18"/>
          <w:szCs w:val="18"/>
          <w:lang w:val="en-US" w:eastAsia="zh-CN" w:bidi="ar-SA"/>
        </w:rPr>
        <w:t>无实质性不利影响的情况下，</w:t>
      </w:r>
      <w:r>
        <w:rPr>
          <w:rFonts w:hint="eastAsia" w:ascii="宋体" w:hAnsi="宋体" w:eastAsia="宋体" w:cs="宋体"/>
          <w:bCs/>
          <w:color w:val="auto"/>
          <w:sz w:val="18"/>
          <w:szCs w:val="18"/>
          <w:lang w:val="en-US" w:eastAsia="zh-CN" w:bidi="ar-SA"/>
        </w:rPr>
        <w:t>产品管理人</w:t>
      </w:r>
      <w:r>
        <w:rPr>
          <w:rFonts w:ascii="宋体" w:hAnsi="宋体" w:eastAsia="宋体" w:cs="宋体"/>
          <w:color w:val="auto"/>
          <w:sz w:val="18"/>
          <w:szCs w:val="18"/>
          <w:lang w:val="en-US" w:eastAsia="zh-CN" w:bidi="ar-SA"/>
        </w:rPr>
        <w:t>可调整</w:t>
      </w:r>
      <w:r>
        <w:rPr>
          <w:rFonts w:hint="eastAsia" w:ascii="宋体" w:hAnsi="宋体" w:eastAsia="宋体" w:cs="宋体"/>
          <w:color w:val="auto"/>
          <w:sz w:val="18"/>
          <w:szCs w:val="18"/>
          <w:lang w:val="en-US" w:eastAsia="zh-CN" w:bidi="ar-SA"/>
        </w:rPr>
        <w:t>本产品</w:t>
      </w:r>
      <w:r>
        <w:rPr>
          <w:rFonts w:ascii="宋体" w:hAnsi="宋体" w:eastAsia="宋体" w:cs="宋体"/>
          <w:color w:val="auto"/>
          <w:sz w:val="18"/>
          <w:szCs w:val="18"/>
          <w:lang w:val="en-US" w:eastAsia="zh-CN" w:bidi="ar-SA"/>
        </w:rPr>
        <w:t>利益的分配原则和支付方式</w:t>
      </w:r>
      <w:r>
        <w:rPr>
          <w:rFonts w:hint="eastAsia" w:ascii="宋体" w:hAnsi="宋体" w:eastAsia="宋体" w:cs="宋体"/>
          <w:color w:val="auto"/>
          <w:sz w:val="18"/>
          <w:szCs w:val="18"/>
          <w:lang w:val="en-US" w:eastAsia="zh-CN" w:bidi="ar-SA"/>
        </w:rPr>
        <w:t>。法律法规或监管机构另有规定的从其规定。</w:t>
      </w:r>
    </w:p>
    <w:p w14:paraId="0F77E049">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hint="eastAsia" w:ascii="宋体" w:hAnsi="宋体" w:eastAsia="宋体" w:cs="宋体"/>
          <w:b/>
          <w:bCs/>
          <w:color w:val="auto"/>
          <w:sz w:val="18"/>
          <w:szCs w:val="18"/>
          <w:lang w:val="en-US" w:eastAsia="zh-CN" w:bidi="ar-SA"/>
        </w:rPr>
        <w:t>（三）理财利益的分配方案</w:t>
      </w:r>
    </w:p>
    <w:p w14:paraId="26522A4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1.分配方案要点：</w:t>
      </w:r>
    </w:p>
    <w:p w14:paraId="43E85EC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（1）本产品的分配时点包括“期间分配”和“终止分配”。</w:t>
      </w:r>
    </w:p>
    <w:p w14:paraId="3BD6459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（2）本产品的分配方式仅采取“现金分配”。</w:t>
      </w:r>
    </w:p>
    <w:p w14:paraId="772FA63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2.具体理财利益分配方案由产品管理人拟定，并由产品托管人复核后确定。</w:t>
      </w:r>
    </w:p>
    <w:p w14:paraId="18BB509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3.理财产品存续期间，产品管理人</w:t>
      </w:r>
      <w:r>
        <w:rPr>
          <w:rFonts w:ascii="宋体" w:hAnsi="宋体" w:eastAsia="宋体" w:cs="宋体"/>
          <w:color w:val="auto"/>
          <w:sz w:val="18"/>
          <w:szCs w:val="18"/>
          <w:lang w:val="en-US" w:eastAsia="zh-CN" w:bidi="ar-SA"/>
        </w:rPr>
        <w:t>有权视理财产品</w:t>
      </w:r>
      <w:r>
        <w:rPr>
          <w:rFonts w:hint="eastAsia" w:ascii="宋体" w:hAnsi="宋体" w:eastAsia="宋体" w:cs="宋体"/>
          <w:color w:val="auto"/>
          <w:sz w:val="18"/>
          <w:szCs w:val="18"/>
          <w:lang w:val="en-US" w:eastAsia="zh-CN" w:bidi="ar-SA"/>
        </w:rPr>
        <w:t>收益情况</w:t>
      </w:r>
      <w:r>
        <w:rPr>
          <w:rFonts w:ascii="宋体" w:hAnsi="宋体" w:eastAsia="宋体" w:cs="宋体"/>
          <w:color w:val="auto"/>
          <w:sz w:val="18"/>
          <w:szCs w:val="18"/>
          <w:lang w:val="en-US" w:eastAsia="zh-CN" w:bidi="ar-SA"/>
        </w:rPr>
        <w:t>进行主动分配，相应分配基准日、分配方案由管理人</w:t>
      </w:r>
      <w:r>
        <w:rPr>
          <w:rFonts w:hint="eastAsia" w:ascii="宋体" w:hAnsi="宋体" w:eastAsia="宋体" w:cs="宋体"/>
          <w:color w:val="auto"/>
          <w:sz w:val="18"/>
          <w:szCs w:val="18"/>
          <w:lang w:val="en-US" w:eastAsia="zh-CN" w:bidi="ar-SA"/>
        </w:rPr>
        <w:t>及时</w:t>
      </w:r>
      <w:r>
        <w:rPr>
          <w:rFonts w:ascii="宋体" w:hAnsi="宋体" w:eastAsia="宋体" w:cs="宋体"/>
          <w:color w:val="auto"/>
          <w:sz w:val="18"/>
          <w:szCs w:val="18"/>
          <w:lang w:val="en-US" w:eastAsia="zh-CN" w:bidi="ar-SA"/>
        </w:rPr>
        <w:t>披露。</w:t>
      </w:r>
    </w:p>
    <w:p w14:paraId="66891249">
      <w:pPr>
        <w:spacing w:line="360" w:lineRule="auto"/>
        <w:ind w:firstLine="360"/>
        <w:rPr>
          <w:rFonts w:ascii="宋体" w:hAnsi="宋体" w:cs="宋体"/>
          <w:b/>
          <w:sz w:val="18"/>
          <w:szCs w:val="18"/>
        </w:rPr>
      </w:pPr>
      <w:r>
        <w:rPr>
          <w:rFonts w:hint="eastAsia" w:ascii="宋体" w:hAnsi="宋体" w:cs="宋体"/>
          <w:b/>
          <w:kern w:val="0"/>
          <w:sz w:val="18"/>
          <w:szCs w:val="18"/>
        </w:rPr>
        <w:t>（四）理财利益的分配</w:t>
      </w:r>
    </w:p>
    <w:p w14:paraId="1D32D5B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1.理财利益的分配日</w:t>
      </w:r>
    </w:p>
    <w:p w14:paraId="257C19E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（1）若为期间分配的，原则上产品管理人应于分配基准日后【5】个工作日内分配理财利益（如有）。</w:t>
      </w:r>
    </w:p>
    <w:p w14:paraId="09EC04C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（2）若为终止分配的，产品管理人应按“第十条 理财产品的终止与清算”中产品清算期的相关约定向投资者分配理财利益（如有）。</w:t>
      </w:r>
    </w:p>
    <w:p w14:paraId="4EDBA90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具体的理财利益分配以管理人实际分配的为准。</w:t>
      </w:r>
    </w:p>
    <w:p w14:paraId="6921844D">
      <w:pPr>
        <w:widowControl/>
        <w:spacing w:line="360" w:lineRule="auto"/>
        <w:jc w:val="left"/>
        <w:rPr>
          <w:rFonts w:ascii="宋体" w:hAnsi="宋体" w:cs="宋体"/>
          <w:kern w:val="0"/>
          <w:sz w:val="18"/>
          <w:szCs w:val="18"/>
        </w:rPr>
      </w:pPr>
      <w:r>
        <w:rPr>
          <w:rFonts w:ascii="Calibri" w:hAnsi="宋体" w:cs="宋体"/>
          <w:sz w:val="18"/>
          <w:szCs w:val="18"/>
        </w:rPr>
        <w:br w:type="page"/>
      </w:r>
    </w:p>
    <w:bookmarkEnd w:id="151"/>
    <w:bookmarkEnd w:id="152"/>
    <w:bookmarkEnd w:id="153"/>
    <w:bookmarkEnd w:id="154"/>
    <w:p w14:paraId="748346A3">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155" w:name="_Hlt88825574"/>
      <w:bookmarkEnd w:id="155"/>
      <w:bookmarkStart w:id="156" w:name="_Hlt88897298"/>
      <w:bookmarkEnd w:id="156"/>
      <w:bookmarkStart w:id="157" w:name="_Toc98560354"/>
      <w:bookmarkStart w:id="158" w:name="_Toc123051454"/>
      <w:bookmarkStart w:id="159" w:name="_Toc3321"/>
      <w:bookmarkStart w:id="160" w:name="_Toc4559"/>
      <w:bookmarkStart w:id="161" w:name="_Toc10650"/>
      <w:bookmarkStart w:id="162" w:name="_Toc176189761"/>
      <w:bookmarkStart w:id="163" w:name="_Toc79154672"/>
      <w:bookmarkStart w:id="164" w:name="_Toc74065745"/>
      <w:bookmarkStart w:id="165" w:name="_Toc9706"/>
      <w:bookmarkStart w:id="166" w:name="_Toc18567"/>
      <w:bookmarkStart w:id="167" w:name="_Toc11030"/>
      <w:bookmarkStart w:id="168" w:name="_Toc79392583"/>
      <w:bookmarkStart w:id="169" w:name="_Toc3771"/>
      <w:bookmarkStart w:id="170" w:name="_Toc7058"/>
      <w:bookmarkStart w:id="171" w:name="_Toc6447"/>
      <w:bookmarkStart w:id="172" w:name="_Toc123102455"/>
      <w:bookmarkStart w:id="173" w:name="_Toc141703888"/>
      <w:bookmarkStart w:id="174" w:name="_Toc25783"/>
      <w:bookmarkStart w:id="175" w:name="_Toc139991738"/>
      <w:bookmarkStart w:id="176" w:name="_Toc123112236"/>
      <w:r>
        <w:rPr>
          <w:rFonts w:ascii="Times New Roman" w:hAnsi="Calibri" w:eastAsia="宋体" w:cs="宋体"/>
          <w:b/>
          <w:bCs/>
          <w:kern w:val="44"/>
          <w:sz w:val="30"/>
          <w:szCs w:val="44"/>
          <w:lang w:val="en-US" w:eastAsia="zh-CN" w:bidi="ar-SA"/>
        </w:rPr>
        <w:t>第九</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理财产品的费用与税收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B43F7B0">
      <w:pPr>
        <w:widowControl w:val="0"/>
        <w:autoSpaceDE w:val="0"/>
        <w:autoSpaceDN w:val="0"/>
        <w:adjustRightInd w:val="0"/>
        <w:spacing w:line="360" w:lineRule="auto"/>
        <w:ind w:firstLine="361" w:firstLineChars="200"/>
        <w:rPr>
          <w:rFonts w:hint="eastAsia" w:ascii="黑体" w:hAnsi="黑体" w:eastAsia="黑体" w:cs="黑体"/>
          <w:b/>
          <w:color w:val="auto"/>
          <w:sz w:val="18"/>
          <w:szCs w:val="18"/>
          <w:lang w:val="en-US" w:eastAsia="zh-CN" w:bidi="ar-SA"/>
        </w:rPr>
      </w:pPr>
      <w:r>
        <w:rPr>
          <w:rFonts w:hint="eastAsia" w:ascii="黑体" w:hAnsi="黑体" w:eastAsia="黑体" w:cs="黑体"/>
          <w:b/>
          <w:color w:val="auto"/>
          <w:sz w:val="18"/>
          <w:szCs w:val="18"/>
          <w:lang w:val="en-US" w:eastAsia="zh-CN" w:bidi="ar-SA"/>
        </w:rPr>
        <w:t>（一）理财产品的费用</w:t>
      </w:r>
    </w:p>
    <w:p w14:paraId="6260414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1.理财产品费用的种类</w:t>
      </w:r>
    </w:p>
    <w:p w14:paraId="5FC01E3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4FF65B3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7FD5892A">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（3）理财产品的投资管理费及超额业绩报酬；</w:t>
      </w:r>
    </w:p>
    <w:p w14:paraId="037C693B">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（4）理财产品的产品托管费；</w:t>
      </w:r>
    </w:p>
    <w:p w14:paraId="7F4E3EC1">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（5）理财产品的交易费用（包括但不限于证券交易费用、经纪费用等）；</w:t>
      </w:r>
    </w:p>
    <w:p w14:paraId="3BEBF9CE">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（6）理财产品验资费、审计费、律师费、信息披露费、清算费、执行费用等相关费用；</w:t>
      </w:r>
    </w:p>
    <w:p w14:paraId="23CF8A2D">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（7）按照国家法律法规规定可以列入的其他费用。</w:t>
      </w:r>
    </w:p>
    <w:p w14:paraId="3E5D0B46">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2.理财产品费用计提方法、计提标准和支付方式</w:t>
      </w:r>
    </w:p>
    <w:p w14:paraId="17396C8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2A3659B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bCs/>
          <w:sz w:val="18"/>
          <w:szCs w:val="18"/>
        </w:rPr>
        <w:t>费率具体数值以</w:t>
      </w:r>
      <w:r>
        <w:rPr>
          <w:rFonts w:hint="eastAsia" w:ascii="黑体" w:hAnsi="黑体" w:eastAsia="黑体" w:cs="黑体"/>
          <w:sz w:val="18"/>
          <w:szCs w:val="18"/>
        </w:rPr>
        <w:t>《产品说明书》“第二条 理财产品基本情况”</w:t>
      </w:r>
      <w:r>
        <w:rPr>
          <w:rFonts w:hint="eastAsia" w:ascii="黑体" w:hAnsi="黑体" w:eastAsia="黑体" w:cs="黑体"/>
          <w:bCs/>
          <w:sz w:val="18"/>
          <w:szCs w:val="18"/>
        </w:rPr>
        <w:t>为准</w:t>
      </w:r>
      <w:r>
        <w:rPr>
          <w:rFonts w:hint="eastAsia" w:ascii="黑体" w:hAnsi="黑体" w:eastAsia="黑体" w:cs="黑体"/>
          <w:kern w:val="0"/>
          <w:sz w:val="18"/>
          <w:szCs w:val="18"/>
        </w:rPr>
        <w:t>。</w:t>
      </w:r>
    </w:p>
    <w:p w14:paraId="4F8E45C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28364C82">
      <w:pPr>
        <w:widowControl w:val="0"/>
        <w:autoSpaceDE w:val="0"/>
        <w:autoSpaceDN w:val="0"/>
        <w:adjustRightInd w:val="0"/>
        <w:spacing w:line="360" w:lineRule="auto"/>
        <w:ind w:firstLine="360" w:firstLineChars="200"/>
        <w:rPr>
          <w:rFonts w:hint="eastAsia" w:ascii="黑体" w:hAnsi="黑体" w:eastAsia="黑体" w:cs="黑体"/>
          <w:color w:val="auto"/>
          <w:kern w:val="2"/>
          <w:sz w:val="18"/>
          <w:szCs w:val="18"/>
          <w:lang w:val="en-US" w:eastAsia="zh-CN" w:bidi="ar-SA"/>
        </w:rPr>
      </w:pPr>
      <w:r>
        <w:rPr>
          <w:rFonts w:ascii="宋体" w:hAnsi="宋体" w:eastAsia="宋体" w:cs="宋体"/>
          <w:color w:val="000000"/>
          <w:sz w:val="18"/>
          <w:szCs w:val="24"/>
          <w:lang w:val="en-US" w:eastAsia="zh-CN" w:bidi="ar-SA"/>
        </w:rPr>
        <w:t>本产品的销售服务费按前一日理财资产净值与销售服务费每日费率每日计提。销售服务费的计算方法如下：</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H＝E×销售服务费年费率÷365</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H为每日应计提的销售服务费</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E为前一日的理财资产净值</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销售服务费依照上述约定，从理财财产中支付。费率具体数值以《产品说明书》“第二条 理财产品基本情况”为准。</w:t>
      </w:r>
    </w:p>
    <w:p w14:paraId="324DF9C8">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w:t>
      </w:r>
    </w:p>
    <w:p w14:paraId="1DFB34A6">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本产品的投资管理费按前一日理财资产净值与投资管理费每日费率每日计提。</w:t>
      </w:r>
      <w:r>
        <w:rPr>
          <w:rFonts w:hint="eastAsia" w:ascii="黑体" w:hAnsi="黑体" w:eastAsia="黑体" w:cs="黑体"/>
          <w:kern w:val="0"/>
          <w:sz w:val="18"/>
          <w:szCs w:val="18"/>
        </w:rPr>
        <w:t>投资管理费的计算方法如下：</w:t>
      </w:r>
    </w:p>
    <w:p w14:paraId="53FE15D1">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H＝E×投资管理费年费率÷365</w:t>
      </w:r>
    </w:p>
    <w:p w14:paraId="5A1799B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H为每日应计提的产品投资管理费</w:t>
      </w:r>
    </w:p>
    <w:p w14:paraId="2346CA7E">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E为前一日的理财资产净值</w:t>
      </w:r>
    </w:p>
    <w:p w14:paraId="58AA1875">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投资管理费依照上述约定，从理财财产中支付。</w:t>
      </w:r>
      <w:r>
        <w:rPr>
          <w:rFonts w:hint="eastAsia" w:ascii="黑体" w:hAnsi="黑体" w:eastAsia="黑体" w:cs="黑体"/>
          <w:sz w:val="18"/>
          <w:szCs w:val="18"/>
        </w:rPr>
        <w:t>费率具体数值以《产品说明书》“第二条 理财产品基本情况”为准</w:t>
      </w:r>
      <w:r>
        <w:rPr>
          <w:rFonts w:hint="eastAsia" w:ascii="黑体" w:hAnsi="黑体" w:eastAsia="黑体" w:cs="黑体"/>
          <w:kern w:val="0"/>
          <w:sz w:val="18"/>
          <w:szCs w:val="18"/>
        </w:rPr>
        <w:t>。</w:t>
      </w:r>
    </w:p>
    <w:p w14:paraId="2F5B21EE">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（4）超额业绩报酬</w:t>
      </w:r>
    </w:p>
    <w:p w14:paraId="392585DE">
      <w:pPr>
        <w:widowControl/>
        <w:spacing w:line="360" w:lineRule="auto"/>
        <w:ind w:left="0" w:leftChars="0" w:firstLine="360" w:firstLineChars="200"/>
        <w:jc w:val="left"/>
        <w:rPr>
          <w:rFonts w:hint="eastAsia" w:ascii="黑体" w:hAnsi="黑体" w:eastAsia="黑体" w:cs="黑体"/>
          <w:sz w:val="18"/>
          <w:szCs w:val="18"/>
        </w:rPr>
      </w:pPr>
      <w:r>
        <w:rPr>
          <w:rFonts w:ascii="宋体" w:hAnsi="宋体" w:eastAsia="宋体" w:cs="宋体"/>
          <w:sz w:val="18"/>
          <w:szCs w:val="22"/>
        </w:rPr>
        <w:t xml:space="preserve">    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由此造成超额业绩报酬计提日产品份额净值调整的，以调整后的数值为准进行利益分配。</w:t>
      </w:r>
      <w:r>
        <w:rPr>
          <w:rFonts w:ascii="宋体" w:hAnsi="宋体" w:eastAsia="宋体" w:cs="宋体"/>
          <w:sz w:val="18"/>
          <w:szCs w:val="22"/>
        </w:rPr>
        <w:br w:type="textWrapping"/>
      </w:r>
      <w:r>
        <w:rPr>
          <w:rFonts w:ascii="宋体" w:hAnsi="宋体" w:eastAsia="宋体" w:cs="宋体"/>
          <w:sz w:val="18"/>
          <w:szCs w:val="22"/>
        </w:rPr>
        <w:t xml:space="preserve">    业绩报酬计提基准的设置、超额业绩报酬的具体比例数值以《产品说明书》“第二条 理财产品基本情况”为准。</w:t>
      </w:r>
      <w:r>
        <w:rPr>
          <w:rFonts w:ascii="宋体" w:hAnsi="宋体" w:eastAsia="宋体" w:cs="宋体"/>
          <w:sz w:val="18"/>
          <w:szCs w:val="22"/>
        </w:rPr>
        <w:br w:type="textWrapping"/>
      </w:r>
      <w:r>
        <w:rPr>
          <w:rFonts w:ascii="宋体" w:hAnsi="宋体" w:eastAsia="宋体" w:cs="宋体"/>
          <w:sz w:val="18"/>
          <w:szCs w:val="22"/>
        </w:rPr>
        <w:t xml:space="preserve">    1）收取超额业绩报酬的原则：</w:t>
      </w:r>
      <w:r>
        <w:rPr>
          <w:rFonts w:ascii="宋体" w:hAnsi="宋体" w:eastAsia="宋体" w:cs="宋体"/>
          <w:sz w:val="18"/>
          <w:szCs w:val="22"/>
        </w:rPr>
        <w:br w:type="textWrapping"/>
      </w:r>
      <w:r>
        <w:rPr>
          <w:rFonts w:ascii="宋体" w:hAnsi="宋体" w:eastAsia="宋体" w:cs="宋体"/>
          <w:sz w:val="18"/>
          <w:szCs w:val="22"/>
        </w:rPr>
        <w:t xml:space="preserve">    ①按投资者每份产品份额分别计算年化收益率并计提超额业绩报酬；</w:t>
      </w:r>
      <w:r>
        <w:rPr>
          <w:rFonts w:ascii="宋体" w:hAnsi="宋体" w:eastAsia="宋体" w:cs="宋体"/>
          <w:sz w:val="18"/>
          <w:szCs w:val="22"/>
        </w:rPr>
        <w:br w:type="textWrapping"/>
      </w:r>
      <w:r>
        <w:rPr>
          <w:rFonts w:ascii="宋体" w:hAnsi="宋体" w:eastAsia="宋体" w:cs="宋体"/>
          <w:sz w:val="18"/>
          <w:szCs w:val="22"/>
        </w:rPr>
        <w:t xml:space="preserve">    ②在超额业绩报酬计提日，本产品对符合超额业绩报酬提取条件的产品份额计提超额业绩报酬；</w:t>
      </w:r>
      <w:r>
        <w:rPr>
          <w:rFonts w:ascii="宋体" w:hAnsi="宋体" w:eastAsia="宋体" w:cs="宋体"/>
          <w:sz w:val="18"/>
          <w:szCs w:val="22"/>
        </w:rPr>
        <w:br w:type="textWrapping"/>
      </w:r>
      <w:r>
        <w:rPr>
          <w:rFonts w:ascii="宋体" w:hAnsi="宋体" w:eastAsia="宋体" w:cs="宋体"/>
          <w:sz w:val="18"/>
          <w:szCs w:val="22"/>
        </w:rPr>
        <w:t xml:space="preserve">    ③在产品终止日提取超额业绩报酬的，超额业绩报酬从清算资金中扣除；</w:t>
      </w:r>
      <w:r>
        <w:rPr>
          <w:rFonts w:ascii="宋体" w:hAnsi="宋体" w:eastAsia="宋体" w:cs="宋体"/>
          <w:sz w:val="18"/>
          <w:szCs w:val="22"/>
        </w:rPr>
        <w:br w:type="textWrapping"/>
      </w:r>
      <w:r>
        <w:rPr>
          <w:rFonts w:ascii="宋体" w:hAnsi="宋体" w:eastAsia="宋体" w:cs="宋体"/>
          <w:sz w:val="18"/>
          <w:szCs w:val="22"/>
        </w:rPr>
        <w:t xml:space="preserve">    2）超额业绩报酬计提方法</w:t>
      </w:r>
      <w:r>
        <w:rPr>
          <w:rFonts w:ascii="宋体" w:hAnsi="宋体" w:eastAsia="宋体" w:cs="宋体"/>
          <w:sz w:val="18"/>
          <w:szCs w:val="22"/>
        </w:rPr>
        <w:br w:type="textWrapping"/>
      </w:r>
      <w:r>
        <w:rPr>
          <w:rFonts w:ascii="宋体" w:hAnsi="宋体" w:eastAsia="宋体" w:cs="宋体"/>
          <w:sz w:val="18"/>
          <w:szCs w:val="22"/>
        </w:rPr>
        <w:t xml:space="preserve">    ①超额业绩报酬计提起始日</w:t>
      </w:r>
      <w:r>
        <w:rPr>
          <w:rFonts w:ascii="宋体" w:hAnsi="宋体" w:eastAsia="宋体" w:cs="宋体"/>
          <w:sz w:val="18"/>
          <w:szCs w:val="22"/>
        </w:rPr>
        <w:br w:type="textWrapping"/>
      </w:r>
      <w:r>
        <w:rPr>
          <w:rFonts w:ascii="宋体" w:hAnsi="宋体" w:eastAsia="宋体" w:cs="宋体"/>
          <w:sz w:val="18"/>
          <w:szCs w:val="22"/>
        </w:rPr>
        <w:t xml:space="preserve">    每份产品份额超额业绩报酬计提起始日为：募集期内认购的产品份额，以产品成立日为该份产品份额超额业绩报酬计提起始日。</w:t>
      </w:r>
      <w:r>
        <w:rPr>
          <w:rFonts w:ascii="宋体" w:hAnsi="宋体" w:eastAsia="宋体" w:cs="宋体"/>
          <w:sz w:val="18"/>
          <w:szCs w:val="22"/>
        </w:rPr>
        <w:br w:type="textWrapping"/>
      </w:r>
      <w:r>
        <w:rPr>
          <w:rFonts w:ascii="宋体" w:hAnsi="宋体" w:eastAsia="宋体" w:cs="宋体"/>
          <w:sz w:val="18"/>
          <w:szCs w:val="22"/>
        </w:rPr>
        <w:t xml:space="preserve">    ②超额业绩报酬计提日</w:t>
      </w:r>
      <w:r>
        <w:rPr>
          <w:rFonts w:ascii="宋体" w:hAnsi="宋体" w:eastAsia="宋体" w:cs="宋体"/>
          <w:sz w:val="18"/>
          <w:szCs w:val="22"/>
        </w:rPr>
        <w:br w:type="textWrapping"/>
      </w:r>
      <w:r>
        <w:rPr>
          <w:rFonts w:ascii="宋体" w:hAnsi="宋体" w:eastAsia="宋体" w:cs="宋体"/>
          <w:sz w:val="18"/>
          <w:szCs w:val="22"/>
        </w:rPr>
        <w:t xml:space="preserve">    每份产品份额超额业绩报酬每日计提，产品终止日结算。</w:t>
      </w:r>
      <w:r>
        <w:rPr>
          <w:rFonts w:ascii="宋体" w:hAnsi="宋体" w:eastAsia="宋体" w:cs="宋体"/>
          <w:sz w:val="18"/>
          <w:szCs w:val="22"/>
        </w:rPr>
        <w:br w:type="textWrapping"/>
      </w:r>
      <w:r>
        <w:rPr>
          <w:rFonts w:ascii="宋体" w:hAnsi="宋体" w:eastAsia="宋体" w:cs="宋体"/>
          <w:sz w:val="18"/>
          <w:szCs w:val="22"/>
        </w:rPr>
        <w:t xml:space="preserve">    ③超额业绩报酬的计算</w:t>
      </w:r>
      <w:r>
        <w:rPr>
          <w:rFonts w:ascii="宋体" w:hAnsi="宋体" w:eastAsia="宋体" w:cs="宋体"/>
          <w:sz w:val="18"/>
          <w:szCs w:val="22"/>
        </w:rPr>
        <w:br w:type="textWrapping"/>
      </w:r>
      <w:r>
        <w:rPr>
          <w:rFonts w:ascii="宋体" w:hAnsi="宋体" w:eastAsia="宋体" w:cs="宋体"/>
          <w:sz w:val="18"/>
          <w:szCs w:val="22"/>
        </w:rPr>
        <w:t xml:space="preserve">    产品管理人对每份份额当前年化收益率（R）超过当前业绩报酬计提基准的部分，按比例（N）以及产品份额持有天数（D）提取超额业绩报酬，计算方法如下：</w:t>
      </w:r>
      <w:r>
        <w:rPr>
          <w:rFonts w:ascii="宋体" w:hAnsi="宋体" w:eastAsia="宋体" w:cs="宋体"/>
          <w:sz w:val="18"/>
          <w:szCs w:val="22"/>
        </w:rPr>
        <w:br w:type="textWrapping"/>
      </w:r>
      <w:r>
        <w:rPr>
          <w:rFonts w:ascii="宋体" w:hAnsi="宋体" w:eastAsia="宋体" w:cs="宋体"/>
          <w:sz w:val="18"/>
          <w:szCs w:val="22"/>
        </w:rPr>
        <w:t xml:space="preserve">    当R≤当前业绩报酬计提基准，超额业绩报酬=0；</w:t>
      </w:r>
      <w:r>
        <w:rPr>
          <w:rFonts w:ascii="宋体" w:hAnsi="宋体" w:eastAsia="宋体" w:cs="宋体"/>
          <w:sz w:val="18"/>
          <w:szCs w:val="22"/>
        </w:rPr>
        <w:br w:type="textWrapping"/>
      </w:r>
      <w:r>
        <w:rPr>
          <w:rFonts w:ascii="宋体" w:hAnsi="宋体" w:eastAsia="宋体" w:cs="宋体"/>
          <w:sz w:val="18"/>
          <w:szCs w:val="22"/>
        </w:rPr>
        <w:t xml:space="preserve">    当R＞当前业绩报酬计提基准，超额业绩报酬=产品终止时投资者持有的产品份额×产品成立日产品份额净值×（R-当前业绩报酬计提基准）×N×D/365。</w:t>
      </w:r>
    </w:p>
    <w:p w14:paraId="707C8100">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（5）理财产品的产品托管费</w:t>
      </w:r>
    </w:p>
    <w:p w14:paraId="4E2A2615">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本产品的产品托管费按前一日理财资产净值与产品托管费每日费率每日计提。</w:t>
      </w:r>
      <w:r>
        <w:rPr>
          <w:rFonts w:hint="eastAsia" w:ascii="黑体" w:hAnsi="黑体" w:eastAsia="黑体" w:cs="黑体"/>
          <w:kern w:val="0"/>
          <w:sz w:val="18"/>
          <w:szCs w:val="18"/>
        </w:rPr>
        <w:t>产品托管费的计算方法如下：</w:t>
      </w:r>
    </w:p>
    <w:p w14:paraId="526F3068">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H＝E×产品托管费年费率÷365</w:t>
      </w:r>
    </w:p>
    <w:p w14:paraId="0F479B07">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H为每日应计提的产品托管费</w:t>
      </w:r>
    </w:p>
    <w:p w14:paraId="76E781A0">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E为前一日的理财资产净值</w:t>
      </w:r>
    </w:p>
    <w:p w14:paraId="7A591B9B">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产品托管费依照上述约定，从理财财产中支付。</w:t>
      </w:r>
      <w:r>
        <w:rPr>
          <w:rFonts w:hint="eastAsia" w:ascii="黑体" w:hAnsi="黑体" w:eastAsia="黑体" w:cs="黑体"/>
          <w:sz w:val="18"/>
          <w:szCs w:val="18"/>
        </w:rPr>
        <w:t>费率具体数值以《产品说明书》“第二条 理财产品基本情况”为准。</w:t>
      </w:r>
    </w:p>
    <w:p w14:paraId="23C29A5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（6）上述理财产品的证券交易费用</w:t>
      </w:r>
    </w:p>
    <w:p w14:paraId="2F27FADF">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w:t>
      </w:r>
    </w:p>
    <w:p w14:paraId="5B6459DB">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（7）上述理财产品验资费、审计费、律师费、信息披露费、清算费、执行费用等相关费用</w:t>
      </w:r>
    </w:p>
    <w:p w14:paraId="4232869D">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按费用实际支出金额列入当期费用，从理财财产中支付。产品管理人因处理上述事务而先行垫付上述费用的，管理人有权从理财产品资产中优先受偿。</w:t>
      </w:r>
    </w:p>
    <w:p w14:paraId="5483EFCC">
      <w:pPr>
        <w:widowControl w:val="0"/>
        <w:autoSpaceDE w:val="0"/>
        <w:autoSpaceDN w:val="0"/>
        <w:adjustRightInd w:val="0"/>
        <w:spacing w:line="360" w:lineRule="auto"/>
        <w:ind w:firstLine="360" w:firstLineChars="200"/>
        <w:rPr>
          <w:rFonts w:hint="eastAsia" w:ascii="黑体" w:hAnsi="黑体" w:eastAsia="黑体" w:cs="黑体"/>
          <w:color w:val="auto"/>
          <w:sz w:val="18"/>
          <w:szCs w:val="24"/>
          <w:lang w:val="en-US" w:eastAsia="zh-CN" w:bidi="ar-SA"/>
        </w:rPr>
      </w:pPr>
      <w:r>
        <w:rPr>
          <w:rFonts w:hint="eastAsia" w:ascii="黑体" w:hAnsi="黑体" w:eastAsia="黑体" w:cs="黑体"/>
          <w:color w:val="auto"/>
          <w:sz w:val="18"/>
          <w:szCs w:val="24"/>
          <w:lang w:val="en-US" w:eastAsia="zh-CN" w:bidi="ar-SA"/>
        </w:rPr>
        <w:t>3.</w:t>
      </w:r>
      <w:r>
        <w:rPr>
          <w:rFonts w:hint="eastAsia" w:ascii="黑体" w:hAnsi="黑体" w:eastAsia="黑体" w:cs="黑体"/>
          <w:color w:val="auto"/>
          <w:sz w:val="18"/>
          <w:szCs w:val="18"/>
          <w:lang w:val="en-US" w:eastAsia="zh-CN" w:bidi="ar-SA"/>
        </w:rPr>
        <w:t>★理财产品费用</w:t>
      </w:r>
      <w:r>
        <w:rPr>
          <w:rFonts w:hint="eastAsia" w:ascii="黑体" w:hAnsi="黑体" w:eastAsia="黑体" w:cs="黑体"/>
          <w:color w:val="auto"/>
          <w:sz w:val="18"/>
          <w:szCs w:val="24"/>
          <w:lang w:val="en-US" w:eastAsia="zh-CN" w:bidi="ar-SA"/>
        </w:rPr>
        <w:t>的调整</w:t>
      </w:r>
    </w:p>
    <w:p w14:paraId="017D4CA1">
      <w:pPr>
        <w:widowControl w:val="0"/>
        <w:autoSpaceDE w:val="0"/>
        <w:autoSpaceDN w:val="0"/>
        <w:adjustRightInd w:val="0"/>
        <w:spacing w:line="360" w:lineRule="auto"/>
        <w:ind w:firstLine="360" w:firstLineChars="200"/>
        <w:rPr>
          <w:rFonts w:hint="eastAsia" w:ascii="黑体" w:hAnsi="黑体" w:eastAsia="黑体" w:cs="黑体"/>
          <w:b/>
          <w:color w:val="auto"/>
          <w:sz w:val="18"/>
          <w:szCs w:val="24"/>
          <w:lang w:val="en-US" w:eastAsia="zh-CN" w:bidi="ar-SA"/>
        </w:rPr>
      </w:pPr>
      <w:r>
        <w:rPr>
          <w:rFonts w:hint="eastAsia" w:ascii="黑体" w:hAnsi="黑体" w:eastAsia="黑体" w:cs="黑体"/>
          <w:color w:val="auto"/>
          <w:sz w:val="18"/>
          <w:szCs w:val="24"/>
          <w:lang w:val="en-US" w:eastAsia="zh-CN" w:bidi="ar-SA"/>
        </w:rPr>
        <w:t>产品管理人有权</w:t>
      </w:r>
      <w:r>
        <w:rPr>
          <w:rFonts w:hint="eastAsia" w:ascii="黑体" w:hAnsi="黑体" w:eastAsia="黑体" w:cs="黑体"/>
          <w:color w:val="auto"/>
          <w:sz w:val="18"/>
          <w:szCs w:val="18"/>
          <w:lang w:val="en-US" w:eastAsia="zh-CN" w:bidi="ar-SA"/>
        </w:rPr>
        <w:t>根据相关法律和国家政策规定，</w:t>
      </w:r>
      <w:r>
        <w:rPr>
          <w:rFonts w:hint="eastAsia" w:ascii="黑体" w:hAnsi="黑体" w:eastAsia="黑体" w:cs="黑体"/>
          <w:color w:val="auto"/>
          <w:sz w:val="18"/>
          <w:szCs w:val="24"/>
          <w:lang w:val="en-US" w:eastAsia="zh-CN" w:bidi="ar-SA"/>
        </w:rPr>
        <w:t>对理财产品费用的收费项目、收费条件、收费标准和收费方式等进行调整。产品管理人对费用的调整</w:t>
      </w:r>
      <w:r>
        <w:rPr>
          <w:rFonts w:hint="eastAsia" w:ascii="黑体" w:hAnsi="黑体" w:eastAsia="黑体" w:cs="黑体"/>
          <w:bCs/>
          <w:color w:val="auto"/>
          <w:sz w:val="18"/>
          <w:szCs w:val="24"/>
          <w:lang w:val="en-US" w:eastAsia="zh-CN" w:bidi="ar-SA"/>
        </w:rPr>
        <w:t>将依本产品说明书的“理财产品的信息披露”条款约定进行公告。</w:t>
      </w:r>
    </w:p>
    <w:p w14:paraId="6D55DAC4">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（二）理财产品的税收</w:t>
      </w:r>
    </w:p>
    <w:p w14:paraId="4B9D5C0E">
      <w:pPr>
        <w:widowControl/>
        <w:spacing w:line="360" w:lineRule="auto"/>
        <w:ind w:firstLine="360" w:firstLineChars="200"/>
        <w:jc w:val="left"/>
        <w:rPr>
          <w:rFonts w:ascii="宋体" w:hAnsi="宋体" w:cs="宋体"/>
          <w:kern w:val="0"/>
          <w:sz w:val="18"/>
          <w:szCs w:val="18"/>
        </w:rPr>
      </w:pPr>
      <w:r>
        <w:rPr>
          <w:rFonts w:hint="eastAsia" w:ascii="宋体" w:hAnsi="宋体" w:cs="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14:paraId="022F54CF">
      <w:pPr>
        <w:keepNext/>
        <w:keepLines/>
        <w:widowControl w:val="0"/>
        <w:spacing w:before="340" w:after="330" w:line="360" w:lineRule="auto"/>
        <w:jc w:val="center"/>
        <w:outlineLvl w:val="0"/>
        <w:rPr>
          <w:rFonts w:ascii="Calibri" w:hAnsi="Calibri" w:eastAsia="宋体" w:cs="宋体"/>
          <w:b/>
          <w:bCs/>
          <w:kern w:val="44"/>
          <w:sz w:val="44"/>
          <w:szCs w:val="44"/>
          <w:lang w:val="en-US" w:eastAsia="zh-CN" w:bidi="ar-SA"/>
        </w:rPr>
      </w:pPr>
      <w:bookmarkStart w:id="177" w:name="_Toc3963"/>
      <w:bookmarkStart w:id="178" w:name="_Toc1745"/>
      <w:r>
        <w:rPr>
          <w:rFonts w:ascii="Calibri" w:hAnsi="Calibri" w:eastAsia="宋体" w:cs="宋体"/>
          <w:b/>
          <w:bCs/>
          <w:kern w:val="44"/>
          <w:sz w:val="44"/>
          <w:szCs w:val="44"/>
          <w:lang w:val="en-US" w:eastAsia="zh-CN" w:bidi="ar-SA"/>
        </w:rPr>
        <w:br w:type="page"/>
      </w:r>
      <w:bookmarkStart w:id="179" w:name="_Toc74065746"/>
      <w:bookmarkStart w:id="180" w:name="_Toc3080"/>
      <w:bookmarkStart w:id="181" w:name="_Toc79154673"/>
      <w:bookmarkStart w:id="182" w:name="_Toc3572"/>
      <w:bookmarkStart w:id="183" w:name="_Toc139991739"/>
      <w:bookmarkStart w:id="184" w:name="_Toc123051455"/>
      <w:bookmarkStart w:id="185" w:name="_Toc141703889"/>
      <w:bookmarkStart w:id="186" w:name="_Toc176189762"/>
      <w:bookmarkStart w:id="187" w:name="_Toc725"/>
      <w:bookmarkStart w:id="188" w:name="_Toc123112237"/>
      <w:bookmarkStart w:id="189" w:name="_Toc10398"/>
      <w:bookmarkStart w:id="190" w:name="_Toc123102456"/>
      <w:bookmarkStart w:id="191" w:name="_Toc21735"/>
      <w:bookmarkStart w:id="192" w:name="_Toc98560355"/>
      <w:bookmarkStart w:id="193" w:name="_Toc16164"/>
      <w:bookmarkStart w:id="194" w:name="_Toc18206"/>
      <w:bookmarkStart w:id="195" w:name="_Toc31821"/>
      <w:r>
        <w:rPr>
          <w:rFonts w:hint="eastAsia" w:ascii="Calibri" w:hAnsi="Calibri" w:eastAsia="宋体" w:cs="宋体"/>
          <w:b/>
          <w:bCs/>
          <w:kern w:val="44"/>
          <w:sz w:val="30"/>
          <w:szCs w:val="44"/>
          <w:lang w:val="en-US" w:eastAsia="zh-CN" w:bidi="ar-SA"/>
        </w:rPr>
        <w:t>第</w:t>
      </w:r>
      <w:r>
        <w:rPr>
          <w:rFonts w:ascii="Calibri" w:hAnsi="Calibri" w:eastAsia="宋体" w:cs="宋体"/>
          <w:b/>
          <w:bCs/>
          <w:kern w:val="44"/>
          <w:sz w:val="30"/>
          <w:szCs w:val="44"/>
          <w:lang w:val="en-US" w:eastAsia="zh-CN" w:bidi="ar-SA"/>
        </w:rPr>
        <w:t>十</w:t>
      </w:r>
      <w:r>
        <w:rPr>
          <w:rFonts w:hint="eastAsia" w:ascii="Calibri" w:hAnsi="Calibri" w:eastAsia="宋体" w:cs="宋体"/>
          <w:b/>
          <w:bCs/>
          <w:kern w:val="44"/>
          <w:sz w:val="30"/>
          <w:szCs w:val="44"/>
          <w:lang w:val="en-US" w:eastAsia="zh-CN" w:bidi="ar-SA"/>
        </w:rPr>
        <w:t>条</w:t>
      </w:r>
      <w:r>
        <w:rPr>
          <w:rFonts w:ascii="Calibri" w:hAnsi="Calibri" w:eastAsia="宋体" w:cs="宋体"/>
          <w:b/>
          <w:bCs/>
          <w:kern w:val="44"/>
          <w:sz w:val="30"/>
          <w:szCs w:val="44"/>
          <w:lang w:val="en-US" w:eastAsia="zh-CN" w:bidi="ar-SA"/>
        </w:rPr>
        <w:t xml:space="preserve">  </w:t>
      </w:r>
      <w:r>
        <w:rPr>
          <w:rFonts w:hint="eastAsia" w:ascii="Calibri" w:hAnsi="Calibri" w:eastAsia="宋体" w:cs="宋体"/>
          <w:b/>
          <w:bCs/>
          <w:kern w:val="44"/>
          <w:sz w:val="30"/>
          <w:szCs w:val="44"/>
          <w:lang w:val="en-US" w:eastAsia="zh-CN" w:bidi="ar-SA"/>
        </w:rPr>
        <w:t>理财产品的终止与清算</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FFDA75A">
      <w:pPr>
        <w:spacing w:line="360" w:lineRule="auto"/>
        <w:ind w:firstLine="361" w:firstLineChars="200"/>
        <w:rPr>
          <w:rFonts w:ascii="宋体" w:hAnsi="宋体" w:eastAsia="宋体" w:cs="宋体"/>
          <w:b/>
          <w:bCs/>
          <w:sz w:val="18"/>
          <w:szCs w:val="18"/>
        </w:rPr>
      </w:pPr>
      <w:bookmarkStart w:id="196" w:name="_Toc57530252"/>
      <w:bookmarkStart w:id="197" w:name="_Toc79392593"/>
      <w:bookmarkStart w:id="198" w:name="_Toc15118245"/>
      <w:r>
        <w:rPr>
          <w:rFonts w:hint="eastAsia" w:ascii="宋体" w:hAnsi="宋体" w:eastAsia="宋体" w:cs="宋体"/>
          <w:b/>
          <w:bCs/>
          <w:sz w:val="18"/>
          <w:szCs w:val="18"/>
        </w:rPr>
        <w:t>（一）理财产品的终止</w:t>
      </w:r>
    </w:p>
    <w:p w14:paraId="523AE417">
      <w:pPr>
        <w:spacing w:line="360" w:lineRule="auto"/>
        <w:ind w:firstLine="360" w:firstLineChars="200"/>
        <w:rPr>
          <w:rFonts w:ascii="黑体" w:hAnsi="黑体" w:eastAsia="黑体" w:cs="宋体"/>
          <w:bCs/>
          <w:sz w:val="18"/>
          <w:szCs w:val="18"/>
        </w:rPr>
      </w:pPr>
      <w:r>
        <w:rPr>
          <w:rFonts w:ascii="黑体" w:hAnsi="黑体" w:eastAsia="黑体" w:cs="宋体"/>
          <w:bCs/>
          <w:sz w:val="18"/>
          <w:szCs w:val="18"/>
        </w:rPr>
        <w:t>1.</w:t>
      </w:r>
      <w:r>
        <w:rPr>
          <w:rFonts w:hint="eastAsia" w:ascii="黑体" w:hAnsi="黑体" w:eastAsia="黑体" w:cs="宋体"/>
          <w:bCs/>
          <w:sz w:val="18"/>
          <w:szCs w:val="18"/>
        </w:rPr>
        <w:t>★提前终止</w:t>
      </w:r>
    </w:p>
    <w:p w14:paraId="184561DC">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在理财产品投资运作期间内，投资者无权要求提前终止该理财产品</w:t>
      </w:r>
      <w:r>
        <w:rPr>
          <w:rFonts w:hint="eastAsia" w:ascii="宋体" w:hAnsi="宋体" w:eastAsia="宋体" w:cs="宋体"/>
          <w:bCs/>
          <w:sz w:val="18"/>
          <w:szCs w:val="18"/>
        </w:rPr>
        <w:t>。在理财产品投资运作期间内，</w:t>
      </w:r>
      <w:r>
        <w:rPr>
          <w:rFonts w:hint="eastAsia" w:ascii="黑体" w:hAnsi="黑体" w:eastAsia="黑体" w:cs="宋体"/>
          <w:bCs/>
          <w:sz w:val="18"/>
          <w:szCs w:val="18"/>
        </w:rPr>
        <w:t>当出现下列情形之一时，产品管理人有权部分或全部提前终止本产品：</w:t>
      </w:r>
    </w:p>
    <w:p w14:paraId="12EB8B2A">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因不可抗力原因导致理财产品无法继续运作。</w:t>
      </w:r>
    </w:p>
    <w:p w14:paraId="1E13B4E6">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遇有市场出现剧烈波动、异常风险事件等情形导致理财产品收益出现大幅波动或严重影响理财产品的资产安全。</w:t>
      </w:r>
    </w:p>
    <w:p w14:paraId="32F01034">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3）</w:t>
      </w:r>
      <w:r>
        <w:rPr>
          <w:rFonts w:hint="eastAsia" w:ascii="宋体" w:hAnsi="宋体" w:eastAsia="宋体" w:cs="宋体"/>
          <w:bCs/>
          <w:sz w:val="18"/>
          <w:szCs w:val="18"/>
        </w:rPr>
        <w:t>因投资者理财资金被有权机关扣划等原因导致理财产品剩余资产无法满足相关法律法规规定、所投资市场要求或协议等相关法律文件约定，或者继续存续无法实现投资目标。</w:t>
      </w:r>
    </w:p>
    <w:p w14:paraId="677E39B2">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4）</w:t>
      </w:r>
      <w:r>
        <w:rPr>
          <w:rFonts w:hint="eastAsia" w:ascii="宋体" w:hAnsi="宋体" w:eastAsia="宋体" w:cs="宋体"/>
          <w:bCs/>
          <w:sz w:val="18"/>
          <w:szCs w:val="18"/>
        </w:rPr>
        <w:t>因相关投资管理机构解散、破产、撤销、被取消业务资格等原因无法继续履行相应职责导致产品无法继续运作。</w:t>
      </w:r>
    </w:p>
    <w:p w14:paraId="3D966437">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5）</w:t>
      </w:r>
      <w:r>
        <w:rPr>
          <w:rFonts w:hint="eastAsia" w:ascii="宋体" w:hAnsi="宋体" w:eastAsia="宋体" w:cs="宋体"/>
          <w:bCs/>
          <w:sz w:val="18"/>
          <w:szCs w:val="18"/>
        </w:rPr>
        <w:t>相关投资管理机构或运用理财资金的第三方主体实施符合法律法规规定或协议等相关文件约定的行为导致理财产品被动提前终止。</w:t>
      </w:r>
    </w:p>
    <w:p w14:paraId="3078408E">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6）</w:t>
      </w:r>
      <w:r>
        <w:rPr>
          <w:rFonts w:hint="eastAsia" w:ascii="宋体" w:hAnsi="宋体" w:eastAsia="宋体" w:cs="宋体"/>
          <w:bCs/>
          <w:sz w:val="18"/>
          <w:szCs w:val="18"/>
        </w:rPr>
        <w:t>因法律法规、国家金融政策或监管规定变化，或紧急措施出台影响产品继续正常运作。</w:t>
      </w:r>
    </w:p>
    <w:p w14:paraId="2B4C2803">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7）</w:t>
      </w:r>
      <w:r>
        <w:rPr>
          <w:rFonts w:hint="eastAsia" w:ascii="宋体" w:hAnsi="宋体" w:cs="宋体"/>
          <w:bCs/>
          <w:sz w:val="18"/>
          <w:szCs w:val="18"/>
        </w:rPr>
        <w:t>所投资资产部分或全部提前偿付。</w:t>
      </w:r>
    </w:p>
    <w:p w14:paraId="2657875A">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8）提前终止产品比维持产品运作更有利于保护产品持有人的</w:t>
      </w:r>
      <w:r>
        <w:rPr>
          <w:rFonts w:hint="eastAsia" w:ascii="宋体" w:hAnsi="宋体" w:eastAsia="宋体" w:cs="宋体"/>
          <w:bCs/>
          <w:sz w:val="18"/>
          <w:szCs w:val="18"/>
        </w:rPr>
        <w:t>权益。</w:t>
      </w:r>
    </w:p>
    <w:p w14:paraId="59DFE24B">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9）</w:t>
      </w:r>
      <w:r>
        <w:rPr>
          <w:rFonts w:hint="eastAsia" w:ascii="宋体" w:hAnsi="宋体" w:eastAsia="宋体" w:cs="宋体"/>
          <w:bCs/>
          <w:sz w:val="18"/>
          <w:szCs w:val="18"/>
        </w:rPr>
        <w:t>法律法规规定、监管部门要求或本销售文件约定的其他情形。</w:t>
      </w:r>
    </w:p>
    <w:p w14:paraId="22EBF6EA">
      <w:pPr>
        <w:spacing w:line="360" w:lineRule="auto"/>
        <w:ind w:firstLine="360" w:firstLineChars="200"/>
        <w:rPr>
          <w:rFonts w:ascii="黑体" w:hAnsi="黑体" w:eastAsia="黑体" w:cs="宋体"/>
          <w:bCs/>
          <w:sz w:val="18"/>
          <w:szCs w:val="18"/>
        </w:rPr>
      </w:pPr>
      <w:r>
        <w:rPr>
          <w:rFonts w:ascii="黑体" w:hAnsi="黑体" w:eastAsia="黑体" w:cs="宋体"/>
          <w:bCs/>
          <w:sz w:val="18"/>
          <w:szCs w:val="18"/>
        </w:rPr>
        <w:t>2.</w:t>
      </w:r>
      <w:r>
        <w:rPr>
          <w:rFonts w:hint="eastAsia" w:ascii="黑体" w:hAnsi="黑体" w:eastAsia="黑体" w:cs="宋体"/>
          <w:bCs/>
          <w:sz w:val="18"/>
          <w:szCs w:val="18"/>
        </w:rPr>
        <w:t>★延期</w:t>
      </w:r>
      <w:r>
        <w:rPr>
          <w:rFonts w:ascii="黑体" w:hAnsi="黑体" w:eastAsia="黑体" w:cs="宋体"/>
          <w:bCs/>
          <w:sz w:val="18"/>
          <w:szCs w:val="18"/>
        </w:rPr>
        <w:t>终止</w:t>
      </w:r>
    </w:p>
    <w:p w14:paraId="1EC49AA9">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出现以下情况，产品管理人有权延长本理财产品的</w:t>
      </w:r>
      <w:r>
        <w:rPr>
          <w:rFonts w:ascii="黑体" w:hAnsi="黑体" w:eastAsia="黑体" w:cs="宋体"/>
          <w:bCs/>
          <w:sz w:val="18"/>
          <w:szCs w:val="18"/>
        </w:rPr>
        <w:t>终止</w:t>
      </w:r>
      <w:r>
        <w:rPr>
          <w:rFonts w:hint="eastAsia" w:ascii="黑体" w:hAnsi="黑体" w:eastAsia="黑体" w:cs="宋体"/>
          <w:bCs/>
          <w:sz w:val="18"/>
          <w:szCs w:val="18"/>
        </w:rPr>
        <w:t>日：</w:t>
      </w:r>
      <w:r>
        <w:rPr>
          <w:rFonts w:ascii="黑体" w:hAnsi="黑体" w:eastAsia="黑体" w:cs="宋体"/>
          <w:bCs/>
          <w:sz w:val="18"/>
          <w:szCs w:val="18"/>
        </w:rPr>
        <w:t xml:space="preserve"> </w:t>
      </w:r>
    </w:p>
    <w:p w14:paraId="1AF88C59">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1）</w:t>
      </w:r>
      <w:r>
        <w:rPr>
          <w:rFonts w:hint="eastAsia" w:ascii="黑体" w:hAnsi="黑体" w:eastAsia="黑体" w:cs="宋体"/>
          <w:bCs/>
          <w:sz w:val="18"/>
          <w:szCs w:val="18"/>
        </w:rPr>
        <w:t>因市场成交量不足、资产限制赎回、暂停交易、缺乏意愿交易对手、交易对手违约等原因，导致产品项下对应的投资标的无法及时变现；</w:t>
      </w:r>
      <w:r>
        <w:rPr>
          <w:rFonts w:ascii="黑体" w:hAnsi="黑体" w:eastAsia="黑体" w:cs="宋体"/>
          <w:bCs/>
          <w:sz w:val="18"/>
          <w:szCs w:val="18"/>
        </w:rPr>
        <w:t xml:space="preserve"> </w:t>
      </w:r>
    </w:p>
    <w:p w14:paraId="14AAA3C7">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2）</w:t>
      </w:r>
      <w:r>
        <w:rPr>
          <w:rFonts w:hint="eastAsia" w:ascii="黑体" w:hAnsi="黑体" w:eastAsia="黑体" w:cs="宋体"/>
          <w:bCs/>
          <w:sz w:val="18"/>
          <w:szCs w:val="18"/>
        </w:rPr>
        <w:t>因资金在途等原因，导致未能及时收回资金；</w:t>
      </w:r>
      <w:r>
        <w:rPr>
          <w:rFonts w:ascii="黑体" w:hAnsi="黑体" w:eastAsia="黑体" w:cs="宋体"/>
          <w:bCs/>
          <w:sz w:val="18"/>
          <w:szCs w:val="18"/>
        </w:rPr>
        <w:t xml:space="preserve"> </w:t>
      </w:r>
    </w:p>
    <w:p w14:paraId="603920EC">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3）</w:t>
      </w:r>
      <w:r>
        <w:rPr>
          <w:rFonts w:hint="eastAsia" w:ascii="黑体" w:hAnsi="黑体" w:eastAsia="黑体" w:cs="宋体"/>
          <w:bCs/>
          <w:sz w:val="18"/>
          <w:szCs w:val="18"/>
        </w:rPr>
        <w:t>因不可抗力等原因，导致产品管理人无法分配；</w:t>
      </w:r>
      <w:r>
        <w:rPr>
          <w:rFonts w:ascii="黑体" w:hAnsi="黑体" w:eastAsia="黑体" w:cs="宋体"/>
          <w:bCs/>
          <w:sz w:val="18"/>
          <w:szCs w:val="18"/>
        </w:rPr>
        <w:t xml:space="preserve"> </w:t>
      </w:r>
    </w:p>
    <w:p w14:paraId="1EDAB2F1">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4）</w:t>
      </w:r>
      <w:r>
        <w:rPr>
          <w:rFonts w:hint="eastAsia" w:ascii="黑体" w:hAnsi="黑体" w:eastAsia="黑体" w:cs="宋体"/>
          <w:bCs/>
          <w:sz w:val="18"/>
          <w:szCs w:val="18"/>
        </w:rPr>
        <w:t>其他产品管理人认为需要延期终止的情形。</w:t>
      </w:r>
      <w:r>
        <w:rPr>
          <w:rFonts w:ascii="黑体" w:hAnsi="黑体" w:eastAsia="黑体" w:cs="宋体"/>
          <w:bCs/>
          <w:sz w:val="18"/>
          <w:szCs w:val="18"/>
        </w:rPr>
        <w:t xml:space="preserve"> </w:t>
      </w:r>
    </w:p>
    <w:p w14:paraId="6200F50A">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产品管理人决定延期</w:t>
      </w:r>
      <w:r>
        <w:rPr>
          <w:rFonts w:ascii="黑体" w:hAnsi="黑体" w:eastAsia="黑体" w:cs="宋体"/>
          <w:bCs/>
          <w:sz w:val="18"/>
          <w:szCs w:val="18"/>
        </w:rPr>
        <w:t>终止</w:t>
      </w:r>
      <w:r>
        <w:rPr>
          <w:rFonts w:hint="eastAsia" w:ascii="黑体" w:hAnsi="黑体" w:eastAsia="黑体" w:cs="宋体"/>
          <w:bCs/>
          <w:sz w:val="18"/>
          <w:szCs w:val="18"/>
        </w:rPr>
        <w:t>的，应依据约定进行公告。</w:t>
      </w:r>
      <w:r>
        <w:rPr>
          <w:rFonts w:ascii="黑体" w:hAnsi="黑体" w:eastAsia="黑体" w:cs="宋体"/>
          <w:bCs/>
          <w:sz w:val="18"/>
          <w:szCs w:val="18"/>
        </w:rPr>
        <w:t xml:space="preserve"> </w:t>
      </w:r>
    </w:p>
    <w:p w14:paraId="512461BA">
      <w:pPr>
        <w:spacing w:line="360" w:lineRule="auto"/>
        <w:ind w:firstLine="361" w:firstLineChars="200"/>
        <w:rPr>
          <w:rFonts w:ascii="宋体" w:hAnsi="宋体" w:eastAsia="宋体" w:cs="宋体"/>
          <w:b/>
          <w:bCs/>
          <w:sz w:val="18"/>
          <w:szCs w:val="18"/>
        </w:rPr>
      </w:pPr>
      <w:r>
        <w:rPr>
          <w:rFonts w:hint="eastAsia" w:ascii="宋体" w:hAnsi="宋体" w:eastAsia="宋体" w:cs="宋体"/>
          <w:b/>
          <w:bCs/>
          <w:sz w:val="18"/>
          <w:szCs w:val="18"/>
        </w:rPr>
        <w:t>（二）理财产品的清算</w:t>
      </w:r>
    </w:p>
    <w:p w14:paraId="6F1FB21C">
      <w:pPr>
        <w:spacing w:line="360" w:lineRule="auto"/>
        <w:ind w:firstLine="360" w:firstLineChars="200"/>
        <w:rPr>
          <w:rFonts w:ascii="宋体" w:hAnsi="宋体" w:eastAsia="宋体" w:cs="宋体"/>
          <w:bCs/>
          <w:sz w:val="18"/>
          <w:szCs w:val="18"/>
        </w:rPr>
      </w:pPr>
      <w:r>
        <w:rPr>
          <w:rFonts w:ascii="宋体" w:hAnsi="宋体" w:eastAsia="宋体" w:cs="宋体"/>
          <w:bCs/>
          <w:sz w:val="18"/>
          <w:szCs w:val="18"/>
        </w:rPr>
        <w:t>1.</w:t>
      </w:r>
      <w:r>
        <w:rPr>
          <w:rFonts w:hint="eastAsia" w:ascii="宋体" w:hAnsi="宋体" w:eastAsia="宋体" w:cs="宋体"/>
          <w:bCs/>
          <w:sz w:val="18"/>
          <w:szCs w:val="18"/>
        </w:rPr>
        <w:t>理财产品到期日为理财产品终止日（含提前终止或延期终止）。产品份额全部终止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w:t>
      </w:r>
      <w:r>
        <w:rPr>
          <w:rFonts w:ascii="宋体" w:hAnsi="宋体" w:eastAsia="宋体" w:cs="宋体"/>
          <w:bCs/>
          <w:sz w:val="18"/>
          <w:szCs w:val="18"/>
        </w:rPr>
        <w:t>5</w:t>
      </w:r>
      <w:r>
        <w:rPr>
          <w:rFonts w:hint="eastAsia" w:ascii="宋体" w:hAnsi="宋体" w:eastAsia="宋体" w:cs="宋体"/>
          <w:bCs/>
          <w:sz w:val="18"/>
          <w:szCs w:val="18"/>
        </w:rPr>
        <w:t>】个工作日，清算期超过【</w:t>
      </w:r>
      <w:r>
        <w:rPr>
          <w:rFonts w:ascii="宋体" w:hAnsi="宋体" w:eastAsia="宋体" w:cs="宋体"/>
          <w:bCs/>
          <w:sz w:val="18"/>
          <w:szCs w:val="18"/>
        </w:rPr>
        <w:t>5</w:t>
      </w:r>
      <w:r>
        <w:rPr>
          <w:rFonts w:hint="eastAsia" w:ascii="宋体" w:hAnsi="宋体" w:eastAsia="宋体" w:cs="宋体"/>
          <w:bCs/>
          <w:sz w:val="18"/>
          <w:szCs w:val="18"/>
        </w:rPr>
        <w:t>】个工作日的，</w:t>
      </w:r>
      <w:r>
        <w:rPr>
          <w:rFonts w:ascii="宋体" w:hAnsi="宋体" w:eastAsia="宋体" w:cs="宋体"/>
          <w:bCs/>
          <w:sz w:val="18"/>
          <w:szCs w:val="18"/>
        </w:rPr>
        <w:t>将依约</w:t>
      </w:r>
      <w:r>
        <w:rPr>
          <w:rFonts w:hint="eastAsia" w:ascii="宋体" w:hAnsi="宋体" w:eastAsia="宋体" w:cs="宋体"/>
          <w:bCs/>
          <w:sz w:val="18"/>
          <w:szCs w:val="18"/>
        </w:rPr>
        <w:t>定进行公告。</w:t>
      </w:r>
    </w:p>
    <w:p w14:paraId="519D8C10">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2.产品管理人决定部分终止理财产品的，终止的部分产品份额按以下约定处理：</w:t>
      </w:r>
    </w:p>
    <w:p w14:paraId="2A4F3FD9">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部分终止的比例：理财产品将按比例（已变现资产</w:t>
      </w:r>
      <w:r>
        <w:rPr>
          <w:rFonts w:ascii="宋体" w:hAnsi="宋体" w:eastAsia="宋体" w:cs="宋体"/>
          <w:bCs/>
          <w:sz w:val="18"/>
          <w:szCs w:val="18"/>
        </w:rPr>
        <w:t>/理财产品净资产）</w:t>
      </w:r>
      <w:r>
        <w:rPr>
          <w:rFonts w:hint="eastAsia" w:ascii="宋体" w:hAnsi="宋体" w:eastAsia="宋体" w:cs="宋体"/>
          <w:bCs/>
          <w:sz w:val="18"/>
          <w:szCs w:val="18"/>
        </w:rPr>
        <w:t>终止部分产品份额，同时根据产品最新的理财产品份额净值和份额计算并支付投资者相应的理财利益，投资者所持有的理财产品份额则按比例注销。</w:t>
      </w:r>
    </w:p>
    <w:p w14:paraId="04E6264E">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部分终止的利益分配：产品管理人将依照销售文件公布部分终止日并指定利益分配日（一般为部分终止日之后的【</w:t>
      </w:r>
      <w:r>
        <w:rPr>
          <w:rFonts w:ascii="宋体" w:hAnsi="宋体" w:eastAsia="宋体" w:cs="宋体"/>
          <w:bCs/>
          <w:sz w:val="18"/>
          <w:szCs w:val="18"/>
        </w:rPr>
        <w:t>5</w:t>
      </w:r>
      <w:r>
        <w:rPr>
          <w:rFonts w:hint="eastAsia" w:ascii="宋体" w:hAnsi="宋体" w:eastAsia="宋体" w:cs="宋体"/>
          <w:bCs/>
          <w:sz w:val="18"/>
          <w:szCs w:val="18"/>
        </w:rPr>
        <w:t>】个工作日以内）。产品管理人应将理财利益于指定的利益分配</w:t>
      </w:r>
      <w:r>
        <w:rPr>
          <w:rFonts w:ascii="宋体" w:hAnsi="宋体" w:eastAsia="宋体" w:cs="宋体"/>
          <w:bCs/>
          <w:sz w:val="18"/>
          <w:szCs w:val="18"/>
        </w:rPr>
        <w:t>日</w:t>
      </w:r>
      <w:r>
        <w:rPr>
          <w:rFonts w:hint="eastAsia" w:ascii="宋体" w:hAnsi="宋体" w:eastAsia="宋体" w:cs="宋体"/>
          <w:bCs/>
          <w:sz w:val="18"/>
          <w:szCs w:val="18"/>
        </w:rPr>
        <w:t>（遇节假日顺延）向投资者分配。</w:t>
      </w:r>
    </w:p>
    <w:p w14:paraId="3F9C5C04">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理财产品部分终止日（含当日）至理财</w:t>
      </w:r>
      <w:r>
        <w:rPr>
          <w:rFonts w:ascii="宋体" w:hAnsi="宋体" w:eastAsia="宋体" w:cs="宋体"/>
          <w:bCs/>
          <w:sz w:val="18"/>
          <w:szCs w:val="18"/>
        </w:rPr>
        <w:t>利益</w:t>
      </w:r>
      <w:r>
        <w:rPr>
          <w:rFonts w:hint="eastAsia" w:ascii="宋体" w:hAnsi="宋体" w:eastAsia="宋体" w:cs="宋体"/>
          <w:bCs/>
          <w:sz w:val="18"/>
          <w:szCs w:val="18"/>
        </w:rPr>
        <w:t>实际到账日之间产生的利息（如有），归投资者所有。</w:t>
      </w:r>
    </w:p>
    <w:p w14:paraId="44EC9283">
      <w:pPr>
        <w:spacing w:line="360" w:lineRule="auto"/>
        <w:ind w:firstLine="360" w:firstLineChars="200"/>
        <w:rPr>
          <w:rFonts w:hint="eastAsia" w:ascii="宋体" w:hAnsi="宋体" w:eastAsia="宋体" w:cs="宋体"/>
          <w:bCs/>
          <w:sz w:val="18"/>
          <w:szCs w:val="18"/>
        </w:rPr>
      </w:pPr>
      <w:r>
        <w:rPr>
          <w:rFonts w:ascii="宋体" w:hAnsi="宋体" w:eastAsia="宋体" w:cs="宋体"/>
          <w:bCs/>
          <w:sz w:val="18"/>
          <w:szCs w:val="18"/>
        </w:rPr>
        <w:t>3.理财</w:t>
      </w:r>
      <w:r>
        <w:rPr>
          <w:rFonts w:hint="eastAsia" w:ascii="宋体" w:hAnsi="宋体" w:eastAsia="宋体" w:cs="宋体"/>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14:paraId="0A37BB51">
      <w:pPr>
        <w:spacing w:line="360" w:lineRule="auto"/>
        <w:ind w:firstLine="360" w:firstLineChars="200"/>
        <w:rPr>
          <w:rFonts w:hint="eastAsia" w:ascii="宋体" w:hAnsi="宋体" w:eastAsia="宋体" w:cs="宋体"/>
          <w:bCs/>
          <w:sz w:val="18"/>
          <w:szCs w:val="18"/>
        </w:rPr>
      </w:pPr>
      <w:r>
        <w:rPr>
          <w:rFonts w:hint="default" w:ascii="宋体" w:hAnsi="宋体" w:eastAsia="宋体" w:cs="宋体"/>
          <w:bCs/>
          <w:sz w:val="18"/>
          <w:szCs w:val="18"/>
          <w:lang w:val="en-US" w:eastAsia="zh-CN"/>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w:t>
      </w:r>
      <w:r>
        <w:rPr>
          <w:rFonts w:hint="eastAsia" w:ascii="宋体" w:hAnsi="宋体" w:eastAsia="宋体" w:cs="宋体"/>
          <w:bCs/>
          <w:sz w:val="18"/>
          <w:szCs w:val="18"/>
        </w:rPr>
        <w:t>【5】</w:t>
      </w:r>
      <w:r>
        <w:rPr>
          <w:rFonts w:hint="default" w:ascii="宋体" w:hAnsi="宋体" w:eastAsia="宋体" w:cs="宋体"/>
          <w:bCs/>
          <w:sz w:val="18"/>
          <w:szCs w:val="18"/>
          <w:lang w:val="en-US" w:eastAsia="zh-CN"/>
        </w:rPr>
        <w:t>个工作日内按投资者持有的理财产品份额比例向投资者进行再次分配。</w:t>
      </w:r>
    </w:p>
    <w:bookmarkEnd w:id="196"/>
    <w:bookmarkEnd w:id="197"/>
    <w:bookmarkEnd w:id="198"/>
    <w:p w14:paraId="08082882">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r>
        <w:rPr>
          <w:rFonts w:ascii="Times New Roman" w:hAnsi="Calibri" w:eastAsia="宋体" w:cs="宋体"/>
          <w:b w:val="0"/>
          <w:bCs w:val="0"/>
          <w:kern w:val="2"/>
          <w:sz w:val="44"/>
          <w:szCs w:val="44"/>
          <w:lang w:val="en-US" w:eastAsia="zh-CN" w:bidi="ar-SA"/>
        </w:rPr>
        <w:br w:type="page"/>
      </w:r>
      <w:bookmarkStart w:id="199" w:name="_Toc739"/>
      <w:bookmarkStart w:id="200" w:name="_Toc123102457"/>
      <w:bookmarkStart w:id="201" w:name="_Toc141703890"/>
      <w:bookmarkStart w:id="202" w:name="_Toc17920"/>
      <w:bookmarkStart w:id="203" w:name="_Toc32584"/>
      <w:bookmarkStart w:id="204" w:name="_Toc32092"/>
      <w:bookmarkStart w:id="205" w:name="_Toc79392622"/>
      <w:bookmarkStart w:id="206" w:name="_Toc74065747"/>
      <w:bookmarkStart w:id="207" w:name="_Toc176189763"/>
      <w:bookmarkStart w:id="208" w:name="_Toc123112238"/>
      <w:bookmarkStart w:id="209" w:name="_Toc98560356"/>
      <w:bookmarkStart w:id="210" w:name="_Toc5170"/>
      <w:bookmarkStart w:id="211" w:name="_Toc29408"/>
      <w:bookmarkStart w:id="212" w:name="_Toc79154674"/>
      <w:bookmarkStart w:id="213" w:name="_Toc8791"/>
      <w:bookmarkStart w:id="214" w:name="_Toc3329"/>
      <w:bookmarkStart w:id="215" w:name="_Toc48649708"/>
      <w:bookmarkStart w:id="216" w:name="_Toc123051456"/>
      <w:bookmarkStart w:id="217" w:name="_Toc17198"/>
      <w:bookmarkStart w:id="218" w:name="_Toc21237"/>
      <w:bookmarkStart w:id="219" w:name="_Toc139991740"/>
      <w:r>
        <w:rPr>
          <w:rFonts w:ascii="Times New Roman" w:hAnsi="Calibri" w:eastAsia="宋体" w:cs="宋体"/>
          <w:b/>
          <w:bCs/>
          <w:kern w:val="44"/>
          <w:sz w:val="30"/>
          <w:szCs w:val="44"/>
          <w:lang w:val="en-US" w:eastAsia="zh-CN" w:bidi="ar-SA"/>
        </w:rPr>
        <w:t>第十一</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理财产品的信息披露</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D3B9403">
      <w:pPr>
        <w:spacing w:line="360" w:lineRule="auto"/>
        <w:ind w:firstLine="361"/>
        <w:rPr>
          <w:rFonts w:ascii="宋体" w:hAnsi="宋体" w:cs="宋体"/>
          <w:b/>
          <w:bCs/>
          <w:sz w:val="18"/>
          <w:szCs w:val="18"/>
        </w:rPr>
      </w:pPr>
      <w:r>
        <w:rPr>
          <w:rFonts w:hint="eastAsia" w:ascii="宋体" w:hAnsi="宋体" w:cs="宋体"/>
          <w:b/>
          <w:bCs/>
          <w:sz w:val="18"/>
          <w:szCs w:val="18"/>
        </w:rPr>
        <w:t>（一）信息</w:t>
      </w:r>
      <w:r>
        <w:rPr>
          <w:rFonts w:ascii="宋体" w:hAnsi="宋体" w:cs="宋体"/>
          <w:b/>
          <w:bCs/>
          <w:sz w:val="18"/>
          <w:szCs w:val="18"/>
        </w:rPr>
        <w:t>披露的原则</w:t>
      </w:r>
    </w:p>
    <w:p w14:paraId="534D09F8">
      <w:pPr>
        <w:spacing w:line="360" w:lineRule="auto"/>
        <w:ind w:firstLine="360"/>
        <w:rPr>
          <w:rFonts w:ascii="宋体" w:hAnsi="宋体" w:cs="宋体"/>
          <w:b/>
          <w:bCs/>
          <w:sz w:val="18"/>
          <w:szCs w:val="18"/>
        </w:rPr>
      </w:pPr>
      <w:r>
        <w:rPr>
          <w:rFonts w:hint="eastAsia" w:ascii="宋体" w:hAnsi="宋体" w:cs="宋体"/>
          <w:bCs/>
          <w:sz w:val="18"/>
          <w:szCs w:val="18"/>
        </w:rPr>
        <w:t>产品管理人</w:t>
      </w:r>
      <w:r>
        <w:rPr>
          <w:rFonts w:ascii="宋体" w:hAnsi="宋体" w:cs="宋体"/>
          <w:bCs/>
          <w:sz w:val="18"/>
          <w:szCs w:val="18"/>
        </w:rPr>
        <w:t>遵循真实性、准确性、完整性和及时性原则</w:t>
      </w:r>
      <w:r>
        <w:rPr>
          <w:rFonts w:hint="eastAsia" w:ascii="宋体" w:hAnsi="宋体" w:cs="宋体"/>
          <w:bCs/>
          <w:sz w:val="18"/>
          <w:szCs w:val="18"/>
        </w:rPr>
        <w:t>进行</w:t>
      </w:r>
      <w:r>
        <w:rPr>
          <w:rFonts w:ascii="宋体" w:hAnsi="宋体" w:cs="宋体"/>
          <w:bCs/>
          <w:sz w:val="18"/>
          <w:szCs w:val="18"/>
        </w:rPr>
        <w:t>信息披露</w:t>
      </w:r>
      <w:r>
        <w:rPr>
          <w:rFonts w:hint="eastAsia" w:ascii="宋体" w:hAnsi="宋体" w:cs="宋体"/>
          <w:bCs/>
          <w:sz w:val="18"/>
          <w:szCs w:val="18"/>
        </w:rPr>
        <w:t>。</w:t>
      </w:r>
    </w:p>
    <w:p w14:paraId="333EDB76">
      <w:pPr>
        <w:spacing w:line="360" w:lineRule="auto"/>
        <w:ind w:firstLine="361"/>
        <w:rPr>
          <w:rFonts w:ascii="宋体" w:hAnsi="宋体" w:cs="宋体"/>
          <w:b/>
          <w:bCs/>
          <w:sz w:val="18"/>
          <w:szCs w:val="18"/>
        </w:rPr>
      </w:pPr>
      <w:r>
        <w:rPr>
          <w:rFonts w:hint="eastAsia" w:ascii="宋体" w:hAnsi="宋体" w:cs="宋体"/>
          <w:b/>
          <w:bCs/>
          <w:sz w:val="18"/>
          <w:szCs w:val="18"/>
        </w:rPr>
        <w:t>（二）信息披露的渠道</w:t>
      </w:r>
    </w:p>
    <w:p w14:paraId="11C1222B">
      <w:pPr>
        <w:spacing w:line="360" w:lineRule="auto"/>
        <w:ind w:firstLine="360"/>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理财产品的信息披露将通过产品管理人或销售机构的门户网站、电子销售渠道或营业网点等进行</w:t>
      </w:r>
      <w:r>
        <w:rPr>
          <w:rFonts w:ascii="宋体" w:hAnsi="宋体" w:cs="宋体"/>
          <w:bCs/>
          <w:sz w:val="18"/>
          <w:szCs w:val="18"/>
        </w:rPr>
        <w:t>。本理财产品认购期和存续期间，产品管理人将通过产品管理人或销售机构的信息披露渠道开展理财产品的信息披露工作。请投资者及时关注。</w:t>
      </w:r>
    </w:p>
    <w:p w14:paraId="0D754135">
      <w:pPr>
        <w:spacing w:line="360" w:lineRule="auto"/>
        <w:ind w:firstLine="360"/>
        <w:rPr>
          <w:rFonts w:ascii="黑体" w:hAnsi="黑体" w:eastAsia="黑体" w:cs="宋体"/>
          <w:bCs/>
          <w:sz w:val="18"/>
          <w:szCs w:val="18"/>
        </w:rPr>
      </w:pPr>
      <w:r>
        <w:rPr>
          <w:rFonts w:ascii="黑体" w:hAnsi="黑体" w:eastAsia="黑体" w:cs="宋体"/>
          <w:bCs/>
          <w:sz w:val="18"/>
          <w:szCs w:val="18"/>
        </w:rPr>
        <w:t>2.★产品管理人</w:t>
      </w:r>
      <w:r>
        <w:rPr>
          <w:rFonts w:hint="eastAsia" w:ascii="黑体" w:hAnsi="黑体" w:eastAsia="黑体" w:cs="宋体"/>
          <w:bCs/>
          <w:sz w:val="18"/>
          <w:szCs w:val="18"/>
        </w:rPr>
        <w:t>通过产品管理人或销售机构的信息披露渠道</w:t>
      </w:r>
      <w:r>
        <w:rPr>
          <w:rFonts w:ascii="黑体" w:hAnsi="黑体" w:eastAsia="黑体" w:cs="宋体"/>
          <w:bCs/>
          <w:sz w:val="18"/>
          <w:szCs w:val="18"/>
        </w:rPr>
        <w:t>发布</w:t>
      </w:r>
      <w:r>
        <w:rPr>
          <w:rFonts w:hint="eastAsia" w:ascii="黑体" w:hAnsi="黑体" w:eastAsia="黑体" w:cs="宋体"/>
          <w:bCs/>
          <w:sz w:val="18"/>
          <w:szCs w:val="18"/>
        </w:rPr>
        <w:t>理财产品有关</w:t>
      </w:r>
      <w:r>
        <w:rPr>
          <w:rFonts w:ascii="黑体" w:hAnsi="黑体" w:eastAsia="黑体" w:cs="宋体"/>
          <w:bCs/>
          <w:sz w:val="18"/>
          <w:szCs w:val="18"/>
        </w:rPr>
        <w:t>信息，即视为已适当履行其信息披露义务。如</w:t>
      </w:r>
      <w:r>
        <w:rPr>
          <w:rFonts w:hint="eastAsia" w:ascii="黑体" w:hAnsi="黑体" w:eastAsia="黑体" w:cs="宋体"/>
          <w:bCs/>
          <w:sz w:val="18"/>
          <w:szCs w:val="18"/>
        </w:rPr>
        <w:t>产品管理人</w:t>
      </w:r>
      <w:r>
        <w:rPr>
          <w:rFonts w:ascii="黑体" w:hAnsi="黑体" w:eastAsia="黑体" w:cs="宋体"/>
          <w:bCs/>
          <w:sz w:val="18"/>
          <w:szCs w:val="18"/>
        </w:rPr>
        <w:t>认为需要直接联系</w:t>
      </w:r>
      <w:r>
        <w:rPr>
          <w:rFonts w:hint="eastAsia" w:ascii="黑体" w:hAnsi="黑体" w:eastAsia="黑体" w:cs="宋体"/>
          <w:bCs/>
          <w:sz w:val="18"/>
          <w:szCs w:val="18"/>
        </w:rPr>
        <w:t>投资者</w:t>
      </w:r>
      <w:r>
        <w:rPr>
          <w:rFonts w:ascii="黑体" w:hAnsi="黑体" w:eastAsia="黑体" w:cs="宋体"/>
          <w:bCs/>
          <w:sz w:val="18"/>
          <w:szCs w:val="18"/>
        </w:rPr>
        <w:t>的，将依据本说明书投资者信息中</w:t>
      </w:r>
      <w:r>
        <w:rPr>
          <w:rFonts w:hint="eastAsia" w:ascii="黑体" w:hAnsi="黑体" w:eastAsia="黑体" w:cs="宋体"/>
          <w:bCs/>
          <w:sz w:val="18"/>
          <w:szCs w:val="18"/>
        </w:rPr>
        <w:t>投资者</w:t>
      </w:r>
      <w:r>
        <w:rPr>
          <w:rFonts w:ascii="黑体" w:hAnsi="黑体" w:eastAsia="黑体" w:cs="宋体"/>
          <w:bCs/>
          <w:sz w:val="18"/>
          <w:szCs w:val="18"/>
        </w:rPr>
        <w:t>预留的</w:t>
      </w:r>
      <w:r>
        <w:rPr>
          <w:rFonts w:hint="eastAsia" w:ascii="黑体" w:hAnsi="黑体" w:eastAsia="黑体" w:cs="宋体"/>
          <w:bCs/>
          <w:sz w:val="18"/>
          <w:szCs w:val="18"/>
        </w:rPr>
        <w:t>信息</w:t>
      </w:r>
      <w:r>
        <w:rPr>
          <w:rFonts w:ascii="黑体" w:hAnsi="黑体" w:eastAsia="黑体" w:cs="宋体"/>
          <w:bCs/>
          <w:sz w:val="18"/>
          <w:szCs w:val="18"/>
        </w:rPr>
        <w:t>进行通知。因</w:t>
      </w:r>
      <w:r>
        <w:rPr>
          <w:rFonts w:hint="eastAsia" w:ascii="黑体" w:hAnsi="黑体" w:eastAsia="黑体" w:cs="宋体"/>
          <w:bCs/>
          <w:sz w:val="18"/>
          <w:szCs w:val="18"/>
        </w:rPr>
        <w:t>投资者</w:t>
      </w:r>
      <w:r>
        <w:rPr>
          <w:rFonts w:ascii="黑体" w:hAnsi="黑体" w:eastAsia="黑体" w:cs="宋体"/>
          <w:bCs/>
          <w:sz w:val="18"/>
          <w:szCs w:val="18"/>
        </w:rPr>
        <w:t>原因而导致该等通知失败的，</w:t>
      </w:r>
      <w:r>
        <w:rPr>
          <w:rFonts w:hint="eastAsia" w:ascii="黑体" w:hAnsi="黑体" w:eastAsia="黑体" w:cs="宋体"/>
          <w:bCs/>
          <w:sz w:val="18"/>
          <w:szCs w:val="18"/>
        </w:rPr>
        <w:t>产品管理人</w:t>
      </w:r>
      <w:r>
        <w:rPr>
          <w:rFonts w:ascii="黑体" w:hAnsi="黑体" w:eastAsia="黑体" w:cs="宋体"/>
          <w:bCs/>
          <w:sz w:val="18"/>
          <w:szCs w:val="18"/>
        </w:rPr>
        <w:t>不承担相应责任。</w:t>
      </w:r>
    </w:p>
    <w:p w14:paraId="3529A5AF">
      <w:pPr>
        <w:spacing w:line="360" w:lineRule="auto"/>
        <w:ind w:firstLine="360"/>
        <w:rPr>
          <w:rFonts w:ascii="宋体" w:hAnsi="宋体" w:cs="宋体"/>
          <w:bCs/>
          <w:sz w:val="18"/>
          <w:szCs w:val="18"/>
        </w:rPr>
      </w:pPr>
      <w:r>
        <w:rPr>
          <w:rFonts w:ascii="宋体" w:hAnsi="宋体" w:cs="宋体"/>
          <w:bCs/>
          <w:sz w:val="18"/>
          <w:szCs w:val="18"/>
        </w:rPr>
        <w:t>3.投资者应定期通过约定的信息披露渠道获知有关理财产品相关信息。以上相关信息自披露之日即视为已送达投资者，也视为产品管理人</w:t>
      </w:r>
      <w:r>
        <w:rPr>
          <w:rFonts w:hint="eastAsia" w:ascii="宋体" w:hAnsi="宋体" w:cs="宋体"/>
          <w:bCs/>
          <w:sz w:val="18"/>
          <w:szCs w:val="18"/>
        </w:rPr>
        <w:t>已适当披露理财产品相关信息。投资者承诺将及时接收、浏览和阅读该等信息。如投资者对本产品的运作状况有任何疑问，可向产品管理人或销售机构进行咨询。</w:t>
      </w:r>
    </w:p>
    <w:p w14:paraId="10C47A74">
      <w:pPr>
        <w:spacing w:line="360" w:lineRule="auto"/>
        <w:ind w:firstLine="360"/>
        <w:rPr>
          <w:rFonts w:ascii="宋体" w:hAnsi="宋体" w:cs="宋体"/>
          <w:bCs/>
          <w:sz w:val="18"/>
          <w:szCs w:val="18"/>
        </w:rPr>
      </w:pPr>
      <w:r>
        <w:rPr>
          <w:rFonts w:ascii="宋体" w:hAnsi="宋体" w:cs="宋体"/>
          <w:bCs/>
          <w:sz w:val="18"/>
          <w:szCs w:val="18"/>
        </w:rPr>
        <w:t>4.在保障投资者知情权的前提下</w:t>
      </w:r>
      <w:r>
        <w:rPr>
          <w:rFonts w:hint="eastAsia" w:ascii="宋体" w:hAnsi="宋体" w:cs="宋体"/>
          <w:bCs/>
          <w:sz w:val="18"/>
          <w:szCs w:val="18"/>
        </w:rPr>
        <w:t>，</w:t>
      </w:r>
      <w:r>
        <w:rPr>
          <w:rFonts w:ascii="宋体" w:hAnsi="宋体" w:cs="宋体"/>
          <w:bCs/>
          <w:sz w:val="18"/>
          <w:szCs w:val="18"/>
        </w:rPr>
        <w:t>产品管理人保留变更信息披露渠道的权利。</w:t>
      </w:r>
    </w:p>
    <w:p w14:paraId="2C40ADF7">
      <w:pPr>
        <w:spacing w:line="360" w:lineRule="auto"/>
        <w:ind w:firstLine="361"/>
        <w:rPr>
          <w:rFonts w:ascii="宋体" w:hAnsi="宋体" w:cs="宋体"/>
          <w:b/>
          <w:bCs/>
          <w:sz w:val="18"/>
          <w:szCs w:val="18"/>
        </w:rPr>
      </w:pPr>
      <w:r>
        <w:rPr>
          <w:rFonts w:hint="eastAsia" w:ascii="宋体" w:hAnsi="宋体" w:cs="宋体"/>
          <w:b/>
          <w:bCs/>
          <w:sz w:val="18"/>
          <w:szCs w:val="18"/>
        </w:rPr>
        <w:t>（三）信息披露的内容</w:t>
      </w:r>
    </w:p>
    <w:p w14:paraId="1AB7F3B3">
      <w:pPr>
        <w:spacing w:line="360" w:lineRule="auto"/>
        <w:ind w:firstLine="360"/>
        <w:rPr>
          <w:rFonts w:ascii="宋体" w:hAnsi="宋体" w:cs="宋体"/>
          <w:bCs/>
          <w:sz w:val="18"/>
          <w:szCs w:val="18"/>
        </w:rPr>
      </w:pPr>
      <w:r>
        <w:rPr>
          <w:rFonts w:hint="eastAsia" w:ascii="宋体" w:hAnsi="宋体" w:cs="宋体"/>
          <w:bCs/>
          <w:sz w:val="18"/>
          <w:szCs w:val="18"/>
        </w:rPr>
        <w:t>理财产品信息披露</w:t>
      </w:r>
      <w:r>
        <w:rPr>
          <w:rFonts w:ascii="宋体" w:hAnsi="宋体" w:cs="宋体"/>
          <w:bCs/>
          <w:sz w:val="18"/>
          <w:szCs w:val="18"/>
        </w:rPr>
        <w:t>包括但不限于产品成立、产品终止、</w:t>
      </w:r>
      <w:r>
        <w:rPr>
          <w:rFonts w:hint="eastAsia" w:ascii="宋体" w:hAnsi="宋体" w:cs="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14:paraId="7996BC84">
      <w:pPr>
        <w:spacing w:line="360" w:lineRule="auto"/>
        <w:ind w:firstLine="361"/>
        <w:rPr>
          <w:rFonts w:ascii="宋体" w:hAnsi="宋体" w:cs="宋体"/>
          <w:b/>
          <w:bCs/>
          <w:sz w:val="18"/>
          <w:szCs w:val="18"/>
        </w:rPr>
      </w:pPr>
      <w:r>
        <w:rPr>
          <w:rFonts w:hint="eastAsia" w:ascii="宋体" w:hAnsi="宋体" w:cs="宋体"/>
          <w:b/>
          <w:bCs/>
          <w:sz w:val="18"/>
          <w:szCs w:val="18"/>
        </w:rPr>
        <w:t>（四）信息披露的频率和时间</w:t>
      </w:r>
    </w:p>
    <w:p w14:paraId="3743D5E6">
      <w:pPr>
        <w:spacing w:line="360" w:lineRule="auto"/>
        <w:ind w:firstLine="360"/>
        <w:rPr>
          <w:rFonts w:ascii="宋体" w:hAnsi="宋体" w:cs="宋体"/>
          <w:bCs/>
          <w:sz w:val="18"/>
          <w:szCs w:val="18"/>
        </w:rPr>
      </w:pPr>
      <w:r>
        <w:rPr>
          <w:rFonts w:ascii="宋体" w:hAnsi="宋体" w:cs="宋体"/>
          <w:bCs/>
          <w:sz w:val="18"/>
          <w:szCs w:val="18"/>
        </w:rPr>
        <w:t>1.产品成立公告</w:t>
      </w:r>
    </w:p>
    <w:p w14:paraId="2EA1F202">
      <w:pPr>
        <w:spacing w:line="360" w:lineRule="auto"/>
        <w:ind w:firstLine="360"/>
        <w:rPr>
          <w:rFonts w:ascii="宋体" w:hAnsi="宋体" w:cs="宋体"/>
          <w:bCs/>
          <w:sz w:val="18"/>
          <w:szCs w:val="18"/>
        </w:rPr>
      </w:pPr>
      <w:r>
        <w:rPr>
          <w:rFonts w:hint="eastAsia" w:ascii="宋体" w:hAnsi="宋体" w:cs="宋体"/>
          <w:bCs/>
          <w:sz w:val="18"/>
          <w:szCs w:val="18"/>
        </w:rPr>
        <w:t>本产品成立后</w:t>
      </w:r>
      <w:r>
        <w:rPr>
          <w:rFonts w:ascii="宋体" w:hAnsi="宋体" w:cs="宋体"/>
          <w:bCs/>
          <w:sz w:val="18"/>
          <w:szCs w:val="18"/>
        </w:rPr>
        <w:t>5个工作日内，产品管理人将发布产品成立公告。</w:t>
      </w:r>
    </w:p>
    <w:p w14:paraId="3D07B478">
      <w:pPr>
        <w:spacing w:line="360" w:lineRule="auto"/>
        <w:ind w:firstLine="360"/>
        <w:rPr>
          <w:rFonts w:ascii="宋体" w:hAnsi="宋体" w:cs="宋体"/>
          <w:bCs/>
          <w:sz w:val="18"/>
          <w:szCs w:val="18"/>
        </w:rPr>
      </w:pPr>
      <w:r>
        <w:rPr>
          <w:rFonts w:ascii="宋体" w:hAnsi="宋体" w:cs="宋体"/>
          <w:bCs/>
          <w:sz w:val="18"/>
          <w:szCs w:val="18"/>
        </w:rPr>
        <w:t>2.重大事项</w:t>
      </w:r>
      <w:r>
        <w:rPr>
          <w:rFonts w:hint="eastAsia" w:ascii="宋体" w:hAnsi="宋体" w:cs="宋体"/>
          <w:bCs/>
          <w:sz w:val="18"/>
          <w:szCs w:val="18"/>
        </w:rPr>
        <w:t>公告</w:t>
      </w:r>
    </w:p>
    <w:p w14:paraId="33C26437">
      <w:pPr>
        <w:spacing w:line="360" w:lineRule="auto"/>
        <w:ind w:firstLine="360"/>
        <w:rPr>
          <w:rFonts w:ascii="宋体" w:hAnsi="宋体" w:cs="宋体"/>
          <w:bCs/>
          <w:sz w:val="18"/>
          <w:szCs w:val="18"/>
        </w:rPr>
      </w:pPr>
      <w:r>
        <w:rPr>
          <w:rFonts w:hint="eastAsia" w:ascii="宋体" w:hAnsi="宋体" w:cs="宋体"/>
          <w:bCs/>
          <w:sz w:val="18"/>
          <w:szCs w:val="18"/>
        </w:rPr>
        <w:t>在发生可能对理财产品投资者或者理财产品收益产生重大影响的事件后</w:t>
      </w:r>
      <w:r>
        <w:rPr>
          <w:rFonts w:ascii="宋体" w:hAnsi="宋体" w:cs="宋体"/>
          <w:bCs/>
          <w:sz w:val="18"/>
          <w:szCs w:val="18"/>
        </w:rPr>
        <w:t>2个工作日内发布重大事项公告。</w:t>
      </w:r>
    </w:p>
    <w:p w14:paraId="7829C9F5">
      <w:pPr>
        <w:spacing w:line="360" w:lineRule="auto"/>
        <w:ind w:firstLine="360"/>
        <w:rPr>
          <w:rFonts w:ascii="宋体" w:hAnsi="宋体" w:cs="宋体"/>
          <w:bCs/>
          <w:sz w:val="18"/>
          <w:szCs w:val="18"/>
        </w:rPr>
      </w:pPr>
      <w:r>
        <w:rPr>
          <w:rFonts w:ascii="宋体" w:hAnsi="宋体" w:cs="宋体"/>
          <w:bCs/>
          <w:sz w:val="18"/>
          <w:szCs w:val="18"/>
        </w:rPr>
        <w:t>3.定期报告</w:t>
      </w:r>
    </w:p>
    <w:p w14:paraId="1C4AE226">
      <w:pPr>
        <w:spacing w:line="360" w:lineRule="auto"/>
        <w:ind w:firstLine="360"/>
        <w:rPr>
          <w:rFonts w:ascii="宋体" w:hAnsi="宋体" w:cs="宋体"/>
          <w:bCs/>
          <w:sz w:val="18"/>
          <w:szCs w:val="18"/>
        </w:rPr>
      </w:pPr>
      <w:r>
        <w:rPr>
          <w:rFonts w:hint="eastAsia" w:ascii="宋体" w:hAnsi="宋体" w:cs="宋体"/>
          <w:bCs/>
          <w:sz w:val="18"/>
          <w:szCs w:val="18"/>
        </w:rPr>
        <w:t>定期报告分为</w:t>
      </w:r>
      <w:r>
        <w:rPr>
          <w:rFonts w:ascii="宋体" w:hAnsi="宋体" w:cs="宋体"/>
          <w:bCs/>
          <w:sz w:val="18"/>
          <w:szCs w:val="18"/>
        </w:rPr>
        <w:t>季度、半年度和年度定期报告。</w:t>
      </w:r>
      <w:r>
        <w:rPr>
          <w:rFonts w:hint="eastAsia" w:ascii="宋体" w:hAnsi="宋体" w:cs="宋体"/>
          <w:bCs/>
          <w:sz w:val="18"/>
          <w:szCs w:val="18"/>
        </w:rPr>
        <w:t>产品成立超过</w:t>
      </w:r>
      <w:r>
        <w:rPr>
          <w:rFonts w:ascii="宋体" w:hAnsi="宋体" w:cs="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14:paraId="36351965">
      <w:pPr>
        <w:spacing w:line="360" w:lineRule="auto"/>
        <w:ind w:firstLine="360"/>
        <w:rPr>
          <w:rFonts w:ascii="宋体" w:hAnsi="宋体" w:cs="宋体"/>
          <w:bCs/>
          <w:sz w:val="18"/>
          <w:szCs w:val="18"/>
        </w:rPr>
      </w:pPr>
      <w:r>
        <w:rPr>
          <w:rFonts w:ascii="宋体" w:hAnsi="宋体" w:cs="宋体"/>
          <w:bCs/>
          <w:sz w:val="18"/>
          <w:szCs w:val="18"/>
        </w:rPr>
        <w:t>4.到期公告</w:t>
      </w:r>
    </w:p>
    <w:p w14:paraId="7AC72488">
      <w:pPr>
        <w:spacing w:line="360" w:lineRule="auto"/>
        <w:ind w:firstLine="360"/>
        <w:rPr>
          <w:rFonts w:ascii="宋体" w:hAnsi="宋体" w:cs="宋体"/>
          <w:bCs/>
          <w:sz w:val="18"/>
          <w:szCs w:val="18"/>
        </w:rPr>
      </w:pPr>
      <w:r>
        <w:rPr>
          <w:rFonts w:hint="eastAsia" w:ascii="宋体" w:hAnsi="宋体" w:cs="宋体"/>
          <w:bCs/>
          <w:sz w:val="18"/>
          <w:szCs w:val="18"/>
        </w:rPr>
        <w:t>如果产品管理人主动提前终止本产品，产品管理人将提前</w:t>
      </w:r>
      <w:r>
        <w:rPr>
          <w:rFonts w:ascii="宋体" w:hAnsi="宋体" w:cs="宋体"/>
          <w:bCs/>
          <w:sz w:val="18"/>
          <w:szCs w:val="18"/>
        </w:rPr>
        <w:t>2个工作日进行公告。本产品终止后5个工作日内，产品管理人发布产品到期公告。</w:t>
      </w:r>
    </w:p>
    <w:p w14:paraId="4B341226">
      <w:pPr>
        <w:spacing w:line="360" w:lineRule="auto"/>
        <w:ind w:firstLine="360"/>
        <w:rPr>
          <w:rFonts w:ascii="宋体" w:hAnsi="宋体" w:cs="宋体"/>
          <w:bCs/>
          <w:sz w:val="18"/>
          <w:szCs w:val="18"/>
        </w:rPr>
      </w:pPr>
      <w:r>
        <w:rPr>
          <w:rFonts w:ascii="宋体" w:hAnsi="宋体" w:cs="宋体"/>
          <w:bCs/>
          <w:sz w:val="18"/>
          <w:szCs w:val="18"/>
        </w:rPr>
        <w:t>5.估值日公告</w:t>
      </w:r>
    </w:p>
    <w:p w14:paraId="232A56BD">
      <w:pPr>
        <w:spacing w:line="360" w:lineRule="auto"/>
        <w:ind w:firstLine="360"/>
        <w:rPr>
          <w:rFonts w:ascii="宋体" w:hAnsi="宋体" w:cs="宋体"/>
          <w:bCs/>
          <w:sz w:val="18"/>
          <w:szCs w:val="18"/>
        </w:rPr>
      </w:pPr>
      <w:r>
        <w:rPr>
          <w:rFonts w:hint="eastAsia" w:ascii="宋体" w:hAnsi="宋体" w:cs="宋体"/>
          <w:bCs/>
          <w:sz w:val="18"/>
          <w:szCs w:val="18"/>
        </w:rPr>
        <w:t>产品</w:t>
      </w:r>
      <w:r>
        <w:rPr>
          <w:rFonts w:ascii="宋体" w:hAnsi="宋体" w:cs="宋体"/>
          <w:bCs/>
          <w:sz w:val="18"/>
          <w:szCs w:val="18"/>
        </w:rPr>
        <w:t>存续</w:t>
      </w:r>
      <w:r>
        <w:rPr>
          <w:rFonts w:hint="eastAsia" w:ascii="宋体" w:hAnsi="宋体" w:cs="宋体"/>
          <w:bCs/>
          <w:sz w:val="18"/>
          <w:szCs w:val="18"/>
        </w:rPr>
        <w:t>期间，每【</w:t>
      </w:r>
      <w:r>
        <w:rPr>
          <w:rFonts w:hint="eastAsia" w:ascii="宋体" w:hAnsi="宋体" w:cs="宋体"/>
          <w:bCs/>
          <w:sz w:val="18"/>
          <w:szCs w:val="18"/>
          <w:lang w:val="en-US" w:eastAsia="zh-CN"/>
        </w:rPr>
        <w:t>周</w:t>
      </w:r>
      <w:r>
        <w:rPr>
          <w:rFonts w:hint="eastAsia" w:ascii="宋体" w:hAnsi="宋体" w:cs="宋体"/>
          <w:bCs/>
          <w:sz w:val="18"/>
          <w:szCs w:val="18"/>
        </w:rPr>
        <w:t>】向投资者披露一次估值日公告，估值日公告披露的内容包括估值日的产品份额净值、产品份额累计净值等。如遇法定节假日顺延。此外，如遇其他特殊情况，以产品管理人信息披露为准。</w:t>
      </w:r>
    </w:p>
    <w:p w14:paraId="4744FFA6">
      <w:pPr>
        <w:spacing w:line="360" w:lineRule="auto"/>
        <w:ind w:firstLine="360"/>
        <w:rPr>
          <w:rFonts w:ascii="宋体" w:hAnsi="宋体" w:cs="宋体"/>
          <w:bCs/>
          <w:sz w:val="18"/>
          <w:szCs w:val="18"/>
        </w:rPr>
      </w:pPr>
      <w:r>
        <w:rPr>
          <w:rFonts w:ascii="宋体" w:hAnsi="宋体" w:cs="宋体"/>
          <w:bCs/>
          <w:sz w:val="18"/>
          <w:szCs w:val="18"/>
        </w:rPr>
        <w:t>6.临时公告</w:t>
      </w:r>
    </w:p>
    <w:p w14:paraId="7ECA700F">
      <w:pPr>
        <w:spacing w:line="360" w:lineRule="auto"/>
        <w:ind w:firstLine="361"/>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1）</w:t>
      </w:r>
      <w:r>
        <w:rPr>
          <w:rFonts w:hint="eastAsia" w:ascii="黑体" w:hAnsi="黑体" w:eastAsia="黑体" w:cs="宋体"/>
          <w:bCs/>
          <w:sz w:val="18"/>
          <w:szCs w:val="18"/>
        </w:rPr>
        <w:t>★产品管理人</w:t>
      </w:r>
      <w:r>
        <w:rPr>
          <w:rFonts w:ascii="黑体" w:hAnsi="黑体" w:eastAsia="黑体" w:cs="宋体"/>
          <w:bCs/>
          <w:sz w:val="18"/>
          <w:szCs w:val="18"/>
        </w:rPr>
        <w:t>对</w:t>
      </w:r>
      <w:r>
        <w:rPr>
          <w:rFonts w:hint="eastAsia" w:ascii="黑体" w:hAnsi="黑体" w:eastAsia="黑体" w:cs="宋体"/>
          <w:bCs/>
          <w:sz w:val="18"/>
          <w:szCs w:val="18"/>
        </w:rPr>
        <w:t>投资范围、投资资产种类、</w:t>
      </w:r>
      <w:r>
        <w:rPr>
          <w:rFonts w:ascii="黑体" w:hAnsi="黑体" w:eastAsia="黑体" w:cs="宋体"/>
          <w:bCs/>
          <w:sz w:val="18"/>
          <w:szCs w:val="18"/>
        </w:rPr>
        <w:t>投资</w:t>
      </w:r>
      <w:r>
        <w:rPr>
          <w:rFonts w:hint="eastAsia" w:ascii="黑体" w:hAnsi="黑体" w:eastAsia="黑体" w:cs="宋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cs="宋体"/>
          <w:bCs/>
          <w:sz w:val="18"/>
          <w:szCs w:val="18"/>
        </w:rPr>
        <w:t>2个工作日发布变更公告</w:t>
      </w:r>
      <w:r>
        <w:rPr>
          <w:rFonts w:hint="eastAsia" w:ascii="黑体" w:hAnsi="黑体" w:eastAsia="黑体" w:cs="宋体"/>
          <w:bCs/>
          <w:sz w:val="18"/>
          <w:szCs w:val="18"/>
        </w:rPr>
        <w:t>。</w:t>
      </w:r>
    </w:p>
    <w:p w14:paraId="63F307F6">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2）在发生</w:t>
      </w:r>
      <w:r>
        <w:rPr>
          <w:rFonts w:hint="eastAsia" w:ascii="宋体" w:hAnsi="宋体" w:cs="宋体"/>
          <w:sz w:val="18"/>
          <w:szCs w:val="18"/>
        </w:rPr>
        <w:t>产品管理人</w:t>
      </w:r>
      <w:r>
        <w:rPr>
          <w:rFonts w:hint="eastAsia" w:ascii="宋体" w:hAnsi="宋体" w:cs="宋体"/>
          <w:bCs/>
          <w:sz w:val="18"/>
          <w:szCs w:val="18"/>
        </w:rPr>
        <w:t>拒绝或暂停接受</w:t>
      </w:r>
      <w:r>
        <w:rPr>
          <w:rFonts w:ascii="宋体" w:hAnsi="宋体" w:cs="宋体"/>
          <w:bCs/>
          <w:sz w:val="18"/>
          <w:szCs w:val="18"/>
        </w:rPr>
        <w:t>投资者</w:t>
      </w:r>
      <w:r>
        <w:rPr>
          <w:rFonts w:hint="eastAsia" w:ascii="宋体" w:hAnsi="宋体" w:cs="宋体"/>
          <w:bCs/>
          <w:sz w:val="18"/>
          <w:szCs w:val="18"/>
        </w:rPr>
        <w:t>认购申请、暂停理财产品估值</w:t>
      </w:r>
      <w:r>
        <w:rPr>
          <w:rFonts w:ascii="宋体" w:hAnsi="宋体" w:cs="宋体"/>
          <w:bCs/>
          <w:sz w:val="18"/>
          <w:szCs w:val="18"/>
        </w:rPr>
        <w:t>等</w:t>
      </w:r>
      <w:r>
        <w:rPr>
          <w:rFonts w:hint="eastAsia" w:ascii="宋体" w:hAnsi="宋体" w:cs="宋体"/>
          <w:bCs/>
          <w:sz w:val="18"/>
          <w:szCs w:val="18"/>
        </w:rPr>
        <w:t>情形</w:t>
      </w:r>
      <w:r>
        <w:rPr>
          <w:rFonts w:ascii="宋体" w:hAnsi="宋体" w:cs="宋体"/>
          <w:bCs/>
          <w:sz w:val="18"/>
          <w:szCs w:val="18"/>
        </w:rPr>
        <w:t>时，</w:t>
      </w:r>
      <w:r>
        <w:rPr>
          <w:rFonts w:hint="eastAsia" w:ascii="宋体" w:hAnsi="宋体" w:cs="宋体"/>
          <w:sz w:val="18"/>
          <w:szCs w:val="18"/>
        </w:rPr>
        <w:t>产品管理人</w:t>
      </w:r>
      <w:r>
        <w:rPr>
          <w:rFonts w:hint="eastAsia" w:ascii="宋体" w:hAnsi="宋体" w:cs="宋体"/>
          <w:bCs/>
          <w:sz w:val="18"/>
          <w:szCs w:val="18"/>
        </w:rPr>
        <w:t>将</w:t>
      </w:r>
      <w:r>
        <w:rPr>
          <w:rFonts w:ascii="宋体" w:hAnsi="宋体" w:cs="宋体"/>
          <w:bCs/>
          <w:sz w:val="18"/>
          <w:szCs w:val="18"/>
        </w:rPr>
        <w:t>于3个</w:t>
      </w:r>
      <w:r>
        <w:rPr>
          <w:rFonts w:hint="eastAsia" w:ascii="宋体" w:hAnsi="宋体" w:cs="宋体"/>
          <w:bCs/>
          <w:sz w:val="18"/>
          <w:szCs w:val="18"/>
        </w:rPr>
        <w:t>交易</w:t>
      </w:r>
      <w:r>
        <w:rPr>
          <w:rFonts w:ascii="宋体" w:hAnsi="宋体" w:cs="宋体"/>
          <w:bCs/>
          <w:sz w:val="18"/>
          <w:szCs w:val="18"/>
        </w:rPr>
        <w:t>日</w:t>
      </w:r>
      <w:r>
        <w:rPr>
          <w:rFonts w:hint="eastAsia" w:ascii="宋体" w:hAnsi="宋体" w:cs="宋体"/>
          <w:bCs/>
          <w:sz w:val="18"/>
          <w:szCs w:val="18"/>
        </w:rPr>
        <w:t>内告知投资者，并说明运用相关措施的原因和拟采取的应对安排等</w:t>
      </w:r>
      <w:r>
        <w:rPr>
          <w:rFonts w:ascii="宋体" w:hAnsi="宋体" w:cs="宋体"/>
          <w:bCs/>
          <w:sz w:val="18"/>
          <w:szCs w:val="18"/>
        </w:rPr>
        <w:t>。</w:t>
      </w:r>
      <w:r>
        <w:rPr>
          <w:rFonts w:hint="eastAsia" w:ascii="宋体" w:hAnsi="宋体" w:cs="宋体"/>
          <w:bCs/>
          <w:sz w:val="18"/>
          <w:szCs w:val="18"/>
        </w:rPr>
        <w:t>在发生涉及产品认购事项调整时，管理人将发布临时公告。</w:t>
      </w:r>
    </w:p>
    <w:p w14:paraId="0122DD2E">
      <w:pPr>
        <w:spacing w:line="360" w:lineRule="auto"/>
        <w:ind w:firstLine="36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3）理财产品清算期超过5个工作日的，产品管理人应当在理财产品终止前，根据与投资者的约定，在指定渠道向理财产品投资者进行披露。</w:t>
      </w:r>
    </w:p>
    <w:p w14:paraId="4B5D3144">
      <w:pPr>
        <w:spacing w:line="360" w:lineRule="auto"/>
        <w:ind w:firstLine="361"/>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4）★在本产品存续期内，如因国家法律法规、监管规定发生变化，或是出于维护本产品正常运营的需要，在不损害投资者</w:t>
      </w:r>
      <w:r>
        <w:rPr>
          <w:rFonts w:hint="eastAsia" w:ascii="黑体" w:hAnsi="黑体" w:eastAsia="黑体" w:cs="宋体"/>
          <w:bCs/>
          <w:sz w:val="18"/>
          <w:szCs w:val="18"/>
        </w:rPr>
        <w:t>权益</w:t>
      </w:r>
      <w:r>
        <w:rPr>
          <w:rFonts w:ascii="黑体" w:hAnsi="黑体" w:eastAsia="黑体" w:cs="宋体"/>
          <w:bCs/>
          <w:sz w:val="18"/>
          <w:szCs w:val="18"/>
        </w:rPr>
        <w:t>的前提下，</w:t>
      </w:r>
      <w:r>
        <w:rPr>
          <w:rFonts w:hint="eastAsia" w:ascii="黑体" w:hAnsi="黑体" w:eastAsia="黑体" w:cs="宋体"/>
          <w:bCs/>
          <w:sz w:val="18"/>
          <w:szCs w:val="18"/>
        </w:rPr>
        <w:t>产品管理人</w:t>
      </w:r>
      <w:r>
        <w:rPr>
          <w:rFonts w:ascii="黑体" w:hAnsi="黑体" w:eastAsia="黑体" w:cs="宋体"/>
          <w:bCs/>
          <w:sz w:val="18"/>
          <w:szCs w:val="18"/>
        </w:rPr>
        <w:t>有权对</w:t>
      </w:r>
      <w:r>
        <w:rPr>
          <w:rFonts w:hint="eastAsia" w:ascii="黑体" w:hAnsi="黑体" w:eastAsia="黑体" w:cs="宋体"/>
          <w:bCs/>
          <w:sz w:val="18"/>
          <w:szCs w:val="18"/>
        </w:rPr>
        <w:t>理财产品销售文件</w:t>
      </w:r>
      <w:r>
        <w:rPr>
          <w:rFonts w:ascii="黑体" w:hAnsi="黑体" w:eastAsia="黑体" w:cs="宋体"/>
          <w:bCs/>
          <w:sz w:val="18"/>
          <w:szCs w:val="18"/>
        </w:rPr>
        <w:t>进行修订，并提前2个工作日进行</w:t>
      </w:r>
      <w:r>
        <w:rPr>
          <w:rFonts w:hint="eastAsia" w:ascii="黑体" w:hAnsi="黑体" w:eastAsia="黑体" w:cs="宋体"/>
          <w:bCs/>
          <w:sz w:val="18"/>
          <w:szCs w:val="18"/>
        </w:rPr>
        <w:t>公告</w:t>
      </w:r>
      <w:r>
        <w:rPr>
          <w:rFonts w:ascii="黑体" w:hAnsi="黑体" w:eastAsia="黑体" w:cs="宋体"/>
          <w:bCs/>
          <w:sz w:val="18"/>
          <w:szCs w:val="18"/>
        </w:rPr>
        <w:t>。</w:t>
      </w:r>
    </w:p>
    <w:p w14:paraId="6C756627">
      <w:pPr>
        <w:spacing w:line="360" w:lineRule="auto"/>
        <w:ind w:firstLine="36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5）其他临时性公告</w:t>
      </w:r>
    </w:p>
    <w:p w14:paraId="7AE8CD8D">
      <w:pPr>
        <w:spacing w:line="360" w:lineRule="auto"/>
        <w:ind w:firstLine="360"/>
        <w:rPr>
          <w:rFonts w:ascii="宋体" w:hAnsi="宋体" w:cs="宋体"/>
          <w:bCs/>
          <w:sz w:val="18"/>
          <w:szCs w:val="18"/>
        </w:rPr>
      </w:pPr>
      <w:r>
        <w:rPr>
          <w:rFonts w:hint="eastAsia" w:ascii="宋体" w:hAnsi="宋体" w:cs="宋体"/>
          <w:bCs/>
          <w:sz w:val="18"/>
          <w:szCs w:val="18"/>
        </w:rPr>
        <w:t>除前述事项外，如出现其他突发事件，需在事件发生后及时进行披露。</w:t>
      </w:r>
    </w:p>
    <w:p w14:paraId="2BE0FEE8">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cs="宋体"/>
          <w:bCs/>
          <w:sz w:val="18"/>
          <w:szCs w:val="18"/>
        </w:rPr>
        <w:t>并提前2个工作日进行</w:t>
      </w:r>
      <w:r>
        <w:rPr>
          <w:rFonts w:hint="eastAsia" w:ascii="黑体" w:hAnsi="黑体" w:eastAsia="黑体" w:cs="宋体"/>
          <w:bCs/>
          <w:sz w:val="18"/>
          <w:szCs w:val="18"/>
        </w:rPr>
        <w:t>公告。若投资者未选择退出本产品的，则视为已理解并接受管理人的相应变更。</w:t>
      </w:r>
    </w:p>
    <w:p w14:paraId="1896F9E0">
      <w:pPr>
        <w:widowControl/>
        <w:spacing w:line="360" w:lineRule="auto"/>
        <w:jc w:val="left"/>
        <w:rPr>
          <w:rFonts w:ascii="Calibri" w:hAnsi="Calibri" w:cs="宋体"/>
          <w:bCs/>
          <w:sz w:val="24"/>
          <w:szCs w:val="22"/>
        </w:rPr>
      </w:pPr>
      <w:r>
        <w:rPr>
          <w:rFonts w:ascii="Calibri" w:hAnsi="Calibri" w:cs="宋体"/>
          <w:bCs/>
          <w:sz w:val="24"/>
          <w:szCs w:val="22"/>
        </w:rPr>
        <w:br w:type="page"/>
      </w:r>
    </w:p>
    <w:p w14:paraId="00D02154">
      <w:pPr>
        <w:keepNext/>
        <w:keepLines/>
        <w:widowControl w:val="0"/>
        <w:spacing w:before="0" w:after="0" w:line="360" w:lineRule="auto"/>
        <w:jc w:val="center"/>
        <w:outlineLvl w:val="0"/>
        <w:rPr>
          <w:rFonts w:ascii="Times New Roman" w:hAnsi="Calibri" w:eastAsia="宋体" w:cs="宋体"/>
          <w:b w:val="0"/>
          <w:bCs/>
          <w:kern w:val="44"/>
          <w:sz w:val="30"/>
          <w:szCs w:val="44"/>
          <w:lang w:val="en-US" w:eastAsia="zh-CN" w:bidi="ar-SA"/>
        </w:rPr>
      </w:pPr>
      <w:bookmarkStart w:id="220" w:name="_Toc79154675"/>
      <w:bookmarkStart w:id="221" w:name="_Toc176189764"/>
      <w:r>
        <w:rPr>
          <w:rFonts w:hint="eastAsia" w:ascii="Times New Roman" w:hAnsi="Calibri" w:eastAsia="宋体" w:cs="宋体"/>
          <w:b/>
          <w:bCs/>
          <w:kern w:val="44"/>
          <w:sz w:val="30"/>
          <w:szCs w:val="44"/>
          <w:lang w:val="en-US" w:eastAsia="zh-CN" w:bidi="ar-SA"/>
        </w:rPr>
        <w:t>第十</w:t>
      </w:r>
      <w:r>
        <w:rPr>
          <w:rFonts w:ascii="Times New Roman" w:hAnsi="Calibri" w:eastAsia="宋体" w:cs="宋体"/>
          <w:b/>
          <w:bCs/>
          <w:kern w:val="44"/>
          <w:sz w:val="30"/>
          <w:szCs w:val="44"/>
          <w:lang w:val="en-US" w:eastAsia="zh-CN" w:bidi="ar-SA"/>
        </w:rPr>
        <w:t>二</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w:t>
      </w:r>
      <w:r>
        <w:rPr>
          <w:rFonts w:ascii="Times New Roman" w:hAnsi="Calibri" w:eastAsia="宋体" w:cs="宋体"/>
          <w:b/>
          <w:bCs/>
          <w:kern w:val="44"/>
          <w:sz w:val="30"/>
          <w:szCs w:val="44"/>
          <w:lang w:val="en-US" w:eastAsia="zh-CN" w:bidi="ar-SA"/>
        </w:rPr>
        <w:t>的风险揭示</w:t>
      </w:r>
      <w:bookmarkEnd w:id="220"/>
      <w:bookmarkEnd w:id="221"/>
    </w:p>
    <w:p w14:paraId="035A07DB">
      <w:pPr>
        <w:spacing w:line="360" w:lineRule="auto"/>
        <w:ind w:firstLine="361" w:firstLineChars="200"/>
        <w:rPr>
          <w:rFonts w:ascii="宋体" w:hAnsi="宋体" w:cs="宋体"/>
          <w:b/>
          <w:sz w:val="18"/>
          <w:szCs w:val="18"/>
        </w:rPr>
      </w:pPr>
      <w:r>
        <w:rPr>
          <w:rFonts w:hint="eastAsia" w:ascii="宋体" w:hAnsi="宋体" w:cs="宋体"/>
          <w:b/>
          <w:sz w:val="18"/>
          <w:szCs w:val="18"/>
        </w:rPr>
        <w:t>（一）投资者投资本产品可能面临的特定风险主要包括（但不限于）：</w:t>
      </w:r>
    </w:p>
    <w:p w14:paraId="4B9AF069">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【1.拟投资市场和资产的风险：</w:t>
      </w:r>
    </w:p>
    <w:p w14:paraId="6DA65172">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（1）投资债权类资产的风险</w:t>
      </w:r>
    </w:p>
    <w:p w14:paraId="4D6BC18B">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1）投资标准化债权类资产的风险</w:t>
      </w:r>
    </w:p>
    <w:p w14:paraId="32763A2E">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51CBAD5F">
      <w:pPr>
        <w:spacing w:line="360" w:lineRule="auto"/>
        <w:ind w:firstLine="360" w:firstLineChars="200"/>
        <w:rPr>
          <w:rFonts w:hint="eastAsia" w:ascii="宋体" w:hAnsi="宋体" w:cs="宋体"/>
          <w:sz w:val="18"/>
          <w:szCs w:val="18"/>
        </w:rPr>
      </w:pPr>
      <w:r>
        <w:rPr>
          <w:rFonts w:hint="eastAsia" w:ascii="宋体" w:hAnsi="宋体" w:cs="宋体"/>
          <w:sz w:val="18"/>
          <w:szCs w:val="18"/>
        </w:rPr>
        <w:t xml:space="preserve">（2）投资权益类资产的风险 </w:t>
      </w:r>
    </w:p>
    <w:p w14:paraId="79EC498E">
      <w:pPr>
        <w:spacing w:line="360" w:lineRule="auto"/>
        <w:ind w:firstLine="360" w:firstLineChars="200"/>
        <w:rPr>
          <w:rFonts w:hint="eastAsia" w:ascii="宋体" w:hAnsi="宋体" w:cs="宋体"/>
          <w:sz w:val="18"/>
          <w:szCs w:val="18"/>
        </w:rPr>
      </w:pPr>
      <w:r>
        <w:rPr>
          <w:rFonts w:hint="eastAsia" w:ascii="宋体" w:hAnsi="宋体" w:cs="宋体"/>
          <w:sz w:val="18"/>
          <w:szCs w:val="18"/>
        </w:rPr>
        <w:t>1）投资股票类资产的风险</w:t>
      </w:r>
    </w:p>
    <w:p w14:paraId="66E9ED3E">
      <w:pPr>
        <w:spacing w:line="360" w:lineRule="auto"/>
        <w:ind w:firstLine="360" w:firstLineChars="200"/>
        <w:rPr>
          <w:rFonts w:hint="eastAsia" w:ascii="宋体" w:hAnsi="宋体" w:cs="宋体"/>
          <w:sz w:val="18"/>
          <w:szCs w:val="18"/>
        </w:rPr>
      </w:pPr>
      <w:r>
        <w:rPr>
          <w:rFonts w:hint="eastAsia" w:ascii="宋体" w:hAnsi="宋体" w:cs="宋体"/>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14:paraId="312E8911">
      <w:pPr>
        <w:spacing w:line="360" w:lineRule="auto"/>
        <w:ind w:firstLine="360" w:firstLineChars="200"/>
        <w:rPr>
          <w:rFonts w:hint="eastAsia" w:ascii="宋体" w:hAnsi="宋体" w:cs="宋体"/>
          <w:sz w:val="18"/>
          <w:szCs w:val="18"/>
        </w:rPr>
      </w:pPr>
      <w:r>
        <w:rPr>
          <w:rFonts w:hint="eastAsia" w:ascii="宋体" w:hAnsi="宋体" w:cs="宋体"/>
          <w:sz w:val="18"/>
          <w:szCs w:val="18"/>
        </w:rPr>
        <w:t xml:space="preserve">（3）投资商品和金融衍生品类资产的风险 </w:t>
      </w:r>
    </w:p>
    <w:p w14:paraId="1A5E0182">
      <w:pPr>
        <w:spacing w:line="360" w:lineRule="auto"/>
        <w:ind w:firstLine="360" w:firstLineChars="200"/>
        <w:rPr>
          <w:rFonts w:ascii="宋体" w:hAnsi="宋体" w:cs="宋体"/>
          <w:sz w:val="18"/>
          <w:szCs w:val="18"/>
        </w:rPr>
      </w:pPr>
      <w:r>
        <w:rPr>
          <w:rFonts w:hint="eastAsia" w:ascii="宋体" w:hAnsi="宋体" w:cs="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14:paraId="20207451">
      <w:pPr>
        <w:widowControl w:val="0"/>
        <w:spacing w:line="360" w:lineRule="auto"/>
        <w:ind w:firstLine="361" w:firstLineChars="200"/>
        <w:jc w:val="both"/>
        <w:rPr>
          <w:rFonts w:ascii="宋体" w:hAnsi="宋体" w:eastAsia="宋体" w:cs="宋体"/>
          <w:kern w:val="2"/>
          <w:sz w:val="18"/>
          <w:szCs w:val="18"/>
          <w:lang w:val="en-US" w:eastAsia="zh-CN" w:bidi="ar-SA"/>
        </w:rPr>
      </w:pPr>
      <w:r>
        <w:rPr>
          <w:rFonts w:hint="eastAsia" w:ascii="黑体" w:hAnsi="黑体" w:eastAsia="黑体" w:cs="仿宋_GB2312"/>
          <w:b/>
          <w:kern w:val="0"/>
          <w:sz w:val="18"/>
          <w:szCs w:val="18"/>
          <w:lang w:val="en-US" w:eastAsia="zh-CN" w:bidi="ar-SA"/>
        </w:rPr>
        <w:t>★</w:t>
      </w:r>
      <w:r>
        <w:rPr>
          <w:rFonts w:hint="eastAsia" w:ascii="黑体" w:hAnsi="黑体" w:eastAsia="黑体" w:cs="宋体"/>
          <w:kern w:val="2"/>
          <w:sz w:val="18"/>
          <w:szCs w:val="18"/>
          <w:lang w:val="en-US" w:eastAsia="zh-CN" w:bidi="ar-SA"/>
        </w:rPr>
        <w:t>注：以上特定风险仅为列举性质，未能详尽列明投资本产品可能面临的全部风险和可能导致投资者投资本金及收益损失的所有因素。</w:t>
      </w:r>
    </w:p>
    <w:p w14:paraId="50C13A25">
      <w:pPr>
        <w:spacing w:line="360" w:lineRule="auto"/>
        <w:ind w:firstLine="361" w:firstLineChars="200"/>
        <w:rPr>
          <w:rFonts w:ascii="宋体" w:hAnsi="宋体" w:cs="宋体"/>
          <w:b/>
          <w:sz w:val="18"/>
          <w:szCs w:val="18"/>
        </w:rPr>
      </w:pPr>
      <w:r>
        <w:rPr>
          <w:rFonts w:hint="eastAsia" w:ascii="宋体" w:hAnsi="宋体" w:cs="宋体"/>
          <w:b/>
          <w:sz w:val="18"/>
          <w:szCs w:val="18"/>
        </w:rPr>
        <w:t xml:space="preserve">（二）投资者投资本产品可能面临的一般风险主要包括（但不限于）： </w:t>
      </w:r>
    </w:p>
    <w:p w14:paraId="12B1776D">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信用风险</w:t>
      </w:r>
    </w:p>
    <w:p w14:paraId="11F999D3">
      <w:pPr>
        <w:spacing w:line="360" w:lineRule="auto"/>
        <w:ind w:firstLine="360" w:firstLineChars="200"/>
        <w:rPr>
          <w:rFonts w:ascii="宋体" w:hAnsi="宋体" w:cs="宋体"/>
          <w:sz w:val="18"/>
          <w:szCs w:val="18"/>
        </w:rPr>
      </w:pPr>
      <w:r>
        <w:rPr>
          <w:rFonts w:hint="eastAsia" w:ascii="宋体" w:hAnsi="宋体" w:cs="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19D4D3CC">
      <w:pPr>
        <w:spacing w:line="360" w:lineRule="auto"/>
        <w:ind w:firstLine="360" w:firstLineChars="200"/>
        <w:rPr>
          <w:rFonts w:ascii="宋体" w:hAnsi="宋体" w:cs="宋体"/>
          <w:sz w:val="18"/>
          <w:szCs w:val="18"/>
        </w:rPr>
      </w:pPr>
      <w:r>
        <w:rPr>
          <w:rFonts w:ascii="宋体" w:hAnsi="宋体" w:cs="宋体"/>
          <w:sz w:val="18"/>
          <w:szCs w:val="18"/>
        </w:rPr>
        <w:t>2</w:t>
      </w:r>
      <w:r>
        <w:rPr>
          <w:rFonts w:hint="eastAsia" w:ascii="宋体" w:hAnsi="宋体" w:cs="宋体"/>
          <w:sz w:val="18"/>
          <w:szCs w:val="18"/>
        </w:rPr>
        <w:t>.</w:t>
      </w:r>
      <w:r>
        <w:rPr>
          <w:rFonts w:ascii="宋体" w:hAnsi="宋体" w:cs="宋体"/>
          <w:sz w:val="18"/>
          <w:szCs w:val="18"/>
        </w:rPr>
        <w:t>利率风险</w:t>
      </w:r>
    </w:p>
    <w:p w14:paraId="7FFEADC6">
      <w:pPr>
        <w:spacing w:line="360" w:lineRule="auto"/>
        <w:ind w:firstLine="360" w:firstLineChars="200"/>
        <w:rPr>
          <w:rFonts w:ascii="宋体" w:hAnsi="宋体" w:cs="宋体"/>
          <w:sz w:val="18"/>
          <w:szCs w:val="18"/>
        </w:rPr>
      </w:pPr>
      <w:r>
        <w:rPr>
          <w:rFonts w:hint="eastAsia" w:ascii="宋体" w:hAnsi="宋体" w:cs="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0D22EB00">
      <w:pPr>
        <w:spacing w:line="360" w:lineRule="auto"/>
        <w:ind w:firstLine="360" w:firstLineChars="200"/>
        <w:rPr>
          <w:rFonts w:ascii="宋体" w:hAnsi="宋体" w:cs="宋体"/>
          <w:sz w:val="18"/>
          <w:szCs w:val="18"/>
        </w:rPr>
      </w:pPr>
      <w:r>
        <w:rPr>
          <w:rFonts w:hint="eastAsia" w:ascii="宋体" w:hAnsi="宋体" w:cs="宋体"/>
          <w:sz w:val="18"/>
          <w:szCs w:val="18"/>
        </w:rPr>
        <w:t>3.市场</w:t>
      </w:r>
      <w:r>
        <w:rPr>
          <w:rFonts w:ascii="宋体" w:hAnsi="宋体" w:cs="宋体"/>
          <w:sz w:val="18"/>
          <w:szCs w:val="18"/>
        </w:rPr>
        <w:t>风险</w:t>
      </w:r>
    </w:p>
    <w:p w14:paraId="23AE3099">
      <w:pPr>
        <w:spacing w:line="360" w:lineRule="auto"/>
        <w:ind w:firstLine="360" w:firstLineChars="200"/>
        <w:rPr>
          <w:rFonts w:ascii="宋体" w:hAnsi="宋体" w:cs="宋体"/>
          <w:sz w:val="18"/>
          <w:szCs w:val="18"/>
        </w:rPr>
      </w:pPr>
      <w:r>
        <w:rPr>
          <w:rFonts w:hint="eastAsia" w:ascii="宋体" w:hAnsi="宋体" w:cs="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30A66D77">
      <w:pPr>
        <w:spacing w:line="360" w:lineRule="auto"/>
        <w:ind w:firstLine="360" w:firstLineChars="200"/>
        <w:rPr>
          <w:rFonts w:ascii="宋体" w:hAnsi="宋体" w:cs="宋体"/>
          <w:sz w:val="18"/>
          <w:szCs w:val="18"/>
        </w:rPr>
      </w:pPr>
      <w:r>
        <w:rPr>
          <w:rFonts w:hint="eastAsia" w:ascii="宋体" w:hAnsi="宋体" w:cs="宋体"/>
          <w:sz w:val="18"/>
          <w:szCs w:val="18"/>
        </w:rPr>
        <w:t>4.流动性风险</w:t>
      </w:r>
    </w:p>
    <w:p w14:paraId="5C87998F">
      <w:pPr>
        <w:spacing w:line="360" w:lineRule="auto"/>
        <w:ind w:firstLine="360" w:firstLineChars="200"/>
        <w:rPr>
          <w:rFonts w:ascii="宋体" w:hAnsi="宋体" w:cs="宋体"/>
          <w:sz w:val="18"/>
          <w:szCs w:val="18"/>
        </w:rPr>
      </w:pPr>
      <w:r>
        <w:rPr>
          <w:rFonts w:hint="eastAsia" w:ascii="宋体" w:hAnsi="宋体" w:cs="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14145795">
      <w:pPr>
        <w:spacing w:line="360" w:lineRule="auto"/>
        <w:ind w:firstLine="360" w:firstLineChars="200"/>
        <w:rPr>
          <w:rFonts w:ascii="宋体" w:hAnsi="宋体" w:cs="宋体"/>
          <w:sz w:val="18"/>
          <w:szCs w:val="18"/>
        </w:rPr>
      </w:pPr>
      <w:r>
        <w:rPr>
          <w:rFonts w:hint="eastAsia" w:ascii="宋体" w:hAnsi="宋体" w:cs="宋体"/>
          <w:sz w:val="18"/>
          <w:szCs w:val="18"/>
        </w:rPr>
        <w:t>5.</w:t>
      </w:r>
      <w:r>
        <w:rPr>
          <w:rFonts w:ascii="宋体" w:hAnsi="宋体" w:cs="宋体"/>
          <w:sz w:val="18"/>
          <w:szCs w:val="18"/>
        </w:rPr>
        <w:t>法律与政策风险</w:t>
      </w:r>
    </w:p>
    <w:p w14:paraId="6A0BC722">
      <w:pPr>
        <w:spacing w:line="360" w:lineRule="auto"/>
        <w:ind w:firstLine="360" w:firstLineChars="200"/>
        <w:rPr>
          <w:rFonts w:ascii="宋体" w:hAnsi="宋体" w:cs="宋体"/>
          <w:sz w:val="18"/>
          <w:szCs w:val="18"/>
        </w:rPr>
      </w:pPr>
      <w:r>
        <w:rPr>
          <w:rFonts w:hint="eastAsia" w:ascii="宋体" w:hAnsi="宋体" w:cs="宋体"/>
          <w:sz w:val="18"/>
          <w:szCs w:val="18"/>
        </w:rPr>
        <w:t>国家监管政策、货币政策、财政税收政策、产业政策、宏观政策及相关法律、法规的调整与变化将会影响本产品的设立、投资及管理等的正常运行，甚至导致本产品发生损失。</w:t>
      </w:r>
    </w:p>
    <w:p w14:paraId="5923CB9D">
      <w:pPr>
        <w:spacing w:line="360" w:lineRule="auto"/>
        <w:ind w:firstLine="360" w:firstLineChars="200"/>
        <w:rPr>
          <w:rFonts w:ascii="宋体" w:hAnsi="宋体" w:cs="宋体"/>
          <w:sz w:val="18"/>
          <w:szCs w:val="18"/>
        </w:rPr>
      </w:pPr>
      <w:r>
        <w:rPr>
          <w:rFonts w:hint="eastAsia" w:ascii="宋体" w:hAnsi="宋体" w:cs="宋体"/>
          <w:sz w:val="18"/>
          <w:szCs w:val="18"/>
        </w:rPr>
        <w:t>6.</w:t>
      </w:r>
      <w:r>
        <w:rPr>
          <w:rFonts w:ascii="宋体" w:hAnsi="宋体" w:cs="宋体"/>
          <w:sz w:val="18"/>
          <w:szCs w:val="18"/>
        </w:rPr>
        <w:t>延期</w:t>
      </w:r>
      <w:r>
        <w:rPr>
          <w:rFonts w:hint="eastAsia" w:ascii="宋体" w:hAnsi="宋体" w:cs="宋体"/>
          <w:sz w:val="18"/>
          <w:szCs w:val="18"/>
        </w:rPr>
        <w:t>终止</w:t>
      </w:r>
      <w:r>
        <w:rPr>
          <w:rFonts w:ascii="宋体" w:hAnsi="宋体" w:cs="宋体"/>
          <w:sz w:val="18"/>
          <w:szCs w:val="18"/>
        </w:rPr>
        <w:t>风险</w:t>
      </w:r>
    </w:p>
    <w:p w14:paraId="6F2379B8">
      <w:pPr>
        <w:spacing w:line="360" w:lineRule="auto"/>
        <w:ind w:firstLine="360" w:firstLineChars="200"/>
        <w:rPr>
          <w:rFonts w:ascii="宋体" w:hAnsi="宋体" w:cs="宋体"/>
          <w:sz w:val="18"/>
          <w:szCs w:val="18"/>
        </w:rPr>
      </w:pPr>
      <w:r>
        <w:rPr>
          <w:rFonts w:hint="eastAsia" w:ascii="宋体" w:hAnsi="宋体" w:cs="宋体"/>
          <w:sz w:val="18"/>
          <w:szCs w:val="18"/>
        </w:rPr>
        <w:t>指因市场内部和外部的原因导致理财基础资产不能及时变现而造成理财产品不能按时分配，理财期限将相应延长，从而导致本产品部分资金的延期分配。</w:t>
      </w:r>
    </w:p>
    <w:p w14:paraId="7E6CC5D3">
      <w:pPr>
        <w:spacing w:line="360" w:lineRule="auto"/>
        <w:ind w:firstLine="360" w:firstLineChars="200"/>
        <w:rPr>
          <w:rFonts w:ascii="宋体" w:hAnsi="宋体" w:cs="宋体"/>
          <w:sz w:val="18"/>
          <w:szCs w:val="18"/>
        </w:rPr>
      </w:pPr>
      <w:r>
        <w:rPr>
          <w:rFonts w:hint="eastAsia" w:ascii="宋体" w:hAnsi="宋体" w:cs="宋体"/>
          <w:sz w:val="18"/>
          <w:szCs w:val="18"/>
        </w:rPr>
        <w:t>7.</w:t>
      </w:r>
      <w:r>
        <w:rPr>
          <w:rFonts w:ascii="宋体" w:hAnsi="宋体" w:cs="宋体"/>
          <w:sz w:val="18"/>
          <w:szCs w:val="18"/>
        </w:rPr>
        <w:t>提前终止风险</w:t>
      </w:r>
    </w:p>
    <w:p w14:paraId="4C3EE19F">
      <w:pPr>
        <w:spacing w:line="360" w:lineRule="auto"/>
        <w:ind w:firstLine="360" w:firstLineChars="200"/>
        <w:rPr>
          <w:rFonts w:ascii="宋体" w:hAnsi="宋体" w:cs="宋体"/>
          <w:sz w:val="18"/>
          <w:szCs w:val="18"/>
        </w:rPr>
      </w:pPr>
      <w:r>
        <w:rPr>
          <w:rFonts w:hint="eastAsia" w:ascii="宋体" w:hAnsi="宋体" w:cs="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6D422C26">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8</w:t>
      </w:r>
      <w:r>
        <w:rPr>
          <w:rFonts w:ascii="黑体" w:hAnsi="黑体" w:eastAsia="黑体" w:cs="宋体"/>
          <w:sz w:val="18"/>
          <w:szCs w:val="18"/>
        </w:rPr>
        <w:t>.★信息传递风险</w:t>
      </w:r>
    </w:p>
    <w:p w14:paraId="203C6DAE">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投资者需要通过约定的信息披露渠道了解产品相关信息公告。具体公告方式以理财产品</w:t>
      </w:r>
      <w:r>
        <w:rPr>
          <w:rFonts w:ascii="黑体" w:hAnsi="黑体" w:eastAsia="黑体" w:cs="宋体"/>
          <w:sz w:val="18"/>
          <w:szCs w:val="18"/>
        </w:rPr>
        <w:t>销售文件</w:t>
      </w:r>
      <w:r>
        <w:rPr>
          <w:rFonts w:hint="eastAsia" w:ascii="黑体" w:hAnsi="黑体" w:eastAsia="黑体" w:cs="宋体"/>
          <w:sz w:val="18"/>
          <w:szCs w:val="18"/>
        </w:rPr>
        <w:t>所载明的公告方式为准。投资者应根据本产品说明书所载明的公告方式及时查询本理财产品的相关信息。</w:t>
      </w:r>
      <w:r>
        <w:rPr>
          <w:rFonts w:ascii="黑体" w:hAnsi="黑体" w:eastAsia="黑体" w:cs="宋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cs="宋体"/>
          <w:sz w:val="18"/>
          <w:szCs w:val="18"/>
        </w:rPr>
        <w:t>产品管理人</w:t>
      </w:r>
      <w:r>
        <w:rPr>
          <w:rFonts w:ascii="黑体" w:hAnsi="黑体" w:eastAsia="黑体" w:cs="宋体"/>
          <w:sz w:val="18"/>
          <w:szCs w:val="18"/>
        </w:rPr>
        <w:t>的，致使在需要联系投资者时无法及时联系并可能会由此影响投资者的投资决策，由此而产生的责任和风险由投资者自行承担。</w:t>
      </w:r>
    </w:p>
    <w:p w14:paraId="78FDCD01">
      <w:pPr>
        <w:spacing w:line="360" w:lineRule="auto"/>
        <w:ind w:firstLine="360" w:firstLineChars="200"/>
        <w:rPr>
          <w:rFonts w:ascii="宋体" w:hAnsi="宋体" w:cs="宋体"/>
          <w:sz w:val="18"/>
          <w:szCs w:val="18"/>
        </w:rPr>
      </w:pPr>
      <w:r>
        <w:rPr>
          <w:rFonts w:hint="eastAsia" w:ascii="宋体" w:hAnsi="宋体" w:cs="宋体"/>
          <w:sz w:val="18"/>
          <w:szCs w:val="18"/>
        </w:rPr>
        <w:t>9.</w:t>
      </w:r>
      <w:r>
        <w:rPr>
          <w:rFonts w:ascii="宋体" w:hAnsi="宋体" w:cs="宋体"/>
          <w:sz w:val="18"/>
          <w:szCs w:val="18"/>
        </w:rPr>
        <w:t>不可抗力及意外事件风险</w:t>
      </w:r>
    </w:p>
    <w:p w14:paraId="59963DD9">
      <w:pPr>
        <w:spacing w:line="360" w:lineRule="auto"/>
        <w:ind w:firstLine="360" w:firstLineChars="200"/>
        <w:rPr>
          <w:rFonts w:ascii="宋体" w:hAnsi="宋体" w:cs="宋体"/>
          <w:sz w:val="18"/>
          <w:szCs w:val="18"/>
        </w:rPr>
      </w:pPr>
      <w:r>
        <w:rPr>
          <w:rFonts w:hint="eastAsia" w:ascii="宋体" w:hAnsi="宋体" w:cs="宋体"/>
          <w:sz w:val="18"/>
          <w:szCs w:val="18"/>
        </w:rPr>
        <w:t>因战争、自然灾害、重大政治事件等不可抗力以及其他不可预见的意外事件可能致使理财产品面临损失的风险。</w:t>
      </w:r>
    </w:p>
    <w:p w14:paraId="09BDCF66">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0.</w:t>
      </w:r>
      <w:r>
        <w:rPr>
          <w:rFonts w:ascii="宋体" w:hAnsi="宋体" w:cs="宋体"/>
          <w:sz w:val="18"/>
          <w:szCs w:val="18"/>
        </w:rPr>
        <w:t>管理人风险</w:t>
      </w:r>
    </w:p>
    <w:p w14:paraId="5E46F4DA">
      <w:pPr>
        <w:spacing w:line="360" w:lineRule="auto"/>
        <w:ind w:firstLine="360" w:firstLineChars="200"/>
        <w:rPr>
          <w:rFonts w:ascii="宋体" w:hAnsi="宋体" w:cs="宋体"/>
          <w:bCs/>
          <w:sz w:val="18"/>
          <w:szCs w:val="18"/>
        </w:rPr>
      </w:pPr>
      <w:r>
        <w:rPr>
          <w:rFonts w:hint="eastAsia" w:ascii="宋体" w:hAnsi="宋体" w:cs="宋体"/>
          <w:sz w:val="18"/>
          <w:szCs w:val="18"/>
        </w:rPr>
        <w:t>理财产品管理人或理财投资资产相关服务机构受经验、技能等因素的限制，或者上述主体处理事务不当等，可能导致投资者遭受损失。</w:t>
      </w:r>
    </w:p>
    <w:p w14:paraId="646A4D66">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1.理财产品不成立风险</w:t>
      </w:r>
    </w:p>
    <w:p w14:paraId="2D14D35F">
      <w:pPr>
        <w:spacing w:line="360" w:lineRule="auto"/>
        <w:ind w:firstLine="360" w:firstLineChars="200"/>
        <w:rPr>
          <w:rFonts w:ascii="宋体" w:hAnsi="宋体" w:cs="宋体"/>
          <w:sz w:val="18"/>
          <w:szCs w:val="18"/>
        </w:rPr>
      </w:pPr>
      <w:r>
        <w:rPr>
          <w:rFonts w:hint="eastAsia" w:ascii="宋体" w:hAnsi="宋体" w:cs="宋体"/>
          <w:sz w:val="18"/>
          <w:szCs w:val="18"/>
        </w:rPr>
        <w:t>如自本产品开始募集至认购期结束认购总金额未达到产品最小成立规模（如有约定），或</w:t>
      </w:r>
      <w:r>
        <w:rPr>
          <w:rFonts w:ascii="宋体" w:hAnsi="宋体" w:cs="宋体"/>
          <w:sz w:val="18"/>
          <w:szCs w:val="18"/>
        </w:rPr>
        <w:t>融资人取消</w:t>
      </w:r>
      <w:r>
        <w:rPr>
          <w:rFonts w:hint="eastAsia" w:ascii="宋体" w:hAnsi="宋体" w:cs="宋体"/>
          <w:sz w:val="18"/>
          <w:szCs w:val="18"/>
        </w:rPr>
        <w:t>融资</w:t>
      </w:r>
      <w:r>
        <w:rPr>
          <w:rFonts w:ascii="宋体" w:hAnsi="宋体" w:cs="宋体"/>
          <w:sz w:val="18"/>
          <w:szCs w:val="18"/>
        </w:rPr>
        <w:t>计划，</w:t>
      </w:r>
      <w:r>
        <w:rPr>
          <w:rFonts w:hint="eastAsia" w:ascii="宋体" w:hAnsi="宋体" w:cs="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cs="宋体"/>
          <w:sz w:val="18"/>
          <w:szCs w:val="18"/>
        </w:rPr>
        <w:t>及时返还投资者资金</w:t>
      </w:r>
      <w:r>
        <w:rPr>
          <w:rFonts w:hint="eastAsia" w:ascii="宋体" w:hAnsi="宋体" w:cs="宋体"/>
          <w:sz w:val="18"/>
          <w:szCs w:val="18"/>
        </w:rPr>
        <w:t>，投资者将承担投资本产品不成立的风险。</w:t>
      </w:r>
    </w:p>
    <w:p w14:paraId="4E4C6BC5">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2.</w:t>
      </w:r>
      <w:r>
        <w:rPr>
          <w:rFonts w:ascii="宋体" w:hAnsi="宋体" w:cs="宋体"/>
          <w:sz w:val="18"/>
          <w:szCs w:val="18"/>
        </w:rPr>
        <w:t>操作风险</w:t>
      </w:r>
    </w:p>
    <w:p w14:paraId="5AEA4295">
      <w:pPr>
        <w:spacing w:line="360" w:lineRule="auto"/>
        <w:ind w:firstLine="360" w:firstLineChars="200"/>
        <w:rPr>
          <w:rFonts w:ascii="宋体" w:hAnsi="宋体" w:cs="宋体"/>
          <w:sz w:val="18"/>
          <w:szCs w:val="18"/>
        </w:rPr>
      </w:pPr>
      <w:r>
        <w:rPr>
          <w:rFonts w:hint="eastAsia" w:ascii="宋体" w:hAnsi="宋体" w:cs="宋体"/>
          <w:sz w:val="18"/>
          <w:szCs w:val="18"/>
        </w:rPr>
        <w:t>由于产品管理人的</w:t>
      </w:r>
      <w:r>
        <w:rPr>
          <w:rFonts w:ascii="宋体" w:hAnsi="宋体" w:cs="宋体"/>
          <w:sz w:val="18"/>
          <w:szCs w:val="18"/>
        </w:rPr>
        <w:t>不完善或有问题的内部程序、员工和信息科技系统，以及外部事件所造成损失的风险。</w:t>
      </w:r>
    </w:p>
    <w:p w14:paraId="665FB145">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3</w:t>
      </w:r>
      <w:r>
        <w:rPr>
          <w:rFonts w:ascii="宋体" w:hAnsi="宋体" w:cs="宋体"/>
          <w:sz w:val="18"/>
          <w:szCs w:val="18"/>
        </w:rPr>
        <w:t>.估值</w:t>
      </w:r>
      <w:r>
        <w:rPr>
          <w:rFonts w:hint="eastAsia" w:ascii="宋体" w:hAnsi="宋体" w:cs="宋体"/>
          <w:sz w:val="18"/>
          <w:szCs w:val="18"/>
        </w:rPr>
        <w:t>波动</w:t>
      </w:r>
      <w:r>
        <w:rPr>
          <w:rFonts w:ascii="宋体" w:hAnsi="宋体" w:cs="宋体"/>
          <w:sz w:val="18"/>
          <w:szCs w:val="18"/>
        </w:rPr>
        <w:t>风险</w:t>
      </w:r>
    </w:p>
    <w:p w14:paraId="48A74DED">
      <w:pPr>
        <w:spacing w:line="360" w:lineRule="auto"/>
        <w:ind w:firstLine="360" w:firstLineChars="200"/>
        <w:rPr>
          <w:rFonts w:ascii="宋体" w:hAnsi="宋体" w:cs="宋体"/>
          <w:sz w:val="18"/>
          <w:szCs w:val="18"/>
        </w:rPr>
      </w:pPr>
      <w:r>
        <w:rPr>
          <w:rFonts w:hint="eastAsia" w:ascii="宋体" w:hAnsi="宋体" w:cs="宋体"/>
          <w:sz w:val="18"/>
          <w:szCs w:val="18"/>
        </w:rPr>
        <w:t>本理财产品可能</w:t>
      </w:r>
      <w:r>
        <w:rPr>
          <w:rFonts w:ascii="宋体" w:hAnsi="宋体" w:cs="宋体"/>
          <w:sz w:val="18"/>
          <w:szCs w:val="18"/>
        </w:rPr>
        <w:t>投资符合监管</w:t>
      </w:r>
      <w:r>
        <w:rPr>
          <w:rFonts w:hint="eastAsia" w:ascii="宋体" w:hAnsi="宋体" w:cs="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cs="宋体"/>
          <w:sz w:val="18"/>
          <w:szCs w:val="18"/>
        </w:rPr>
        <w:t>业绩报酬，</w:t>
      </w:r>
      <w:r>
        <w:rPr>
          <w:rFonts w:hint="eastAsia" w:ascii="宋体" w:hAnsi="宋体" w:cs="宋体"/>
          <w:sz w:val="18"/>
          <w:szCs w:val="18"/>
        </w:rPr>
        <w:t>当前述资产管理产品计提业绩报酬时，本理财产品的产品份额净值存在下跌的风险。</w:t>
      </w:r>
    </w:p>
    <w:p w14:paraId="37A4AE03">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4.</w:t>
      </w:r>
      <w:r>
        <w:rPr>
          <w:rFonts w:ascii="宋体" w:hAnsi="宋体" w:cs="宋体"/>
          <w:sz w:val="18"/>
          <w:szCs w:val="18"/>
        </w:rPr>
        <w:t>估值差错风险</w:t>
      </w:r>
    </w:p>
    <w:p w14:paraId="7E3FF7F0">
      <w:pPr>
        <w:spacing w:line="360" w:lineRule="auto"/>
        <w:ind w:firstLine="360" w:firstLineChars="200"/>
        <w:rPr>
          <w:rFonts w:ascii="宋体" w:hAnsi="宋体" w:cs="宋体"/>
          <w:sz w:val="18"/>
          <w:szCs w:val="18"/>
        </w:rPr>
      </w:pPr>
      <w:r>
        <w:rPr>
          <w:rFonts w:hint="eastAsia" w:ascii="宋体" w:hAnsi="宋体" w:cs="宋体"/>
          <w:sz w:val="18"/>
          <w:szCs w:val="18"/>
        </w:rPr>
        <w:t>理财投资基础资产时涉及对资产估值不准确、及时的，理财产品管理人及产品托管人对理财产品费用计提出现错误，将导致本产品估值差错，可能影响理财产品份额净值。</w:t>
      </w:r>
    </w:p>
    <w:p w14:paraId="47C21D22">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14:paraId="4EF28DE7">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53D4B857">
      <w:pPr>
        <w:spacing w:line="360" w:lineRule="auto"/>
        <w:ind w:firstLine="360" w:firstLineChars="200"/>
        <w:rPr>
          <w:rFonts w:ascii="黑体" w:hAnsi="黑体" w:eastAsia="黑体" w:cs="宋体"/>
          <w:sz w:val="18"/>
          <w:szCs w:val="18"/>
        </w:rPr>
      </w:pPr>
      <w:r>
        <w:rPr>
          <w:rFonts w:ascii="黑体" w:hAnsi="黑体" w:eastAsia="黑体" w:cs="宋体"/>
          <w:sz w:val="18"/>
          <w:szCs w:val="18"/>
        </w:rPr>
        <w:t>1</w:t>
      </w:r>
      <w:r>
        <w:rPr>
          <w:rFonts w:hint="eastAsia" w:ascii="黑体" w:hAnsi="黑体" w:eastAsia="黑体" w:cs="宋体"/>
          <w:sz w:val="18"/>
          <w:szCs w:val="18"/>
        </w:rPr>
        <w:t>6</w:t>
      </w:r>
      <w:r>
        <w:rPr>
          <w:rFonts w:ascii="黑体" w:hAnsi="黑体" w:eastAsia="黑体" w:cs="宋体"/>
          <w:sz w:val="18"/>
          <w:szCs w:val="18"/>
        </w:rPr>
        <w:t>.</w:t>
      </w:r>
      <w:r>
        <w:rPr>
          <w:rFonts w:hint="eastAsia" w:ascii="黑体" w:hAnsi="黑体" w:eastAsia="黑体" w:cs="宋体"/>
          <w:sz w:val="18"/>
          <w:szCs w:val="18"/>
        </w:rPr>
        <w:t>★不同理财产品份额类别存在差异的风险</w:t>
      </w:r>
    </w:p>
    <w:p w14:paraId="6E9F49A8">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理财产品管理人可根据投资者购买理财产品的金额、销售</w:t>
      </w:r>
      <w:r>
        <w:rPr>
          <w:rFonts w:ascii="黑体" w:hAnsi="黑体" w:eastAsia="黑体" w:cs="宋体"/>
          <w:sz w:val="18"/>
          <w:szCs w:val="18"/>
        </w:rPr>
        <w:t>渠道</w:t>
      </w:r>
      <w:r>
        <w:rPr>
          <w:rFonts w:hint="eastAsia" w:ascii="黑体" w:hAnsi="黑体" w:eastAsia="黑体" w:cs="宋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cs="宋体"/>
          <w:sz w:val="18"/>
          <w:szCs w:val="18"/>
        </w:rPr>
        <w:t>起点金额</w:t>
      </w:r>
      <w:r>
        <w:rPr>
          <w:rFonts w:hint="eastAsia" w:ascii="黑体" w:hAnsi="黑体" w:eastAsia="黑体" w:cs="宋体"/>
          <w:sz w:val="18"/>
          <w:szCs w:val="18"/>
        </w:rPr>
        <w:t>）、投资者认购申购和赎回的数量限制、投资者持有本产品的最高限额最低限额、计算和公告产品份额净值方面存在差异。</w:t>
      </w:r>
    </w:p>
    <w:p w14:paraId="73A04E8E">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17.★关联交易风险</w:t>
      </w:r>
    </w:p>
    <w:p w14:paraId="034360B6">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5AA008A0">
      <w:pPr>
        <w:spacing w:line="360" w:lineRule="auto"/>
        <w:ind w:firstLine="360" w:firstLineChars="200"/>
        <w:rPr>
          <w:rFonts w:ascii="Calibri" w:hAnsi="宋体" w:cs="宋体"/>
          <w:sz w:val="18"/>
          <w:szCs w:val="18"/>
        </w:rPr>
      </w:pPr>
      <w:r>
        <w:rPr>
          <w:rFonts w:hint="eastAsia" w:ascii="黑体" w:hAnsi="黑体" w:eastAsia="黑体" w:cs="宋体"/>
          <w:sz w:val="18"/>
          <w:szCs w:val="18"/>
        </w:rPr>
        <w:t>（</w:t>
      </w:r>
      <w:r>
        <w:rPr>
          <w:rFonts w:ascii="黑体" w:hAnsi="黑体" w:eastAsia="黑体" w:cs="宋体"/>
          <w:sz w:val="18"/>
          <w:szCs w:val="18"/>
        </w:rPr>
        <w:t>三</w:t>
      </w:r>
      <w:r>
        <w:rPr>
          <w:rFonts w:hint="eastAsia" w:ascii="黑体" w:hAnsi="黑体" w:eastAsia="黑体" w:cs="宋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cs="宋体"/>
          <w:sz w:val="18"/>
          <w:szCs w:val="18"/>
        </w:rPr>
        <w:t>，甚至投资者的投资本金将遭受损失，在最不利的极端情况下，投资者可能损失全部本金。</w:t>
      </w:r>
    </w:p>
    <w:p w14:paraId="40F25802">
      <w:pPr>
        <w:widowControl/>
        <w:jc w:val="left"/>
        <w:rPr>
          <w:rFonts w:ascii="宋体" w:hAnsi="宋体" w:cs="宋体"/>
          <w:color w:val="000000"/>
          <w:kern w:val="0"/>
          <w:sz w:val="18"/>
          <w:szCs w:val="18"/>
        </w:rPr>
      </w:pPr>
      <w:r>
        <w:rPr>
          <w:rFonts w:ascii="Calibri" w:hAnsi="宋体" w:cs="宋体"/>
          <w:sz w:val="18"/>
          <w:szCs w:val="18"/>
        </w:rPr>
        <w:br w:type="page"/>
      </w:r>
    </w:p>
    <w:tbl>
      <w:tblPr>
        <w:tblStyle w:val="8"/>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14:paraId="54892F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14:paraId="1212FCCB">
            <w:pPr>
              <w:spacing w:line="280" w:lineRule="atLeast"/>
              <w:ind w:firstLine="422"/>
              <w:jc w:val="center"/>
              <w:rPr>
                <w:rFonts w:ascii="宋体" w:hAnsi="宋体" w:cs="Arial"/>
                <w:b/>
                <w:szCs w:val="21"/>
              </w:rPr>
            </w:pPr>
            <w:r>
              <w:rPr>
                <w:rFonts w:hint="eastAsia" w:ascii="宋体" w:hAnsi="宋体" w:cs="Arial"/>
                <w:b/>
                <w:szCs w:val="21"/>
              </w:rPr>
              <w:t>投资者确认栏</w:t>
            </w:r>
          </w:p>
          <w:p w14:paraId="0AF2D6AA">
            <w:pPr>
              <w:spacing w:line="360" w:lineRule="auto"/>
              <w:ind w:firstLine="361"/>
              <w:rPr>
                <w:rFonts w:ascii="Calibri" w:hAnsi="Calibri" w:cs="宋体"/>
                <w:b/>
                <w:sz w:val="18"/>
                <w:szCs w:val="18"/>
              </w:rPr>
            </w:pPr>
          </w:p>
        </w:tc>
      </w:tr>
      <w:tr w14:paraId="645FBA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14:paraId="1AF21AB4">
            <w:pPr>
              <w:spacing w:line="360" w:lineRule="auto"/>
              <w:jc w:val="left"/>
              <w:rPr>
                <w:rFonts w:ascii="Calibri" w:hAnsi="Calibri" w:cs="宋体"/>
                <w:b/>
                <w:sz w:val="18"/>
                <w:szCs w:val="18"/>
              </w:rPr>
            </w:pPr>
            <w:r>
              <w:rPr>
                <w:rFonts w:hint="eastAsia" w:ascii="Calibri" w:hAnsi="Calibri" w:cs="宋体"/>
                <w:b/>
                <w:sz w:val="18"/>
                <w:szCs w:val="18"/>
              </w:rPr>
              <w:t>个人投资者适用</w:t>
            </w:r>
          </w:p>
        </w:tc>
        <w:tc>
          <w:tcPr>
            <w:tcW w:w="7371" w:type="dxa"/>
          </w:tcPr>
          <w:p w14:paraId="5446D47E">
            <w:pPr>
              <w:spacing w:line="360" w:lineRule="auto"/>
              <w:ind w:firstLine="360"/>
              <w:jc w:val="left"/>
              <w:rPr>
                <w:rFonts w:ascii="Calibri" w:hAnsi="Calibri" w:cs="宋体"/>
                <w:sz w:val="18"/>
                <w:szCs w:val="18"/>
              </w:rPr>
            </w:pPr>
            <w:r>
              <w:rPr>
                <w:rFonts w:hint="eastAsia" w:ascii="Calibri" w:hAnsi="Calibri" w:cs="宋体"/>
                <w:sz w:val="18"/>
                <w:szCs w:val="18"/>
              </w:rPr>
              <w:t>投资者（</w:t>
            </w:r>
            <w:r>
              <w:rPr>
                <w:rFonts w:ascii="Calibri" w:hAnsi="Calibri" w:cs="宋体"/>
                <w:sz w:val="18"/>
                <w:szCs w:val="18"/>
              </w:rPr>
              <w:t>签名/</w:t>
            </w:r>
            <w:r>
              <w:rPr>
                <w:rFonts w:hint="eastAsia" w:ascii="Calibri" w:hAnsi="Calibri" w:cs="宋体"/>
                <w:sz w:val="18"/>
                <w:szCs w:val="18"/>
              </w:rPr>
              <w:t>线上确认）：</w:t>
            </w:r>
          </w:p>
          <w:p w14:paraId="6F8EBF7D">
            <w:pPr>
              <w:spacing w:line="360" w:lineRule="auto"/>
              <w:ind w:firstLine="361"/>
              <w:jc w:val="left"/>
              <w:rPr>
                <w:rFonts w:ascii="Calibri" w:hAnsi="Calibri" w:cs="宋体"/>
                <w:b/>
                <w:sz w:val="18"/>
                <w:szCs w:val="18"/>
              </w:rPr>
            </w:pPr>
          </w:p>
          <w:p w14:paraId="5DC06953">
            <w:pPr>
              <w:spacing w:line="360" w:lineRule="auto"/>
              <w:ind w:firstLine="360"/>
              <w:jc w:val="left"/>
              <w:rPr>
                <w:rFonts w:ascii="Calibri" w:hAnsi="Calibri" w:cs="宋体"/>
                <w:sz w:val="18"/>
                <w:szCs w:val="18"/>
              </w:rPr>
            </w:pPr>
            <w:r>
              <w:rPr>
                <w:rFonts w:hint="eastAsia" w:ascii="Calibri" w:hAnsi="Calibri" w:cs="宋体"/>
                <w:sz w:val="18"/>
                <w:szCs w:val="18"/>
              </w:rPr>
              <w:t>日期：</w:t>
            </w:r>
          </w:p>
        </w:tc>
      </w:tr>
      <w:tr w14:paraId="4D9C94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14:paraId="022083BE">
            <w:pPr>
              <w:spacing w:line="360" w:lineRule="auto"/>
              <w:jc w:val="left"/>
              <w:rPr>
                <w:rFonts w:ascii="Calibri" w:hAnsi="Calibri" w:cs="宋体"/>
                <w:b/>
                <w:sz w:val="18"/>
                <w:szCs w:val="18"/>
              </w:rPr>
            </w:pPr>
            <w:r>
              <w:rPr>
                <w:rFonts w:hint="eastAsia" w:ascii="Calibri" w:hAnsi="Calibri" w:cs="宋体"/>
                <w:b/>
                <w:sz w:val="18"/>
                <w:szCs w:val="18"/>
              </w:rPr>
              <w:t>机构投资者适用</w:t>
            </w:r>
          </w:p>
        </w:tc>
        <w:tc>
          <w:tcPr>
            <w:tcW w:w="7371" w:type="dxa"/>
          </w:tcPr>
          <w:p w14:paraId="0F95C9CA">
            <w:pPr>
              <w:spacing w:line="360" w:lineRule="auto"/>
              <w:ind w:firstLine="360"/>
              <w:jc w:val="left"/>
              <w:rPr>
                <w:rFonts w:ascii="Calibri" w:hAnsi="Calibri" w:cs="Arial"/>
                <w:sz w:val="18"/>
                <w:szCs w:val="18"/>
              </w:rPr>
            </w:pPr>
            <w:r>
              <w:rPr>
                <w:rFonts w:hint="eastAsia" w:ascii="Calibri" w:hAnsi="Calibri" w:cs="宋体"/>
                <w:sz w:val="18"/>
                <w:szCs w:val="18"/>
              </w:rPr>
              <w:t>投资者</w:t>
            </w:r>
            <w:r>
              <w:rPr>
                <w:rFonts w:hint="eastAsia" w:ascii="Calibri" w:hAnsi="Calibri" w:cs="Arial"/>
                <w:sz w:val="18"/>
                <w:szCs w:val="18"/>
              </w:rPr>
              <w:t>（盖章</w:t>
            </w:r>
            <w:r>
              <w:rPr>
                <w:rFonts w:ascii="Calibri" w:hAnsi="Calibri" w:cs="Arial"/>
                <w:sz w:val="18"/>
                <w:szCs w:val="18"/>
              </w:rPr>
              <w:t>/</w:t>
            </w:r>
            <w:r>
              <w:rPr>
                <w:rFonts w:hint="eastAsia" w:ascii="Calibri" w:hAnsi="Calibri" w:cs="Arial"/>
                <w:sz w:val="18"/>
                <w:szCs w:val="18"/>
              </w:rPr>
              <w:t>线上确认）：</w:t>
            </w:r>
          </w:p>
          <w:p w14:paraId="103B4265">
            <w:pPr>
              <w:tabs>
                <w:tab w:val="left" w:pos="5609"/>
              </w:tabs>
              <w:spacing w:line="360" w:lineRule="auto"/>
              <w:ind w:firstLine="360"/>
              <w:jc w:val="left"/>
              <w:rPr>
                <w:rFonts w:ascii="Calibri" w:hAnsi="Calibri" w:cs="Arial"/>
                <w:sz w:val="18"/>
                <w:szCs w:val="18"/>
              </w:rPr>
            </w:pPr>
            <w:r>
              <w:rPr>
                <w:rFonts w:ascii="Calibri" w:hAnsi="Calibri" w:cs="Arial"/>
                <w:sz w:val="18"/>
                <w:szCs w:val="18"/>
              </w:rPr>
              <w:tab/>
            </w:r>
          </w:p>
          <w:p w14:paraId="420A409A">
            <w:pPr>
              <w:spacing w:line="360" w:lineRule="auto"/>
              <w:ind w:firstLine="360"/>
              <w:jc w:val="left"/>
              <w:rPr>
                <w:rFonts w:ascii="Calibri" w:hAnsi="Calibri" w:cs="Arial"/>
                <w:sz w:val="18"/>
                <w:szCs w:val="18"/>
              </w:rPr>
            </w:pPr>
            <w:r>
              <w:rPr>
                <w:rFonts w:hint="eastAsia" w:ascii="Calibri" w:hAnsi="Calibri" w:cs="Arial"/>
                <w:sz w:val="18"/>
                <w:szCs w:val="18"/>
              </w:rPr>
              <w:t>投资者法定代表人或授权代理人（签名</w:t>
            </w:r>
            <w:r>
              <w:rPr>
                <w:rFonts w:ascii="Calibri" w:hAnsi="Calibri" w:cs="Arial"/>
                <w:sz w:val="18"/>
                <w:szCs w:val="18"/>
              </w:rPr>
              <w:t>/</w:t>
            </w:r>
            <w:r>
              <w:rPr>
                <w:rFonts w:hint="eastAsia" w:ascii="Calibri" w:hAnsi="Calibri" w:cs="Arial"/>
                <w:sz w:val="18"/>
                <w:szCs w:val="18"/>
              </w:rPr>
              <w:t>盖章</w:t>
            </w:r>
            <w:r>
              <w:rPr>
                <w:rFonts w:ascii="Calibri" w:hAnsi="Calibri" w:cs="Arial"/>
                <w:sz w:val="18"/>
                <w:szCs w:val="18"/>
              </w:rPr>
              <w:t>/</w:t>
            </w:r>
            <w:r>
              <w:rPr>
                <w:rFonts w:hint="eastAsia" w:ascii="Calibri" w:hAnsi="Calibri" w:cs="Arial"/>
                <w:sz w:val="18"/>
                <w:szCs w:val="18"/>
              </w:rPr>
              <w:t>线上确认）：</w:t>
            </w:r>
          </w:p>
          <w:p w14:paraId="04F8C190">
            <w:pPr>
              <w:spacing w:line="360" w:lineRule="auto"/>
              <w:ind w:firstLine="360"/>
              <w:jc w:val="left"/>
              <w:rPr>
                <w:rFonts w:ascii="Calibri" w:hAnsi="Calibri" w:cs="宋体"/>
                <w:sz w:val="18"/>
                <w:szCs w:val="18"/>
              </w:rPr>
            </w:pPr>
            <w:r>
              <w:rPr>
                <w:rFonts w:hint="eastAsia" w:ascii="Calibri" w:hAnsi="Calibri" w:cs="宋体"/>
                <w:sz w:val="18"/>
                <w:szCs w:val="18"/>
              </w:rPr>
              <w:t>日期：</w:t>
            </w:r>
          </w:p>
        </w:tc>
      </w:tr>
    </w:tbl>
    <w:p w14:paraId="20A481B4">
      <w:pPr>
        <w:spacing w:line="360" w:lineRule="auto"/>
        <w:jc w:val="left"/>
        <w:rPr>
          <w:rFonts w:ascii="Calibri" w:hAnsi="Calibri" w:cs="宋体"/>
          <w:b/>
          <w:bCs/>
          <w:szCs w:val="22"/>
        </w:rPr>
      </w:pPr>
      <w:r>
        <w:rPr>
          <w:rFonts w:hint="eastAsia" w:ascii="宋体" w:hAnsi="宋体" w:cs="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cs="宋体"/>
          <w:b/>
          <w:bCs/>
          <w:sz w:val="18"/>
          <w:szCs w:val="18"/>
        </w:rPr>
        <w:t>。）</w:t>
      </w:r>
    </w:p>
    <w:p w14:paraId="2DA13813">
      <w:pPr>
        <w:widowControl w:val="0"/>
        <w:autoSpaceDE w:val="0"/>
        <w:autoSpaceDN w:val="0"/>
        <w:adjustRightInd w:val="0"/>
        <w:spacing w:line="360" w:lineRule="auto"/>
        <w:rPr>
          <w:rFonts w:ascii="宋体" w:hAnsi="宋体" w:eastAsia="宋体" w:cs="宋体"/>
          <w:color w:val="000000"/>
          <w:sz w:val="18"/>
          <w:szCs w:val="18"/>
          <w:lang w:val="en-US" w:eastAsia="zh-CN" w:bidi="ar-SA"/>
        </w:rPr>
      </w:pPr>
    </w:p>
    <w:p w14:paraId="243AE522">
      <w:pPr>
        <w:sectPr>
          <w:headerReference r:id="rId5" w:type="default"/>
          <w:footerReference r:id="rId6" w:type="default"/>
          <w:pgSz w:w="11906" w:h="16838"/>
          <w:pgMar w:top="1276" w:right="1800" w:bottom="1418" w:left="1800" w:header="567" w:footer="850" w:gutter="0"/>
          <w:cols w:space="425" w:num="1"/>
          <w:docGrid w:type="lines" w:linePitch="312" w:charSpace="0"/>
        </w:sectPr>
      </w:pPr>
    </w:p>
    <w:p w14:paraId="59E65505"/>
    <w:p w14:paraId="148EFE89">
      <w:pPr>
        <w:widowControl/>
        <w:spacing w:before="156"/>
        <w:jc w:val="center"/>
        <w:rPr>
          <w:rFonts w:ascii="黑体" w:hAnsi="黑体" w:eastAsia="黑体" w:cs="宋体"/>
          <w:b/>
          <w:sz w:val="28"/>
          <w:szCs w:val="28"/>
        </w:rPr>
      </w:pPr>
      <w:r>
        <w:rPr>
          <w:rFonts w:hint="eastAsia" w:ascii="黑体" w:hAnsi="黑体" w:eastAsia="黑体" w:cs="宋体"/>
          <w:b/>
          <w:sz w:val="28"/>
          <w:szCs w:val="28"/>
        </w:rPr>
        <w:t>【兴银理财稳利恒盈封闭式2026年855期固收类理财产品】</w:t>
      </w:r>
    </w:p>
    <w:p w14:paraId="3BD4D589">
      <w:pPr>
        <w:widowControl/>
        <w:spacing w:before="156"/>
        <w:jc w:val="center"/>
        <w:rPr>
          <w:rFonts w:ascii="黑体" w:hAnsi="黑体" w:eastAsia="黑体" w:cs="宋体"/>
          <w:b/>
          <w:sz w:val="28"/>
          <w:szCs w:val="28"/>
        </w:rPr>
      </w:pPr>
      <w:r>
        <w:rPr>
          <w:rFonts w:hint="eastAsia" w:ascii="黑体" w:hAnsi="黑体" w:eastAsia="黑体" w:cs="宋体"/>
          <w:b/>
          <w:sz w:val="28"/>
          <w:szCs w:val="28"/>
        </w:rPr>
        <w:t>（代理）销售协议书</w:t>
      </w:r>
    </w:p>
    <w:p w14:paraId="12B0C24E">
      <w:pPr>
        <w:autoSpaceDE w:val="0"/>
        <w:autoSpaceDN w:val="0"/>
        <w:adjustRightInd w:val="0"/>
        <w:snapToGrid w:val="0"/>
        <w:spacing w:before="156" w:beforeLines="50" w:line="320" w:lineRule="exact"/>
        <w:jc w:val="center"/>
        <w:rPr>
          <w:rFonts w:ascii="宋体" w:hAnsi="宋体" w:cs="宋体"/>
          <w:b/>
          <w:sz w:val="32"/>
          <w:szCs w:val="32"/>
        </w:rPr>
      </w:pPr>
      <w:r>
        <w:rPr>
          <w:rFonts w:hint="eastAsia" w:ascii="宋体" w:hAnsi="宋体" w:cs="宋体"/>
          <w:b/>
          <w:sz w:val="24"/>
          <w:szCs w:val="22"/>
        </w:rPr>
        <w:t>理财非存款、产品有风险、投资须谨慎</w:t>
      </w:r>
    </w:p>
    <w:p w14:paraId="2433B33A">
      <w:pPr>
        <w:tabs>
          <w:tab w:val="left" w:pos="8070"/>
          <w:tab w:val="right" w:pos="8306"/>
        </w:tabs>
        <w:autoSpaceDE w:val="0"/>
        <w:autoSpaceDN w:val="0"/>
        <w:adjustRightInd w:val="0"/>
        <w:snapToGrid w:val="0"/>
        <w:spacing w:before="156" w:beforeLines="50" w:line="320" w:lineRule="exact"/>
        <w:jc w:val="center"/>
        <w:rPr>
          <w:rFonts w:ascii="宋体" w:hAnsi="宋体" w:cs="宋体"/>
          <w:b/>
          <w:szCs w:val="21"/>
          <w:u w:val="single"/>
        </w:rPr>
      </w:pPr>
      <w:r>
        <w:rPr>
          <w:rFonts w:hint="eastAsia" w:ascii="宋体" w:hAnsi="宋体" w:cs="宋体"/>
          <w:b/>
          <w:szCs w:val="21"/>
        </w:rPr>
        <w:t>协议编号：</w:t>
      </w:r>
    </w:p>
    <w:p w14:paraId="643C7D93">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7"/>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14:paraId="2A59A7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14:paraId="5DF3D9D0">
            <w:pPr>
              <w:pBdr>
                <w:bottom w:val="single" w:color="auto" w:sz="6" w:space="1"/>
              </w:pBdr>
              <w:snapToGrid w:val="0"/>
              <w:spacing w:line="320" w:lineRule="exact"/>
              <w:jc w:val="center"/>
              <w:rPr>
                <w:rFonts w:ascii="宋体" w:hAnsi="宋体" w:cs="宋体"/>
                <w:b/>
                <w:bCs/>
                <w:sz w:val="28"/>
                <w:szCs w:val="28"/>
              </w:rPr>
            </w:pPr>
            <w:r>
              <w:rPr>
                <w:rFonts w:hint="eastAsia" w:ascii="宋体" w:hAnsi="宋体" w:cs="宋体"/>
                <w:b/>
                <w:bCs/>
                <w:sz w:val="28"/>
                <w:szCs w:val="28"/>
              </w:rPr>
              <w:t>信息栏</w:t>
            </w:r>
          </w:p>
          <w:p w14:paraId="7DF2ADDE">
            <w:pPr>
              <w:widowControl w:val="0"/>
              <w:pBdr>
                <w:bottom w:val="single" w:color="auto" w:sz="6" w:space="1"/>
              </w:pBdr>
              <w:snapToGrid w:val="0"/>
              <w:spacing w:line="320" w:lineRule="exact"/>
              <w:jc w:val="center"/>
              <w:rPr>
                <w:rFonts w:ascii="宋体" w:hAnsi="宋体" w:eastAsiaTheme="minorEastAsia" w:cstheme="minorBidi"/>
                <w:b/>
                <w:bCs/>
                <w:kern w:val="2"/>
                <w:sz w:val="28"/>
                <w:szCs w:val="28"/>
                <w:lang w:val="en-US" w:eastAsia="zh-CN" w:bidi="ar-SA"/>
              </w:rPr>
            </w:pPr>
          </w:p>
        </w:tc>
      </w:tr>
      <w:tr w14:paraId="42FCB8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14:paraId="05095C36">
            <w:pPr>
              <w:widowControl w:val="0"/>
              <w:pBdr>
                <w:bottom w:val="single" w:color="auto" w:sz="6" w:space="1"/>
              </w:pBdr>
              <w:snapToGrid w:val="0"/>
              <w:spacing w:line="320" w:lineRule="exact"/>
              <w:jc w:val="center"/>
              <w:rPr>
                <w:rFonts w:ascii="宋体" w:hAnsi="宋体" w:eastAsiaTheme="minorEastAsia" w:cstheme="minorBidi"/>
                <w:b/>
                <w:bCs/>
                <w:kern w:val="2"/>
                <w:sz w:val="28"/>
                <w:szCs w:val="28"/>
                <w:lang w:val="en-US" w:eastAsia="zh-CN" w:bidi="ar-SA"/>
              </w:rPr>
            </w:pPr>
          </w:p>
        </w:tc>
      </w:tr>
      <w:tr w14:paraId="0691D17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14:paraId="15CD2CA5">
            <w:pPr>
              <w:spacing w:line="320" w:lineRule="exact"/>
              <w:jc w:val="left"/>
              <w:rPr>
                <w:rFonts w:ascii="宋体" w:hAnsi="宋体" w:cs="宋体"/>
                <w:b/>
                <w:bCs/>
                <w:sz w:val="18"/>
                <w:szCs w:val="18"/>
              </w:rPr>
            </w:pPr>
            <w:r>
              <w:rPr>
                <w:rFonts w:hint="eastAsia" w:ascii="宋体" w:hAnsi="宋体" w:cs="宋体"/>
                <w:b/>
                <w:bCs/>
                <w:sz w:val="18"/>
                <w:szCs w:val="18"/>
              </w:rPr>
              <w:t>投资者信息</w:t>
            </w:r>
          </w:p>
        </w:tc>
        <w:tc>
          <w:tcPr>
            <w:tcW w:w="635" w:type="dxa"/>
            <w:vMerge w:val="restart"/>
            <w:shd w:val="solid" w:color="FFFFFF" w:fill="FFFFFF"/>
            <w:vAlign w:val="center"/>
          </w:tcPr>
          <w:p w14:paraId="77672DB2">
            <w:pPr>
              <w:spacing w:line="320" w:lineRule="exact"/>
              <w:jc w:val="left"/>
              <w:rPr>
                <w:rFonts w:ascii="宋体" w:hAnsi="宋体" w:cs="宋体"/>
                <w:bCs/>
                <w:sz w:val="18"/>
                <w:szCs w:val="18"/>
              </w:rPr>
            </w:pPr>
            <w:r>
              <w:rPr>
                <w:rFonts w:hint="eastAsia" w:ascii="宋体" w:hAnsi="宋体" w:cs="宋体"/>
                <w:bCs/>
                <w:sz w:val="18"/>
                <w:szCs w:val="18"/>
              </w:rPr>
              <w:t>个人投资者适用</w:t>
            </w:r>
          </w:p>
        </w:tc>
        <w:tc>
          <w:tcPr>
            <w:tcW w:w="1085" w:type="dxa"/>
            <w:shd w:val="solid" w:color="FFFFFF" w:fill="FFFFFF"/>
            <w:vAlign w:val="center"/>
          </w:tcPr>
          <w:p w14:paraId="1214C7CC">
            <w:pPr>
              <w:spacing w:line="320" w:lineRule="exact"/>
              <w:jc w:val="left"/>
              <w:rPr>
                <w:rFonts w:ascii="宋体" w:hAnsi="宋体" w:cs="宋体"/>
                <w:bCs/>
                <w:sz w:val="18"/>
                <w:szCs w:val="18"/>
              </w:rPr>
            </w:pPr>
            <w:r>
              <w:rPr>
                <w:rFonts w:hint="eastAsia" w:ascii="宋体" w:hAnsi="宋体" w:cs="宋体"/>
                <w:bCs/>
                <w:sz w:val="18"/>
                <w:szCs w:val="18"/>
              </w:rPr>
              <w:t>姓名</w:t>
            </w:r>
          </w:p>
        </w:tc>
        <w:tc>
          <w:tcPr>
            <w:tcW w:w="5061" w:type="dxa"/>
            <w:gridSpan w:val="3"/>
            <w:shd w:val="solid" w:color="FFFFFF" w:fill="FFFFFF"/>
            <w:vAlign w:val="center"/>
          </w:tcPr>
          <w:p w14:paraId="07D510B3">
            <w:pPr>
              <w:spacing w:line="320" w:lineRule="exact"/>
              <w:jc w:val="left"/>
              <w:rPr>
                <w:rFonts w:ascii="宋体" w:hAnsi="宋体" w:cs="宋体"/>
                <w:bCs/>
                <w:sz w:val="18"/>
                <w:szCs w:val="18"/>
              </w:rPr>
            </w:pPr>
          </w:p>
        </w:tc>
      </w:tr>
      <w:tr w14:paraId="6BF772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1449F460">
            <w:pPr>
              <w:spacing w:line="320" w:lineRule="exact"/>
              <w:jc w:val="left"/>
              <w:rPr>
                <w:rFonts w:ascii="宋体" w:hAnsi="宋体" w:cs="宋体"/>
                <w:b/>
                <w:bCs/>
                <w:sz w:val="18"/>
                <w:szCs w:val="18"/>
              </w:rPr>
            </w:pPr>
          </w:p>
        </w:tc>
        <w:tc>
          <w:tcPr>
            <w:tcW w:w="635" w:type="dxa"/>
            <w:vMerge w:val="continue"/>
            <w:shd w:val="solid" w:color="FFFFFF" w:fill="FFFFFF"/>
            <w:vAlign w:val="center"/>
          </w:tcPr>
          <w:p w14:paraId="2C85AFEE">
            <w:pPr>
              <w:spacing w:line="320" w:lineRule="exact"/>
              <w:jc w:val="left"/>
              <w:rPr>
                <w:rFonts w:ascii="宋体" w:hAnsi="宋体" w:cs="宋体"/>
                <w:bCs/>
                <w:sz w:val="18"/>
                <w:szCs w:val="18"/>
              </w:rPr>
            </w:pPr>
          </w:p>
        </w:tc>
        <w:tc>
          <w:tcPr>
            <w:tcW w:w="1085" w:type="dxa"/>
            <w:shd w:val="solid" w:color="FFFFFF" w:fill="FFFFFF"/>
            <w:vAlign w:val="center"/>
          </w:tcPr>
          <w:p w14:paraId="5213BB1A">
            <w:pPr>
              <w:spacing w:line="320" w:lineRule="exact"/>
              <w:jc w:val="left"/>
              <w:rPr>
                <w:rFonts w:ascii="宋体" w:hAnsi="宋体" w:cs="宋体"/>
                <w:bCs/>
                <w:sz w:val="18"/>
                <w:szCs w:val="18"/>
              </w:rPr>
            </w:pPr>
            <w:r>
              <w:rPr>
                <w:rFonts w:hint="eastAsia" w:ascii="宋体" w:hAnsi="宋体" w:cs="宋体"/>
                <w:bCs/>
                <w:sz w:val="18"/>
                <w:szCs w:val="18"/>
              </w:rPr>
              <w:t>证件类型</w:t>
            </w:r>
          </w:p>
        </w:tc>
        <w:tc>
          <w:tcPr>
            <w:tcW w:w="1384" w:type="dxa"/>
            <w:shd w:val="solid" w:color="FFFFFF" w:fill="FFFFFF"/>
            <w:vAlign w:val="center"/>
          </w:tcPr>
          <w:p w14:paraId="581D42B9">
            <w:pPr>
              <w:spacing w:line="320" w:lineRule="exact"/>
              <w:jc w:val="left"/>
              <w:rPr>
                <w:rFonts w:ascii="宋体" w:hAnsi="宋体" w:cs="宋体"/>
                <w:bCs/>
                <w:sz w:val="18"/>
                <w:szCs w:val="18"/>
              </w:rPr>
            </w:pPr>
          </w:p>
        </w:tc>
        <w:tc>
          <w:tcPr>
            <w:tcW w:w="1234" w:type="dxa"/>
            <w:shd w:val="solid" w:color="FFFFFF" w:fill="FFFFFF"/>
            <w:vAlign w:val="center"/>
          </w:tcPr>
          <w:p w14:paraId="6456E0B2">
            <w:pPr>
              <w:spacing w:line="320" w:lineRule="exact"/>
              <w:jc w:val="left"/>
              <w:rPr>
                <w:rFonts w:ascii="宋体" w:hAnsi="宋体" w:cs="宋体"/>
                <w:bCs/>
                <w:sz w:val="18"/>
                <w:szCs w:val="18"/>
              </w:rPr>
            </w:pPr>
            <w:r>
              <w:rPr>
                <w:rFonts w:hint="eastAsia" w:ascii="宋体" w:hAnsi="宋体" w:cs="宋体"/>
                <w:bCs/>
                <w:sz w:val="18"/>
                <w:szCs w:val="18"/>
              </w:rPr>
              <w:t>证件号码</w:t>
            </w:r>
          </w:p>
        </w:tc>
        <w:tc>
          <w:tcPr>
            <w:tcW w:w="2443" w:type="dxa"/>
            <w:shd w:val="solid" w:color="FFFFFF" w:fill="FFFFFF"/>
            <w:vAlign w:val="center"/>
          </w:tcPr>
          <w:p w14:paraId="443E73D3">
            <w:pPr>
              <w:spacing w:line="320" w:lineRule="exact"/>
              <w:jc w:val="left"/>
              <w:rPr>
                <w:rFonts w:ascii="宋体" w:hAnsi="宋体" w:cs="宋体"/>
                <w:bCs/>
                <w:sz w:val="18"/>
                <w:szCs w:val="18"/>
              </w:rPr>
            </w:pPr>
          </w:p>
        </w:tc>
      </w:tr>
      <w:tr w14:paraId="26E74E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4311D7B8">
            <w:pPr>
              <w:spacing w:line="320" w:lineRule="exact"/>
              <w:jc w:val="left"/>
              <w:rPr>
                <w:rFonts w:ascii="宋体" w:hAnsi="宋体" w:cs="宋体"/>
                <w:b/>
                <w:bCs/>
                <w:sz w:val="18"/>
                <w:szCs w:val="18"/>
              </w:rPr>
            </w:pPr>
          </w:p>
        </w:tc>
        <w:tc>
          <w:tcPr>
            <w:tcW w:w="635" w:type="dxa"/>
            <w:vMerge w:val="continue"/>
            <w:shd w:val="solid" w:color="FFFFFF" w:fill="FFFFFF"/>
            <w:vAlign w:val="center"/>
          </w:tcPr>
          <w:p w14:paraId="153AE788">
            <w:pPr>
              <w:spacing w:line="320" w:lineRule="exact"/>
              <w:jc w:val="left"/>
              <w:rPr>
                <w:rFonts w:ascii="宋体" w:hAnsi="宋体" w:cs="宋体"/>
                <w:bCs/>
                <w:sz w:val="18"/>
                <w:szCs w:val="18"/>
              </w:rPr>
            </w:pPr>
          </w:p>
        </w:tc>
        <w:tc>
          <w:tcPr>
            <w:tcW w:w="1085" w:type="dxa"/>
            <w:shd w:val="solid" w:color="FFFFFF" w:fill="FFFFFF"/>
            <w:vAlign w:val="center"/>
          </w:tcPr>
          <w:p w14:paraId="15F47632">
            <w:pPr>
              <w:spacing w:line="320" w:lineRule="exact"/>
              <w:jc w:val="left"/>
              <w:rPr>
                <w:rFonts w:ascii="宋体" w:hAnsi="宋体" w:cs="宋体"/>
                <w:bCs/>
                <w:sz w:val="18"/>
                <w:szCs w:val="18"/>
              </w:rPr>
            </w:pPr>
            <w:r>
              <w:rPr>
                <w:rFonts w:hint="eastAsia" w:ascii="宋体" w:hAnsi="宋体" w:cs="宋体"/>
                <w:bCs/>
                <w:sz w:val="18"/>
                <w:szCs w:val="18"/>
              </w:rPr>
              <w:t>联系电话</w:t>
            </w:r>
          </w:p>
        </w:tc>
        <w:tc>
          <w:tcPr>
            <w:tcW w:w="1384" w:type="dxa"/>
            <w:shd w:val="solid" w:color="FFFFFF" w:fill="FFFFFF"/>
            <w:vAlign w:val="center"/>
          </w:tcPr>
          <w:p w14:paraId="71483E97">
            <w:pPr>
              <w:spacing w:line="320" w:lineRule="exact"/>
              <w:jc w:val="left"/>
              <w:rPr>
                <w:rFonts w:ascii="宋体" w:hAnsi="宋体" w:cs="宋体"/>
                <w:bCs/>
                <w:sz w:val="18"/>
                <w:szCs w:val="18"/>
              </w:rPr>
            </w:pPr>
          </w:p>
        </w:tc>
        <w:tc>
          <w:tcPr>
            <w:tcW w:w="1234" w:type="dxa"/>
            <w:shd w:val="solid" w:color="FFFFFF" w:fill="FFFFFF"/>
            <w:vAlign w:val="center"/>
          </w:tcPr>
          <w:p w14:paraId="36C4CE6B">
            <w:pPr>
              <w:spacing w:line="320" w:lineRule="exact"/>
              <w:jc w:val="left"/>
              <w:rPr>
                <w:rFonts w:ascii="宋体" w:hAnsi="宋体" w:cs="宋体"/>
                <w:bCs/>
                <w:sz w:val="18"/>
                <w:szCs w:val="18"/>
              </w:rPr>
            </w:pPr>
            <w:r>
              <w:rPr>
                <w:rFonts w:hint="eastAsia" w:ascii="宋体" w:hAnsi="宋体" w:cs="宋体"/>
                <w:bCs/>
                <w:sz w:val="18"/>
                <w:szCs w:val="18"/>
              </w:rPr>
              <w:t>电子邮箱</w:t>
            </w:r>
          </w:p>
        </w:tc>
        <w:tc>
          <w:tcPr>
            <w:tcW w:w="2443" w:type="dxa"/>
            <w:shd w:val="solid" w:color="FFFFFF" w:fill="FFFFFF"/>
            <w:vAlign w:val="center"/>
          </w:tcPr>
          <w:p w14:paraId="6E977E24">
            <w:pPr>
              <w:spacing w:line="320" w:lineRule="exact"/>
              <w:jc w:val="left"/>
              <w:rPr>
                <w:rFonts w:ascii="宋体" w:hAnsi="宋体" w:cs="宋体"/>
                <w:bCs/>
                <w:sz w:val="18"/>
                <w:szCs w:val="18"/>
              </w:rPr>
            </w:pPr>
          </w:p>
        </w:tc>
      </w:tr>
      <w:tr w14:paraId="22E994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42661A81">
            <w:pPr>
              <w:spacing w:line="320" w:lineRule="exact"/>
              <w:jc w:val="left"/>
              <w:rPr>
                <w:rFonts w:ascii="宋体" w:hAnsi="宋体" w:cs="宋体"/>
                <w:b/>
                <w:bCs/>
                <w:sz w:val="18"/>
                <w:szCs w:val="18"/>
              </w:rPr>
            </w:pPr>
          </w:p>
        </w:tc>
        <w:tc>
          <w:tcPr>
            <w:tcW w:w="635" w:type="dxa"/>
            <w:vMerge w:val="continue"/>
            <w:shd w:val="solid" w:color="FFFFFF" w:fill="FFFFFF"/>
            <w:vAlign w:val="center"/>
          </w:tcPr>
          <w:p w14:paraId="01CBA19A">
            <w:pPr>
              <w:spacing w:line="320" w:lineRule="exact"/>
              <w:jc w:val="left"/>
              <w:rPr>
                <w:rFonts w:ascii="宋体" w:hAnsi="宋体" w:cs="宋体"/>
                <w:bCs/>
                <w:sz w:val="18"/>
                <w:szCs w:val="18"/>
              </w:rPr>
            </w:pPr>
          </w:p>
        </w:tc>
        <w:tc>
          <w:tcPr>
            <w:tcW w:w="1085" w:type="dxa"/>
            <w:shd w:val="solid" w:color="FFFFFF" w:fill="FFFFFF"/>
            <w:vAlign w:val="center"/>
          </w:tcPr>
          <w:p w14:paraId="149DFE5A">
            <w:pPr>
              <w:spacing w:line="320" w:lineRule="exact"/>
              <w:jc w:val="left"/>
              <w:rPr>
                <w:rFonts w:ascii="宋体" w:hAnsi="宋体" w:cs="宋体"/>
                <w:bCs/>
                <w:sz w:val="18"/>
                <w:szCs w:val="18"/>
              </w:rPr>
            </w:pPr>
            <w:r>
              <w:rPr>
                <w:rFonts w:hint="eastAsia" w:ascii="宋体" w:hAnsi="宋体" w:cs="宋体"/>
                <w:bCs/>
                <w:sz w:val="18"/>
                <w:szCs w:val="18"/>
              </w:rPr>
              <w:t>联系地址</w:t>
            </w:r>
          </w:p>
        </w:tc>
        <w:tc>
          <w:tcPr>
            <w:tcW w:w="5061" w:type="dxa"/>
            <w:gridSpan w:val="3"/>
            <w:shd w:val="solid" w:color="FFFFFF" w:fill="FFFFFF"/>
            <w:vAlign w:val="center"/>
          </w:tcPr>
          <w:p w14:paraId="655E8C7C">
            <w:pPr>
              <w:spacing w:line="320" w:lineRule="exact"/>
              <w:jc w:val="left"/>
              <w:rPr>
                <w:rFonts w:ascii="宋体" w:hAnsi="宋体" w:cs="宋体"/>
                <w:bCs/>
                <w:sz w:val="18"/>
                <w:szCs w:val="18"/>
              </w:rPr>
            </w:pPr>
          </w:p>
        </w:tc>
      </w:tr>
      <w:tr w14:paraId="153C2E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1B9C65E7">
            <w:pPr>
              <w:spacing w:line="320" w:lineRule="exact"/>
              <w:jc w:val="left"/>
              <w:rPr>
                <w:rFonts w:ascii="宋体" w:hAnsi="宋体" w:cs="宋体"/>
                <w:b/>
                <w:bCs/>
                <w:sz w:val="18"/>
                <w:szCs w:val="18"/>
              </w:rPr>
            </w:pPr>
          </w:p>
        </w:tc>
        <w:tc>
          <w:tcPr>
            <w:tcW w:w="635" w:type="dxa"/>
            <w:vMerge w:val="continue"/>
            <w:shd w:val="solid" w:color="FFFFFF" w:fill="FFFFFF"/>
            <w:vAlign w:val="center"/>
          </w:tcPr>
          <w:p w14:paraId="44E06182">
            <w:pPr>
              <w:spacing w:line="320" w:lineRule="exact"/>
              <w:jc w:val="left"/>
              <w:rPr>
                <w:rFonts w:ascii="宋体" w:hAnsi="宋体" w:cs="宋体"/>
                <w:bCs/>
                <w:sz w:val="18"/>
                <w:szCs w:val="18"/>
              </w:rPr>
            </w:pPr>
          </w:p>
        </w:tc>
        <w:tc>
          <w:tcPr>
            <w:tcW w:w="1085" w:type="dxa"/>
            <w:tcBorders>
              <w:bottom w:val="single" w:color="auto" w:sz="12" w:space="0"/>
            </w:tcBorders>
            <w:shd w:val="solid" w:color="FFFFFF" w:fill="FFFFFF"/>
            <w:vAlign w:val="center"/>
          </w:tcPr>
          <w:p w14:paraId="06E27F07">
            <w:pPr>
              <w:spacing w:line="320" w:lineRule="exact"/>
              <w:jc w:val="left"/>
              <w:rPr>
                <w:rFonts w:ascii="宋体" w:hAnsi="宋体" w:cs="宋体"/>
                <w:bCs/>
                <w:sz w:val="18"/>
                <w:szCs w:val="18"/>
              </w:rPr>
            </w:pPr>
            <w:r>
              <w:rPr>
                <w:rFonts w:hint="eastAsia" w:ascii="宋体" w:hAnsi="宋体" w:cs="宋体"/>
                <w:bCs/>
                <w:sz w:val="18"/>
                <w:szCs w:val="18"/>
              </w:rPr>
              <w:t>邮政编码</w:t>
            </w:r>
          </w:p>
        </w:tc>
        <w:tc>
          <w:tcPr>
            <w:tcW w:w="5061" w:type="dxa"/>
            <w:gridSpan w:val="3"/>
            <w:tcBorders>
              <w:bottom w:val="single" w:color="auto" w:sz="12" w:space="0"/>
            </w:tcBorders>
            <w:shd w:val="solid" w:color="FFFFFF" w:fill="FFFFFF"/>
            <w:vAlign w:val="center"/>
          </w:tcPr>
          <w:p w14:paraId="64E6EBCF">
            <w:pPr>
              <w:spacing w:line="320" w:lineRule="exact"/>
              <w:jc w:val="left"/>
              <w:rPr>
                <w:rFonts w:ascii="宋体" w:hAnsi="宋体" w:cs="宋体"/>
                <w:bCs/>
                <w:sz w:val="18"/>
                <w:szCs w:val="18"/>
              </w:rPr>
            </w:pPr>
          </w:p>
        </w:tc>
      </w:tr>
      <w:tr w14:paraId="3B8276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4386E484">
            <w:pPr>
              <w:spacing w:line="320" w:lineRule="exact"/>
              <w:jc w:val="left"/>
              <w:rPr>
                <w:rFonts w:ascii="宋体" w:hAnsi="宋体" w:cs="宋体"/>
                <w:b/>
                <w:bCs/>
                <w:sz w:val="18"/>
                <w:szCs w:val="18"/>
              </w:rPr>
            </w:pPr>
          </w:p>
        </w:tc>
        <w:tc>
          <w:tcPr>
            <w:tcW w:w="635" w:type="dxa"/>
            <w:vMerge w:val="restart"/>
            <w:tcBorders>
              <w:right w:val="single" w:color="auto" w:sz="12" w:space="0"/>
            </w:tcBorders>
            <w:shd w:val="solid" w:color="FFFFFF" w:fill="FFFFFF"/>
            <w:vAlign w:val="center"/>
          </w:tcPr>
          <w:p w14:paraId="1DA644E5">
            <w:pPr>
              <w:spacing w:line="320" w:lineRule="exact"/>
              <w:jc w:val="left"/>
              <w:rPr>
                <w:rFonts w:ascii="宋体" w:hAnsi="宋体" w:cs="宋体"/>
                <w:bCs/>
                <w:sz w:val="18"/>
                <w:szCs w:val="18"/>
              </w:rPr>
            </w:pPr>
            <w:r>
              <w:rPr>
                <w:rFonts w:hint="eastAsia" w:ascii="宋体" w:hAnsi="宋体" w:cs="宋体"/>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DD4B0E7">
            <w:pPr>
              <w:spacing w:line="320" w:lineRule="exact"/>
              <w:jc w:val="left"/>
              <w:rPr>
                <w:rFonts w:ascii="宋体" w:hAnsi="宋体" w:cs="宋体"/>
                <w:bCs/>
                <w:sz w:val="18"/>
                <w:szCs w:val="18"/>
              </w:rPr>
            </w:pPr>
            <w:r>
              <w:rPr>
                <w:rFonts w:hint="eastAsia" w:ascii="宋体" w:hAnsi="宋体" w:cs="宋体"/>
                <w:bCs/>
                <w:sz w:val="18"/>
                <w:szCs w:val="18"/>
              </w:rPr>
              <w:t>机构</w:t>
            </w:r>
            <w:r>
              <w:rPr>
                <w:rFonts w:ascii="宋体" w:hAnsi="宋体" w:cs="宋体"/>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4C1BD77E">
            <w:pPr>
              <w:spacing w:line="320" w:lineRule="exact"/>
              <w:jc w:val="left"/>
              <w:rPr>
                <w:rFonts w:ascii="宋体" w:hAnsi="宋体" w:cs="宋体"/>
                <w:bCs/>
                <w:sz w:val="18"/>
                <w:szCs w:val="18"/>
              </w:rPr>
            </w:pPr>
          </w:p>
        </w:tc>
      </w:tr>
      <w:tr w14:paraId="2B0E5E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2FD51633">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00070199">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100B717">
            <w:pPr>
              <w:spacing w:line="320" w:lineRule="exact"/>
              <w:jc w:val="left"/>
              <w:rPr>
                <w:rFonts w:ascii="宋体" w:hAnsi="宋体" w:cs="宋体"/>
                <w:bCs/>
                <w:sz w:val="18"/>
                <w:szCs w:val="18"/>
              </w:rPr>
            </w:pPr>
            <w:r>
              <w:rPr>
                <w:rFonts w:hint="eastAsia" w:ascii="宋体" w:hAnsi="宋体" w:cs="宋体"/>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2C501AB">
            <w:pPr>
              <w:spacing w:line="320" w:lineRule="exact"/>
              <w:jc w:val="left"/>
              <w:rPr>
                <w:rFonts w:ascii="宋体" w:hAnsi="宋体" w:cs="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D9113FF">
            <w:pPr>
              <w:spacing w:line="320" w:lineRule="exact"/>
              <w:jc w:val="left"/>
              <w:rPr>
                <w:rFonts w:ascii="宋体" w:hAnsi="宋体" w:cs="宋体"/>
                <w:bCs/>
                <w:sz w:val="18"/>
                <w:szCs w:val="18"/>
              </w:rPr>
            </w:pPr>
            <w:r>
              <w:rPr>
                <w:rFonts w:hint="eastAsia" w:ascii="宋体" w:hAnsi="宋体" w:cs="宋体"/>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98C6B36">
            <w:pPr>
              <w:spacing w:line="320" w:lineRule="exact"/>
              <w:jc w:val="left"/>
              <w:rPr>
                <w:rFonts w:ascii="宋体" w:hAnsi="宋体" w:cs="宋体"/>
                <w:bCs/>
                <w:sz w:val="18"/>
                <w:szCs w:val="18"/>
              </w:rPr>
            </w:pPr>
          </w:p>
        </w:tc>
      </w:tr>
      <w:tr w14:paraId="2B6F9E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479FA2E5">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4B971EE7">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678678A">
            <w:pPr>
              <w:spacing w:line="320" w:lineRule="exact"/>
              <w:jc w:val="left"/>
              <w:rPr>
                <w:rFonts w:ascii="宋体" w:hAnsi="宋体" w:cs="宋体"/>
                <w:bCs/>
                <w:sz w:val="18"/>
                <w:szCs w:val="18"/>
              </w:rPr>
            </w:pPr>
            <w:r>
              <w:rPr>
                <w:rFonts w:hint="eastAsia" w:ascii="宋体" w:hAnsi="宋体" w:cs="宋体"/>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019E812C">
            <w:pPr>
              <w:spacing w:line="320" w:lineRule="exact"/>
              <w:jc w:val="left"/>
              <w:rPr>
                <w:rFonts w:ascii="宋体" w:hAnsi="宋体" w:cs="宋体"/>
                <w:bCs/>
                <w:sz w:val="18"/>
                <w:szCs w:val="18"/>
              </w:rPr>
            </w:pPr>
          </w:p>
        </w:tc>
      </w:tr>
      <w:tr w14:paraId="4417B2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338BC673">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5B274A2F">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A9D9FA4">
            <w:pPr>
              <w:spacing w:line="320" w:lineRule="exact"/>
              <w:jc w:val="left"/>
              <w:rPr>
                <w:rFonts w:ascii="宋体" w:hAnsi="宋体" w:cs="宋体"/>
                <w:bCs/>
                <w:sz w:val="18"/>
                <w:szCs w:val="18"/>
              </w:rPr>
            </w:pPr>
            <w:r>
              <w:rPr>
                <w:rFonts w:hint="eastAsia" w:ascii="宋体" w:hAnsi="宋体" w:cs="宋体"/>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25095EF">
            <w:pPr>
              <w:spacing w:line="320" w:lineRule="exact"/>
              <w:jc w:val="left"/>
              <w:rPr>
                <w:rFonts w:ascii="宋体" w:hAnsi="宋体" w:cs="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A9B69DB">
            <w:pPr>
              <w:spacing w:line="280" w:lineRule="exact"/>
              <w:jc w:val="left"/>
              <w:rPr>
                <w:rFonts w:ascii="宋体" w:hAnsi="宋体" w:cs="宋体"/>
                <w:bCs/>
                <w:sz w:val="18"/>
                <w:szCs w:val="18"/>
              </w:rPr>
            </w:pPr>
            <w:r>
              <w:rPr>
                <w:rFonts w:hint="eastAsia" w:ascii="宋体" w:hAnsi="宋体" w:cs="宋体"/>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8152CB6">
            <w:pPr>
              <w:spacing w:line="320" w:lineRule="exact"/>
              <w:jc w:val="left"/>
              <w:rPr>
                <w:rFonts w:ascii="宋体" w:hAnsi="宋体" w:cs="宋体"/>
                <w:bCs/>
                <w:sz w:val="18"/>
                <w:szCs w:val="18"/>
              </w:rPr>
            </w:pPr>
          </w:p>
        </w:tc>
      </w:tr>
      <w:tr w14:paraId="38CDBA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08DD4D3D">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1ACE41D0">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B295EDB">
            <w:pPr>
              <w:spacing w:line="320" w:lineRule="exact"/>
              <w:jc w:val="left"/>
              <w:rPr>
                <w:rFonts w:ascii="宋体" w:hAnsi="宋体" w:cs="宋体"/>
                <w:bCs/>
                <w:sz w:val="18"/>
                <w:szCs w:val="18"/>
              </w:rPr>
            </w:pPr>
            <w:r>
              <w:rPr>
                <w:rFonts w:hint="eastAsia" w:ascii="宋体" w:hAnsi="宋体" w:cs="宋体"/>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26D4AB6A">
            <w:pPr>
              <w:spacing w:line="320" w:lineRule="exact"/>
              <w:jc w:val="left"/>
              <w:rPr>
                <w:rFonts w:ascii="宋体" w:hAnsi="宋体" w:cs="宋体"/>
                <w:bCs/>
                <w:sz w:val="18"/>
                <w:szCs w:val="18"/>
              </w:rPr>
            </w:pPr>
          </w:p>
        </w:tc>
      </w:tr>
      <w:tr w14:paraId="2649FE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14:paraId="4F6E67FF">
            <w:pPr>
              <w:spacing w:line="320" w:lineRule="exact"/>
              <w:jc w:val="left"/>
              <w:rPr>
                <w:rFonts w:ascii="宋体" w:hAnsi="宋体" w:cs="宋体"/>
                <w:b/>
                <w:bCs/>
                <w:sz w:val="18"/>
                <w:szCs w:val="18"/>
              </w:rPr>
            </w:pPr>
          </w:p>
        </w:tc>
        <w:tc>
          <w:tcPr>
            <w:tcW w:w="635" w:type="dxa"/>
            <w:vMerge w:val="continue"/>
            <w:tcBorders>
              <w:bottom w:val="single" w:color="auto" w:sz="12" w:space="0"/>
              <w:right w:val="single" w:color="auto" w:sz="12" w:space="0"/>
            </w:tcBorders>
            <w:shd w:val="solid" w:color="FFFFFF" w:fill="FFFFFF"/>
            <w:vAlign w:val="center"/>
          </w:tcPr>
          <w:p w14:paraId="1B25D0E4">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74BAAE1">
            <w:pPr>
              <w:spacing w:line="320" w:lineRule="exact"/>
              <w:jc w:val="left"/>
              <w:rPr>
                <w:rFonts w:ascii="宋体" w:hAnsi="宋体" w:cs="宋体"/>
                <w:bCs/>
                <w:sz w:val="18"/>
                <w:szCs w:val="18"/>
              </w:rPr>
            </w:pPr>
            <w:r>
              <w:rPr>
                <w:rFonts w:hint="eastAsia" w:ascii="宋体" w:hAnsi="宋体" w:cs="宋体"/>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62102D36">
            <w:pPr>
              <w:spacing w:line="320" w:lineRule="exact"/>
              <w:jc w:val="left"/>
              <w:rPr>
                <w:rFonts w:ascii="宋体" w:hAnsi="宋体" w:cs="宋体"/>
                <w:bCs/>
                <w:sz w:val="18"/>
                <w:szCs w:val="18"/>
              </w:rPr>
            </w:pPr>
          </w:p>
        </w:tc>
      </w:tr>
      <w:tr w14:paraId="5D6D0E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378B6A7A">
            <w:pPr>
              <w:widowControl w:val="0"/>
              <w:pBdr>
                <w:bottom w:val="none" w:color="auto" w:sz="0" w:space="0"/>
              </w:pBdr>
              <w:snapToGrid w:val="0"/>
              <w:spacing w:line="320" w:lineRule="exact"/>
              <w:jc w:val="center"/>
              <w:rPr>
                <w:rFonts w:ascii="宋体" w:hAnsi="宋体" w:eastAsiaTheme="minorEastAsia" w:cstheme="minorBidi"/>
                <w:b/>
                <w:bCs/>
                <w:kern w:val="2"/>
                <w:sz w:val="28"/>
                <w:szCs w:val="28"/>
                <w:lang w:val="en-US" w:eastAsia="zh-CN" w:bidi="ar-SA"/>
              </w:rPr>
            </w:pPr>
          </w:p>
        </w:tc>
      </w:tr>
      <w:tr w14:paraId="46C345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14:paraId="7AA1F005">
            <w:pPr>
              <w:spacing w:line="320" w:lineRule="exact"/>
              <w:jc w:val="left"/>
              <w:rPr>
                <w:rFonts w:ascii="宋体" w:hAnsi="宋体" w:cs="宋体"/>
                <w:b/>
                <w:bCs/>
                <w:sz w:val="18"/>
                <w:szCs w:val="18"/>
              </w:rPr>
            </w:pPr>
            <w:r>
              <w:rPr>
                <w:rFonts w:hint="eastAsia" w:ascii="宋体" w:hAnsi="宋体" w:cs="宋体"/>
                <w:b/>
                <w:bCs/>
                <w:sz w:val="18"/>
                <w:szCs w:val="18"/>
              </w:rPr>
              <w:t>销售</w:t>
            </w:r>
            <w:r>
              <w:rPr>
                <w:rFonts w:ascii="宋体" w:hAnsi="宋体" w:cs="宋体"/>
                <w:b/>
                <w:bCs/>
                <w:sz w:val="18"/>
                <w:szCs w:val="18"/>
              </w:rPr>
              <w:t>机构信息</w:t>
            </w:r>
          </w:p>
        </w:tc>
        <w:tc>
          <w:tcPr>
            <w:tcW w:w="1720" w:type="dxa"/>
            <w:gridSpan w:val="2"/>
            <w:shd w:val="solid" w:color="FFFFFF" w:fill="FFFFFF"/>
            <w:vAlign w:val="center"/>
          </w:tcPr>
          <w:p w14:paraId="395C367E">
            <w:pPr>
              <w:spacing w:line="320" w:lineRule="exact"/>
              <w:jc w:val="left"/>
              <w:rPr>
                <w:rFonts w:ascii="宋体" w:hAnsi="宋体" w:cs="宋体"/>
                <w:bCs/>
                <w:sz w:val="18"/>
                <w:szCs w:val="18"/>
              </w:rPr>
            </w:pPr>
            <w:r>
              <w:rPr>
                <w:rFonts w:hint="eastAsia" w:ascii="Calibri" w:hAnsi="宋体" w:cs="宋体"/>
                <w:sz w:val="18"/>
                <w:szCs w:val="18"/>
              </w:rPr>
              <w:t>★</w:t>
            </w:r>
            <w:r>
              <w:rPr>
                <w:rFonts w:hint="eastAsia" w:ascii="宋体" w:hAnsi="宋体" w:cs="宋体"/>
                <w:bCs/>
                <w:sz w:val="18"/>
                <w:szCs w:val="18"/>
              </w:rPr>
              <w:t>销售性质</w:t>
            </w:r>
          </w:p>
        </w:tc>
        <w:tc>
          <w:tcPr>
            <w:tcW w:w="5061" w:type="dxa"/>
            <w:gridSpan w:val="3"/>
            <w:shd w:val="solid" w:color="FFFFFF" w:fill="FFFFFF"/>
            <w:vAlign w:val="center"/>
          </w:tcPr>
          <w:p w14:paraId="15BFFC59">
            <w:pPr>
              <w:spacing w:line="320" w:lineRule="exact"/>
              <w:jc w:val="left"/>
              <w:rPr>
                <w:rFonts w:cs="宋体" w:asciiTheme="majorEastAsia" w:hAnsiTheme="majorEastAsia" w:eastAsiaTheme="majorEastAsia"/>
                <w:bCs/>
                <w:sz w:val="18"/>
                <w:szCs w:val="18"/>
              </w:rPr>
            </w:pPr>
            <w:r>
              <w:rPr>
                <w:rFonts w:hint="eastAsia" w:cs="宋体" w:asciiTheme="majorEastAsia" w:hAnsiTheme="majorEastAsia" w:eastAsiaTheme="majorEastAsia"/>
                <w:bCs/>
                <w:sz w:val="18"/>
                <w:szCs w:val="18"/>
              </w:rPr>
              <w:t>□ 直销：产品管理人销售</w:t>
            </w:r>
          </w:p>
          <w:p w14:paraId="5E1ADB0D">
            <w:pPr>
              <w:spacing w:line="320" w:lineRule="exact"/>
              <w:jc w:val="left"/>
              <w:rPr>
                <w:rFonts w:ascii="宋体" w:hAnsi="宋体" w:cs="宋体"/>
                <w:bCs/>
                <w:sz w:val="18"/>
                <w:szCs w:val="18"/>
              </w:rPr>
            </w:pPr>
            <w:r>
              <w:rPr>
                <w:rFonts w:hint="eastAsia" w:cs="宋体" w:asciiTheme="majorEastAsia" w:hAnsiTheme="majorEastAsia" w:eastAsiaTheme="majorEastAsia"/>
                <w:bCs/>
                <w:sz w:val="18"/>
                <w:szCs w:val="18"/>
              </w:rPr>
              <w:t>■ 代销：代理</w:t>
            </w:r>
            <w:r>
              <w:rPr>
                <w:rFonts w:cs="宋体" w:asciiTheme="majorEastAsia" w:hAnsiTheme="majorEastAsia" w:eastAsiaTheme="majorEastAsia"/>
                <w:bCs/>
                <w:sz w:val="18"/>
                <w:szCs w:val="18"/>
              </w:rPr>
              <w:t>销售机构</w:t>
            </w:r>
            <w:r>
              <w:rPr>
                <w:rFonts w:hint="eastAsia" w:cs="宋体" w:asciiTheme="majorEastAsia" w:hAnsiTheme="majorEastAsia" w:eastAsiaTheme="majorEastAsia"/>
                <w:bCs/>
                <w:sz w:val="18"/>
                <w:szCs w:val="18"/>
              </w:rPr>
              <w:t>销售</w:t>
            </w:r>
          </w:p>
        </w:tc>
      </w:tr>
      <w:tr w14:paraId="2D913B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14:paraId="129F1657">
            <w:pPr>
              <w:spacing w:line="320" w:lineRule="exact"/>
              <w:jc w:val="left"/>
              <w:rPr>
                <w:rFonts w:ascii="宋体" w:hAnsi="宋体" w:cs="宋体"/>
                <w:b/>
                <w:bCs/>
                <w:sz w:val="18"/>
                <w:szCs w:val="18"/>
              </w:rPr>
            </w:pPr>
          </w:p>
        </w:tc>
        <w:tc>
          <w:tcPr>
            <w:tcW w:w="1720" w:type="dxa"/>
            <w:gridSpan w:val="2"/>
            <w:shd w:val="solid" w:color="FFFFFF" w:fill="FFFFFF"/>
            <w:vAlign w:val="center"/>
          </w:tcPr>
          <w:p w14:paraId="0041A434">
            <w:pPr>
              <w:spacing w:line="320" w:lineRule="exact"/>
              <w:jc w:val="left"/>
              <w:rPr>
                <w:rFonts w:ascii="宋体" w:hAnsi="宋体" w:cs="宋体"/>
                <w:bCs/>
                <w:sz w:val="18"/>
                <w:szCs w:val="18"/>
              </w:rPr>
            </w:pPr>
            <w:r>
              <w:rPr>
                <w:rFonts w:hint="eastAsia" w:ascii="宋体" w:hAnsi="宋体" w:cs="宋体"/>
                <w:bCs/>
                <w:sz w:val="18"/>
                <w:szCs w:val="18"/>
              </w:rPr>
              <w:t>机构名称</w:t>
            </w:r>
          </w:p>
        </w:tc>
        <w:tc>
          <w:tcPr>
            <w:tcW w:w="5061" w:type="dxa"/>
            <w:gridSpan w:val="3"/>
            <w:shd w:val="solid" w:color="FFFFFF" w:fill="FFFFFF"/>
            <w:vAlign w:val="center"/>
          </w:tcPr>
          <w:p w14:paraId="33A17EAD">
            <w:pPr>
              <w:spacing w:line="320" w:lineRule="exact"/>
              <w:jc w:val="left"/>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highlight w:val="yellow"/>
                <w:lang w:val="en-US" w:eastAsia="zh-CN"/>
              </w:rPr>
              <w:t>沧州银行股份有限公司</w:t>
            </w:r>
            <w:r>
              <w:rPr>
                <w:rFonts w:hint="eastAsia" w:ascii="宋体" w:hAnsi="宋体" w:cs="宋体"/>
                <w:bCs/>
                <w:sz w:val="18"/>
                <w:szCs w:val="18"/>
              </w:rPr>
              <w:t>】</w:t>
            </w:r>
          </w:p>
        </w:tc>
      </w:tr>
      <w:tr w14:paraId="777039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14:paraId="5CA2F52E">
            <w:pPr>
              <w:spacing w:line="320" w:lineRule="exact"/>
              <w:jc w:val="left"/>
              <w:rPr>
                <w:rFonts w:ascii="宋体" w:hAnsi="宋体" w:cs="宋体"/>
                <w:b/>
                <w:bCs/>
                <w:sz w:val="18"/>
                <w:szCs w:val="18"/>
              </w:rPr>
            </w:pPr>
          </w:p>
        </w:tc>
        <w:tc>
          <w:tcPr>
            <w:tcW w:w="1720" w:type="dxa"/>
            <w:gridSpan w:val="2"/>
            <w:tcBorders>
              <w:bottom w:val="single" w:color="auto" w:sz="12" w:space="0"/>
            </w:tcBorders>
            <w:shd w:val="solid" w:color="FFFFFF" w:fill="FFFFFF"/>
            <w:vAlign w:val="center"/>
          </w:tcPr>
          <w:p w14:paraId="0461565D">
            <w:pPr>
              <w:spacing w:line="320" w:lineRule="exact"/>
              <w:jc w:val="left"/>
              <w:rPr>
                <w:rFonts w:ascii="宋体" w:hAnsi="宋体" w:cs="宋体"/>
                <w:bCs/>
                <w:sz w:val="18"/>
                <w:szCs w:val="18"/>
              </w:rPr>
            </w:pPr>
            <w:r>
              <w:rPr>
                <w:rFonts w:hint="eastAsia" w:ascii="宋体" w:hAnsi="宋体" w:cs="宋体"/>
                <w:bCs/>
                <w:sz w:val="18"/>
                <w:szCs w:val="18"/>
              </w:rPr>
              <w:t>机构简介</w:t>
            </w:r>
          </w:p>
        </w:tc>
        <w:tc>
          <w:tcPr>
            <w:tcW w:w="5061" w:type="dxa"/>
            <w:gridSpan w:val="3"/>
            <w:tcBorders>
              <w:bottom w:val="single" w:color="auto" w:sz="12" w:space="0"/>
            </w:tcBorders>
            <w:shd w:val="solid" w:color="FFFFFF" w:fill="FFFFFF"/>
            <w:vAlign w:val="center"/>
          </w:tcPr>
          <w:p w14:paraId="62C1AA14">
            <w:pPr>
              <w:widowControl w:val="0"/>
              <w:autoSpaceDE w:val="0"/>
              <w:autoSpaceDN w:val="0"/>
              <w:adjustRightInd w:val="0"/>
              <w:jc w:val="both"/>
              <w:rPr>
                <w:rFonts w:ascii="宋体" w:hAnsi="Calibri" w:eastAsia="宋体" w:cs="宋体"/>
                <w:color w:val="000000"/>
                <w:sz w:val="24"/>
                <w:szCs w:val="24"/>
                <w:lang w:val="en-US" w:eastAsia="zh-CN" w:bidi="ar-SA"/>
              </w:rPr>
            </w:pPr>
            <w:r>
              <w:rPr>
                <w:rFonts w:hint="eastAsia" w:cs="宋体" w:asciiTheme="majorEastAsia" w:hAnsiTheme="majorEastAsia" w:eastAsiaTheme="majorEastAsia"/>
                <w:bCs/>
                <w:color w:val="000000"/>
                <w:sz w:val="18"/>
                <w:szCs w:val="18"/>
                <w:lang w:val="en-US" w:eastAsia="zh-CN" w:bidi="ar-SA"/>
              </w:rPr>
              <w:t>【</w:t>
            </w:r>
            <w:r>
              <w:rPr>
                <w:rFonts w:hint="eastAsia" w:cs="宋体" w:asciiTheme="majorEastAsia" w:hAnsiTheme="majorEastAsia" w:eastAsiaTheme="majorEastAsia"/>
                <w:bCs/>
                <w:color w:val="000000"/>
                <w:sz w:val="18"/>
                <w:szCs w:val="18"/>
                <w:highlight w:val="yellow"/>
                <w:lang w:val="en-US" w:eastAsia="zh-CN" w:bidi="ar-SA"/>
              </w:rPr>
              <w:t>沧州银行</w:t>
            </w:r>
            <w:r>
              <w:rPr>
                <w:rFonts w:hint="eastAsia" w:cs="宋体" w:asciiTheme="majorEastAsia" w:hAnsiTheme="majorEastAsia" w:eastAsiaTheme="majorEastAsia"/>
                <w:bCs/>
                <w:color w:val="000000"/>
                <w:sz w:val="18"/>
                <w:szCs w:val="18"/>
                <w:lang w:val="en-US" w:eastAsia="zh-CN" w:bidi="ar-SA"/>
              </w:rPr>
              <w:t>】</w:t>
            </w:r>
          </w:p>
        </w:tc>
      </w:tr>
      <w:tr w14:paraId="026457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47C5778B">
            <w:pPr>
              <w:spacing w:line="320" w:lineRule="exact"/>
              <w:jc w:val="left"/>
              <w:rPr>
                <w:rFonts w:ascii="宋体" w:hAnsi="宋体" w:cs="宋体"/>
                <w:bCs/>
                <w:sz w:val="18"/>
                <w:szCs w:val="18"/>
              </w:rPr>
            </w:pPr>
          </w:p>
        </w:tc>
      </w:tr>
      <w:tr w14:paraId="393090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shd w:val="solid" w:color="FFFFFF" w:fill="FFFFFF"/>
            <w:vAlign w:val="center"/>
          </w:tcPr>
          <w:p w14:paraId="71F4AD7F">
            <w:pPr>
              <w:widowControl w:val="0"/>
              <w:pBdr>
                <w:bottom w:val="none" w:color="auto" w:sz="0" w:space="0"/>
              </w:pBdr>
              <w:snapToGrid/>
              <w:spacing w:line="320" w:lineRule="exact"/>
              <w:jc w:val="center"/>
              <w:rPr>
                <w:rFonts w:ascii="宋体" w:hAnsi="宋体" w:eastAsiaTheme="minorEastAsia" w:cstheme="minorBidi"/>
                <w:b/>
                <w:kern w:val="2"/>
                <w:sz w:val="18"/>
                <w:szCs w:val="18"/>
                <w:lang w:val="en-US" w:eastAsia="zh-CN" w:bidi="ar-SA"/>
              </w:rPr>
            </w:pPr>
            <w:r>
              <w:rPr>
                <w:rFonts w:hint="eastAsia" w:ascii="宋体" w:hAnsi="宋体" w:eastAsiaTheme="minorEastAsia" w:cstheme="minorBidi"/>
                <w:b/>
                <w:kern w:val="2"/>
                <w:sz w:val="18"/>
                <w:szCs w:val="18"/>
                <w:lang w:val="en-US" w:eastAsia="zh-CN" w:bidi="ar-SA"/>
              </w:rPr>
              <w:t>理财产品指定账户信息</w:t>
            </w:r>
          </w:p>
        </w:tc>
        <w:tc>
          <w:tcPr>
            <w:tcW w:w="6781" w:type="dxa"/>
            <w:gridSpan w:val="5"/>
            <w:shd w:val="solid" w:color="FFFFFF" w:fill="FFFFFF"/>
            <w:vAlign w:val="center"/>
          </w:tcPr>
          <w:p w14:paraId="2386C808">
            <w:pPr>
              <w:widowControl w:val="0"/>
              <w:pBdr>
                <w:bottom w:val="none" w:color="auto" w:sz="0" w:space="0"/>
              </w:pBdr>
              <w:snapToGrid/>
              <w:spacing w:line="320" w:lineRule="exact"/>
              <w:jc w:val="left"/>
              <w:rPr>
                <w:rFonts w:ascii="宋体" w:hAnsi="宋体" w:eastAsiaTheme="minorEastAsia" w:cstheme="minorBidi"/>
                <w:b/>
                <w:kern w:val="2"/>
                <w:sz w:val="18"/>
                <w:szCs w:val="18"/>
                <w:lang w:val="en-US" w:eastAsia="zh-CN" w:bidi="ar-SA"/>
              </w:rPr>
            </w:pPr>
            <w:r>
              <w:rPr>
                <w:rFonts w:hint="eastAsia" w:ascii="宋体" w:hAnsi="宋体" w:eastAsiaTheme="minorEastAsia" w:cstheme="minorBidi"/>
                <w:kern w:val="2"/>
                <w:sz w:val="18"/>
                <w:szCs w:val="18"/>
                <w:lang w:val="en-US" w:eastAsia="zh-CN" w:bidi="ar-SA"/>
              </w:rPr>
              <w:t>投资者</w:t>
            </w:r>
            <w:r>
              <w:rPr>
                <w:rFonts w:ascii="宋体" w:hAnsi="宋体" w:eastAsiaTheme="minorEastAsia" w:cstheme="minorBidi"/>
                <w:kern w:val="2"/>
                <w:sz w:val="18"/>
                <w:szCs w:val="18"/>
                <w:lang w:val="en-US" w:eastAsia="zh-CN" w:bidi="ar-SA"/>
              </w:rPr>
              <w:t>在销售机构开立</w:t>
            </w:r>
            <w:r>
              <w:rPr>
                <w:rFonts w:hint="eastAsia" w:ascii="宋体" w:hAnsi="宋体" w:eastAsiaTheme="minorEastAsia" w:cstheme="minorBidi"/>
                <w:kern w:val="2"/>
                <w:sz w:val="18"/>
                <w:szCs w:val="18"/>
                <w:lang w:val="en-US" w:eastAsia="zh-CN" w:bidi="ar-SA"/>
              </w:rPr>
              <w:t>理财卡结算账户</w:t>
            </w:r>
            <w:r>
              <w:rPr>
                <w:rFonts w:hint="eastAsia" w:ascii="宋体" w:hAnsi="宋体" w:eastAsiaTheme="minorEastAsia" w:cstheme="minorBidi"/>
                <w:spacing w:val="-6"/>
                <w:kern w:val="2"/>
                <w:sz w:val="18"/>
                <w:szCs w:val="18"/>
                <w:lang w:val="en-US" w:eastAsia="zh-CN" w:bidi="ar-SA"/>
              </w:rPr>
              <w:t>或存折结算账户（</w:t>
            </w:r>
            <w:r>
              <w:rPr>
                <w:rFonts w:hint="eastAsia" w:ascii="宋体" w:hAnsi="宋体" w:eastAsiaTheme="minorEastAsia" w:cstheme="minorBidi"/>
                <w:kern w:val="2"/>
                <w:sz w:val="18"/>
                <w:szCs w:val="18"/>
                <w:lang w:val="en-US" w:eastAsia="zh-CN" w:bidi="ar-SA"/>
              </w:rPr>
              <w:t>以下简称“指定账户”），</w:t>
            </w:r>
            <w:r>
              <w:rPr>
                <w:rFonts w:ascii="宋体" w:hAnsi="宋体" w:eastAsiaTheme="minorEastAsia" w:cstheme="minorBidi"/>
                <w:kern w:val="2"/>
                <w:sz w:val="18"/>
                <w:szCs w:val="18"/>
                <w:lang w:val="en-US" w:eastAsia="zh-CN" w:bidi="ar-SA"/>
              </w:rPr>
              <w:t>用于</w:t>
            </w:r>
            <w:r>
              <w:rPr>
                <w:rFonts w:hint="eastAsia" w:ascii="宋体" w:hAnsi="宋体" w:eastAsiaTheme="minorEastAsia" w:cstheme="minorBidi"/>
                <w:kern w:val="2"/>
                <w:sz w:val="18"/>
                <w:szCs w:val="18"/>
                <w:lang w:val="en-US" w:eastAsia="zh-CN" w:bidi="ar-SA"/>
              </w:rPr>
              <w:t>本产品的</w:t>
            </w:r>
            <w:r>
              <w:rPr>
                <w:rFonts w:ascii="宋体" w:hAnsi="宋体" w:eastAsiaTheme="minorEastAsia" w:cstheme="minorBidi"/>
                <w:kern w:val="2"/>
                <w:sz w:val="18"/>
                <w:szCs w:val="18"/>
                <w:lang w:val="en-US" w:eastAsia="zh-CN" w:bidi="ar-SA"/>
              </w:rPr>
              <w:t>资金划转及</w:t>
            </w:r>
            <w:r>
              <w:rPr>
                <w:rFonts w:hint="eastAsia" w:ascii="宋体" w:hAnsi="宋体" w:eastAsiaTheme="minorEastAsia" w:cstheme="minorBidi"/>
                <w:kern w:val="2"/>
                <w:sz w:val="18"/>
                <w:szCs w:val="18"/>
                <w:lang w:val="en-US" w:eastAsia="zh-CN" w:bidi="ar-SA"/>
              </w:rPr>
              <w:t>产品分配，账号：</w:t>
            </w:r>
            <w:r>
              <w:rPr>
                <w:rFonts w:ascii="宋体" w:hAnsi="宋体" w:eastAsiaTheme="minorEastAsia" w:cstheme="minorBidi"/>
                <w:kern w:val="2"/>
                <w:sz w:val="18"/>
                <w:szCs w:val="18"/>
                <w:u w:val="single"/>
                <w:lang w:val="en-US" w:eastAsia="zh-CN" w:bidi="ar-SA"/>
              </w:rPr>
              <w:t xml:space="preserve">　                     </w:t>
            </w:r>
            <w:r>
              <w:rPr>
                <w:rFonts w:hint="eastAsia" w:ascii="宋体" w:hAnsi="宋体" w:eastAsiaTheme="minorEastAsia" w:cstheme="minorBidi"/>
                <w:kern w:val="2"/>
                <w:sz w:val="18"/>
                <w:szCs w:val="18"/>
                <w:lang w:val="en-US" w:eastAsia="zh-CN" w:bidi="ar-SA"/>
              </w:rPr>
              <w:t>。</w:t>
            </w:r>
          </w:p>
        </w:tc>
      </w:tr>
    </w:tbl>
    <w:p w14:paraId="77EADDCD">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14:paraId="1C31C83E">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14:paraId="063E29A3">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cs="宋体"/>
          <w:sz w:val="18"/>
          <w:szCs w:val="18"/>
        </w:rPr>
        <w:t>甲乙双方经友好协商，本着平等自愿、诚实信用的原则，达成协议如下：</w:t>
      </w:r>
    </w:p>
    <w:p w14:paraId="6EB50DD1">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14:paraId="3FB6D4EE">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14:paraId="5798FFCB">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14:paraId="5089EE31">
      <w:pPr>
        <w:widowControl/>
        <w:spacing w:line="360" w:lineRule="auto"/>
        <w:jc w:val="left"/>
        <w:rPr>
          <w:rFonts w:ascii="黑体" w:hAnsi="黑体" w:eastAsia="黑体" w:cs="仿宋_GB2312"/>
          <w:kern w:val="0"/>
          <w:sz w:val="18"/>
          <w:szCs w:val="18"/>
        </w:rPr>
      </w:pPr>
      <w:r>
        <w:rPr>
          <w:rFonts w:hint="eastAsia" w:ascii="黑体" w:hAnsi="黑体" w:eastAsia="黑体" w:cs="宋体"/>
          <w:bCs/>
          <w:sz w:val="18"/>
          <w:szCs w:val="18"/>
        </w:rPr>
        <w:t>□</w:t>
      </w:r>
      <w:r>
        <w:rPr>
          <w:rFonts w:ascii="黑体" w:hAnsi="黑体" w:eastAsia="黑体" w:cs="宋体"/>
          <w:bCs/>
          <w:sz w:val="18"/>
          <w:szCs w:val="18"/>
        </w:rPr>
        <w:t xml:space="preserve"> </w:t>
      </w:r>
      <w:r>
        <w:rPr>
          <w:rFonts w:hint="eastAsia" w:ascii="黑体" w:hAnsi="黑体" w:eastAsia="黑体" w:cs="仿宋_GB2312"/>
          <w:kern w:val="0"/>
          <w:sz w:val="18"/>
          <w:szCs w:val="18"/>
        </w:rPr>
        <w:t>直销适用</w:t>
      </w:r>
    </w:p>
    <w:p w14:paraId="7105F27C">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既作为理财产品的销售机构，又是理财产品管理人，对理财产品的业绩不承担任何保证和其他经济责任。乙方受理的销售理财产品业务申请，以产品管理人的最终确认结果为准。</w:t>
      </w:r>
    </w:p>
    <w:p w14:paraId="19FB38CA">
      <w:pPr>
        <w:widowControl/>
        <w:spacing w:line="360" w:lineRule="auto"/>
        <w:jc w:val="left"/>
        <w:rPr>
          <w:rFonts w:ascii="黑体" w:hAnsi="黑体" w:eastAsia="黑体" w:cs="仿宋_GB2312"/>
          <w:kern w:val="0"/>
          <w:sz w:val="18"/>
          <w:szCs w:val="18"/>
        </w:rPr>
      </w:pPr>
      <w:r>
        <w:rPr>
          <w:rFonts w:hint="eastAsia" w:ascii="黑体" w:hAnsi="黑体" w:eastAsia="黑体" w:cs="宋体"/>
          <w:bCs/>
          <w:sz w:val="18"/>
          <w:szCs w:val="18"/>
        </w:rPr>
        <w:t>□</w:t>
      </w:r>
      <w:r>
        <w:rPr>
          <w:rFonts w:ascii="黑体" w:hAnsi="黑体" w:eastAsia="黑体" w:cs="宋体"/>
          <w:bCs/>
          <w:sz w:val="18"/>
          <w:szCs w:val="18"/>
        </w:rPr>
        <w:t xml:space="preserve"> </w:t>
      </w:r>
      <w:r>
        <w:rPr>
          <w:rFonts w:hint="eastAsia" w:ascii="黑体" w:hAnsi="黑体" w:eastAsia="黑体" w:cs="仿宋_GB2312"/>
          <w:kern w:val="0"/>
          <w:sz w:val="18"/>
          <w:szCs w:val="18"/>
        </w:rPr>
        <w:t>代销适用</w:t>
      </w:r>
    </w:p>
    <w:p w14:paraId="77FD0ECC">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仅作为理财产品的代理销售机构，非理财产品管理人，对理财产品的业绩不承担任何保证和其他经济责任，不承担理财产品的投资和兑付责任。乙方受理的销售理财产品业务申请，以产品管理人的最终确认结果为准。</w:t>
      </w:r>
    </w:p>
    <w:p w14:paraId="49643349">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14:paraId="2826F54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r>
        <w:rPr>
          <w:rFonts w:hint="eastAsia" w:ascii="宋体" w:hAnsi="宋体" w:cs="仿宋_GB2312"/>
          <w:kern w:val="0"/>
          <w:sz w:val="18"/>
          <w:szCs w:val="18"/>
          <w:lang w:val="en-US" w:eastAsia="zh-CN"/>
        </w:rPr>
        <w:t>5</w:t>
      </w:r>
      <w:r>
        <w:rPr>
          <w:rFonts w:hint="eastAsia" w:ascii="宋体" w:hAnsi="宋体" w:cs="仿宋_GB2312"/>
          <w:kern w:val="0"/>
          <w:sz w:val="18"/>
          <w:szCs w:val="18"/>
        </w:rPr>
        <w:t>】个风险等级</w:t>
      </w:r>
      <w:r>
        <w:rPr>
          <w:rFonts w:ascii="宋体" w:hAnsi="宋体" w:cs="仿宋_GB2312"/>
          <w:kern w:val="0"/>
          <w:sz w:val="18"/>
          <w:szCs w:val="18"/>
        </w:rPr>
        <w:t>：</w:t>
      </w:r>
      <w:r>
        <w:rPr>
          <w:rFonts w:hint="eastAsia" w:ascii="宋体" w:hAnsi="宋体" w:cs="仿宋_GB2312"/>
          <w:kern w:val="0"/>
          <w:sz w:val="18"/>
          <w:szCs w:val="18"/>
        </w:rPr>
        <w:t>【</w:t>
      </w:r>
      <w:r>
        <w:rPr>
          <w:rFonts w:hint="eastAsia" w:ascii="宋体" w:hAnsi="宋体" w:cs="仿宋_GB2312"/>
          <w:kern w:val="0"/>
          <w:sz w:val="18"/>
          <w:szCs w:val="18"/>
          <w:highlight w:val="yellow"/>
          <w:lang w:val="en-US" w:eastAsia="zh-CN"/>
        </w:rPr>
        <w:t>R1/R2/R3/R4/R5</w:t>
      </w:r>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14:paraId="32903C46">
      <w:pPr>
        <w:widowControl/>
        <w:spacing w:line="360" w:lineRule="auto"/>
        <w:jc w:val="left"/>
        <w:rPr>
          <w:rFonts w:cs="宋体" w:asciiTheme="majorEastAsia" w:hAnsiTheme="majorEastAsia" w:eastAsiaTheme="majorEastAsia"/>
          <w:bCs/>
          <w:sz w:val="18"/>
          <w:szCs w:val="18"/>
        </w:rPr>
      </w:pPr>
      <w:r>
        <w:rPr>
          <w:rFonts w:hint="eastAsia" w:cs="宋体"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cs="宋体" w:asciiTheme="majorEastAsia" w:hAnsiTheme="majorEastAsia" w:eastAsiaTheme="majorEastAsia"/>
          <w:bCs/>
          <w:sz w:val="18"/>
          <w:szCs w:val="18"/>
        </w:rPr>
        <w:t>销售机构</w:t>
      </w:r>
      <w:r>
        <w:rPr>
          <w:rFonts w:hint="eastAsia" w:cs="宋体" w:asciiTheme="majorEastAsia" w:hAnsiTheme="majorEastAsia" w:eastAsiaTheme="majorEastAsia"/>
          <w:bCs/>
          <w:sz w:val="18"/>
          <w:szCs w:val="18"/>
        </w:rPr>
        <w:t>应采用对应较高风险的评级结果。</w:t>
      </w:r>
    </w:p>
    <w:p w14:paraId="15D6074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14:paraId="4F2E1F0E">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14:paraId="30333416">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14:paraId="7C8353E7">
      <w:pPr>
        <w:widowControl w:val="0"/>
        <w:autoSpaceDE w:val="0"/>
        <w:autoSpaceDN w:val="0"/>
        <w:adjustRightInd w:val="0"/>
        <w:spacing w:line="360" w:lineRule="auto"/>
        <w:rPr>
          <w:rFonts w:cs="宋体" w:asciiTheme="majorEastAsia" w:hAnsiTheme="majorEastAsia" w:eastAsiaTheme="majorEastAsia"/>
          <w:bCs/>
          <w:color w:val="000000"/>
          <w:sz w:val="18"/>
          <w:szCs w:val="18"/>
          <w:lang w:val="en-US" w:eastAsia="zh-CN" w:bidi="ar-SA"/>
        </w:rPr>
      </w:pPr>
      <w:r>
        <w:rPr>
          <w:rFonts w:hint="eastAsia" w:cs="宋体" w:asciiTheme="majorEastAsia" w:hAnsiTheme="majorEastAsia" w:eastAsiaTheme="majorEastAsia"/>
          <w:bCs/>
          <w:color w:val="auto"/>
          <w:sz w:val="18"/>
          <w:szCs w:val="18"/>
          <w:lang w:val="en-US" w:eastAsia="zh-CN" w:bidi="ar-SA"/>
        </w:rPr>
        <w:t>（3）</w:t>
      </w:r>
      <w:r>
        <w:rPr>
          <w:rFonts w:hint="eastAsia" w:ascii="宋体" w:hAnsi="宋体" w:eastAsia="宋体" w:cs="仿宋_GB2312"/>
          <w:color w:val="000000"/>
          <w:sz w:val="18"/>
          <w:szCs w:val="18"/>
          <w:lang w:val="en-US" w:eastAsia="zh-CN" w:bidi="ar-SA"/>
        </w:rPr>
        <w:t>甲方应根据风险承受能力选择与其风险承受能力相匹配的风险等级的理财产品，不得购买高于甲方风险承受能力的理财产品。</w:t>
      </w:r>
    </w:p>
    <w:p w14:paraId="47D30ADE">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14:paraId="22C140F0">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w:t>
      </w:r>
      <w:r>
        <w:rPr>
          <w:rFonts w:hint="eastAsia" w:ascii="宋体" w:hAnsi="宋体" w:cs="仿宋_GB2312"/>
          <w:kern w:val="0"/>
          <w:sz w:val="18"/>
          <w:szCs w:val="18"/>
          <w:lang w:val="en-US" w:eastAsia="zh-CN"/>
        </w:rPr>
        <w:t>普通</w:t>
      </w:r>
      <w:r>
        <w:rPr>
          <w:rFonts w:hint="eastAsia" w:ascii="宋体" w:hAnsi="宋体" w:cs="仿宋_GB2312"/>
          <w:kern w:val="0"/>
          <w:sz w:val="18"/>
          <w:szCs w:val="18"/>
        </w:rPr>
        <w:t>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14:paraId="5EE3D19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w:t>
      </w:r>
      <w:r>
        <w:rPr>
          <w:rFonts w:hint="eastAsia" w:ascii="宋体" w:hAnsi="宋体" w:cs="仿宋_GB2312"/>
          <w:kern w:val="0"/>
          <w:sz w:val="18"/>
          <w:szCs w:val="18"/>
          <w:lang w:val="en-US" w:eastAsia="zh-CN"/>
        </w:rPr>
        <w:t>专业</w:t>
      </w:r>
      <w:r>
        <w:rPr>
          <w:rFonts w:hint="eastAsia" w:ascii="宋体" w:hAnsi="宋体" w:cs="仿宋_GB2312"/>
          <w:kern w:val="0"/>
          <w:sz w:val="18"/>
          <w:szCs w:val="18"/>
        </w:rPr>
        <w:t>投资者的风险承受能力评估按销售机构的以下销售政策执行：</w:t>
      </w:r>
    </w:p>
    <w:p w14:paraId="2CB4FEBE">
      <w:pPr>
        <w:widowControl/>
        <w:spacing w:line="360" w:lineRule="auto"/>
        <w:jc w:val="left"/>
        <w:rPr>
          <w:rFonts w:cs="宋体" w:asciiTheme="majorEastAsia" w:hAnsiTheme="majorEastAsia" w:eastAsiaTheme="majorEastAsia"/>
          <w:sz w:val="18"/>
          <w:szCs w:val="18"/>
        </w:rPr>
      </w:pPr>
      <w:r>
        <w:rPr>
          <w:rFonts w:hint="eastAsia" w:ascii="黑体" w:hAnsi="黑体" w:eastAsia="黑体" w:cs="宋体"/>
          <w:bCs/>
          <w:sz w:val="18"/>
          <w:szCs w:val="18"/>
        </w:rPr>
        <w:t>□</w:t>
      </w:r>
      <w:r>
        <w:rPr>
          <w:rFonts w:hint="eastAsia" w:cs="宋体" w:asciiTheme="majorEastAsia" w:hAnsiTheme="majorEastAsia" w:eastAsiaTheme="majorEastAsia"/>
          <w:sz w:val="18"/>
          <w:szCs w:val="18"/>
        </w:rPr>
        <w:t xml:space="preserve"> 参照本条第（1）款</w:t>
      </w:r>
      <w:r>
        <w:rPr>
          <w:rFonts w:hint="eastAsia" w:cs="宋体" w:asciiTheme="majorEastAsia" w:hAnsiTheme="majorEastAsia" w:eastAsiaTheme="majorEastAsia"/>
          <w:sz w:val="18"/>
          <w:szCs w:val="18"/>
          <w:lang w:val="en-US" w:eastAsia="zh-CN"/>
        </w:rPr>
        <w:t>普通</w:t>
      </w:r>
      <w:r>
        <w:rPr>
          <w:rFonts w:hint="eastAsia" w:cs="宋体" w:asciiTheme="majorEastAsia" w:hAnsiTheme="majorEastAsia" w:eastAsiaTheme="majorEastAsia"/>
          <w:sz w:val="18"/>
          <w:szCs w:val="18"/>
        </w:rPr>
        <w:t>投资者要求执行；</w:t>
      </w:r>
    </w:p>
    <w:p w14:paraId="4C6C8B53">
      <w:pPr>
        <w:widowControl/>
        <w:spacing w:line="360" w:lineRule="auto"/>
        <w:jc w:val="left"/>
        <w:rPr>
          <w:rFonts w:cs="宋体" w:asciiTheme="majorEastAsia" w:hAnsiTheme="majorEastAsia" w:eastAsiaTheme="majorEastAsia"/>
          <w:sz w:val="18"/>
          <w:szCs w:val="18"/>
        </w:rPr>
      </w:pPr>
      <w:r>
        <w:rPr>
          <w:rFonts w:hint="eastAsia" w:ascii="黑体" w:hAnsi="黑体" w:eastAsia="黑体" w:cs="宋体"/>
          <w:bCs/>
          <w:sz w:val="18"/>
          <w:szCs w:val="18"/>
        </w:rPr>
        <w:t>□</w:t>
      </w:r>
      <w:r>
        <w:rPr>
          <w:rFonts w:hint="eastAsia" w:cs="宋体" w:asciiTheme="majorEastAsia" w:hAnsiTheme="majorEastAsia" w:eastAsiaTheme="majorEastAsia"/>
          <w:sz w:val="18"/>
          <w:szCs w:val="18"/>
        </w:rPr>
        <w:t xml:space="preserve"> 其他：</w:t>
      </w:r>
      <w:r>
        <w:rPr>
          <w:rFonts w:hint="eastAsia" w:cs="宋体" w:asciiTheme="majorEastAsia" w:hAnsiTheme="majorEastAsia" w:eastAsiaTheme="majorEastAsia"/>
          <w:sz w:val="18"/>
          <w:szCs w:val="18"/>
          <w:u w:val="single"/>
        </w:rPr>
        <w:t xml:space="preserve">                               。</w:t>
      </w:r>
    </w:p>
    <w:p w14:paraId="3ED64A8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cs="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14:paraId="5AB5B7C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14:paraId="106FEC45">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14:paraId="2FC64DB6">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56F50B66">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14:paraId="2ADF4073">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14:paraId="634DC5B5">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14:paraId="69F691EA">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反欺诈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14:paraId="7DD17EF1">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14:paraId="64A13A1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131D0EB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恐怖融资、逃税活动等违法行为。乙方发现或有合理理由怀疑甲方、甲方资金或甲方交易行为涉嫌洗钱、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恐怖融资、逃税等犯罪活动相关的，乙方有权提前终止本协议，造成甲方损失的，乙方不承担责任。</w:t>
      </w:r>
    </w:p>
    <w:p w14:paraId="4B2877A2">
      <w:pPr>
        <w:widowControl/>
        <w:spacing w:line="360" w:lineRule="auto"/>
        <w:jc w:val="left"/>
        <w:rPr>
          <w:rFonts w:ascii="宋体" w:hAnsi="宋体" w:cs="仿宋_GB2312"/>
          <w:kern w:val="0"/>
          <w:sz w:val="18"/>
          <w:szCs w:val="18"/>
        </w:rPr>
      </w:pPr>
    </w:p>
    <w:p w14:paraId="2EA1D6EA">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14:paraId="0957FC99">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14:paraId="44AB9E2F">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14:paraId="78C86BA4">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14:paraId="1694CA0A">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14:paraId="42A428A3">
      <w:pPr>
        <w:widowControl/>
        <w:spacing w:line="360" w:lineRule="auto"/>
        <w:jc w:val="left"/>
        <w:rPr>
          <w:rFonts w:ascii="宋体" w:hAnsi="宋体" w:cs="仿宋_GB2312"/>
          <w:kern w:val="0"/>
          <w:sz w:val="18"/>
          <w:szCs w:val="18"/>
        </w:rPr>
      </w:pPr>
    </w:p>
    <w:p w14:paraId="2CC9B3F3">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14:paraId="7CD452E1">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14:paraId="4FBB18BA">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14:paraId="02CA8196">
      <w:pPr>
        <w:widowControl/>
        <w:spacing w:line="360" w:lineRule="auto"/>
        <w:jc w:val="left"/>
        <w:rPr>
          <w:rFonts w:ascii="宋体" w:hAnsi="宋体" w:cs="仿宋_GB2312"/>
          <w:kern w:val="0"/>
          <w:sz w:val="18"/>
          <w:szCs w:val="18"/>
        </w:rPr>
      </w:pPr>
    </w:p>
    <w:p w14:paraId="21674F5A">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14:paraId="5962842D">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w:t>
      </w:r>
      <w:r>
        <w:rPr>
          <w:rFonts w:hint="eastAsia" w:ascii="宋体" w:hAnsi="宋体" w:cs="仿宋_GB2312"/>
          <w:kern w:val="0"/>
          <w:sz w:val="18"/>
          <w:szCs w:val="18"/>
        </w:rPr>
        <w:t>协议生效</w:t>
      </w:r>
    </w:p>
    <w:p w14:paraId="257E5E1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14:paraId="2CB3EA7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14:paraId="01894B5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14:paraId="207D636C">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14:paraId="7236BCF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14:paraId="1D187AE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14:paraId="20E85449">
      <w:pPr>
        <w:widowControl/>
        <w:spacing w:line="360" w:lineRule="auto"/>
        <w:jc w:val="left"/>
        <w:rPr>
          <w:rFonts w:ascii="宋体" w:hAnsi="宋体" w:cs="仿宋_GB2312"/>
          <w:b/>
          <w:kern w:val="0"/>
          <w:sz w:val="18"/>
          <w:szCs w:val="18"/>
        </w:rPr>
      </w:pPr>
    </w:p>
    <w:p w14:paraId="59814E36">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甲方声明：</w:t>
      </w:r>
    </w:p>
    <w:p w14:paraId="4350AFFF">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1)甲方已经收到所购买乙方销售的理财产品的《投资协议书</w:t>
      </w:r>
      <w:r>
        <w:rPr>
          <w:rFonts w:hint="eastAsia" w:ascii="黑体" w:hAnsi="黑体" w:eastAsia="黑体" w:cs="仿宋_GB2312"/>
          <w:kern w:val="0"/>
          <w:sz w:val="18"/>
          <w:szCs w:val="18"/>
        </w:rPr>
        <w:t>》《产品说明书</w:t>
      </w:r>
      <w:r>
        <w:rPr>
          <w:rFonts w:ascii="黑体" w:hAnsi="黑体" w:eastAsia="黑体" w:cs="仿宋_GB2312"/>
          <w:kern w:val="0"/>
          <w:sz w:val="18"/>
          <w:szCs w:val="18"/>
        </w:rPr>
        <w:t>》《</w:t>
      </w:r>
      <w:r>
        <w:rPr>
          <w:rFonts w:hint="eastAsia" w:ascii="黑体" w:hAnsi="黑体" w:eastAsia="黑体" w:cs="仿宋_GB2312"/>
          <w:kern w:val="0"/>
          <w:sz w:val="18"/>
          <w:szCs w:val="18"/>
        </w:rPr>
        <w:t>（代理）销售协议书</w:t>
      </w:r>
      <w:r>
        <w:rPr>
          <w:rFonts w:ascii="黑体" w:hAnsi="黑体" w:eastAsia="黑体" w:cs="仿宋_GB2312"/>
          <w:kern w:val="0"/>
          <w:sz w:val="18"/>
          <w:szCs w:val="18"/>
        </w:rPr>
        <w:t>》《</w:t>
      </w:r>
      <w:r>
        <w:rPr>
          <w:rFonts w:hint="eastAsia" w:ascii="黑体" w:hAnsi="黑体" w:eastAsia="黑体" w:cs="仿宋_GB2312"/>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、赎回理财产品所产生的相关风险和不利后果。</w:t>
      </w:r>
    </w:p>
    <w:p w14:paraId="36EA518B">
      <w:pPr>
        <w:widowControl/>
        <w:spacing w:line="360" w:lineRule="auto"/>
        <w:jc w:val="left"/>
        <w:rPr>
          <w:rFonts w:hint="eastAsia" w:ascii="黑体" w:hAnsi="黑体" w:eastAsia="黑体" w:cs="仿宋_GB2312"/>
          <w:kern w:val="0"/>
          <w:sz w:val="18"/>
          <w:szCs w:val="18"/>
        </w:rPr>
      </w:pPr>
      <w:r>
        <w:rPr>
          <w:rFonts w:hint="eastAsia" w:ascii="黑体" w:hAnsi="黑体" w:eastAsia="黑体" w:cs="仿宋_GB2312"/>
          <w:kern w:val="0"/>
          <w:sz w:val="18"/>
          <w:szCs w:val="18"/>
        </w:rPr>
        <w:t>（2)甲方确认乙方相关业务人员对于本协议中有关增加甲方义务、限制甲方权利以及免除、限制乙方责任和乙方拥有权利的条款已向甲方予以解释说明，甲方自愿接受上述条款的约束，双方对本协议条款的理解已完全达成一致。</w:t>
      </w:r>
    </w:p>
    <w:p w14:paraId="05168BFC">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14:paraId="776366F3">
      <w:pPr>
        <w:widowControl/>
        <w:jc w:val="left"/>
        <w:rPr>
          <w:rFonts w:ascii="宋体" w:hAnsi="宋体" w:cs="仿宋_GB2312"/>
          <w:b/>
          <w:kern w:val="0"/>
          <w:sz w:val="18"/>
          <w:szCs w:val="18"/>
        </w:rPr>
      </w:pPr>
      <w:r>
        <w:rPr>
          <w:rFonts w:ascii="宋体" w:hAnsi="宋体" w:cs="仿宋_GB2312"/>
          <w:b/>
          <w:kern w:val="0"/>
          <w:sz w:val="18"/>
          <w:szCs w:val="18"/>
        </w:rPr>
        <w:br w:type="page"/>
      </w:r>
    </w:p>
    <w:p w14:paraId="1608A76E">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14:paraId="0CEA86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14:paraId="057A8113">
            <w:pPr>
              <w:autoSpaceDE w:val="0"/>
              <w:autoSpaceDN w:val="0"/>
              <w:adjustRightInd w:val="0"/>
              <w:snapToGrid w:val="0"/>
              <w:spacing w:line="360" w:lineRule="auto"/>
              <w:jc w:val="center"/>
              <w:rPr>
                <w:rFonts w:ascii="宋体" w:hAnsi="宋体" w:cs="宋体"/>
                <w:b/>
                <w:kern w:val="0"/>
                <w:sz w:val="18"/>
                <w:szCs w:val="18"/>
              </w:rPr>
            </w:pPr>
            <w:r>
              <w:rPr>
                <w:rFonts w:hint="eastAsia" w:ascii="宋体" w:hAnsi="宋体" w:cs="宋体"/>
                <w:b/>
                <w:kern w:val="0"/>
                <w:sz w:val="18"/>
                <w:szCs w:val="18"/>
              </w:rPr>
              <w:t>签署栏</w:t>
            </w:r>
          </w:p>
        </w:tc>
      </w:tr>
      <w:tr w14:paraId="244B2C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3C692B3E">
            <w:pPr>
              <w:tabs>
                <w:tab w:val="left" w:pos="8070"/>
                <w:tab w:val="right" w:pos="8306"/>
              </w:tabs>
              <w:autoSpaceDE w:val="0"/>
              <w:autoSpaceDN w:val="0"/>
              <w:adjustRightInd w:val="0"/>
              <w:snapToGrid w:val="0"/>
              <w:spacing w:line="360" w:lineRule="auto"/>
              <w:jc w:val="center"/>
              <w:rPr>
                <w:rFonts w:ascii="黑体" w:hAnsi="黑体" w:eastAsia="黑体" w:cs="宋体"/>
                <w:kern w:val="0"/>
                <w:sz w:val="18"/>
                <w:szCs w:val="18"/>
              </w:rPr>
            </w:pPr>
            <w:r>
              <w:rPr>
                <w:rFonts w:hint="eastAsia" w:ascii="黑体" w:hAnsi="黑体" w:eastAsia="黑体" w:cs="宋体"/>
                <w:kern w:val="0"/>
                <w:sz w:val="18"/>
                <w:szCs w:val="18"/>
              </w:rPr>
              <w:t>★</w:t>
            </w:r>
          </w:p>
          <w:p w14:paraId="688F3075">
            <w:pPr>
              <w:tabs>
                <w:tab w:val="left" w:pos="8070"/>
                <w:tab w:val="right" w:pos="8306"/>
              </w:tabs>
              <w:autoSpaceDE w:val="0"/>
              <w:autoSpaceDN w:val="0"/>
              <w:adjustRightInd w:val="0"/>
              <w:snapToGrid w:val="0"/>
              <w:spacing w:line="360" w:lineRule="auto"/>
              <w:jc w:val="center"/>
              <w:rPr>
                <w:rFonts w:ascii="宋体" w:hAnsi="宋体" w:cs="宋体"/>
                <w:b/>
                <w:kern w:val="0"/>
                <w:sz w:val="18"/>
                <w:szCs w:val="18"/>
              </w:rPr>
            </w:pPr>
            <w:r>
              <w:rPr>
                <w:rFonts w:hint="eastAsia" w:ascii="宋体" w:hAnsi="宋体" w:cs="宋体"/>
                <w:b/>
                <w:kern w:val="0"/>
                <w:sz w:val="18"/>
                <w:szCs w:val="18"/>
              </w:rPr>
              <w:t>签署声明</w:t>
            </w:r>
          </w:p>
        </w:tc>
        <w:tc>
          <w:tcPr>
            <w:tcW w:w="7849" w:type="dxa"/>
            <w:gridSpan w:val="2"/>
          </w:tcPr>
          <w:p w14:paraId="2C8D3103">
            <w:pPr>
              <w:tabs>
                <w:tab w:val="left" w:pos="0"/>
                <w:tab w:val="left" w:pos="3600"/>
              </w:tabs>
              <w:spacing w:line="360" w:lineRule="auto"/>
              <w:jc w:val="left"/>
              <w:rPr>
                <w:rFonts w:ascii="黑体" w:hAnsi="黑体" w:eastAsia="黑体" w:cs="宋体"/>
                <w:kern w:val="0"/>
                <w:sz w:val="18"/>
                <w:szCs w:val="18"/>
              </w:rPr>
            </w:pPr>
            <w:r>
              <w:rPr>
                <w:rFonts w:ascii="黑体" w:hAnsi="黑体" w:eastAsia="黑体" w:cs="宋体"/>
                <w:kern w:val="0"/>
                <w:sz w:val="18"/>
                <w:szCs w:val="18"/>
              </w:rPr>
              <w:t>1</w:t>
            </w:r>
            <w:r>
              <w:rPr>
                <w:rFonts w:hint="eastAsia" w:ascii="黑体" w:hAnsi="黑体" w:eastAsia="黑体" w:cs="宋体"/>
                <w:kern w:val="0"/>
                <w:sz w:val="18"/>
                <w:szCs w:val="18"/>
              </w:rPr>
              <w:t>.</w:t>
            </w:r>
            <w:r>
              <w:rPr>
                <w:rFonts w:ascii="黑体" w:hAnsi="黑体" w:eastAsia="黑体" w:cs="宋体"/>
                <w:kern w:val="0"/>
                <w:sz w:val="18"/>
                <w:szCs w:val="18"/>
              </w:rPr>
              <w:t>在签署本《</w:t>
            </w:r>
            <w:r>
              <w:rPr>
                <w:rFonts w:hint="eastAsia" w:ascii="黑体" w:hAnsi="黑体" w:eastAsia="黑体" w:cs="宋体"/>
                <w:kern w:val="0"/>
                <w:sz w:val="18"/>
                <w:szCs w:val="18"/>
              </w:rPr>
              <w:t>（代理）</w:t>
            </w:r>
            <w:r>
              <w:rPr>
                <w:rFonts w:ascii="黑体" w:hAnsi="黑体" w:eastAsia="黑体" w:cs="宋体"/>
                <w:kern w:val="0"/>
                <w:sz w:val="18"/>
                <w:szCs w:val="18"/>
              </w:rPr>
              <w:t>销售协议书》以前，甲方已认真阅读理财产品销售文件（包括但不限于《</w:t>
            </w:r>
            <w:r>
              <w:rPr>
                <w:rFonts w:hint="eastAsia" w:ascii="黑体" w:hAnsi="黑体" w:eastAsia="黑体" w:cs="宋体"/>
                <w:kern w:val="0"/>
                <w:sz w:val="18"/>
                <w:szCs w:val="18"/>
              </w:rPr>
              <w:t>投资</w:t>
            </w:r>
            <w:r>
              <w:rPr>
                <w:rFonts w:ascii="黑体" w:hAnsi="黑体" w:eastAsia="黑体" w:cs="宋体"/>
                <w:kern w:val="0"/>
                <w:sz w:val="18"/>
                <w:szCs w:val="18"/>
              </w:rPr>
              <w:t>协议书》《产品说明书》《</w:t>
            </w:r>
            <w:r>
              <w:rPr>
                <w:rFonts w:hint="eastAsia" w:ascii="黑体" w:hAnsi="黑体" w:eastAsia="黑体" w:cs="宋体"/>
                <w:kern w:val="0"/>
                <w:sz w:val="18"/>
                <w:szCs w:val="18"/>
              </w:rPr>
              <w:t>（代理）销售</w:t>
            </w:r>
            <w:r>
              <w:rPr>
                <w:rFonts w:ascii="黑体" w:hAnsi="黑体" w:eastAsia="黑体" w:cs="宋体"/>
                <w:kern w:val="0"/>
                <w:sz w:val="18"/>
                <w:szCs w:val="18"/>
              </w:rPr>
              <w:t>协议书</w:t>
            </w:r>
            <w:r>
              <w:rPr>
                <w:rFonts w:hint="eastAsia" w:ascii="黑体" w:hAnsi="黑体" w:eastAsia="黑体" w:cs="宋体"/>
                <w:kern w:val="0"/>
                <w:sz w:val="18"/>
                <w:szCs w:val="18"/>
              </w:rPr>
              <w:t>》《</w:t>
            </w:r>
            <w:r>
              <w:rPr>
                <w:rFonts w:ascii="黑体" w:hAnsi="黑体" w:eastAsia="黑体" w:cs="宋体"/>
                <w:kern w:val="0"/>
                <w:sz w:val="18"/>
                <w:szCs w:val="18"/>
              </w:rPr>
              <w:t>风险揭示书》《投资者权益须知》等文件）的全部内容，</w:t>
            </w:r>
            <w:r>
              <w:rPr>
                <w:rFonts w:hint="eastAsia" w:ascii="黑体" w:hAnsi="黑体" w:eastAsia="黑体" w:cs="宋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14:paraId="2C34C42C">
            <w:pPr>
              <w:tabs>
                <w:tab w:val="left" w:pos="0"/>
                <w:tab w:val="left" w:pos="3600"/>
              </w:tabs>
              <w:spacing w:line="360" w:lineRule="auto"/>
              <w:jc w:val="left"/>
              <w:rPr>
                <w:rFonts w:ascii="黑体" w:hAnsi="黑体" w:eastAsia="黑体" w:cs="宋体"/>
                <w:kern w:val="0"/>
                <w:sz w:val="18"/>
                <w:szCs w:val="18"/>
              </w:rPr>
            </w:pPr>
            <w:r>
              <w:rPr>
                <w:rFonts w:ascii="黑体" w:hAnsi="黑体" w:eastAsia="黑体" w:cs="宋体"/>
                <w:kern w:val="0"/>
                <w:sz w:val="18"/>
                <w:szCs w:val="18"/>
              </w:rPr>
              <w:t>2</w:t>
            </w:r>
            <w:r>
              <w:rPr>
                <w:rFonts w:hint="eastAsia" w:ascii="黑体" w:hAnsi="黑体" w:eastAsia="黑体" w:cs="宋体"/>
                <w:kern w:val="0"/>
                <w:sz w:val="18"/>
                <w:szCs w:val="18"/>
              </w:rPr>
              <w:t>.甲方</w:t>
            </w:r>
            <w:r>
              <w:rPr>
                <w:rFonts w:ascii="黑体" w:hAnsi="黑体" w:eastAsia="黑体" w:cs="宋体"/>
                <w:kern w:val="0"/>
                <w:sz w:val="18"/>
                <w:szCs w:val="18"/>
              </w:rPr>
              <w:t>已认真阅读并充分理解包括但不限于《</w:t>
            </w:r>
            <w:r>
              <w:rPr>
                <w:rFonts w:hint="eastAsia" w:ascii="黑体" w:hAnsi="黑体" w:eastAsia="黑体" w:cs="宋体"/>
                <w:kern w:val="0"/>
                <w:sz w:val="18"/>
                <w:szCs w:val="18"/>
              </w:rPr>
              <w:t>（代理）</w:t>
            </w:r>
            <w:r>
              <w:rPr>
                <w:rFonts w:ascii="黑体" w:hAnsi="黑体" w:eastAsia="黑体" w:cs="宋体"/>
                <w:kern w:val="0"/>
                <w:sz w:val="18"/>
                <w:szCs w:val="18"/>
              </w:rPr>
              <w:t>销售协议书》</w:t>
            </w:r>
            <w:r>
              <w:rPr>
                <w:rFonts w:hint="eastAsia" w:ascii="黑体" w:hAnsi="黑体" w:eastAsia="黑体" w:cs="宋体"/>
                <w:kern w:val="0"/>
                <w:sz w:val="18"/>
                <w:szCs w:val="18"/>
              </w:rPr>
              <w:t>等全套理财产品销售文件</w:t>
            </w:r>
            <w:r>
              <w:rPr>
                <w:rFonts w:ascii="黑体" w:hAnsi="黑体" w:eastAsia="黑体" w:cs="宋体"/>
                <w:kern w:val="0"/>
                <w:sz w:val="18"/>
                <w:szCs w:val="18"/>
              </w:rPr>
              <w:t>关于投资理财产品及其全部风险的有关内容，同意本次</w:t>
            </w:r>
            <w:r>
              <w:rPr>
                <w:rFonts w:hint="eastAsia" w:ascii="黑体" w:hAnsi="黑体" w:eastAsia="黑体" w:cs="宋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14:paraId="3178F2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4" w:hRule="exact"/>
        </w:trPr>
        <w:tc>
          <w:tcPr>
            <w:tcW w:w="675" w:type="dxa"/>
            <w:vMerge w:val="restart"/>
            <w:vAlign w:val="center"/>
          </w:tcPr>
          <w:p w14:paraId="59DA4219">
            <w:pPr>
              <w:spacing w:line="360" w:lineRule="auto"/>
              <w:jc w:val="center"/>
              <w:rPr>
                <w:rFonts w:ascii="Calibri" w:hAnsi="Calibri" w:cs="宋体"/>
                <w:b/>
                <w:kern w:val="0"/>
                <w:sz w:val="18"/>
                <w:szCs w:val="18"/>
              </w:rPr>
            </w:pPr>
            <w:r>
              <w:rPr>
                <w:rFonts w:hint="eastAsia" w:ascii="Calibri" w:hAnsi="Calibri" w:cs="宋体"/>
                <w:b/>
                <w:kern w:val="0"/>
                <w:sz w:val="18"/>
                <w:szCs w:val="18"/>
              </w:rPr>
              <w:t>甲方签署栏</w:t>
            </w:r>
          </w:p>
        </w:tc>
        <w:tc>
          <w:tcPr>
            <w:tcW w:w="851" w:type="dxa"/>
          </w:tcPr>
          <w:p w14:paraId="133F521D">
            <w:pPr>
              <w:spacing w:line="360" w:lineRule="auto"/>
              <w:rPr>
                <w:rFonts w:ascii="Calibri" w:hAnsi="Calibri" w:cs="宋体"/>
                <w:kern w:val="0"/>
                <w:sz w:val="18"/>
                <w:szCs w:val="18"/>
              </w:rPr>
            </w:pPr>
            <w:r>
              <w:rPr>
                <w:rFonts w:hint="eastAsia" w:ascii="Calibri" w:hAnsi="Calibri" w:cs="宋体"/>
                <w:kern w:val="0"/>
                <w:sz w:val="18"/>
                <w:szCs w:val="18"/>
              </w:rPr>
              <w:t>个人投资者适用</w:t>
            </w:r>
          </w:p>
        </w:tc>
        <w:tc>
          <w:tcPr>
            <w:tcW w:w="6998" w:type="dxa"/>
          </w:tcPr>
          <w:p w14:paraId="416CDA1E">
            <w:pPr>
              <w:spacing w:line="360" w:lineRule="auto"/>
              <w:rPr>
                <w:rFonts w:ascii="Calibri" w:hAnsi="Calibri" w:cs="宋体"/>
                <w:kern w:val="0"/>
                <w:sz w:val="18"/>
                <w:szCs w:val="18"/>
              </w:rPr>
            </w:pPr>
            <w:r>
              <w:rPr>
                <w:rFonts w:hint="eastAsia" w:ascii="Calibri" w:hAnsi="Calibri" w:cs="宋体"/>
                <w:kern w:val="0"/>
                <w:sz w:val="18"/>
                <w:szCs w:val="18"/>
              </w:rPr>
              <w:t>甲方（签名/线上确认）：</w:t>
            </w:r>
          </w:p>
          <w:p w14:paraId="0812B354">
            <w:pPr>
              <w:spacing w:line="360" w:lineRule="auto"/>
              <w:rPr>
                <w:rFonts w:ascii="Calibri" w:hAnsi="Calibri" w:cs="宋体"/>
                <w:b/>
                <w:kern w:val="0"/>
                <w:sz w:val="18"/>
                <w:szCs w:val="18"/>
              </w:rPr>
            </w:pPr>
          </w:p>
          <w:p w14:paraId="0962B29D">
            <w:pPr>
              <w:spacing w:line="360" w:lineRule="auto"/>
              <w:rPr>
                <w:rFonts w:ascii="Calibri" w:hAnsi="Calibri" w:cs="宋体"/>
                <w:b/>
                <w:kern w:val="0"/>
                <w:sz w:val="18"/>
                <w:szCs w:val="18"/>
              </w:rPr>
            </w:pPr>
            <w:r>
              <w:rPr>
                <w:rFonts w:hint="eastAsia" w:ascii="Calibri" w:hAnsi="Calibri" w:cs="宋体"/>
                <w:kern w:val="0"/>
                <w:sz w:val="18"/>
                <w:szCs w:val="18"/>
              </w:rPr>
              <w:t>日期：</w:t>
            </w:r>
          </w:p>
        </w:tc>
      </w:tr>
      <w:tr w14:paraId="562011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14:paraId="03E0BAE4">
            <w:pPr>
              <w:spacing w:line="360" w:lineRule="auto"/>
              <w:rPr>
                <w:rFonts w:ascii="Calibri" w:hAnsi="Calibri" w:cs="宋体"/>
                <w:b/>
                <w:kern w:val="0"/>
                <w:sz w:val="18"/>
                <w:szCs w:val="18"/>
              </w:rPr>
            </w:pPr>
          </w:p>
        </w:tc>
        <w:tc>
          <w:tcPr>
            <w:tcW w:w="851" w:type="dxa"/>
          </w:tcPr>
          <w:p w14:paraId="6A97C0B9">
            <w:pPr>
              <w:spacing w:line="360" w:lineRule="auto"/>
              <w:rPr>
                <w:rFonts w:ascii="Calibri" w:hAnsi="Calibri" w:cs="宋体"/>
                <w:kern w:val="0"/>
                <w:sz w:val="18"/>
                <w:szCs w:val="18"/>
              </w:rPr>
            </w:pPr>
            <w:r>
              <w:rPr>
                <w:rFonts w:hint="eastAsia" w:ascii="Calibri" w:hAnsi="Calibri" w:cs="宋体"/>
                <w:kern w:val="0"/>
                <w:sz w:val="18"/>
                <w:szCs w:val="18"/>
              </w:rPr>
              <w:t>机构投资者适用</w:t>
            </w:r>
          </w:p>
        </w:tc>
        <w:tc>
          <w:tcPr>
            <w:tcW w:w="6998" w:type="dxa"/>
          </w:tcPr>
          <w:p w14:paraId="516106BE">
            <w:pPr>
              <w:spacing w:line="360" w:lineRule="auto"/>
              <w:rPr>
                <w:rFonts w:ascii="Calibri" w:hAnsi="Calibri" w:cs="Arial"/>
                <w:kern w:val="0"/>
                <w:sz w:val="18"/>
                <w:szCs w:val="18"/>
              </w:rPr>
            </w:pPr>
            <w:r>
              <w:rPr>
                <w:rFonts w:hint="eastAsia" w:ascii="Calibri" w:hAnsi="Calibri" w:cs="宋体"/>
                <w:kern w:val="0"/>
                <w:sz w:val="18"/>
                <w:szCs w:val="18"/>
              </w:rPr>
              <w:t>甲方</w:t>
            </w:r>
            <w:r>
              <w:rPr>
                <w:rFonts w:hint="eastAsia" w:ascii="Calibri" w:hAnsi="Calibri" w:cs="Arial"/>
                <w:kern w:val="0"/>
                <w:sz w:val="18"/>
                <w:szCs w:val="18"/>
              </w:rPr>
              <w:t>（盖章/线上确认）：</w:t>
            </w:r>
          </w:p>
          <w:p w14:paraId="3DA7DEBB">
            <w:pPr>
              <w:spacing w:line="360" w:lineRule="auto"/>
              <w:rPr>
                <w:rFonts w:ascii="Calibri" w:hAnsi="Calibri" w:cs="Arial"/>
                <w:kern w:val="0"/>
                <w:sz w:val="18"/>
                <w:szCs w:val="18"/>
              </w:rPr>
            </w:pPr>
          </w:p>
          <w:p w14:paraId="5CC0DBDC">
            <w:pPr>
              <w:spacing w:line="360" w:lineRule="auto"/>
              <w:rPr>
                <w:rFonts w:ascii="Calibri" w:hAnsi="Calibri" w:cs="Arial"/>
                <w:kern w:val="0"/>
                <w:sz w:val="18"/>
                <w:szCs w:val="18"/>
              </w:rPr>
            </w:pPr>
            <w:r>
              <w:rPr>
                <w:rFonts w:hint="eastAsia" w:ascii="Calibri" w:hAnsi="Calibri" w:cs="Arial"/>
                <w:kern w:val="0"/>
                <w:sz w:val="18"/>
                <w:szCs w:val="18"/>
              </w:rPr>
              <w:t>甲方法定代表人或授权代理人（签名/盖章/线上确认）：</w:t>
            </w:r>
          </w:p>
          <w:p w14:paraId="6ABEAB43">
            <w:pPr>
              <w:spacing w:line="360" w:lineRule="auto"/>
              <w:rPr>
                <w:rFonts w:ascii="Calibri" w:hAnsi="Calibri" w:cs="宋体"/>
                <w:kern w:val="0"/>
                <w:sz w:val="18"/>
                <w:szCs w:val="18"/>
              </w:rPr>
            </w:pPr>
            <w:r>
              <w:rPr>
                <w:rFonts w:hint="eastAsia" w:ascii="Calibri" w:hAnsi="Calibri" w:cs="宋体"/>
                <w:kern w:val="0"/>
                <w:sz w:val="18"/>
                <w:szCs w:val="18"/>
              </w:rPr>
              <w:t>日期：</w:t>
            </w:r>
          </w:p>
        </w:tc>
      </w:tr>
      <w:tr w14:paraId="1206EE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14:paraId="751F4B13">
            <w:pPr>
              <w:spacing w:line="360" w:lineRule="auto"/>
              <w:jc w:val="center"/>
              <w:rPr>
                <w:rFonts w:ascii="Calibri" w:hAnsi="Calibri" w:cs="宋体"/>
                <w:b/>
                <w:kern w:val="0"/>
                <w:sz w:val="18"/>
                <w:szCs w:val="18"/>
              </w:rPr>
            </w:pPr>
            <w:r>
              <w:rPr>
                <w:rFonts w:hint="eastAsia" w:ascii="Calibri" w:hAnsi="Calibri" w:cs="宋体"/>
                <w:b/>
                <w:kern w:val="0"/>
                <w:sz w:val="18"/>
                <w:szCs w:val="18"/>
              </w:rPr>
              <w:t>乙方</w:t>
            </w:r>
            <w:r>
              <w:rPr>
                <w:rFonts w:ascii="Calibri" w:hAnsi="Calibri" w:cs="宋体"/>
                <w:b/>
                <w:kern w:val="0"/>
                <w:sz w:val="18"/>
                <w:szCs w:val="18"/>
              </w:rPr>
              <w:t>签署栏</w:t>
            </w:r>
          </w:p>
        </w:tc>
        <w:tc>
          <w:tcPr>
            <w:tcW w:w="7849" w:type="dxa"/>
            <w:gridSpan w:val="2"/>
          </w:tcPr>
          <w:p w14:paraId="51E976C7">
            <w:pPr>
              <w:spacing w:line="360" w:lineRule="auto"/>
              <w:rPr>
                <w:rFonts w:ascii="Calibri" w:hAnsi="Calibri" w:cs="宋体"/>
                <w:kern w:val="0"/>
                <w:sz w:val="18"/>
                <w:szCs w:val="18"/>
              </w:rPr>
            </w:pPr>
            <w:r>
              <w:rPr>
                <w:rFonts w:hint="eastAsia" w:ascii="Calibri" w:hAnsi="Calibri" w:cs="宋体"/>
                <w:kern w:val="0"/>
                <w:sz w:val="18"/>
                <w:szCs w:val="18"/>
              </w:rPr>
              <w:t>乙方</w:t>
            </w:r>
            <w:r>
              <w:rPr>
                <w:rFonts w:ascii="Calibri" w:hAnsi="Calibri" w:cs="宋体"/>
                <w:kern w:val="0"/>
                <w:sz w:val="18"/>
                <w:szCs w:val="18"/>
              </w:rPr>
              <w:t>（</w:t>
            </w:r>
            <w:r>
              <w:rPr>
                <w:rFonts w:hint="eastAsia" w:ascii="Calibri" w:hAnsi="Calibri" w:cs="宋体"/>
                <w:kern w:val="0"/>
                <w:sz w:val="18"/>
                <w:szCs w:val="18"/>
              </w:rPr>
              <w:t>盖章</w:t>
            </w:r>
            <w:r>
              <w:rPr>
                <w:rFonts w:hint="eastAsia" w:ascii="Calibri" w:hAnsi="Calibri" w:cs="Arial"/>
                <w:kern w:val="0"/>
                <w:sz w:val="18"/>
                <w:szCs w:val="18"/>
              </w:rPr>
              <w:t>/线上确认</w:t>
            </w:r>
            <w:r>
              <w:rPr>
                <w:rFonts w:ascii="Calibri" w:hAnsi="Calibri" w:cs="宋体"/>
                <w:kern w:val="0"/>
                <w:sz w:val="18"/>
                <w:szCs w:val="18"/>
              </w:rPr>
              <w:t>）</w:t>
            </w:r>
            <w:r>
              <w:rPr>
                <w:rFonts w:hint="eastAsia" w:ascii="Calibri" w:hAnsi="Calibri" w:cs="宋体"/>
                <w:kern w:val="0"/>
                <w:sz w:val="18"/>
                <w:szCs w:val="18"/>
              </w:rPr>
              <w:t>：</w:t>
            </w:r>
          </w:p>
          <w:p w14:paraId="2B5FD7D7">
            <w:pPr>
              <w:spacing w:line="360" w:lineRule="auto"/>
              <w:rPr>
                <w:rFonts w:ascii="Calibri" w:hAnsi="Calibri" w:cs="宋体"/>
                <w:b/>
                <w:kern w:val="0"/>
                <w:sz w:val="18"/>
                <w:szCs w:val="18"/>
              </w:rPr>
            </w:pPr>
          </w:p>
          <w:p w14:paraId="24672156">
            <w:pPr>
              <w:spacing w:line="360" w:lineRule="auto"/>
              <w:rPr>
                <w:rFonts w:ascii="Calibri" w:hAnsi="Calibri" w:cs="宋体"/>
                <w:kern w:val="0"/>
                <w:sz w:val="18"/>
                <w:szCs w:val="18"/>
              </w:rPr>
            </w:pPr>
            <w:r>
              <w:rPr>
                <w:rFonts w:hint="eastAsia" w:ascii="Calibri" w:hAnsi="Calibri" w:cs="宋体"/>
                <w:kern w:val="0"/>
                <w:sz w:val="18"/>
                <w:szCs w:val="18"/>
              </w:rPr>
              <w:t>日期：</w:t>
            </w:r>
          </w:p>
        </w:tc>
      </w:tr>
    </w:tbl>
    <w:p w14:paraId="4E10A349">
      <w:pPr>
        <w:spacing w:line="360" w:lineRule="auto"/>
        <w:jc w:val="left"/>
        <w:rPr>
          <w:rFonts w:ascii="宋体" w:hAnsi="宋体" w:cs="宋体"/>
          <w:b/>
          <w:sz w:val="18"/>
          <w:szCs w:val="18"/>
        </w:rPr>
      </w:pPr>
      <w:r>
        <w:rPr>
          <w:rFonts w:hint="eastAsia" w:ascii="宋体" w:hAnsi="宋体" w:cs="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cs="宋体"/>
          <w:b/>
          <w:sz w:val="18"/>
          <w:szCs w:val="18"/>
        </w:rPr>
        <w:t>。）</w:t>
      </w:r>
    </w:p>
    <w:p w14:paraId="6753E0B2">
      <w:pPr>
        <w:rPr>
          <w:rFonts w:ascii="Calibri" w:hAnsi="Calibri" w:cs="宋体"/>
          <w:szCs w:val="22"/>
        </w:rPr>
      </w:pPr>
    </w:p>
    <w:p w14:paraId="76DC50E6">
      <w:pPr>
        <w:sectPr>
          <w:headerReference r:id="rId7" w:type="default"/>
          <w:footerReference r:id="rId8" w:type="default"/>
          <w:pgSz w:w="11906" w:h="16838"/>
          <w:pgMar w:top="1440" w:right="1800" w:bottom="1440" w:left="1800" w:header="567" w:footer="964" w:gutter="0"/>
          <w:cols w:space="425" w:num="1"/>
          <w:docGrid w:type="lines" w:linePitch="312" w:charSpace="0"/>
        </w:sectPr>
      </w:pPr>
    </w:p>
    <w:p w14:paraId="610E7628">
      <w:pPr>
        <w:adjustRightInd w:val="0"/>
        <w:spacing w:line="276" w:lineRule="auto"/>
        <w:ind w:firstLine="422"/>
        <w:jc w:val="center"/>
        <w:rPr>
          <w:rFonts w:ascii="黑体" w:hAnsi="黑体" w:eastAsia="黑体" w:cs="宋体"/>
          <w:b/>
          <w:bCs/>
          <w:sz w:val="28"/>
          <w:szCs w:val="28"/>
        </w:rPr>
      </w:pPr>
      <w:r>
        <w:rPr>
          <w:rFonts w:hint="eastAsia" w:ascii="黑体" w:hAnsi="黑体" w:eastAsia="黑体" w:cs="宋体"/>
          <w:b/>
          <w:bCs/>
          <w:sz w:val="28"/>
          <w:szCs w:val="28"/>
        </w:rPr>
        <w:t>【兴银理财稳利恒盈封闭式2026年855期固收类理财产品】</w:t>
      </w:r>
    </w:p>
    <w:p w14:paraId="71026937">
      <w:pPr>
        <w:adjustRightInd w:val="0"/>
        <w:spacing w:line="276" w:lineRule="auto"/>
        <w:ind w:firstLine="422"/>
        <w:jc w:val="center"/>
        <w:rPr>
          <w:rFonts w:ascii="黑体" w:hAnsi="黑体" w:eastAsia="黑体" w:cs="宋体"/>
          <w:b/>
          <w:bCs/>
          <w:sz w:val="28"/>
          <w:szCs w:val="28"/>
        </w:rPr>
      </w:pPr>
      <w:r>
        <w:rPr>
          <w:rFonts w:ascii="黑体" w:hAnsi="黑体" w:eastAsia="黑体" w:cs="宋体"/>
          <w:b/>
          <w:bCs/>
          <w:sz w:val="28"/>
          <w:szCs w:val="28"/>
        </w:rPr>
        <w:t>风险揭示书</w:t>
      </w:r>
    </w:p>
    <w:p w14:paraId="4FE9FAE0">
      <w:pPr>
        <w:autoSpaceDE w:val="0"/>
        <w:autoSpaceDN w:val="0"/>
        <w:adjustRightInd w:val="0"/>
        <w:snapToGrid w:val="0"/>
        <w:spacing w:before="156" w:beforeLines="50" w:line="320" w:lineRule="exact"/>
        <w:jc w:val="center"/>
        <w:rPr>
          <w:rFonts w:ascii="宋体" w:hAnsi="宋体" w:cs="宋体"/>
          <w:b/>
          <w:sz w:val="24"/>
          <w:szCs w:val="22"/>
        </w:rPr>
      </w:pPr>
      <w:r>
        <w:rPr>
          <w:rFonts w:hint="eastAsia" w:ascii="宋体" w:hAnsi="宋体" w:cs="宋体"/>
          <w:b/>
          <w:sz w:val="24"/>
          <w:szCs w:val="22"/>
        </w:rPr>
        <w:t>理财非存款、产品有风险、投资须谨慎</w:t>
      </w:r>
    </w:p>
    <w:p w14:paraId="7C042BAF">
      <w:pPr>
        <w:rPr>
          <w:rFonts w:ascii="宋体" w:hAnsi="宋体" w:cs="仿宋_GB2312"/>
          <w:b/>
          <w:kern w:val="0"/>
          <w:sz w:val="18"/>
          <w:szCs w:val="18"/>
        </w:rPr>
      </w:pPr>
      <w:r>
        <w:rPr>
          <w:rFonts w:hint="eastAsia" w:ascii="宋体" w:hAnsi="宋体" w:cs="仿宋_GB2312"/>
          <w:b/>
          <w:kern w:val="0"/>
          <w:sz w:val="18"/>
          <w:szCs w:val="18"/>
        </w:rPr>
        <w:t>尊敬的投资者：</w:t>
      </w:r>
    </w:p>
    <w:p w14:paraId="6C095173">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14:paraId="3BF32613">
      <w:pPr>
        <w:autoSpaceDE w:val="0"/>
        <w:autoSpaceDN w:val="0"/>
        <w:adjustRightInd w:val="0"/>
        <w:ind w:firstLine="420"/>
        <w:jc w:val="left"/>
        <w:rPr>
          <w:rFonts w:ascii="宋体" w:hAnsi="宋体" w:cs="宋体"/>
          <w:sz w:val="18"/>
          <w:szCs w:val="18"/>
        </w:rPr>
      </w:pPr>
      <w:r>
        <w:rPr>
          <w:rFonts w:hint="eastAsia" w:ascii="宋体" w:hAnsi="宋体" w:cs="宋体"/>
          <w:b/>
          <w:sz w:val="18"/>
          <w:szCs w:val="18"/>
        </w:rPr>
        <w:t>一</w:t>
      </w:r>
      <w:r>
        <w:rPr>
          <w:rFonts w:hint="eastAsia" w:ascii="宋体" w:hAnsi="宋体" w:cs="宋体"/>
          <w:sz w:val="18"/>
          <w:szCs w:val="18"/>
        </w:rPr>
        <w:t>、</w:t>
      </w:r>
      <w:r>
        <w:rPr>
          <w:rFonts w:hint="eastAsia" w:ascii="黑体" w:hAnsi="黑体" w:eastAsia="黑体" w:cs="仿宋_GB2312"/>
          <w:bCs/>
          <w:kern w:val="0"/>
          <w:sz w:val="18"/>
          <w:szCs w:val="18"/>
        </w:rPr>
        <w:t>★</w:t>
      </w:r>
      <w:r>
        <w:rPr>
          <w:rFonts w:hint="eastAsia" w:ascii="黑体" w:hAnsi="黑体" w:eastAsia="黑体" w:cs="宋体"/>
          <w:sz w:val="18"/>
          <w:szCs w:val="18"/>
        </w:rPr>
        <w:t>《投资协议书》《产品说明书》《（代理）销售协议书》《</w:t>
      </w:r>
      <w:r>
        <w:rPr>
          <w:rFonts w:hint="eastAsia" w:ascii="黑体" w:hAnsi="黑体" w:eastAsia="黑体" w:cs="宋体"/>
          <w:sz w:val="18"/>
          <w:szCs w:val="22"/>
        </w:rPr>
        <w:t>风险揭示书》《投资者权益须知》</w:t>
      </w:r>
      <w:r>
        <w:rPr>
          <w:rFonts w:hint="eastAsia" w:ascii="黑体" w:hAnsi="黑体" w:eastAsia="黑体" w:cs="宋体"/>
          <w:sz w:val="18"/>
          <w:szCs w:val="18"/>
        </w:rPr>
        <w:t>等有关文件共同构成一份完整且</w:t>
      </w:r>
      <w:r>
        <w:rPr>
          <w:rFonts w:hint="eastAsia" w:ascii="黑体" w:hAnsi="黑体" w:eastAsia="黑体" w:cs="宋体"/>
          <w:sz w:val="18"/>
          <w:szCs w:val="22"/>
        </w:rPr>
        <w:t>不可分割的</w:t>
      </w:r>
      <w:r>
        <w:rPr>
          <w:rFonts w:hint="eastAsia" w:ascii="黑体" w:hAnsi="黑体" w:eastAsia="黑体" w:cs="宋体"/>
          <w:sz w:val="18"/>
          <w:szCs w:val="18"/>
        </w:rPr>
        <w:t>理财产品销售文件</w:t>
      </w:r>
      <w:r>
        <w:rPr>
          <w:rFonts w:hint="eastAsia" w:ascii="宋体" w:hAnsi="宋体" w:cs="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14:paraId="77CC14A4">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14:paraId="2D4D7F83">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14:paraId="0C3CF4D3">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r>
        <w:rPr>
          <w:rFonts w:hint="eastAsia" w:ascii="宋体" w:hAnsi="宋体" w:cs="仿宋_GB2312"/>
          <w:kern w:val="0"/>
          <w:sz w:val="18"/>
          <w:szCs w:val="18"/>
        </w:rPr>
        <w:t>【兴银理财稳利恒盈封闭式2026年855期固收类理财产品</w:t>
      </w:r>
      <w:r>
        <w:rPr>
          <w:rFonts w:hint="eastAsia" w:cs="宋体" w:asciiTheme="majorEastAsia" w:hAnsiTheme="majorEastAsia" w:eastAsiaTheme="majorEastAsia"/>
          <w:bCs/>
          <w:kern w:val="0"/>
          <w:sz w:val="18"/>
          <w:szCs w:val="18"/>
        </w:rPr>
        <w:t>】</w:t>
      </w:r>
    </w:p>
    <w:p w14:paraId="397814E5">
      <w:pPr>
        <w:ind w:firstLine="448" w:firstLineChars="249"/>
        <w:rPr>
          <w:rFonts w:hint="eastAsia" w:ascii="宋体" w:hAnsi="宋体" w:eastAsia="宋体" w:cs="仿宋_GB2312"/>
          <w:kern w:val="0"/>
          <w:sz w:val="18"/>
          <w:szCs w:val="18"/>
          <w:lang w:val="en-US" w:eastAsia="zh-CN"/>
        </w:rPr>
      </w:pPr>
      <w:r>
        <w:rPr>
          <w:rFonts w:hint="eastAsia" w:ascii="宋体" w:hAnsi="宋体" w:cs="仿宋_GB2312"/>
          <w:kern w:val="0"/>
          <w:sz w:val="18"/>
          <w:szCs w:val="18"/>
        </w:rPr>
        <w:t>销售</w:t>
      </w:r>
      <w:r>
        <w:rPr>
          <w:rFonts w:ascii="宋体" w:hAnsi="宋体" w:cs="仿宋_GB2312"/>
          <w:kern w:val="0"/>
          <w:sz w:val="18"/>
          <w:szCs w:val="18"/>
        </w:rPr>
        <w:t>名称：</w:t>
      </w:r>
      <w:r>
        <w:rPr>
          <w:rFonts w:hint="eastAsia" w:ascii="宋体" w:hAnsi="宋体" w:cs="仿宋_GB2312"/>
          <w:kern w:val="0"/>
          <w:sz w:val="18"/>
          <w:szCs w:val="18"/>
          <w:lang w:val="en-US" w:eastAsia="zh-CN"/>
        </w:rPr>
        <w:t xml:space="preserve"> </w:t>
      </w:r>
    </w:p>
    <w:p w14:paraId="043F62C6">
      <w:pPr>
        <w:ind w:firstLine="448" w:firstLineChars="249"/>
        <w:rPr>
          <w:rFonts w:hint="eastAsia" w:ascii="宋体" w:hAnsi="宋体" w:cs="仿宋_GB2312"/>
          <w:kern w:val="0"/>
          <w:sz w:val="18"/>
          <w:szCs w:val="18"/>
          <w:lang w:val="en-US" w:eastAsia="zh-CN"/>
        </w:rPr>
      </w:pPr>
      <w:r>
        <w:rPr>
          <w:rFonts w:ascii="宋体" w:hAnsi="宋体" w:eastAsia="宋体" w:cs="宋体"/>
          <w:sz w:val="18"/>
          <w:szCs w:val="22"/>
        </w:rPr>
        <w:t>【稳利恒盈封闭式2026年855期（兴嘉选）A】 (适用【A】类份额)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【稳利恒盈封闭式2026年855期（兴嘉选）B】 (适用【B】类份额)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【稳利恒盈封闭式2026年855期（兴嘉选）C】 (适用【C】类份额)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【稳利恒盈封闭式2026年855期（兴嘉选）D】 (适用【D】类份额)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【稳利恒盈封闭式2026年855期（兴嘉选）E】 (适用【E】类份额)</w:t>
      </w:r>
      <w:r>
        <w:rPr>
          <w:rFonts w:ascii="宋体" w:hAnsi="宋体" w:eastAsia="宋体" w:cs="宋体"/>
          <w:sz w:val="18"/>
          <w:szCs w:val="22"/>
        </w:rPr>
        <w:br w:type="textWrapping"/>
      </w:r>
      <w:r>
        <w:rPr>
          <w:rFonts w:ascii="宋体" w:hAnsi="宋体" w:eastAsia="宋体" w:cs="宋体"/>
          <w:sz w:val="18"/>
          <w:szCs w:val="22"/>
        </w:rPr>
        <w:t xml:space="preserve">  </w:t>
      </w:r>
    </w:p>
    <w:p w14:paraId="35135C8C">
      <w:pPr>
        <w:ind w:firstLine="448" w:firstLineChars="249"/>
        <w:rPr>
          <w:rFonts w:ascii="宋体" w:hAnsi="宋体" w:cs="仿宋_GB2312"/>
          <w:kern w:val="0"/>
          <w:sz w:val="18"/>
          <w:szCs w:val="18"/>
        </w:rPr>
      </w:pPr>
      <w:r>
        <w:rPr>
          <w:rFonts w:hint="eastAsia" w:ascii="宋体" w:hAnsi="宋体" w:cs="仿宋_GB2312"/>
          <w:kern w:val="0"/>
          <w:sz w:val="18"/>
          <w:szCs w:val="18"/>
          <w:lang w:val="en-US" w:eastAsia="zh-CN"/>
        </w:rPr>
        <w:t xml:space="preserve"> </w:t>
      </w:r>
    </w:p>
    <w:p w14:paraId="6F509551">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r>
        <w:rPr>
          <w:rFonts w:hint="eastAsia" w:ascii="宋体" w:hAnsi="宋体" w:cs="仿宋_GB2312"/>
          <w:kern w:val="0"/>
          <w:sz w:val="18"/>
          <w:szCs w:val="18"/>
        </w:rPr>
        <w:t>Z7002026001197</w:t>
      </w:r>
      <w:r>
        <w:rPr>
          <w:rFonts w:ascii="宋体" w:hAnsi="宋体" w:cs="仿宋_GB2312"/>
          <w:kern w:val="0"/>
          <w:sz w:val="18"/>
          <w:szCs w:val="18"/>
        </w:rPr>
        <w:t>】</w:t>
      </w:r>
    </w:p>
    <w:p w14:paraId="6A63C8A5">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14:paraId="536E8B5B">
      <w:pPr>
        <w:ind w:firstLine="448" w:firstLineChars="249"/>
        <w:rPr>
          <w:rFonts w:ascii="宋体" w:hAnsi="宋体" w:cs="仿宋_GB2312"/>
          <w:kern w:val="0"/>
          <w:sz w:val="18"/>
          <w:szCs w:val="18"/>
        </w:rPr>
      </w:pPr>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、净值型】理财产品。</w:t>
      </w:r>
    </w:p>
    <w:p w14:paraId="58D18613">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14:paraId="7E6C1944">
      <w:pPr>
        <w:ind w:firstLine="448" w:firstLineChars="249"/>
        <w:rPr>
          <w:rFonts w:hint="eastAsia" w:ascii="宋体" w:hAnsi="宋体" w:cs="仿宋_GB2312"/>
          <w:kern w:val="0"/>
          <w:sz w:val="18"/>
          <w:szCs w:val="18"/>
        </w:rPr>
      </w:pPr>
      <w:r>
        <w:rPr>
          <w:rFonts w:hint="eastAsia" w:ascii="宋体" w:hAnsi="宋体" w:cs="仿宋_GB2312"/>
          <w:kern w:val="0"/>
          <w:sz w:val="18"/>
          <w:szCs w:val="18"/>
        </w:rPr>
        <w:t>【■有固定期限:【1094天】</w:t>
      </w:r>
    </w:p>
    <w:p w14:paraId="234FE3BE">
      <w:pPr>
        <w:ind w:firstLine="448" w:firstLineChars="249"/>
        <w:rPr>
          <w:rFonts w:ascii="宋体" w:hAnsi="宋体" w:cs="仿宋_GB2312"/>
          <w:kern w:val="0"/>
          <w:sz w:val="18"/>
          <w:szCs w:val="18"/>
        </w:rPr>
      </w:pPr>
      <w:r>
        <w:rPr>
          <w:rFonts w:hint="eastAsia" w:ascii="宋体" w:hAnsi="宋体" w:cs="仿宋_GB2312"/>
          <w:kern w:val="0"/>
          <w:sz w:val="18"/>
          <w:szCs w:val="18"/>
        </w:rPr>
        <w:t>□无固定期限】</w:t>
      </w:r>
      <w:r>
        <w:rPr>
          <w:rFonts w:ascii="宋体" w:hAnsi="宋体" w:cs="仿宋_GB2312"/>
          <w:kern w:val="0"/>
          <w:sz w:val="18"/>
          <w:szCs w:val="18"/>
        </w:rPr>
        <w:t>。</w:t>
      </w:r>
    </w:p>
    <w:p w14:paraId="1D924AE6">
      <w:pPr>
        <w:ind w:firstLine="498" w:firstLineChars="249"/>
        <w:rPr>
          <w:rFonts w:ascii="宋体" w:hAnsi="宋体" w:cs="仿宋_GB2312"/>
          <w:kern w:val="0"/>
          <w:sz w:val="18"/>
          <w:szCs w:val="18"/>
        </w:rPr>
      </w:pPr>
      <w:r>
        <w:rPr>
          <w:rFonts w:hint="eastAsia" w:ascii="宋体" w:cs="宋体" w:hAnsiTheme="minorHAnsi"/>
          <w:color w:val="000000"/>
          <w:kern w:val="0"/>
          <w:sz w:val="20"/>
          <w:szCs w:val="20"/>
        </w:rPr>
        <w:t>本产品其他信息详见《产品说明书》。</w:t>
      </w:r>
    </w:p>
    <w:p w14:paraId="70DDA542">
      <w:pPr>
        <w:ind w:firstLine="448" w:firstLineChars="249"/>
        <w:rPr>
          <w:rFonts w:ascii="黑体" w:hAnsi="黑体" w:eastAsia="黑体" w:cs="宋体"/>
          <w:sz w:val="18"/>
          <w:szCs w:val="18"/>
        </w:rPr>
      </w:pPr>
      <w:r>
        <w:rPr>
          <w:rFonts w:hint="eastAsia" w:ascii="黑体" w:hAnsi="黑体" w:eastAsia="黑体" w:cs="宋体"/>
          <w:sz w:val="18"/>
          <w:szCs w:val="18"/>
        </w:rPr>
        <w:t>产品管理人对本产品的理财本金和收益不提供保证承诺</w:t>
      </w:r>
      <w:r>
        <w:rPr>
          <w:rFonts w:hint="eastAsia" w:ascii="黑体" w:hAnsi="黑体" w:eastAsia="黑体" w:cs="宋体"/>
          <w:bCs/>
          <w:sz w:val="18"/>
          <w:szCs w:val="18"/>
        </w:rPr>
        <w:t>，</w:t>
      </w:r>
      <w:r>
        <w:rPr>
          <w:rFonts w:hint="eastAsia" w:ascii="黑体" w:hAnsi="黑体" w:eastAsia="黑体" w:cs="宋体"/>
          <w:sz w:val="18"/>
          <w:szCs w:val="18"/>
        </w:rPr>
        <w:t>在发生最不利的情况下（可能但不一定发生），投资者可能无法取得理财收益，并可能面临损失理财本金的风险。</w:t>
      </w:r>
    </w:p>
    <w:p w14:paraId="1F9F553A">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14:paraId="34B847A0">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14:paraId="66E09836">
      <w:pPr>
        <w:ind w:firstLine="448" w:firstLineChars="249"/>
        <w:rPr>
          <w:rFonts w:hint="eastAsia" w:ascii="黑体" w:hAnsi="黑体" w:eastAsia="黑体" w:cs="黑体"/>
          <w:kern w:val="0"/>
          <w:sz w:val="18"/>
          <w:szCs w:val="18"/>
        </w:rPr>
      </w:pPr>
      <w:r>
        <w:rPr>
          <w:rFonts w:hint="eastAsia" w:ascii="黑体" w:hAnsi="黑体" w:eastAsia="黑体" w:cs="黑体"/>
          <w:kern w:val="0"/>
          <w:sz w:val="18"/>
          <w:szCs w:val="18"/>
        </w:rPr>
        <w:t>本理财产品风险评级最终定义为【R2】（产品管理人定义的产品风险评级为【R2】；代理销售机构定义的产品风险评级为【R2】）。</w:t>
      </w:r>
      <w:r>
        <w:rPr>
          <w:rFonts w:hint="eastAsia" w:ascii="黑体" w:hAnsi="黑体" w:eastAsia="黑体" w:cs="黑体"/>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本产品存续期内，产品风险评级可能会根据实际情况进行调整。</w:t>
      </w:r>
    </w:p>
    <w:p w14:paraId="649D86DB">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14:paraId="39E39ADB">
      <w:pPr>
        <w:ind w:firstLine="360" w:firstLineChars="200"/>
        <w:rPr>
          <w:rFonts w:cs="宋体"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cs="宋体"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14:paraId="635CCDD3">
      <w:pPr>
        <w:keepNext w:val="0"/>
        <w:keepLines w:val="0"/>
        <w:widowControl w:val="0"/>
        <w:suppressLineNumbers w:val="0"/>
        <w:spacing w:before="0" w:beforeAutospacing="0" w:after="0" w:afterAutospacing="0"/>
        <w:ind w:left="0" w:right="0" w:firstLine="360" w:firstLineChars="200"/>
        <w:jc w:val="both"/>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■个人投资者：【□ C1、■C2、■ C3、■ C4、■ C5】。</w:t>
      </w:r>
    </w:p>
    <w:p w14:paraId="2411AD19">
      <w:pPr>
        <w:keepNext w:val="0"/>
        <w:keepLines w:val="0"/>
        <w:widowControl w:val="0"/>
        <w:suppressLineNumbers w:val="0"/>
        <w:spacing w:before="0" w:beforeAutospacing="0" w:after="0" w:afterAutospacing="0"/>
        <w:ind w:left="0" w:right="0" w:firstLine="360" w:firstLineChars="200"/>
        <w:jc w:val="both"/>
        <w:rPr>
          <w:rFonts w:hint="eastAsia" w:cs="宋体"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eastAsia="宋体" w:cs="宋体"/>
          <w:bCs/>
          <w:color w:val="000000"/>
          <w:kern w:val="2"/>
          <w:sz w:val="18"/>
          <w:szCs w:val="18"/>
          <w:lang w:val="en-US" w:eastAsia="zh-CN" w:bidi="ar"/>
        </w:rPr>
        <w:t>■机构投资者：【□ C1、■C2、■ C3、■ C4、■ C5】。</w:t>
      </w:r>
    </w:p>
    <w:p w14:paraId="278EF643">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14:paraId="13C5BD31">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14:paraId="15146888">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14:paraId="5E92E81B">
      <w:pPr>
        <w:ind w:firstLine="361" w:firstLineChars="200"/>
        <w:rPr>
          <w:rFonts w:ascii="宋体" w:hAnsi="宋体" w:cs="宋体"/>
          <w:b/>
          <w:sz w:val="18"/>
          <w:szCs w:val="18"/>
        </w:rPr>
      </w:pPr>
      <w:r>
        <w:rPr>
          <w:rFonts w:hint="eastAsia" w:ascii="宋体" w:hAnsi="宋体" w:cs="宋体"/>
          <w:b/>
          <w:sz w:val="18"/>
          <w:szCs w:val="18"/>
        </w:rPr>
        <w:t>（一）投资者投资本产品可能面临的特定风险主要包括（但不限于）：</w:t>
      </w:r>
    </w:p>
    <w:p w14:paraId="0614BC7F">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【1.拟投资市场和资产的风险：</w:t>
      </w:r>
    </w:p>
    <w:p w14:paraId="4F0A0F40">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（1）投资债权类资产的风险</w:t>
      </w:r>
    </w:p>
    <w:p w14:paraId="1848E950">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1）投资标准化债权类资产的风险</w:t>
      </w:r>
    </w:p>
    <w:p w14:paraId="03A87EC6">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7D31ABD7">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 xml:space="preserve">（2）投资权益类资产的风险 </w:t>
      </w:r>
    </w:p>
    <w:p w14:paraId="144C725D">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1）投资股票类资产的风险</w:t>
      </w:r>
    </w:p>
    <w:p w14:paraId="27BDCCCD">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14:paraId="12BE6AAC">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 xml:space="preserve">（3）投资商品和金融衍生品类资产的风险 </w:t>
      </w:r>
    </w:p>
    <w:p w14:paraId="5396252F">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ascii="宋体" w:hAnsi="宋体" w:cs="宋体"/>
          <w:sz w:val="18"/>
          <w:szCs w:val="18"/>
        </w:rPr>
      </w:pPr>
      <w:r>
        <w:rPr>
          <w:rFonts w:hint="eastAsia" w:ascii="宋体" w:hAnsi="宋体" w:cs="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14:paraId="0C0A41F6">
      <w:pPr>
        <w:widowControl w:val="0"/>
        <w:ind w:firstLine="361" w:firstLineChars="200"/>
        <w:jc w:val="both"/>
        <w:rPr>
          <w:rFonts w:ascii="宋体" w:hAnsi="宋体" w:eastAsia="宋体" w:cs="宋体"/>
          <w:kern w:val="2"/>
          <w:sz w:val="18"/>
          <w:szCs w:val="18"/>
          <w:lang w:val="en-US" w:eastAsia="zh-CN" w:bidi="ar-SA"/>
        </w:rPr>
      </w:pPr>
      <w:r>
        <w:rPr>
          <w:rFonts w:hint="eastAsia" w:ascii="黑体" w:hAnsi="黑体" w:eastAsia="黑体" w:cs="仿宋_GB2312"/>
          <w:b/>
          <w:kern w:val="0"/>
          <w:sz w:val="18"/>
          <w:szCs w:val="18"/>
          <w:lang w:val="en-US" w:eastAsia="zh-CN" w:bidi="ar-SA"/>
        </w:rPr>
        <w:t>★</w:t>
      </w:r>
      <w:r>
        <w:rPr>
          <w:rFonts w:hint="eastAsia" w:ascii="黑体" w:hAnsi="黑体" w:eastAsia="黑体" w:cs="宋体"/>
          <w:kern w:val="2"/>
          <w:sz w:val="18"/>
          <w:szCs w:val="18"/>
          <w:lang w:val="en-US" w:eastAsia="zh-CN" w:bidi="ar-SA"/>
        </w:rPr>
        <w:t>注：以上特定风险仅为列举性质，未能详尽列明投资本产品可能面临的全部风险和可能导致投资者投资本金及收益损失的所有因素。</w:t>
      </w:r>
    </w:p>
    <w:p w14:paraId="5FAC4776">
      <w:pPr>
        <w:ind w:firstLine="361" w:firstLineChars="200"/>
        <w:rPr>
          <w:rFonts w:ascii="宋体" w:hAnsi="宋体" w:cs="宋体"/>
          <w:b/>
          <w:sz w:val="18"/>
          <w:szCs w:val="18"/>
        </w:rPr>
      </w:pPr>
      <w:r>
        <w:rPr>
          <w:rFonts w:hint="eastAsia" w:ascii="宋体" w:hAnsi="宋体" w:cs="宋体"/>
          <w:b/>
          <w:sz w:val="18"/>
          <w:szCs w:val="18"/>
        </w:rPr>
        <w:t xml:space="preserve">（二）投资者投资本产品可能面临的一般风险主要包括（但不限于）： </w:t>
      </w:r>
    </w:p>
    <w:p w14:paraId="05E208BF">
      <w:pPr>
        <w:widowControl w:val="0"/>
        <w:ind w:firstLine="426" w:firstLineChars="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w:t>
      </w:r>
      <w:r>
        <w:rPr>
          <w:rFonts w:ascii="宋体" w:hAnsi="宋体" w:eastAsia="宋体" w:cs="宋体"/>
          <w:b/>
          <w:bCs/>
          <w:kern w:val="2"/>
          <w:sz w:val="18"/>
          <w:szCs w:val="18"/>
          <w:lang w:val="en-US" w:eastAsia="zh-CN" w:bidi="ar-SA"/>
        </w:rPr>
        <w:t>信用风险</w:t>
      </w:r>
    </w:p>
    <w:p w14:paraId="5FD00A0B">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理财产品投资运作过程中，理财产品管理人将根据《产品说明书》的约定投资于相关金融工具或资产，如果相关投资的债务人、交易对手等发生违约，信用状况恶化等，投资者将面临投资损失的风险。</w:t>
      </w:r>
    </w:p>
    <w:p w14:paraId="481981CA">
      <w:pPr>
        <w:widowControl w:val="0"/>
        <w:ind w:firstLine="426" w:firstLineChars="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2</w:t>
      </w:r>
      <w:r>
        <w:rPr>
          <w:rFonts w:hint="eastAsia" w:ascii="宋体" w:hAnsi="宋体" w:eastAsia="宋体" w:cs="宋体"/>
          <w:b/>
          <w:bCs/>
          <w:kern w:val="2"/>
          <w:sz w:val="18"/>
          <w:szCs w:val="18"/>
          <w:lang w:val="en-US" w:eastAsia="zh-CN" w:bidi="ar-SA"/>
        </w:rPr>
        <w:t>.</w:t>
      </w:r>
      <w:r>
        <w:rPr>
          <w:rFonts w:ascii="宋体" w:hAnsi="宋体" w:eastAsia="宋体" w:cs="宋体"/>
          <w:b/>
          <w:bCs/>
          <w:kern w:val="2"/>
          <w:sz w:val="18"/>
          <w:szCs w:val="18"/>
          <w:lang w:val="en-US" w:eastAsia="zh-CN" w:bidi="ar-SA"/>
        </w:rPr>
        <w:t>利率风险</w:t>
      </w:r>
    </w:p>
    <w:p w14:paraId="2E9D9A30">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328187D6">
      <w:pPr>
        <w:widowControl w:val="0"/>
        <w:ind w:firstLine="426" w:firstLineChars="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3.市场</w:t>
      </w:r>
      <w:r>
        <w:rPr>
          <w:rFonts w:ascii="宋体" w:hAnsi="宋体" w:eastAsia="宋体" w:cs="宋体"/>
          <w:b/>
          <w:bCs/>
          <w:kern w:val="2"/>
          <w:sz w:val="18"/>
          <w:szCs w:val="18"/>
          <w:lang w:val="en-US" w:eastAsia="zh-CN" w:bidi="ar-SA"/>
        </w:rPr>
        <w:t>风险</w:t>
      </w:r>
    </w:p>
    <w:p w14:paraId="0BFEF8D4">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470C877C">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4.流动性风险</w:t>
      </w:r>
    </w:p>
    <w:p w14:paraId="12CA600D">
      <w:pPr>
        <w:widowControl w:val="0"/>
        <w:ind w:firstLine="426" w:firstLineChars="0"/>
        <w:jc w:val="both"/>
        <w:rPr>
          <w:rFonts w:ascii="宋体" w:hAnsi="宋体" w:eastAsia="宋体" w:cs="仿宋_GB2312"/>
          <w:bCs/>
          <w:kern w:val="0"/>
          <w:sz w:val="18"/>
          <w:szCs w:val="18"/>
          <w:lang w:val="en-US" w:eastAsia="zh-CN" w:bidi="ar-SA"/>
        </w:rPr>
      </w:pPr>
      <w:r>
        <w:rPr>
          <w:rFonts w:hint="eastAsia" w:ascii="宋体" w:hAnsi="宋体" w:eastAsia="宋体" w:cs="仿宋_GB2312"/>
          <w:bCs/>
          <w:kern w:val="0"/>
          <w:sz w:val="18"/>
          <w:szCs w:val="18"/>
          <w:lang w:val="en-US" w:eastAsia="zh-CN" w:bidi="ar-SA"/>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03406966">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5.</w:t>
      </w:r>
      <w:r>
        <w:rPr>
          <w:rFonts w:ascii="宋体" w:hAnsi="宋体" w:eastAsia="宋体" w:cs="仿宋_GB2312"/>
          <w:b/>
          <w:kern w:val="0"/>
          <w:sz w:val="18"/>
          <w:szCs w:val="18"/>
          <w:lang w:val="en-US" w:eastAsia="zh-CN" w:bidi="ar-SA"/>
        </w:rPr>
        <w:t>法律与政策风险</w:t>
      </w:r>
    </w:p>
    <w:p w14:paraId="34E47435">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国家监管政策、货币政策、财政税收政策、产业政策、宏观政策及相关法律、法规的调整与变化将会影响本产品的设立、投资及管理等的正常运行，甚至导致本产品发生损失。</w:t>
      </w:r>
    </w:p>
    <w:p w14:paraId="3F7B8E18">
      <w:pPr>
        <w:widowControl w:val="0"/>
        <w:ind w:firstLine="426" w:firstLineChars="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r>
        <w:rPr>
          <w:rFonts w:ascii="宋体" w:hAnsi="宋体" w:eastAsia="宋体" w:cs="宋体"/>
          <w:b/>
          <w:bCs/>
          <w:kern w:val="2"/>
          <w:sz w:val="18"/>
          <w:szCs w:val="18"/>
          <w:lang w:val="en-US" w:eastAsia="zh-CN" w:bidi="ar-SA"/>
        </w:rPr>
        <w:t>延期</w:t>
      </w:r>
      <w:r>
        <w:rPr>
          <w:rFonts w:hint="eastAsia" w:ascii="宋体" w:hAnsi="宋体" w:eastAsia="宋体" w:cs="宋体"/>
          <w:b/>
          <w:bCs/>
          <w:kern w:val="2"/>
          <w:sz w:val="18"/>
          <w:szCs w:val="18"/>
          <w:lang w:val="en-US" w:eastAsia="zh-CN" w:bidi="ar-SA"/>
        </w:rPr>
        <w:t>终止</w:t>
      </w:r>
      <w:r>
        <w:rPr>
          <w:rFonts w:ascii="宋体" w:hAnsi="宋体" w:eastAsia="宋体" w:cs="宋体"/>
          <w:b/>
          <w:bCs/>
          <w:kern w:val="2"/>
          <w:sz w:val="18"/>
          <w:szCs w:val="18"/>
          <w:lang w:val="en-US" w:eastAsia="zh-CN" w:bidi="ar-SA"/>
        </w:rPr>
        <w:t>风险</w:t>
      </w:r>
    </w:p>
    <w:p w14:paraId="1C5CA9B2">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指因市场内部和外部的原因导致理财基础资产不能及时变现而造成理财产品不能按时分配，理财期限将相应延长，从而导致本产品部分资金的延期分配。</w:t>
      </w:r>
    </w:p>
    <w:p w14:paraId="54D59D4C">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7.</w:t>
      </w:r>
      <w:r>
        <w:rPr>
          <w:rFonts w:ascii="宋体" w:hAnsi="宋体" w:eastAsia="宋体" w:cs="仿宋_GB2312"/>
          <w:b/>
          <w:kern w:val="0"/>
          <w:sz w:val="18"/>
          <w:szCs w:val="18"/>
          <w:lang w:val="en-US" w:eastAsia="zh-CN" w:bidi="ar-SA"/>
        </w:rPr>
        <w:t>提前终止风险</w:t>
      </w:r>
    </w:p>
    <w:p w14:paraId="2F141F55">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342E7CBA">
      <w:pPr>
        <w:widowControl w:val="0"/>
        <w:ind w:firstLine="426" w:firstLineChars="0"/>
        <w:jc w:val="both"/>
        <w:rPr>
          <w:rFonts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8.</w:t>
      </w:r>
      <w:r>
        <w:rPr>
          <w:rFonts w:hint="eastAsia" w:ascii="黑体" w:hAnsi="黑体" w:eastAsia="黑体" w:cs="黑体"/>
          <w:kern w:val="2"/>
          <w:sz w:val="18"/>
          <w:szCs w:val="18"/>
          <w:lang w:val="en-US" w:eastAsia="zh-CN" w:bidi="ar-SA"/>
        </w:rPr>
        <w:t>★</w:t>
      </w:r>
      <w:r>
        <w:rPr>
          <w:rFonts w:hint="eastAsia" w:ascii="黑体" w:hAnsi="黑体" w:eastAsia="黑体" w:cs="黑体"/>
          <w:b/>
          <w:bCs/>
          <w:kern w:val="2"/>
          <w:sz w:val="18"/>
          <w:szCs w:val="18"/>
          <w:lang w:val="en-US" w:eastAsia="zh-CN" w:bidi="ar-SA"/>
        </w:rPr>
        <w:t>信息传递风险</w:t>
      </w:r>
    </w:p>
    <w:p w14:paraId="0CF686E5">
      <w:pPr>
        <w:widowControl w:val="0"/>
        <w:ind w:firstLine="426" w:firstLineChars="0"/>
        <w:jc w:val="both"/>
        <w:rPr>
          <w:rFonts w:ascii="黑体" w:hAnsi="黑体" w:eastAsia="黑体" w:cs="黑体"/>
          <w:kern w:val="0"/>
          <w:sz w:val="18"/>
          <w:szCs w:val="18"/>
          <w:lang w:val="en-US" w:eastAsia="zh-CN" w:bidi="ar-SA"/>
        </w:rPr>
      </w:pPr>
      <w:r>
        <w:rPr>
          <w:rFonts w:hint="eastAsia" w:ascii="黑体" w:hAnsi="黑体" w:eastAsia="黑体" w:cs="黑体"/>
          <w:kern w:val="0"/>
          <w:sz w:val="18"/>
          <w:szCs w:val="18"/>
          <w:lang w:val="en-US" w:eastAsia="zh-CN" w:bidi="ar-SA"/>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14:paraId="71020683">
      <w:pPr>
        <w:ind w:firstLine="361" w:firstLineChars="200"/>
        <w:rPr>
          <w:rFonts w:ascii="宋体" w:hAnsi="宋体" w:cs="宋体"/>
          <w:b/>
          <w:bCs/>
          <w:sz w:val="18"/>
          <w:szCs w:val="18"/>
        </w:rPr>
      </w:pPr>
      <w:r>
        <w:rPr>
          <w:rFonts w:hint="eastAsia" w:ascii="宋体" w:hAnsi="宋体" w:cs="宋体"/>
          <w:b/>
          <w:bCs/>
          <w:sz w:val="18"/>
          <w:szCs w:val="18"/>
        </w:rPr>
        <w:t>9.</w:t>
      </w:r>
      <w:r>
        <w:rPr>
          <w:rFonts w:ascii="宋体" w:hAnsi="宋体" w:cs="宋体"/>
          <w:b/>
          <w:bCs/>
          <w:sz w:val="18"/>
          <w:szCs w:val="18"/>
        </w:rPr>
        <w:t>不可抗力及意外事件风险</w:t>
      </w:r>
    </w:p>
    <w:p w14:paraId="47B18F93">
      <w:pPr>
        <w:ind w:firstLine="360" w:firstLineChars="200"/>
        <w:rPr>
          <w:rFonts w:ascii="宋体" w:hAnsi="宋体" w:cs="宋体"/>
          <w:bCs/>
          <w:sz w:val="18"/>
          <w:szCs w:val="18"/>
        </w:rPr>
      </w:pPr>
      <w:r>
        <w:rPr>
          <w:rFonts w:hint="eastAsia" w:ascii="宋体" w:hAnsi="宋体" w:cs="宋体"/>
          <w:bCs/>
          <w:sz w:val="18"/>
          <w:szCs w:val="18"/>
        </w:rPr>
        <w:t>因战争、自然灾害、重大政治事件等不可抗力以及其他不可预见的意外事件可能致使理财产品面临损失的风险。</w:t>
      </w:r>
    </w:p>
    <w:p w14:paraId="44D38239">
      <w:pPr>
        <w:widowControl w:val="0"/>
        <w:ind w:firstLine="361" w:firstLineChars="20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r>
        <w:rPr>
          <w:rFonts w:ascii="宋体" w:hAnsi="宋体" w:eastAsia="宋体" w:cs="宋体"/>
          <w:b/>
          <w:bCs/>
          <w:kern w:val="2"/>
          <w:sz w:val="18"/>
          <w:szCs w:val="18"/>
          <w:lang w:val="en-US" w:eastAsia="zh-CN" w:bidi="ar-SA"/>
        </w:rPr>
        <w:t>管理人风险</w:t>
      </w:r>
    </w:p>
    <w:p w14:paraId="771FDFDB">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理财产品管理人或理财投资资产相关服务机构受经验、技能等因素的限制，或者上述主体处理事务不当等，可能导致投资者遭受损失。</w:t>
      </w:r>
    </w:p>
    <w:p w14:paraId="2109D5A3">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1.理财产品不成立风险</w:t>
      </w:r>
    </w:p>
    <w:p w14:paraId="711BDCA6">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如自本产品开始募集至认购期结束认购总金额未达到产品最小成立规模（如有约定），或</w:t>
      </w:r>
      <w:r>
        <w:rPr>
          <w:rFonts w:ascii="宋体" w:hAnsi="宋体" w:eastAsia="宋体" w:cs="宋体"/>
          <w:bCs/>
          <w:kern w:val="2"/>
          <w:sz w:val="18"/>
          <w:szCs w:val="18"/>
          <w:lang w:val="en-US" w:eastAsia="zh-CN" w:bidi="ar-SA"/>
        </w:rPr>
        <w:t>融资人取消融资计划，</w:t>
      </w:r>
      <w:r>
        <w:rPr>
          <w:rFonts w:hint="eastAsia" w:ascii="宋体" w:hAnsi="宋体" w:eastAsia="宋体" w:cs="宋体"/>
          <w:bCs/>
          <w:kern w:val="2"/>
          <w:sz w:val="18"/>
          <w:szCs w:val="18"/>
          <w:lang w:val="en-US" w:eastAsia="zh-CN" w:bidi="ar-SA"/>
        </w:rPr>
        <w:t>或市场发生剧烈波动，或不可抗力，或相关法律法规以及监管部门规定等原因，经</w:t>
      </w:r>
      <w:r>
        <w:rPr>
          <w:rFonts w:hint="eastAsia" w:ascii="宋体" w:hAnsi="宋体" w:eastAsia="宋体" w:cs="仿宋_GB2312"/>
          <w:kern w:val="0"/>
          <w:sz w:val="18"/>
          <w:szCs w:val="18"/>
          <w:lang w:val="en-US" w:eastAsia="zh-CN" w:bidi="ar-SA"/>
        </w:rPr>
        <w:t>产品管理人</w:t>
      </w:r>
      <w:r>
        <w:rPr>
          <w:rFonts w:hint="eastAsia" w:ascii="宋体" w:hAnsi="宋体" w:eastAsia="宋体" w:cs="宋体"/>
          <w:bCs/>
          <w:kern w:val="2"/>
          <w:sz w:val="18"/>
          <w:szCs w:val="18"/>
          <w:lang w:val="en-US" w:eastAsia="zh-CN" w:bidi="ar-SA"/>
        </w:rPr>
        <w:t>谨慎合理判断难以按照理财产品销售文件有关规定向投资者提供本产品，</w:t>
      </w:r>
      <w:r>
        <w:rPr>
          <w:rFonts w:hint="eastAsia" w:ascii="宋体" w:hAnsi="宋体" w:eastAsia="宋体" w:cs="仿宋_GB2312"/>
          <w:kern w:val="0"/>
          <w:sz w:val="18"/>
          <w:szCs w:val="18"/>
          <w:lang w:val="en-US" w:eastAsia="zh-CN" w:bidi="ar-SA"/>
        </w:rPr>
        <w:t>产品管理人</w:t>
      </w:r>
      <w:r>
        <w:rPr>
          <w:rFonts w:hint="eastAsia" w:ascii="宋体" w:hAnsi="宋体" w:eastAsia="宋体" w:cs="宋体"/>
          <w:bCs/>
          <w:kern w:val="2"/>
          <w:sz w:val="18"/>
          <w:szCs w:val="18"/>
          <w:lang w:val="en-US" w:eastAsia="zh-CN" w:bidi="ar-SA"/>
        </w:rPr>
        <w:t>有权宣布本产品不成立并</w:t>
      </w:r>
      <w:r>
        <w:rPr>
          <w:rFonts w:ascii="宋体" w:hAnsi="宋体" w:eastAsia="宋体" w:cs="宋体"/>
          <w:bCs/>
          <w:kern w:val="2"/>
          <w:sz w:val="18"/>
          <w:szCs w:val="18"/>
          <w:lang w:val="en-US" w:eastAsia="zh-CN" w:bidi="ar-SA"/>
        </w:rPr>
        <w:t>及时返还投资者资金</w:t>
      </w:r>
      <w:r>
        <w:rPr>
          <w:rFonts w:hint="eastAsia" w:ascii="宋体" w:hAnsi="宋体" w:eastAsia="宋体" w:cs="宋体"/>
          <w:bCs/>
          <w:kern w:val="2"/>
          <w:sz w:val="18"/>
          <w:szCs w:val="18"/>
          <w:lang w:val="en-US" w:eastAsia="zh-CN" w:bidi="ar-SA"/>
        </w:rPr>
        <w:t>，投资者将承担投资本产品不成立的风险。</w:t>
      </w:r>
    </w:p>
    <w:p w14:paraId="0F1C90B8">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2.</w:t>
      </w:r>
      <w:r>
        <w:rPr>
          <w:rFonts w:ascii="宋体" w:hAnsi="宋体" w:eastAsia="宋体" w:cs="宋体"/>
          <w:b/>
          <w:bCs/>
          <w:kern w:val="2"/>
          <w:sz w:val="18"/>
          <w:szCs w:val="18"/>
          <w:lang w:val="en-US" w:eastAsia="zh-CN" w:bidi="ar-SA"/>
        </w:rPr>
        <w:t>操作风险</w:t>
      </w:r>
    </w:p>
    <w:p w14:paraId="1610E45D">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由于产品管理人的</w:t>
      </w:r>
      <w:r>
        <w:rPr>
          <w:rFonts w:ascii="宋体" w:hAnsi="宋体" w:eastAsia="宋体" w:cs="宋体"/>
          <w:bCs/>
          <w:kern w:val="2"/>
          <w:sz w:val="18"/>
          <w:szCs w:val="18"/>
          <w:lang w:val="en-US" w:eastAsia="zh-CN" w:bidi="ar-SA"/>
        </w:rPr>
        <w:t>不完善或有问题的内部程序、员工和信息科技系统，以及外部事件所造成损失的风险。</w:t>
      </w:r>
    </w:p>
    <w:p w14:paraId="32C7FB30">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3</w:t>
      </w:r>
      <w:r>
        <w:rPr>
          <w:rFonts w:ascii="宋体" w:hAnsi="宋体" w:eastAsia="宋体" w:cs="宋体"/>
          <w:b/>
          <w:bCs/>
          <w:kern w:val="2"/>
          <w:sz w:val="18"/>
          <w:szCs w:val="18"/>
          <w:lang w:val="en-US" w:eastAsia="zh-CN" w:bidi="ar-SA"/>
        </w:rPr>
        <w:t>.估值</w:t>
      </w:r>
      <w:r>
        <w:rPr>
          <w:rFonts w:hint="eastAsia" w:ascii="宋体" w:hAnsi="宋体" w:eastAsia="宋体" w:cs="宋体"/>
          <w:b/>
          <w:bCs/>
          <w:kern w:val="2"/>
          <w:sz w:val="18"/>
          <w:szCs w:val="18"/>
          <w:lang w:val="en-US" w:eastAsia="zh-CN" w:bidi="ar-SA"/>
        </w:rPr>
        <w:t>波动</w:t>
      </w:r>
      <w:r>
        <w:rPr>
          <w:rFonts w:ascii="宋体" w:hAnsi="宋体" w:eastAsia="宋体" w:cs="宋体"/>
          <w:b/>
          <w:bCs/>
          <w:kern w:val="2"/>
          <w:sz w:val="18"/>
          <w:szCs w:val="18"/>
          <w:lang w:val="en-US" w:eastAsia="zh-CN" w:bidi="ar-SA"/>
        </w:rPr>
        <w:t>风险</w:t>
      </w:r>
    </w:p>
    <w:p w14:paraId="3E322D5C">
      <w:pPr>
        <w:widowControl w:val="0"/>
        <w:ind w:firstLine="360" w:firstLineChars="200"/>
        <w:jc w:val="both"/>
        <w:rPr>
          <w:rFonts w:ascii="宋体" w:hAnsi="宋体" w:eastAsia="宋体" w:cs="宋体"/>
          <w:bCs/>
          <w:kern w:val="2"/>
          <w:sz w:val="18"/>
          <w:szCs w:val="18"/>
          <w:lang w:val="en-US" w:eastAsia="zh-CN" w:bidi="ar-SA"/>
        </w:rPr>
      </w:pP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本理财产品可能</w:t>
      </w:r>
      <w:r>
        <w:rPr>
          <w:rFonts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投资符合监管</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要求的资产管理产品（包括但不限于信托计划、</w:t>
      </w:r>
      <w:r>
        <w:rPr>
          <w:rFonts w:hint="eastAsia" w:cs="宋体" w:asciiTheme="majorEastAsia" w:hAnsiTheme="majorEastAsia" w:eastAsiaTheme="majorEastAsia"/>
          <w:bCs/>
          <w:color w:val="000000" w:themeColor="text1"/>
          <w:kern w:val="0"/>
          <w:sz w:val="18"/>
          <w:szCs w:val="18"/>
          <w:lang w:val="en-US" w:eastAsia="zh-CN" w:bidi="ar-SA"/>
          <w14:textFill>
            <w14:solidFill>
              <w14:schemeClr w14:val="tx1"/>
            </w14:solidFill>
          </w14:textFill>
        </w:rPr>
        <w:t>公募基金、基金公司或子公司资产管理计划、证券公司资产管理计划、</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期货资产管理计划、</w:t>
      </w:r>
      <w:r>
        <w:rPr>
          <w:rFonts w:hint="eastAsia" w:cs="宋体" w:asciiTheme="majorEastAsia" w:hAnsiTheme="majorEastAsia" w:eastAsiaTheme="majorEastAsia"/>
          <w:bCs/>
          <w:color w:val="000000" w:themeColor="text1"/>
          <w:kern w:val="0"/>
          <w:sz w:val="18"/>
          <w:szCs w:val="18"/>
          <w:lang w:val="en-US" w:eastAsia="zh-CN" w:bidi="ar-SA"/>
          <w14:textFill>
            <w14:solidFill>
              <w14:schemeClr w14:val="tx1"/>
            </w14:solidFill>
          </w14:textFill>
        </w:rPr>
        <w:t>保险资产管理计划</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等），前述资产管理产品的管理人可能收取</w:t>
      </w:r>
      <w:r>
        <w:rPr>
          <w:rFonts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业绩报酬，</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当前述资产管理产品计提业绩报酬时，本理财产品的产品份额净值存在下跌的风险。</w:t>
      </w:r>
    </w:p>
    <w:p w14:paraId="19CEA676">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4.</w:t>
      </w:r>
      <w:r>
        <w:rPr>
          <w:rFonts w:ascii="宋体" w:hAnsi="宋体" w:eastAsia="宋体" w:cs="宋体"/>
          <w:b/>
          <w:bCs/>
          <w:kern w:val="2"/>
          <w:sz w:val="18"/>
          <w:szCs w:val="18"/>
          <w:lang w:val="en-US" w:eastAsia="zh-CN" w:bidi="ar-SA"/>
        </w:rPr>
        <w:t>估值差错风险</w:t>
      </w:r>
    </w:p>
    <w:p w14:paraId="6F55F6F3">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理财投资基础资产时涉及对资产估值不准确、及时的，理财产品管理人及产品托管人对理财产品费用计提出现错误，将导致本产品估值差错，可能影响理财产品份额净值。</w:t>
      </w:r>
    </w:p>
    <w:p w14:paraId="717390FA">
      <w:pPr>
        <w:widowControl w:val="0"/>
        <w:ind w:firstLine="361" w:firstLineChars="200"/>
        <w:jc w:val="both"/>
        <w:rPr>
          <w:rFonts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15.</w:t>
      </w:r>
      <w:r>
        <w:rPr>
          <w:rFonts w:hint="eastAsia" w:ascii="黑体" w:hAnsi="黑体" w:eastAsia="黑体" w:cs="黑体"/>
          <w:kern w:val="2"/>
          <w:sz w:val="18"/>
          <w:szCs w:val="18"/>
          <w:lang w:val="en-US" w:eastAsia="zh-CN" w:bidi="ar-SA"/>
        </w:rPr>
        <w:t>★</w:t>
      </w:r>
      <w:r>
        <w:rPr>
          <w:rFonts w:hint="eastAsia" w:ascii="黑体" w:hAnsi="黑体" w:eastAsia="黑体" w:cs="黑体"/>
          <w:b/>
          <w:bCs/>
          <w:kern w:val="2"/>
          <w:sz w:val="18"/>
          <w:szCs w:val="18"/>
          <w:lang w:val="en-US" w:eastAsia="zh-CN" w:bidi="ar-SA"/>
        </w:rPr>
        <w:t>代销风险</w:t>
      </w:r>
    </w:p>
    <w:p w14:paraId="2F86459B">
      <w:pPr>
        <w:widowControl w:val="0"/>
        <w:ind w:firstLine="360" w:firstLineChars="200"/>
        <w:jc w:val="both"/>
        <w:rPr>
          <w:rFonts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54559D80">
      <w:pPr>
        <w:spacing w:line="276" w:lineRule="auto"/>
        <w:ind w:firstLine="361" w:firstLineChars="200"/>
        <w:rPr>
          <w:rFonts w:ascii="黑体" w:hAnsi="黑体" w:eastAsia="黑体" w:cs="仿宋_GB2312"/>
          <w:b/>
          <w:bCs/>
          <w:kern w:val="0"/>
          <w:sz w:val="18"/>
          <w:szCs w:val="18"/>
        </w:rPr>
      </w:pPr>
      <w:r>
        <w:rPr>
          <w:rFonts w:ascii="黑体" w:hAnsi="黑体" w:eastAsia="黑体" w:cs="宋体"/>
          <w:b/>
          <w:bCs/>
          <w:sz w:val="18"/>
          <w:szCs w:val="18"/>
        </w:rPr>
        <w:t>1</w:t>
      </w:r>
      <w:r>
        <w:rPr>
          <w:rFonts w:hint="eastAsia" w:ascii="黑体" w:hAnsi="黑体" w:eastAsia="黑体" w:cs="宋体"/>
          <w:b/>
          <w:bCs/>
          <w:sz w:val="18"/>
          <w:szCs w:val="18"/>
        </w:rPr>
        <w:t>6</w:t>
      </w:r>
      <w:r>
        <w:rPr>
          <w:rFonts w:ascii="黑体" w:hAnsi="黑体" w:eastAsia="黑体" w:cs="宋体"/>
          <w:b/>
          <w:bCs/>
          <w:sz w:val="18"/>
          <w:szCs w:val="18"/>
        </w:rPr>
        <w:t>.</w:t>
      </w:r>
      <w:r>
        <w:rPr>
          <w:rFonts w:hint="eastAsia" w:ascii="黑体" w:hAnsi="黑体" w:eastAsia="黑体" w:cs="仿宋_GB2312"/>
          <w:b/>
          <w:bCs/>
          <w:kern w:val="0"/>
          <w:sz w:val="18"/>
          <w:szCs w:val="18"/>
        </w:rPr>
        <w:t>★不同理财产品份额类别存在差异的风险</w:t>
      </w:r>
    </w:p>
    <w:p w14:paraId="4C5C1392">
      <w:pPr>
        <w:spacing w:line="276" w:lineRule="auto"/>
        <w:ind w:firstLine="360" w:firstLineChars="200"/>
        <w:rPr>
          <w:rFonts w:ascii="黑体" w:hAnsi="黑体" w:eastAsia="黑体" w:cs="宋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cs="宋体"/>
          <w:sz w:val="18"/>
          <w:szCs w:val="18"/>
        </w:rPr>
        <w:t>投资者认购申购和赎回的数量限制、投资者持有本产品的最高限额最低限额、计算和公告产品份额净值方面存在差异。</w:t>
      </w:r>
    </w:p>
    <w:p w14:paraId="3A4B8F1E">
      <w:pPr>
        <w:widowControl w:val="0"/>
        <w:ind w:firstLine="420" w:firstLineChars="0"/>
        <w:jc w:val="both"/>
        <w:rPr>
          <w:rFonts w:hint="eastAsia"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17.★关联交易风险</w:t>
      </w:r>
    </w:p>
    <w:p w14:paraId="636A9FD6">
      <w:pPr>
        <w:widowControl w:val="0"/>
        <w:ind w:firstLine="420" w:firstLineChars="0"/>
        <w:jc w:val="both"/>
        <w:rPr>
          <w:rFonts w:hint="eastAsia" w:ascii="黑体" w:hAnsi="黑体" w:eastAsia="黑体" w:cs="黑体"/>
          <w:kern w:val="2"/>
          <w:sz w:val="18"/>
          <w:szCs w:val="18"/>
          <w:lang w:val="en-US" w:eastAsia="zh-CN" w:bidi="ar-SA"/>
        </w:rPr>
      </w:pPr>
      <w:r>
        <w:rPr>
          <w:rFonts w:hint="eastAsia" w:ascii="黑体" w:hAnsi="黑体" w:eastAsia="黑体" w:cs="黑体"/>
          <w:kern w:val="2"/>
          <w:sz w:val="18"/>
          <w:szCs w:val="18"/>
          <w:lang w:val="en-US" w:eastAsia="zh-CN" w:bidi="ar-SA"/>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252608CF">
      <w:pPr>
        <w:autoSpaceDE w:val="0"/>
        <w:autoSpaceDN w:val="0"/>
        <w:adjustRightInd w:val="0"/>
        <w:ind w:firstLine="420"/>
        <w:jc w:val="left"/>
        <w:rPr>
          <w:rFonts w:ascii="黑体" w:hAnsi="黑体" w:eastAsia="黑体" w:cs="宋体"/>
          <w:sz w:val="18"/>
          <w:szCs w:val="18"/>
        </w:rPr>
      </w:pPr>
      <w:r>
        <w:rPr>
          <w:rFonts w:hint="eastAsia" w:ascii="黑体" w:hAnsi="黑体" w:eastAsia="黑体" w:cs="仿宋_GB2312"/>
          <w:kern w:val="0"/>
          <w:sz w:val="18"/>
          <w:szCs w:val="18"/>
        </w:rPr>
        <w:t>（三）</w:t>
      </w:r>
      <w:r>
        <w:rPr>
          <w:rFonts w:hint="eastAsia" w:ascii="Calibri" w:hAnsi="宋体" w:cs="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cs="宋体"/>
          <w:bCs/>
          <w:sz w:val="18"/>
          <w:szCs w:val="18"/>
        </w:rPr>
        <w:t>产品管理人对本产品的理财本金和收益不提供保证承诺，</w:t>
      </w:r>
      <w:r>
        <w:rPr>
          <w:rFonts w:hint="eastAsia" w:ascii="黑体" w:hAnsi="黑体" w:eastAsia="黑体" w:cs="宋体"/>
          <w:sz w:val="18"/>
          <w:szCs w:val="18"/>
        </w:rPr>
        <w:t>若理财产品运作期间，该理财产品投资标的出现风险，则投资者可能无法获得理财收益</w:t>
      </w:r>
      <w:r>
        <w:rPr>
          <w:rFonts w:ascii="黑体" w:hAnsi="黑体" w:eastAsia="黑体" w:cs="宋体"/>
          <w:sz w:val="18"/>
          <w:szCs w:val="18"/>
        </w:rPr>
        <w:t>，甚至投资者的投资本金将遭受损失，在最不利的极端情况下，投资者可能损失全部本金。</w:t>
      </w:r>
    </w:p>
    <w:p w14:paraId="614C381B">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cs="宋体"/>
          <w:bCs/>
          <w:color w:val="000000"/>
          <w:kern w:val="0"/>
          <w:sz w:val="18"/>
          <w:szCs w:val="18"/>
        </w:rPr>
        <w:t>五、</w:t>
      </w:r>
      <w:r>
        <w:rPr>
          <w:rFonts w:hint="eastAsia" w:ascii="黑体" w:hAnsi="黑体" w:eastAsia="黑体" w:cs="仿宋_GB2312"/>
          <w:kern w:val="0"/>
          <w:sz w:val="18"/>
          <w:szCs w:val="18"/>
        </w:rPr>
        <w:t>《投资者风险承受能力评估问卷》用于评估</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投资者对金融工具及投资目标的相关风险的态度。</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投资者可根据评估结果确定所属投资者类型，购买适合的理财产品。如影响您风险承受能力的因素发生变化，请您及时重新完成风险承受能力评估。</w:t>
      </w:r>
      <w:r>
        <w:rPr>
          <w:rFonts w:hint="eastAsia" w:ascii="黑体" w:hAnsi="黑体" w:eastAsia="黑体" w:cs="仿宋_GB2312"/>
          <w:kern w:val="0"/>
          <w:sz w:val="18"/>
          <w:szCs w:val="18"/>
          <w:lang w:val="en-US" w:eastAsia="zh-CN"/>
        </w:rPr>
        <w:t>专业</w:t>
      </w:r>
      <w:r>
        <w:rPr>
          <w:rFonts w:hint="eastAsia" w:ascii="黑体" w:hAnsi="黑体" w:eastAsia="黑体" w:cs="仿宋_GB2312"/>
          <w:kern w:val="0"/>
          <w:sz w:val="18"/>
          <w:szCs w:val="18"/>
        </w:rPr>
        <w:t>投资者的风险承受能力评估按照《（代理）销售协议书》约定或销售机构的销售政策执行。</w:t>
      </w:r>
    </w:p>
    <w:p w14:paraId="493E3A98">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cs="宋体"/>
          <w:bCs/>
          <w:sz w:val="18"/>
          <w:szCs w:val="18"/>
        </w:rPr>
        <w:t>六、【非机构投资者适用】当销售机构销售产品风险评级为</w:t>
      </w:r>
      <w:r>
        <w:rPr>
          <w:rFonts w:ascii="黑体" w:hAnsi="黑体" w:eastAsia="黑体" w:cs="宋体"/>
          <w:bCs/>
          <w:sz w:val="18"/>
          <w:szCs w:val="18"/>
        </w:rPr>
        <w:t>R4</w:t>
      </w:r>
      <w:r>
        <w:rPr>
          <w:rFonts w:hint="eastAsia" w:ascii="黑体" w:hAnsi="黑体" w:eastAsia="黑体" w:cs="宋体"/>
          <w:bCs/>
          <w:sz w:val="18"/>
          <w:szCs w:val="18"/>
        </w:rPr>
        <w:t>及</w:t>
      </w:r>
      <w:r>
        <w:rPr>
          <w:rFonts w:ascii="黑体" w:hAnsi="黑体" w:eastAsia="黑体" w:cs="宋体"/>
          <w:bCs/>
          <w:sz w:val="18"/>
          <w:szCs w:val="18"/>
        </w:rPr>
        <w:t>以上</w:t>
      </w:r>
      <w:r>
        <w:rPr>
          <w:rFonts w:hint="eastAsia" w:ascii="黑体" w:hAnsi="黑体" w:eastAsia="黑体" w:cs="宋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14:paraId="087E7A67">
      <w:pPr>
        <w:ind w:left="540"/>
        <w:jc w:val="right"/>
        <w:rPr>
          <w:rFonts w:ascii="宋体" w:hAnsi="宋体" w:cs="宋体"/>
          <w:sz w:val="18"/>
          <w:szCs w:val="18"/>
        </w:rPr>
      </w:pPr>
    </w:p>
    <w:p w14:paraId="47781BDF">
      <w:pPr>
        <w:wordWrap w:val="0"/>
        <w:ind w:left="540"/>
        <w:jc w:val="right"/>
        <w:rPr>
          <w:rFonts w:ascii="宋体" w:hAnsi="宋体" w:cs="宋体"/>
          <w:sz w:val="18"/>
          <w:szCs w:val="18"/>
        </w:rPr>
      </w:pPr>
      <w:r>
        <w:rPr>
          <w:rFonts w:hint="eastAsia" w:ascii="宋体" w:hAnsi="宋体" w:cs="宋体"/>
          <w:sz w:val="18"/>
          <w:szCs w:val="18"/>
        </w:rPr>
        <w:t>风险揭示方：产品管理人</w:t>
      </w:r>
      <w:r>
        <w:rPr>
          <w:rFonts w:ascii="宋体" w:hAnsi="宋体" w:cs="宋体"/>
          <w:sz w:val="18"/>
          <w:szCs w:val="18"/>
        </w:rPr>
        <w:t xml:space="preserve"> (</w:t>
      </w:r>
      <w:r>
        <w:rPr>
          <w:rFonts w:hint="eastAsia" w:ascii="宋体" w:hAnsi="宋体" w:cs="宋体"/>
          <w:sz w:val="18"/>
          <w:szCs w:val="18"/>
        </w:rPr>
        <w:t>兴银理财有限责任公司</w:t>
      </w:r>
      <w:r>
        <w:rPr>
          <w:rFonts w:ascii="宋体" w:hAnsi="宋体" w:cs="宋体"/>
          <w:sz w:val="18"/>
          <w:szCs w:val="18"/>
        </w:rPr>
        <w:t>)</w:t>
      </w:r>
    </w:p>
    <w:p w14:paraId="41E2222F">
      <w:pPr>
        <w:wordWrap w:val="0"/>
        <w:ind w:left="540"/>
        <w:jc w:val="right"/>
        <w:rPr>
          <w:rFonts w:ascii="宋体" w:hAnsi="宋体" w:cs="宋体"/>
          <w:sz w:val="18"/>
          <w:szCs w:val="18"/>
        </w:rPr>
      </w:pPr>
      <w:r>
        <w:rPr>
          <w:rFonts w:hint="eastAsia" w:ascii="宋体" w:hAnsi="宋体" w:cs="宋体"/>
          <w:sz w:val="18"/>
          <w:szCs w:val="18"/>
        </w:rPr>
        <w:t>销售机构（【</w:t>
      </w:r>
      <w:r>
        <w:rPr>
          <w:rFonts w:hint="eastAsia" w:ascii="宋体" w:hAnsi="宋体" w:cs="宋体"/>
          <w:sz w:val="18"/>
          <w:szCs w:val="18"/>
          <w:highlight w:val="yellow"/>
          <w:lang w:val="en-US" w:eastAsia="zh-CN"/>
        </w:rPr>
        <w:t>沧州银行股份有限公司</w:t>
      </w:r>
      <w:r>
        <w:rPr>
          <w:rFonts w:hint="eastAsia" w:ascii="宋体" w:hAnsi="宋体" w:cs="宋体"/>
          <w:sz w:val="18"/>
          <w:szCs w:val="18"/>
        </w:rPr>
        <w:t>】）</w:t>
      </w:r>
    </w:p>
    <w:p w14:paraId="08CCCEF9">
      <w:pPr>
        <w:widowControl/>
        <w:jc w:val="left"/>
        <w:rPr>
          <w:rFonts w:ascii="宋体" w:hAnsi="宋体" w:cs="宋体"/>
          <w:sz w:val="18"/>
          <w:szCs w:val="18"/>
        </w:rPr>
      </w:pPr>
      <w:r>
        <w:rPr>
          <w:rFonts w:ascii="宋体" w:hAnsi="宋体" w:cs="宋体"/>
          <w:sz w:val="18"/>
          <w:szCs w:val="18"/>
        </w:rPr>
        <w:br w:type="page"/>
      </w:r>
    </w:p>
    <w:p w14:paraId="605996A4">
      <w:pPr>
        <w:ind w:left="540"/>
        <w:jc w:val="right"/>
        <w:rPr>
          <w:rFonts w:ascii="宋体" w:hAnsi="宋体" w:cs="宋体"/>
          <w:sz w:val="18"/>
          <w:szCs w:val="18"/>
        </w:rPr>
      </w:pPr>
    </w:p>
    <w:p w14:paraId="21A34348">
      <w:pPr>
        <w:ind w:left="540"/>
        <w:jc w:val="right"/>
        <w:rPr>
          <w:rFonts w:ascii="宋体" w:hAnsi="宋体" w:cs="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14:paraId="682776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14:paraId="1E64F2C6">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2D826E73">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14:paraId="407E04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14:paraId="4337D1C4">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拥有权利的条款已向本人予以说明，本人完全理解并自愿接受。</w:t>
            </w:r>
          </w:p>
          <w:p w14:paraId="31E815DC">
            <w:pPr>
              <w:spacing w:line="280" w:lineRule="atLeast"/>
              <w:jc w:val="left"/>
              <w:rPr>
                <w:rFonts w:ascii="宋体" w:hAnsi="宋体" w:cs="Arial"/>
                <w:sz w:val="18"/>
                <w:szCs w:val="18"/>
              </w:rPr>
            </w:pPr>
          </w:p>
          <w:p w14:paraId="21B7EDD9">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1C0A812B">
            <w:pPr>
              <w:spacing w:line="280" w:lineRule="atLeast"/>
              <w:jc w:val="left"/>
              <w:rPr>
                <w:rFonts w:ascii="宋体" w:hAnsi="宋体" w:cs="Arial"/>
                <w:kern w:val="0"/>
                <w:sz w:val="18"/>
                <w:szCs w:val="18"/>
              </w:rPr>
            </w:pPr>
          </w:p>
          <w:p w14:paraId="13A9B8E8">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14:paraId="1D757E42">
            <w:pPr>
              <w:spacing w:line="280" w:lineRule="atLeast"/>
              <w:jc w:val="left"/>
              <w:rPr>
                <w:rFonts w:ascii="宋体" w:hAnsi="宋体" w:cs="Arial"/>
                <w:kern w:val="0"/>
                <w:sz w:val="18"/>
                <w:szCs w:val="18"/>
              </w:rPr>
            </w:pPr>
          </w:p>
          <w:p w14:paraId="71CEC801">
            <w:pPr>
              <w:spacing w:line="280" w:lineRule="atLeast"/>
              <w:jc w:val="left"/>
              <w:rPr>
                <w:rFonts w:ascii="Calibri" w:hAnsi="Calibri" w:cs="宋体"/>
                <w:kern w:val="0"/>
                <w:sz w:val="18"/>
                <w:szCs w:val="18"/>
                <w:u w:val="single"/>
              </w:rPr>
            </w:pPr>
            <w:r>
              <w:rPr>
                <w:rFonts w:hint="eastAsia" w:ascii="宋体" w:hAnsi="宋体" w:cs="Arial"/>
                <w:kern w:val="0"/>
                <w:sz w:val="18"/>
                <w:szCs w:val="18"/>
              </w:rPr>
              <w:t>请投资者在此抄录：</w:t>
            </w:r>
          </w:p>
          <w:p w14:paraId="3B286355">
            <w:pPr>
              <w:spacing w:line="280" w:lineRule="atLeast"/>
              <w:jc w:val="left"/>
              <w:rPr>
                <w:rFonts w:ascii="Calibri" w:hAnsi="Calibri" w:cs="宋体"/>
                <w:kern w:val="0"/>
                <w:sz w:val="18"/>
                <w:szCs w:val="18"/>
                <w:u w:val="single"/>
              </w:rPr>
            </w:pPr>
          </w:p>
          <w:p w14:paraId="5942192E">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w:t>
            </w:r>
            <w:r>
              <w:rPr>
                <w:rFonts w:ascii="宋体" w:hAnsi="宋体" w:cs="Arial"/>
                <w:kern w:val="0"/>
                <w:sz w:val="18"/>
                <w:szCs w:val="18"/>
              </w:rPr>
              <w:t>签名</w:t>
            </w:r>
            <w:r>
              <w:rPr>
                <w:rFonts w:hint="eastAsia" w:ascii="宋体" w:hAnsi="宋体" w:cs="Arial"/>
                <w:kern w:val="0"/>
                <w:sz w:val="18"/>
                <w:szCs w:val="18"/>
              </w:rPr>
              <w:t>/线上确认：</w:t>
            </w:r>
          </w:p>
          <w:p w14:paraId="1991ACC9">
            <w:pPr>
              <w:spacing w:line="280" w:lineRule="atLeast"/>
              <w:ind w:left="4200" w:firstLine="1080" w:firstLineChars="600"/>
              <w:jc w:val="left"/>
              <w:rPr>
                <w:rFonts w:ascii="宋体" w:hAnsi="宋体" w:cs="Arial"/>
                <w:kern w:val="0"/>
                <w:sz w:val="18"/>
                <w:szCs w:val="18"/>
              </w:rPr>
            </w:pPr>
          </w:p>
          <w:p w14:paraId="4C57FF84">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2E96590A">
            <w:pPr>
              <w:spacing w:line="280" w:lineRule="atLeast"/>
              <w:ind w:left="4200" w:firstLine="1080" w:firstLineChars="600"/>
              <w:jc w:val="left"/>
              <w:rPr>
                <w:rFonts w:ascii="宋体" w:hAnsi="宋体" w:cs="Arial"/>
                <w:kern w:val="0"/>
                <w:sz w:val="18"/>
                <w:szCs w:val="18"/>
              </w:rPr>
            </w:pPr>
          </w:p>
          <w:p w14:paraId="62D5AF90">
            <w:pPr>
              <w:spacing w:line="280" w:lineRule="atLeast"/>
              <w:jc w:val="left"/>
              <w:rPr>
                <w:rFonts w:ascii="宋体" w:hAnsi="宋体" w:cs="Arial"/>
                <w:b/>
                <w:kern w:val="0"/>
                <w:sz w:val="18"/>
                <w:szCs w:val="18"/>
              </w:rPr>
            </w:pPr>
            <w:r>
              <w:rPr>
                <w:rFonts w:hint="eastAsia" w:ascii="Calibri" w:hAnsi="Calibri" w:cs="宋体"/>
                <w:b/>
                <w:kern w:val="0"/>
                <w:sz w:val="20"/>
                <w:szCs w:val="20"/>
              </w:rPr>
              <w:t>（本风险揭示书共有三份签署文本，第一联销售机构留存，第二联投资者留存，第三联产品管理人留存。）</w:t>
            </w:r>
          </w:p>
          <w:p w14:paraId="2883DFC3">
            <w:pPr>
              <w:spacing w:line="280" w:lineRule="atLeast"/>
              <w:jc w:val="right"/>
              <w:rPr>
                <w:rFonts w:ascii="宋体" w:hAnsi="宋体" w:cs="宋体"/>
                <w:kern w:val="0"/>
                <w:sz w:val="18"/>
                <w:szCs w:val="18"/>
              </w:rPr>
            </w:pPr>
          </w:p>
        </w:tc>
      </w:tr>
    </w:tbl>
    <w:p w14:paraId="5354F425">
      <w:pPr>
        <w:autoSpaceDE w:val="0"/>
        <w:autoSpaceDN w:val="0"/>
        <w:adjustRightInd w:val="0"/>
        <w:spacing w:line="360" w:lineRule="auto"/>
        <w:ind w:firstLine="420"/>
        <w:jc w:val="left"/>
        <w:rPr>
          <w:rFonts w:ascii="宋体" w:hAnsi="宋体" w:cs="宋体"/>
          <w:sz w:val="24"/>
          <w:szCs w:val="22"/>
        </w:rPr>
      </w:pPr>
    </w:p>
    <w:p w14:paraId="30A7A1AE">
      <w:pPr>
        <w:rPr>
          <w:rFonts w:ascii="宋体" w:hAnsi="宋体" w:cs="Arial"/>
          <w:sz w:val="24"/>
          <w:szCs w:val="22"/>
        </w:rPr>
      </w:pPr>
    </w:p>
    <w:p w14:paraId="384BFD81">
      <w:pPr>
        <w:widowControl/>
        <w:jc w:val="left"/>
        <w:rPr>
          <w:rFonts w:ascii="宋体" w:hAnsi="宋体" w:cs="Arial"/>
          <w:sz w:val="24"/>
          <w:szCs w:val="22"/>
        </w:rPr>
      </w:pPr>
      <w:r>
        <w:rPr>
          <w:rFonts w:ascii="宋体" w:hAnsi="宋体" w:cs="Arial"/>
          <w:sz w:val="24"/>
          <w:szCs w:val="22"/>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14:paraId="71F23D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14:paraId="23054104">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0412428C">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14:paraId="772FF9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14:paraId="2D855C28">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拥有权利的条款已向本公司（单位）予以说明，本公司（单位）完全理解并自愿接受。</w:t>
            </w:r>
          </w:p>
          <w:p w14:paraId="3BB543E6">
            <w:pPr>
              <w:spacing w:line="280" w:lineRule="atLeast"/>
              <w:ind w:firstLine="360" w:firstLineChars="200"/>
              <w:jc w:val="left"/>
              <w:rPr>
                <w:rFonts w:ascii="宋体" w:hAnsi="宋体" w:cs="Arial"/>
                <w:kern w:val="0"/>
                <w:sz w:val="18"/>
                <w:szCs w:val="18"/>
              </w:rPr>
            </w:pPr>
          </w:p>
          <w:p w14:paraId="3BE54991">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75B622A1">
            <w:pPr>
              <w:spacing w:line="280" w:lineRule="atLeast"/>
              <w:ind w:firstLine="360" w:firstLineChars="200"/>
              <w:jc w:val="left"/>
              <w:rPr>
                <w:rFonts w:ascii="宋体" w:hAnsi="宋体" w:cs="Arial"/>
                <w:kern w:val="0"/>
                <w:sz w:val="18"/>
                <w:szCs w:val="18"/>
              </w:rPr>
            </w:pPr>
          </w:p>
          <w:p w14:paraId="4DBAA549">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14:paraId="3B855E3B">
            <w:pPr>
              <w:spacing w:line="280" w:lineRule="atLeast"/>
              <w:jc w:val="left"/>
              <w:rPr>
                <w:rFonts w:ascii="宋体" w:hAnsi="宋体" w:cs="Arial"/>
                <w:kern w:val="0"/>
                <w:sz w:val="18"/>
                <w:szCs w:val="18"/>
              </w:rPr>
            </w:pPr>
          </w:p>
          <w:p w14:paraId="3553D4A8">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14:paraId="2B23FBB5">
            <w:pPr>
              <w:spacing w:line="280" w:lineRule="atLeast"/>
              <w:jc w:val="left"/>
              <w:rPr>
                <w:rFonts w:ascii="宋体" w:hAnsi="宋体" w:cs="Arial"/>
                <w:kern w:val="0"/>
                <w:sz w:val="18"/>
                <w:szCs w:val="18"/>
              </w:rPr>
            </w:pPr>
          </w:p>
          <w:p w14:paraId="382CCB86">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14:paraId="303943CA">
            <w:pPr>
              <w:spacing w:line="280" w:lineRule="atLeast"/>
              <w:jc w:val="left"/>
              <w:rPr>
                <w:rFonts w:ascii="宋体" w:hAnsi="宋体" w:cs="Arial"/>
                <w:kern w:val="0"/>
                <w:sz w:val="18"/>
                <w:szCs w:val="18"/>
              </w:rPr>
            </w:pPr>
          </w:p>
          <w:p w14:paraId="772F3728">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14:paraId="5BA4E227">
            <w:pPr>
              <w:spacing w:line="280" w:lineRule="atLeast"/>
              <w:ind w:left="4200" w:firstLine="1080" w:firstLineChars="600"/>
              <w:jc w:val="left"/>
              <w:rPr>
                <w:rFonts w:ascii="宋体" w:hAnsi="宋体" w:cs="Arial"/>
                <w:kern w:val="0"/>
                <w:sz w:val="18"/>
                <w:szCs w:val="18"/>
              </w:rPr>
            </w:pPr>
          </w:p>
          <w:p w14:paraId="785E50D9">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1EB8EF33">
            <w:pPr>
              <w:spacing w:line="280" w:lineRule="atLeast"/>
              <w:rPr>
                <w:rFonts w:ascii="Calibri" w:hAnsi="Calibri" w:cs="宋体"/>
                <w:kern w:val="0"/>
                <w:sz w:val="20"/>
                <w:szCs w:val="20"/>
              </w:rPr>
            </w:pPr>
          </w:p>
          <w:p w14:paraId="0CD657B5">
            <w:pPr>
              <w:spacing w:line="280" w:lineRule="atLeast"/>
              <w:rPr>
                <w:rFonts w:ascii="Calibri" w:hAnsi="Calibri" w:cs="宋体"/>
                <w:b/>
                <w:kern w:val="0"/>
                <w:sz w:val="20"/>
                <w:szCs w:val="20"/>
              </w:rPr>
            </w:pPr>
            <w:r>
              <w:rPr>
                <w:rFonts w:hint="eastAsia" w:ascii="Calibri" w:hAnsi="Calibri" w:cs="宋体"/>
                <w:b/>
                <w:kern w:val="0"/>
                <w:sz w:val="20"/>
                <w:szCs w:val="20"/>
              </w:rPr>
              <w:t>（本风险揭示书共有三份签署文本，第一联销售机构留存，第二联投资者留存，第三联产品管理人留存。）</w:t>
            </w:r>
          </w:p>
        </w:tc>
      </w:tr>
    </w:tbl>
    <w:p w14:paraId="5CD7EE0A">
      <w:pPr>
        <w:widowControl/>
        <w:jc w:val="left"/>
        <w:rPr>
          <w:rFonts w:hint="eastAsia" w:ascii="宋体" w:hAnsi="宋体" w:cs="宋体"/>
          <w:b/>
          <w:sz w:val="28"/>
          <w:szCs w:val="28"/>
        </w:rPr>
      </w:pPr>
    </w:p>
    <w:p w14:paraId="2EBE1891">
      <w:pPr>
        <w:autoSpaceDE w:val="0"/>
        <w:autoSpaceDN w:val="0"/>
        <w:adjustRightInd w:val="0"/>
        <w:spacing w:line="360" w:lineRule="auto"/>
        <w:ind w:firstLine="420"/>
        <w:jc w:val="left"/>
        <w:rPr>
          <w:rFonts w:ascii="宋体" w:hAnsi="宋体"/>
          <w:sz w:val="24"/>
        </w:rPr>
      </w:pPr>
    </w:p>
    <w:p w14:paraId="0D4FC444">
      <w:pPr>
        <w:rPr>
          <w:rFonts w:ascii="宋体" w:hAnsi="宋体" w:cs="Arial"/>
          <w:sz w:val="24"/>
        </w:rPr>
      </w:pPr>
    </w:p>
    <w:p w14:paraId="747971B8">
      <w:pPr>
        <w:widowControl/>
        <w:jc w:val="left"/>
        <w:rPr>
          <w:rFonts w:ascii="宋体" w:hAnsi="宋体"/>
          <w:b/>
          <w:sz w:val="28"/>
          <w:szCs w:val="28"/>
        </w:rPr>
      </w:pPr>
    </w:p>
    <w:p w14:paraId="1E356E7B">
      <w:pPr>
        <w:sectPr>
          <w:headerReference r:id="rId9" w:type="default"/>
          <w:footerReference r:id="rId10" w:type="default"/>
          <w:pgSz w:w="11906" w:h="16838"/>
          <w:pgMar w:top="1440" w:right="1800" w:bottom="1440" w:left="1800" w:header="567" w:footer="964" w:gutter="0"/>
          <w:cols w:space="425" w:num="1"/>
          <w:docGrid w:type="lines" w:linePitch="312" w:charSpace="0"/>
        </w:sectPr>
      </w:pPr>
    </w:p>
    <w:p w14:paraId="1B70C9C0">
      <w:pPr>
        <w:adjustRightInd w:val="0"/>
        <w:spacing w:line="276" w:lineRule="auto"/>
        <w:jc w:val="center"/>
        <w:rPr>
          <w:rStyle w:val="10"/>
          <w:rFonts w:ascii="黑体" w:hAnsi="黑体" w:eastAsia="黑体"/>
          <w:sz w:val="28"/>
          <w:szCs w:val="28"/>
        </w:rPr>
      </w:pPr>
      <w:r>
        <w:rPr>
          <w:rStyle w:val="10"/>
          <w:rFonts w:hint="eastAsia" w:ascii="黑体" w:hAnsi="黑体" w:eastAsia="黑体" w:cstheme="minorBidi"/>
          <w:sz w:val="28"/>
          <w:szCs w:val="28"/>
          <w:lang w:eastAsia="zh-CN"/>
        </w:rPr>
        <w:t>【兴银理财稳利恒盈封闭式2026年855期固收类理财产品】</w:t>
      </w:r>
    </w:p>
    <w:p w14:paraId="08249AB6">
      <w:pPr>
        <w:adjustRightInd w:val="0"/>
        <w:spacing w:line="276" w:lineRule="auto"/>
        <w:jc w:val="center"/>
        <w:rPr>
          <w:rStyle w:val="10"/>
          <w:rFonts w:ascii="黑体" w:hAnsi="黑体" w:eastAsia="黑体"/>
          <w:sz w:val="28"/>
          <w:szCs w:val="28"/>
        </w:rPr>
      </w:pPr>
      <w:r>
        <w:rPr>
          <w:rStyle w:val="10"/>
          <w:rFonts w:hint="eastAsia" w:ascii="黑体" w:hAnsi="黑体" w:eastAsia="黑体" w:cstheme="minorBidi"/>
          <w:sz w:val="28"/>
          <w:szCs w:val="28"/>
        </w:rPr>
        <w:t>投资者权益须知</w:t>
      </w:r>
    </w:p>
    <w:p w14:paraId="4E9FFA9B">
      <w:pPr>
        <w:pStyle w:val="14"/>
        <w:jc w:val="center"/>
        <w:rPr>
          <w:rFonts w:hAnsi="宋体"/>
          <w:b/>
          <w:color w:val="auto"/>
          <w:sz w:val="28"/>
          <w:szCs w:val="28"/>
        </w:rPr>
      </w:pPr>
      <w:r>
        <w:rPr>
          <w:rFonts w:hint="eastAsia" w:hAnsi="宋体"/>
          <w:b/>
          <w:color w:val="auto"/>
          <w:sz w:val="28"/>
          <w:szCs w:val="28"/>
        </w:rPr>
        <w:t>（适用于个人投资者）</w:t>
      </w:r>
    </w:p>
    <w:p w14:paraId="0F498ED9">
      <w:pPr>
        <w:rPr>
          <w:rFonts w:ascii="宋体" w:hAnsi="宋体"/>
          <w:b/>
          <w:sz w:val="18"/>
          <w:szCs w:val="18"/>
        </w:rPr>
      </w:pPr>
      <w:r>
        <w:rPr>
          <w:rFonts w:hint="eastAsia" w:ascii="宋体" w:hAnsi="宋体"/>
          <w:b/>
          <w:sz w:val="18"/>
          <w:szCs w:val="18"/>
        </w:rPr>
        <w:t>尊敬的投资者：</w:t>
      </w:r>
    </w:p>
    <w:p w14:paraId="68DCBA71">
      <w:pPr>
        <w:spacing w:line="320" w:lineRule="exact"/>
        <w:ind w:firstLine="360" w:firstLineChars="200"/>
        <w:jc w:val="left"/>
        <w:rPr>
          <w:rFonts w:ascii="宋体" w:hAnsi="宋体"/>
          <w:sz w:val="18"/>
          <w:szCs w:val="18"/>
        </w:rPr>
      </w:pPr>
      <w:r>
        <w:rPr>
          <w:rFonts w:hint="eastAsia" w:ascii="宋体" w:hAnsi="宋体"/>
          <w:sz w:val="18"/>
          <w:szCs w:val="18"/>
        </w:rPr>
        <w:t>感谢您通过销售机构【</w:t>
      </w:r>
      <w:r>
        <w:rPr>
          <w:rFonts w:hint="eastAsia" w:ascii="宋体" w:hAnsi="宋体"/>
          <w:sz w:val="18"/>
          <w:szCs w:val="18"/>
          <w:highlight w:val="yellow"/>
          <w:lang w:val="en-US" w:eastAsia="zh-CN"/>
        </w:rPr>
        <w:t>沧州银行股份有限公司</w:t>
      </w:r>
      <w:r>
        <w:rPr>
          <w:rFonts w:hint="eastAsia" w:ascii="宋体" w:hAnsi="宋体"/>
          <w:sz w:val="18"/>
          <w:szCs w:val="18"/>
        </w:rPr>
        <w:t>】以(□ 直销：产品管理人销售/□ 代销：代理销售机构销售)的形式购买兴银理财有限责任公司（以下简称“兴银理财”）作为产品管理人管理的理财产品。</w:t>
      </w:r>
    </w:p>
    <w:p w14:paraId="6A1C9CB5">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71F61968">
      <w:pPr>
        <w:ind w:firstLine="360" w:firstLineChars="200"/>
        <w:rPr>
          <w:rFonts w:ascii="宋体" w:hAnsi="宋体"/>
          <w:sz w:val="18"/>
          <w:szCs w:val="18"/>
        </w:rPr>
      </w:pPr>
    </w:p>
    <w:p w14:paraId="1633771D">
      <w:pPr>
        <w:ind w:firstLine="361" w:firstLineChars="200"/>
        <w:rPr>
          <w:rFonts w:ascii="宋体" w:hAnsi="宋体"/>
          <w:b/>
          <w:sz w:val="18"/>
          <w:szCs w:val="18"/>
        </w:rPr>
      </w:pPr>
      <w:r>
        <w:rPr>
          <w:rFonts w:hint="eastAsia" w:ascii="宋体" w:hAnsi="宋体"/>
          <w:b/>
          <w:sz w:val="18"/>
          <w:szCs w:val="18"/>
        </w:rPr>
        <w:t>一、理财产品购买流程</w:t>
      </w:r>
    </w:p>
    <w:p w14:paraId="73C49B11">
      <w:pPr>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61277594">
      <w:pPr>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2DCDE092">
      <w:pPr>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595EA842">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66AD0DFC">
      <w:pPr>
        <w:ind w:firstLine="361" w:firstLineChars="200"/>
        <w:rPr>
          <w:rFonts w:ascii="宋体" w:hAnsi="宋体"/>
          <w:b/>
          <w:sz w:val="18"/>
          <w:szCs w:val="18"/>
        </w:rPr>
      </w:pPr>
      <w:r>
        <w:rPr>
          <w:rFonts w:hint="eastAsia" w:ascii="宋体" w:hAnsi="宋体"/>
          <w:b/>
          <w:sz w:val="18"/>
          <w:szCs w:val="18"/>
        </w:rPr>
        <w:t>二、投资者风险承受能力与产品风险评级</w:t>
      </w:r>
    </w:p>
    <w:p w14:paraId="3126454A">
      <w:pPr>
        <w:ind w:firstLine="361" w:firstLineChars="200"/>
        <w:rPr>
          <w:rFonts w:ascii="宋体" w:hAnsi="宋体"/>
          <w:b/>
          <w:sz w:val="18"/>
          <w:szCs w:val="18"/>
        </w:rPr>
      </w:pPr>
      <w:r>
        <w:rPr>
          <w:rFonts w:hint="eastAsia" w:ascii="宋体" w:hAnsi="宋体"/>
          <w:b/>
          <w:sz w:val="18"/>
          <w:szCs w:val="18"/>
        </w:rPr>
        <w:t>（一）投资者风险承受能力评估说明</w:t>
      </w:r>
    </w:p>
    <w:p w14:paraId="468B5FCB">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71B4D9E1">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 xml:space="preserve">. </w:t>
      </w:r>
      <w:r>
        <w:rPr>
          <w:rFonts w:hint="eastAsia" w:ascii="宋体" w:hAnsi="宋体"/>
          <w:b/>
          <w:sz w:val="18"/>
          <w:szCs w:val="18"/>
        </w:rPr>
        <w:t>投资者风险承受能力评级与理财产品风险评级</w:t>
      </w:r>
    </w:p>
    <w:p w14:paraId="33CF3378">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投资者风险承受能力，个人投资者由低至高分为【</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C2、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C5</w:t>
      </w:r>
      <w:r>
        <w:rPr>
          <w:rFonts w:hint="eastAsia" w:ascii="宋体" w:hAnsi="宋体"/>
          <w:sz w:val="18"/>
          <w:szCs w:val="18"/>
        </w:rPr>
        <w:t>】</w:t>
      </w:r>
      <w:r>
        <w:rPr>
          <w:rFonts w:ascii="宋体" w:hAnsi="宋体"/>
          <w:sz w:val="18"/>
          <w:szCs w:val="18"/>
        </w:rPr>
        <w:t>。其中，</w:t>
      </w:r>
      <w:r>
        <w:rPr>
          <w:rFonts w:hint="eastAsia" w:ascii="宋体" w:hAnsi="宋体"/>
          <w:sz w:val="18"/>
          <w:szCs w:val="18"/>
        </w:rPr>
        <w:t>【C</w:t>
      </w:r>
      <w:r>
        <w:rPr>
          <w:rFonts w:ascii="宋体" w:hAnsi="宋体"/>
          <w:sz w:val="18"/>
          <w:szCs w:val="18"/>
        </w:rPr>
        <w:t>1</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【C</w:t>
      </w:r>
      <w:r>
        <w:rPr>
          <w:rFonts w:hint="eastAsia" w:ascii="宋体" w:hAnsi="宋体"/>
          <w:sz w:val="18"/>
          <w:szCs w:val="18"/>
          <w:lang w:val="en-US" w:eastAsia="zh-CN"/>
        </w:rPr>
        <w:t>5</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16"/>
        <w:gridCol w:w="4801"/>
        <w:gridCol w:w="7"/>
        <w:gridCol w:w="2858"/>
      </w:tblGrid>
      <w:tr w14:paraId="472C40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3A5CAE0E">
            <w:pPr>
              <w:jc w:val="center"/>
              <w:rPr>
                <w:rFonts w:ascii="宋体" w:hAnsi="宋体"/>
                <w:sz w:val="18"/>
                <w:szCs w:val="18"/>
              </w:rPr>
            </w:pPr>
            <w:r>
              <w:rPr>
                <w:rFonts w:hint="eastAsia" w:ascii="宋体" w:hAnsi="宋体"/>
                <w:sz w:val="18"/>
                <w:szCs w:val="18"/>
              </w:rPr>
              <w:t>理财产品风险评级及风险评级说明</w:t>
            </w:r>
          </w:p>
        </w:tc>
        <w:tc>
          <w:tcPr>
            <w:tcW w:w="2865" w:type="dxa"/>
            <w:gridSpan w:val="2"/>
            <w:tcBorders>
              <w:top w:val="single" w:color="auto" w:sz="12" w:space="0"/>
              <w:left w:val="single" w:color="auto" w:sz="12" w:space="0"/>
              <w:right w:val="single" w:color="auto" w:sz="12" w:space="0"/>
            </w:tcBorders>
            <w:vAlign w:val="center"/>
          </w:tcPr>
          <w:p w14:paraId="68DC3699">
            <w:pPr>
              <w:jc w:val="center"/>
              <w:rPr>
                <w:rFonts w:ascii="宋体" w:hAnsi="宋体"/>
                <w:sz w:val="18"/>
                <w:szCs w:val="18"/>
              </w:rPr>
            </w:pPr>
            <w:r>
              <w:rPr>
                <w:rFonts w:hint="eastAsia" w:ascii="宋体" w:hAnsi="宋体"/>
                <w:sz w:val="18"/>
                <w:szCs w:val="18"/>
              </w:rPr>
              <w:t>对应的投资者风险承受能力评级</w:t>
            </w:r>
          </w:p>
        </w:tc>
      </w:tr>
      <w:tr w14:paraId="4C26CD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483FDF1B">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安逸型（R1）</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6D82731B">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本金风险低，产品投资目标不能实现的概率较低；或投资范围仅限于货币市场工具等风险极低的短期金融资产。</w:t>
            </w:r>
          </w:p>
        </w:tc>
        <w:tc>
          <w:tcPr>
            <w:tcW w:w="2858" w:type="dxa"/>
            <w:tcBorders>
              <w:top w:val="single" w:color="auto" w:sz="12" w:space="0"/>
              <w:left w:val="single" w:color="auto" w:sz="12" w:space="0"/>
              <w:bottom w:val="single" w:color="auto" w:sz="12" w:space="0"/>
              <w:right w:val="single" w:color="auto" w:sz="12" w:space="0"/>
            </w:tcBorders>
            <w:vAlign w:val="center"/>
          </w:tcPr>
          <w:p w14:paraId="0EBC104D">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安逸型（C1）及以上</w:t>
            </w:r>
          </w:p>
        </w:tc>
      </w:tr>
      <w:tr w14:paraId="7FB0FB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72A7988D">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谨慎型（R2）</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6EDD2F47">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本金风险相对较小，收益浮动但相对较小。产品结构简单，过往业绩及净值的历史波动率低；投资标的流动性很好或为较高等级的信用主体；或者衍生品及杠杆交易对净值波动极小；估值政策清晰。</w:t>
            </w:r>
          </w:p>
        </w:tc>
        <w:tc>
          <w:tcPr>
            <w:tcW w:w="2858" w:type="dxa"/>
            <w:tcBorders>
              <w:top w:val="single" w:color="auto" w:sz="12" w:space="0"/>
              <w:left w:val="single" w:color="auto" w:sz="12" w:space="0"/>
              <w:bottom w:val="single" w:color="auto" w:sz="12" w:space="0"/>
              <w:right w:val="single" w:color="auto" w:sz="12" w:space="0"/>
            </w:tcBorders>
            <w:vAlign w:val="center"/>
          </w:tcPr>
          <w:p w14:paraId="59B5FA9A">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谨慎型（C2）及以上</w:t>
            </w:r>
          </w:p>
        </w:tc>
      </w:tr>
      <w:tr w14:paraId="04E7B2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5F7298E1">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稳健型（R3）</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19B182E8">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有一定的本金风险，收益浮动且有一定波动。产品结构简单，过往业绩及净值的历史波动率较低；投资标的流动性好或为中等及以上的信用主体；或者投资衍生品以套期保值为目的，衍生品及杠杆交易对净值波动较小；估值政策清晰。</w:t>
            </w:r>
          </w:p>
        </w:tc>
        <w:tc>
          <w:tcPr>
            <w:tcW w:w="2858" w:type="dxa"/>
            <w:tcBorders>
              <w:top w:val="single" w:color="auto" w:sz="12" w:space="0"/>
              <w:left w:val="single" w:color="auto" w:sz="12" w:space="0"/>
              <w:bottom w:val="single" w:color="auto" w:sz="12" w:space="0"/>
              <w:right w:val="single" w:color="auto" w:sz="12" w:space="0"/>
            </w:tcBorders>
            <w:vAlign w:val="center"/>
          </w:tcPr>
          <w:p w14:paraId="38E1AE19">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稳健型（C3）及以上</w:t>
            </w:r>
          </w:p>
        </w:tc>
      </w:tr>
      <w:tr w14:paraId="28DD8D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40D31506">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增长型（R4）</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0C3FAEF4">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较大。产品主要投资于流动性较好的投资标的，产品结构简单，但收益浮动且波动很大，过往业绩及净值的历史波动率较高；或者投资标的流动性较差或为中等以下的信用主体，但产品结构简单，且不投资于衍生品及杠杆交易；估值政策简单；或者投资衍生品以套期保值为目的，衍生品及杠杆交易对净值波动较大，估值政策较清晰。</w:t>
            </w:r>
          </w:p>
        </w:tc>
        <w:tc>
          <w:tcPr>
            <w:tcW w:w="2858" w:type="dxa"/>
            <w:tcBorders>
              <w:top w:val="single" w:color="auto" w:sz="12" w:space="0"/>
              <w:left w:val="single" w:color="auto" w:sz="12" w:space="0"/>
              <w:bottom w:val="single" w:color="auto" w:sz="12" w:space="0"/>
              <w:right w:val="single" w:color="auto" w:sz="12" w:space="0"/>
            </w:tcBorders>
            <w:vAlign w:val="center"/>
          </w:tcPr>
          <w:p w14:paraId="018F4794">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增长型（C4）及以上</w:t>
            </w:r>
          </w:p>
        </w:tc>
      </w:tr>
      <w:tr w14:paraId="59E492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13437006">
            <w:pPr>
              <w:ind w:firstLine="360" w:firstLineChars="200"/>
              <w:rPr>
                <w:rFonts w:hint="eastAsia" w:ascii="宋体" w:hAnsi="宋体" w:eastAsia="宋体" w:cs="Times New Roman"/>
                <w:kern w:val="2"/>
                <w:sz w:val="18"/>
                <w:szCs w:val="18"/>
                <w:lang w:val="en-US" w:eastAsia="zh-CN" w:bidi="ar-SA"/>
              </w:rPr>
            </w:pPr>
            <w:r>
              <w:rPr>
                <w:rFonts w:hint="eastAsia" w:ascii="宋体" w:hAnsi="宋体"/>
                <w:color w:val="000000" w:themeColor="text1"/>
                <w:sz w:val="18"/>
                <w:szCs w:val="18"/>
                <w14:textFill>
                  <w14:solidFill>
                    <w14:schemeClr w14:val="tx1"/>
                  </w14:solidFill>
                </w14:textFill>
              </w:rPr>
              <w:t>进取型（R5）</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1EFE484C">
            <w:pPr>
              <w:ind w:firstLine="360" w:firstLineChars="200"/>
              <w:rPr>
                <w:rFonts w:hint="eastAsia" w:ascii="宋体" w:hAnsi="宋体" w:eastAsia="宋体" w:cs="Times New Roman"/>
                <w:kern w:val="2"/>
                <w:sz w:val="18"/>
                <w:szCs w:val="18"/>
                <w:lang w:val="en-US" w:eastAsia="zh-CN" w:bidi="ar-SA"/>
              </w:rPr>
            </w:pPr>
            <w:r>
              <w:rPr>
                <w:rFonts w:hint="eastAsia" w:ascii="宋体" w:hAnsi="宋体"/>
                <w:color w:val="000000" w:themeColor="text1"/>
                <w:sz w:val="18"/>
                <w:szCs w:val="18"/>
                <w14:textFill>
                  <w14:solidFill>
                    <w14:schemeClr w14:val="tx1"/>
                  </w14:solidFill>
                </w14:textFill>
              </w:rPr>
              <w:t>产品本金风险很大，收益浮动且波动很大。产品结构较复杂，过往业绩及净值的历史波动率高；或者投资标的流动性较差或为低等级的信用主体，期限较长；或者投资衍生品以追求收益为目的，衍生品及杠杆交易对净值波动很大；估值政策较复杂。投资者要作出谨慎的产品选择，积极的关注相关风险。</w:t>
            </w:r>
          </w:p>
        </w:tc>
        <w:tc>
          <w:tcPr>
            <w:tcW w:w="2858" w:type="dxa"/>
            <w:tcBorders>
              <w:top w:val="single" w:color="auto" w:sz="12" w:space="0"/>
              <w:left w:val="single" w:color="auto" w:sz="12" w:space="0"/>
              <w:bottom w:val="single" w:color="auto" w:sz="12" w:space="0"/>
              <w:right w:val="single" w:color="auto" w:sz="12" w:space="0"/>
            </w:tcBorders>
            <w:vAlign w:val="center"/>
          </w:tcPr>
          <w:p w14:paraId="542BA4CE">
            <w:pPr>
              <w:ind w:firstLine="360" w:firstLineChars="200"/>
              <w:rPr>
                <w:rFonts w:hint="eastAsia" w:ascii="宋体" w:hAnsi="宋体" w:eastAsia="宋体" w:cs="Times New Roman"/>
                <w:kern w:val="2"/>
                <w:sz w:val="18"/>
                <w:szCs w:val="18"/>
                <w:lang w:val="en-US" w:eastAsia="zh-CN" w:bidi="ar-SA"/>
              </w:rPr>
            </w:pPr>
            <w:r>
              <w:rPr>
                <w:rFonts w:hint="eastAsia" w:ascii="宋体" w:hAnsi="宋体"/>
                <w:color w:val="000000" w:themeColor="text1"/>
                <w:sz w:val="18"/>
                <w:szCs w:val="18"/>
                <w14:textFill>
                  <w14:solidFill>
                    <w14:schemeClr w14:val="tx1"/>
                  </w14:solidFill>
                </w14:textFill>
              </w:rPr>
              <w:t>进取型（C5）及以上</w:t>
            </w:r>
          </w:p>
        </w:tc>
      </w:tr>
    </w:tbl>
    <w:p w14:paraId="78277B4D">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14:paraId="2B8B0239">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796B0341">
      <w:pPr>
        <w:ind w:firstLine="360" w:firstLineChars="200"/>
        <w:rPr>
          <w:rFonts w:hint="eastAsia"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220DEFC9">
      <w:pPr>
        <w:ind w:firstLine="361" w:firstLineChars="200"/>
        <w:rPr>
          <w:rFonts w:ascii="宋体" w:hAnsi="宋体"/>
          <w:b/>
          <w:sz w:val="18"/>
          <w:szCs w:val="18"/>
        </w:rPr>
      </w:pPr>
      <w:r>
        <w:rPr>
          <w:rFonts w:hint="eastAsia" w:ascii="宋体" w:hAnsi="宋体"/>
          <w:b/>
          <w:sz w:val="18"/>
          <w:szCs w:val="18"/>
        </w:rPr>
        <w:t>三、关于理财产品的信息披露</w:t>
      </w:r>
    </w:p>
    <w:p w14:paraId="609C0A83">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208B8B84">
      <w:pPr>
        <w:ind w:firstLine="361" w:firstLineChars="200"/>
        <w:rPr>
          <w:rFonts w:asciiTheme="minorEastAsia" w:hAnsiTheme="minorEastAsia"/>
          <w:b/>
          <w:sz w:val="18"/>
          <w:szCs w:val="18"/>
        </w:rPr>
      </w:pPr>
      <w:r>
        <w:rPr>
          <w:rFonts w:hint="eastAsia" w:ascii="宋体" w:hAnsi="宋体"/>
          <w:b/>
          <w:sz w:val="18"/>
          <w:szCs w:val="18"/>
        </w:rPr>
        <w:t>四、关于投诉与建议</w:t>
      </w:r>
    </w:p>
    <w:p w14:paraId="09005432">
      <w:pPr>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3EC298AA">
      <w:pPr>
        <w:ind w:firstLine="360" w:firstLineChars="200"/>
        <w:rPr>
          <w:rFonts w:ascii="宋体" w:hAnsi="宋体"/>
          <w:sz w:val="18"/>
          <w:szCs w:val="18"/>
        </w:rPr>
      </w:pPr>
      <w:r>
        <w:rPr>
          <w:rFonts w:hint="eastAsia" w:ascii="宋体" w:hAnsi="宋体"/>
          <w:sz w:val="18"/>
          <w:szCs w:val="18"/>
        </w:rPr>
        <w:t>（二）联络方式</w:t>
      </w:r>
      <w:r>
        <w:rPr>
          <w:rFonts w:ascii="宋体" w:hAnsi="宋体"/>
          <w:sz w:val="18"/>
          <w:szCs w:val="18"/>
        </w:rPr>
        <w:t xml:space="preserve"> </w:t>
      </w:r>
    </w:p>
    <w:p w14:paraId="52D9269F">
      <w:pPr>
        <w:ind w:firstLine="360" w:firstLineChars="200"/>
        <w:rPr>
          <w:rFonts w:ascii="宋体" w:hAnsi="宋体"/>
          <w:sz w:val="18"/>
          <w:szCs w:val="18"/>
        </w:rPr>
      </w:pPr>
      <w:r>
        <w:rPr>
          <w:rFonts w:hint="eastAsia" w:ascii="宋体" w:hAnsi="宋体"/>
          <w:sz w:val="18"/>
          <w:szCs w:val="18"/>
        </w:rPr>
        <w:t>1.产品管理人：兴银理财有限责任公司</w:t>
      </w:r>
    </w:p>
    <w:p w14:paraId="12E2F09D">
      <w:pPr>
        <w:ind w:firstLine="360" w:firstLineChars="200"/>
        <w:rPr>
          <w:rFonts w:ascii="宋体" w:hAnsi="宋体"/>
          <w:sz w:val="18"/>
          <w:szCs w:val="18"/>
        </w:rPr>
      </w:pPr>
      <w:r>
        <w:rPr>
          <w:rFonts w:hint="eastAsia" w:ascii="宋体" w:hAnsi="宋体"/>
          <w:sz w:val="18"/>
          <w:szCs w:val="18"/>
        </w:rPr>
        <w:t>客户服务热线：40015-95561。</w:t>
      </w:r>
    </w:p>
    <w:p w14:paraId="4DAF794F">
      <w:pPr>
        <w:ind w:firstLine="360" w:firstLineChars="200"/>
        <w:rPr>
          <w:rFonts w:hint="eastAsia" w:ascii="宋体" w:hAnsi="宋体"/>
          <w:sz w:val="18"/>
          <w:szCs w:val="18"/>
          <w:highlight w:val="yellow"/>
          <w:lang w:val="en-US" w:eastAsia="zh-CN"/>
        </w:rPr>
      </w:pPr>
      <w:r>
        <w:rPr>
          <w:rFonts w:hint="eastAsia" w:ascii="宋体" w:hAnsi="宋体"/>
          <w:sz w:val="18"/>
          <w:szCs w:val="18"/>
          <w:highlight w:val="yellow"/>
          <w:lang w:val="en-US" w:eastAsia="zh-CN"/>
        </w:rPr>
        <w:t>2.销售机构：【沧州银行股份有限公司】</w:t>
      </w:r>
    </w:p>
    <w:p w14:paraId="0088E4E8">
      <w:pPr>
        <w:ind w:firstLine="360" w:firstLineChars="200"/>
        <w:rPr>
          <w:rFonts w:ascii="宋体" w:hAnsi="宋体"/>
          <w:sz w:val="18"/>
          <w:szCs w:val="18"/>
          <w:highlight w:val="yellow"/>
        </w:rPr>
      </w:pPr>
      <w:r>
        <w:rPr>
          <w:rFonts w:hint="eastAsia" w:ascii="宋体" w:hAnsi="宋体"/>
          <w:sz w:val="18"/>
          <w:szCs w:val="18"/>
          <w:highlight w:val="yellow"/>
          <w:lang w:val="en-US" w:eastAsia="zh-CN"/>
        </w:rPr>
        <w:t>通过【沧州银行】（作为销售服务机构）购买本产品的，请联系【沧州银行】，【沧州银行】客户服务热线：【96328】；【沧州银行】门户网站：【www.bankcz.com】</w:t>
      </w:r>
    </w:p>
    <w:p w14:paraId="0834A1F9">
      <w:pPr>
        <w:ind w:right="84" w:rightChars="40"/>
        <w:jc w:val="right"/>
        <w:rPr>
          <w:rFonts w:ascii="宋体" w:hAnsi="宋体"/>
          <w:sz w:val="18"/>
          <w:szCs w:val="18"/>
        </w:rPr>
      </w:pPr>
    </w:p>
    <w:p w14:paraId="525E451D">
      <w:pPr>
        <w:widowControl/>
        <w:jc w:val="left"/>
        <w:rPr>
          <w:rFonts w:ascii="宋体" w:hAnsi="宋体"/>
          <w:b/>
          <w:sz w:val="28"/>
          <w:szCs w:val="28"/>
        </w:rPr>
      </w:pPr>
      <w:r>
        <w:rPr>
          <w:rFonts w:ascii="宋体" w:hAnsi="宋体"/>
          <w:b/>
          <w:sz w:val="28"/>
          <w:szCs w:val="28"/>
        </w:rPr>
        <w:br w:type="page"/>
      </w:r>
      <w:bookmarkStart w:id="222" w:name="_GoBack"/>
      <w:bookmarkEnd w:id="222"/>
    </w:p>
    <w:p w14:paraId="60A205F3">
      <w:pPr>
        <w:adjustRightInd w:val="0"/>
        <w:spacing w:line="280" w:lineRule="atLeast"/>
        <w:jc w:val="center"/>
        <w:rPr>
          <w:rStyle w:val="10"/>
          <w:rFonts w:ascii="黑体" w:hAnsi="黑体" w:eastAsia="黑体"/>
          <w:sz w:val="28"/>
          <w:szCs w:val="28"/>
        </w:rPr>
      </w:pPr>
      <w:r>
        <w:rPr>
          <w:rStyle w:val="10"/>
          <w:rFonts w:hint="eastAsia" w:ascii="黑体" w:hAnsi="黑体" w:eastAsia="黑体" w:cstheme="minorBidi"/>
          <w:sz w:val="28"/>
          <w:szCs w:val="28"/>
          <w:lang w:eastAsia="zh-CN"/>
        </w:rPr>
        <w:t>【兴银理财稳利恒盈封闭式2026年855期固收类理财产品】</w:t>
      </w:r>
    </w:p>
    <w:p w14:paraId="1138AF74">
      <w:pPr>
        <w:adjustRightInd w:val="0"/>
        <w:spacing w:line="280" w:lineRule="atLeast"/>
        <w:jc w:val="center"/>
        <w:rPr>
          <w:rStyle w:val="10"/>
          <w:rFonts w:ascii="黑体" w:hAnsi="黑体" w:eastAsia="黑体"/>
          <w:sz w:val="28"/>
          <w:szCs w:val="28"/>
        </w:rPr>
      </w:pPr>
      <w:r>
        <w:rPr>
          <w:rStyle w:val="10"/>
          <w:rFonts w:hint="eastAsia" w:ascii="黑体" w:hAnsi="黑体" w:eastAsia="黑体" w:cstheme="minorBidi"/>
          <w:sz w:val="28"/>
          <w:szCs w:val="28"/>
        </w:rPr>
        <w:t>投资者权益须知</w:t>
      </w:r>
    </w:p>
    <w:p w14:paraId="7D656F2E">
      <w:pPr>
        <w:pStyle w:val="14"/>
        <w:spacing w:line="280" w:lineRule="atLeast"/>
        <w:jc w:val="center"/>
        <w:rPr>
          <w:rFonts w:hAnsi="宋体"/>
          <w:b/>
          <w:color w:val="auto"/>
          <w:sz w:val="28"/>
          <w:szCs w:val="28"/>
        </w:rPr>
      </w:pPr>
      <w:r>
        <w:rPr>
          <w:rFonts w:hint="eastAsia" w:hAnsi="宋体"/>
          <w:b/>
          <w:color w:val="auto"/>
          <w:sz w:val="28"/>
          <w:szCs w:val="28"/>
        </w:rPr>
        <w:t>（适用于机构投资者）</w:t>
      </w:r>
    </w:p>
    <w:p w14:paraId="2556AD23">
      <w:pPr>
        <w:spacing w:line="280" w:lineRule="atLeast"/>
        <w:rPr>
          <w:rFonts w:ascii="宋体" w:hAnsi="宋体"/>
          <w:b/>
          <w:sz w:val="18"/>
          <w:szCs w:val="18"/>
        </w:rPr>
      </w:pPr>
      <w:r>
        <w:rPr>
          <w:rFonts w:hint="eastAsia" w:ascii="宋体" w:hAnsi="宋体"/>
          <w:b/>
          <w:sz w:val="18"/>
          <w:szCs w:val="18"/>
        </w:rPr>
        <w:t>尊敬的投资者：</w:t>
      </w:r>
    </w:p>
    <w:p w14:paraId="2EE37C87">
      <w:pPr>
        <w:spacing w:line="320" w:lineRule="exact"/>
        <w:ind w:firstLine="360" w:firstLineChars="200"/>
        <w:jc w:val="left"/>
        <w:rPr>
          <w:rFonts w:ascii="宋体" w:hAnsi="宋体"/>
          <w:sz w:val="18"/>
          <w:szCs w:val="18"/>
        </w:rPr>
      </w:pPr>
      <w:r>
        <w:rPr>
          <w:rFonts w:hint="eastAsia" w:ascii="宋体" w:hAnsi="宋体"/>
          <w:sz w:val="18"/>
          <w:szCs w:val="18"/>
        </w:rPr>
        <w:t>感谢您通过销售机构【】以(□ 直销：产品管理人销售/□ 代销：代理销售机构销售)的形式购买兴银理财有限责任公司（以下简称“兴银理财”）作为产品管理人管理的理财产品。</w:t>
      </w:r>
    </w:p>
    <w:p w14:paraId="3D9557EF">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2D513DEF">
      <w:pPr>
        <w:spacing w:line="280" w:lineRule="atLeast"/>
        <w:ind w:firstLine="360" w:firstLineChars="200"/>
        <w:rPr>
          <w:rFonts w:ascii="宋体" w:hAnsi="宋体"/>
          <w:sz w:val="18"/>
          <w:szCs w:val="18"/>
        </w:rPr>
      </w:pPr>
    </w:p>
    <w:p w14:paraId="0FAE49BB">
      <w:pPr>
        <w:spacing w:line="280" w:lineRule="atLeast"/>
        <w:ind w:firstLine="361" w:firstLineChars="200"/>
        <w:rPr>
          <w:rFonts w:ascii="宋体" w:hAnsi="宋体"/>
          <w:b/>
          <w:sz w:val="18"/>
          <w:szCs w:val="18"/>
        </w:rPr>
      </w:pPr>
      <w:r>
        <w:rPr>
          <w:rFonts w:hint="eastAsia" w:ascii="宋体" w:hAnsi="宋体"/>
          <w:b/>
          <w:sz w:val="18"/>
          <w:szCs w:val="18"/>
        </w:rPr>
        <w:t>一、理财产品购买流程</w:t>
      </w:r>
    </w:p>
    <w:p w14:paraId="68970A8D">
      <w:pPr>
        <w:spacing w:line="280" w:lineRule="atLeast"/>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5C3DEB2E">
      <w:pPr>
        <w:spacing w:line="280" w:lineRule="atLeast"/>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189B841F">
      <w:pPr>
        <w:spacing w:line="280" w:lineRule="atLeast"/>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6E13CAFA">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4EDCC3FD">
      <w:pPr>
        <w:spacing w:line="280" w:lineRule="atLeast"/>
        <w:ind w:firstLine="361" w:firstLineChars="200"/>
        <w:rPr>
          <w:rFonts w:ascii="宋体" w:hAnsi="宋体"/>
          <w:b/>
          <w:sz w:val="18"/>
          <w:szCs w:val="18"/>
        </w:rPr>
      </w:pPr>
      <w:r>
        <w:rPr>
          <w:rFonts w:hint="eastAsia" w:ascii="宋体" w:hAnsi="宋体"/>
          <w:b/>
          <w:sz w:val="18"/>
          <w:szCs w:val="18"/>
        </w:rPr>
        <w:t>二、投资者风险承受能力与产品风险评级</w:t>
      </w:r>
    </w:p>
    <w:p w14:paraId="442931CD">
      <w:pPr>
        <w:spacing w:line="280" w:lineRule="atLeast"/>
        <w:ind w:firstLine="361" w:firstLineChars="200"/>
        <w:rPr>
          <w:rFonts w:ascii="宋体" w:hAnsi="宋体"/>
          <w:b/>
          <w:sz w:val="18"/>
          <w:szCs w:val="18"/>
        </w:rPr>
      </w:pPr>
      <w:r>
        <w:rPr>
          <w:rFonts w:hint="eastAsia" w:ascii="宋体" w:hAnsi="宋体"/>
          <w:b/>
          <w:sz w:val="18"/>
          <w:szCs w:val="18"/>
        </w:rPr>
        <w:t>（一）投资者风险承受能力评估说明</w:t>
      </w:r>
    </w:p>
    <w:p w14:paraId="661499E9">
      <w:pPr>
        <w:spacing w:line="280" w:lineRule="atLeas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736A2877">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hint="eastAsia" w:ascii="宋体" w:hAnsi="宋体"/>
          <w:b/>
          <w:sz w:val="18"/>
          <w:szCs w:val="18"/>
        </w:rPr>
        <w:t>投资者风险承受能力评级与理财产品风险评级</w:t>
      </w:r>
    </w:p>
    <w:p w14:paraId="72ADAA75">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投资者风险承受能力，机构投资者由低至高分为【】</w:t>
      </w:r>
      <w:r>
        <w:rPr>
          <w:rFonts w:ascii="宋体" w:hAnsi="宋体"/>
          <w:sz w:val="18"/>
          <w:szCs w:val="18"/>
        </w:rPr>
        <w:t>。其中，</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77"/>
        <w:gridCol w:w="4840"/>
        <w:gridCol w:w="2865"/>
      </w:tblGrid>
      <w:tr w14:paraId="75A2F5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7F11170F">
            <w:pPr>
              <w:jc w:val="center"/>
              <w:rPr>
                <w:rFonts w:ascii="宋体" w:hAnsi="宋体"/>
                <w:sz w:val="18"/>
                <w:szCs w:val="18"/>
              </w:rPr>
            </w:pPr>
            <w:r>
              <w:rPr>
                <w:rFonts w:hint="eastAsia" w:ascii="宋体" w:hAnsi="宋体"/>
                <w:sz w:val="18"/>
                <w:szCs w:val="18"/>
              </w:rPr>
              <w:t>理财产品风险评级及风险评级说明</w:t>
            </w:r>
          </w:p>
        </w:tc>
        <w:tc>
          <w:tcPr>
            <w:tcW w:w="2865" w:type="dxa"/>
            <w:tcBorders>
              <w:top w:val="single" w:color="auto" w:sz="12" w:space="0"/>
              <w:left w:val="single" w:color="auto" w:sz="12" w:space="0"/>
              <w:right w:val="single" w:color="auto" w:sz="12" w:space="0"/>
            </w:tcBorders>
            <w:vAlign w:val="center"/>
          </w:tcPr>
          <w:p w14:paraId="38840DA4">
            <w:pPr>
              <w:jc w:val="center"/>
              <w:rPr>
                <w:rFonts w:ascii="宋体" w:hAnsi="宋体"/>
                <w:sz w:val="18"/>
                <w:szCs w:val="18"/>
              </w:rPr>
            </w:pPr>
            <w:r>
              <w:rPr>
                <w:rFonts w:hint="eastAsia" w:ascii="宋体" w:hAnsi="宋体"/>
                <w:sz w:val="18"/>
                <w:szCs w:val="18"/>
              </w:rPr>
              <w:t>对应的投资者风险承受能力评级</w:t>
            </w:r>
          </w:p>
        </w:tc>
      </w:tr>
      <w:tr w14:paraId="5276BA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694056D2">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420DEA0A">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58DC1A41">
            <w:pPr>
              <w:ind w:firstLine="360" w:firstLineChars="200"/>
              <w:rPr>
                <w:rFonts w:ascii="宋体" w:hAnsi="宋体"/>
                <w:sz w:val="18"/>
                <w:szCs w:val="18"/>
              </w:rPr>
            </w:pPr>
          </w:p>
        </w:tc>
      </w:tr>
      <w:tr w14:paraId="288CC7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16A73B5A">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613A7E3A">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0CA4363F">
            <w:pPr>
              <w:ind w:firstLine="360" w:firstLineChars="200"/>
              <w:rPr>
                <w:rFonts w:ascii="宋体" w:hAnsi="宋体"/>
                <w:sz w:val="18"/>
                <w:szCs w:val="18"/>
              </w:rPr>
            </w:pPr>
          </w:p>
        </w:tc>
      </w:tr>
      <w:tr w14:paraId="2B98A4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2E600D5A">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6E9B7DE9">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16FF0B78">
            <w:pPr>
              <w:ind w:firstLine="360" w:firstLineChars="200"/>
              <w:rPr>
                <w:rFonts w:ascii="宋体" w:hAnsi="宋体"/>
                <w:sz w:val="18"/>
                <w:szCs w:val="18"/>
              </w:rPr>
            </w:pPr>
          </w:p>
        </w:tc>
      </w:tr>
      <w:tr w14:paraId="0061E4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2ED2C485">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36762675">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60EA7519">
            <w:pPr>
              <w:ind w:firstLine="360" w:firstLineChars="200"/>
              <w:rPr>
                <w:rFonts w:ascii="宋体" w:hAnsi="宋体"/>
                <w:sz w:val="18"/>
                <w:szCs w:val="18"/>
              </w:rPr>
            </w:pPr>
          </w:p>
        </w:tc>
      </w:tr>
      <w:tr w14:paraId="06767A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54BF1975">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6C6BF165">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04D0A190">
            <w:pPr>
              <w:ind w:firstLine="360" w:firstLineChars="200"/>
              <w:rPr>
                <w:rFonts w:ascii="宋体" w:hAnsi="宋体"/>
                <w:sz w:val="18"/>
                <w:szCs w:val="18"/>
              </w:rPr>
            </w:pPr>
          </w:p>
        </w:tc>
      </w:tr>
    </w:tbl>
    <w:p w14:paraId="2F3F1267">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14:paraId="15E399B2">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40084242">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731CA0F0">
      <w:pPr>
        <w:ind w:firstLine="360" w:firstLineChars="200"/>
        <w:rPr>
          <w:rFonts w:hint="eastAsia" w:ascii="宋体" w:hAnsi="宋体"/>
          <w:b/>
          <w:sz w:val="18"/>
          <w:szCs w:val="18"/>
        </w:rPr>
      </w:pPr>
      <w:r>
        <w:rPr>
          <w:rFonts w:hint="eastAsia" w:ascii="黑体" w:hAnsi="黑体" w:eastAsia="黑体"/>
          <w:sz w:val="18"/>
          <w:szCs w:val="18"/>
        </w:rPr>
        <w:t>（三）上述风险承受能力评估要求适用于机构投资者中普通投资者，专业投资者的风险承受能力评估按照《（代理）销售协议书》约定或销售机构的销售政策执行。</w:t>
      </w:r>
    </w:p>
    <w:p w14:paraId="1EAF9066">
      <w:pPr>
        <w:spacing w:line="280" w:lineRule="atLeast"/>
        <w:ind w:firstLine="361" w:firstLineChars="200"/>
        <w:rPr>
          <w:rFonts w:ascii="宋体" w:hAnsi="宋体"/>
          <w:b/>
          <w:sz w:val="18"/>
          <w:szCs w:val="18"/>
        </w:rPr>
      </w:pPr>
      <w:r>
        <w:rPr>
          <w:rFonts w:hint="eastAsia" w:ascii="宋体" w:hAnsi="宋体"/>
          <w:b/>
          <w:sz w:val="18"/>
          <w:szCs w:val="18"/>
        </w:rPr>
        <w:t>三、关于理财产品的信息披露</w:t>
      </w:r>
    </w:p>
    <w:p w14:paraId="6FF9C2B4">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6DF99081">
      <w:pPr>
        <w:spacing w:line="280" w:lineRule="atLeast"/>
        <w:ind w:firstLine="360" w:firstLineChars="200"/>
        <w:rPr>
          <w:rFonts w:asciiTheme="minorEastAsia" w:hAnsiTheme="minorEastAsia"/>
          <w:sz w:val="18"/>
          <w:szCs w:val="18"/>
        </w:rPr>
      </w:pPr>
      <w:r>
        <w:rPr>
          <w:rFonts w:hint="eastAsia" w:asciiTheme="minorEastAsia" w:hAnsiTheme="minorEastAsia"/>
          <w:sz w:val="18"/>
          <w:szCs w:val="18"/>
        </w:rPr>
        <w:t xml:space="preserve"> </w:t>
      </w:r>
      <w:r>
        <w:rPr>
          <w:rFonts w:hint="eastAsia" w:ascii="宋体" w:hAnsi="宋体"/>
          <w:b/>
          <w:sz w:val="18"/>
          <w:szCs w:val="18"/>
        </w:rPr>
        <w:t>四、关于投诉与建议</w:t>
      </w:r>
    </w:p>
    <w:p w14:paraId="0E079F28">
      <w:pPr>
        <w:spacing w:line="280" w:lineRule="atLeast"/>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50C935B6">
      <w:pPr>
        <w:spacing w:line="280" w:lineRule="atLeast"/>
        <w:ind w:firstLine="360" w:firstLineChars="200"/>
        <w:rPr>
          <w:rFonts w:ascii="宋体" w:hAnsi="宋体"/>
          <w:sz w:val="18"/>
          <w:szCs w:val="18"/>
        </w:rPr>
      </w:pPr>
      <w:r>
        <w:rPr>
          <w:rFonts w:hint="eastAsia" w:ascii="宋体" w:hAnsi="宋体"/>
          <w:sz w:val="18"/>
          <w:szCs w:val="18"/>
        </w:rPr>
        <w:t>（二）联络方式：</w:t>
      </w:r>
    </w:p>
    <w:p w14:paraId="15C675D1">
      <w:pPr>
        <w:ind w:firstLine="360" w:firstLineChars="200"/>
        <w:rPr>
          <w:rFonts w:ascii="宋体" w:hAnsi="宋体"/>
          <w:sz w:val="18"/>
          <w:szCs w:val="18"/>
        </w:rPr>
      </w:pPr>
      <w:r>
        <w:rPr>
          <w:rFonts w:hint="eastAsia" w:ascii="宋体" w:hAnsi="宋体"/>
          <w:sz w:val="18"/>
          <w:szCs w:val="18"/>
        </w:rPr>
        <w:t>1.产品管理人：兴银理财有限责任公司</w:t>
      </w:r>
    </w:p>
    <w:p w14:paraId="6B89CCC9">
      <w:pPr>
        <w:ind w:firstLine="360" w:firstLineChars="200"/>
        <w:rPr>
          <w:rFonts w:ascii="宋体" w:hAnsi="宋体"/>
          <w:sz w:val="18"/>
          <w:szCs w:val="18"/>
        </w:rPr>
      </w:pPr>
      <w:r>
        <w:rPr>
          <w:rFonts w:hint="eastAsia" w:ascii="宋体" w:hAnsi="宋体"/>
          <w:sz w:val="18"/>
          <w:szCs w:val="18"/>
        </w:rPr>
        <w:t>客户服务热线：40015-95561。</w:t>
      </w:r>
    </w:p>
    <w:p w14:paraId="033BC703">
      <w:pPr>
        <w:ind w:firstLine="360" w:firstLineChars="200"/>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.销售机构：【】</w:t>
      </w:r>
    </w:p>
    <w:p w14:paraId="716DE0A9">
      <w:pPr>
        <w:ind w:firstLine="360" w:firstLineChars="200"/>
        <w:rPr>
          <w:rFonts w:ascii="宋体" w:hAnsi="宋体"/>
          <w:sz w:val="18"/>
          <w:szCs w:val="18"/>
        </w:rPr>
      </w:pPr>
      <w:r>
        <w:rPr>
          <w:rFonts w:hint="eastAsia" w:ascii="宋体" w:hAnsi="宋体"/>
          <w:sz w:val="18"/>
          <w:szCs w:val="18"/>
        </w:rPr>
        <w:t>【】</w:t>
      </w:r>
    </w:p>
    <w:p w14:paraId="63EBAC7E">
      <w:pPr>
        <w:autoSpaceDE w:val="0"/>
        <w:autoSpaceDN w:val="0"/>
        <w:adjustRightInd w:val="0"/>
        <w:spacing w:line="280" w:lineRule="atLeast"/>
        <w:jc w:val="left"/>
        <w:rPr>
          <w:rFonts w:ascii="仿宋_GB2312" w:eastAsia="仿宋_GB2312" w:cs="仿宋_GB2312"/>
          <w:color w:val="000000"/>
          <w:kern w:val="0"/>
          <w:sz w:val="24"/>
          <w:szCs w:val="24"/>
        </w:rPr>
      </w:pPr>
    </w:p>
    <w:p w14:paraId="197273DF">
      <w:pPr>
        <w:widowControl/>
        <w:spacing w:line="280" w:lineRule="atLeast"/>
        <w:jc w:val="left"/>
        <w:rPr>
          <w:rFonts w:ascii="宋体" w:hAnsi="宋体"/>
          <w:b/>
          <w:sz w:val="28"/>
          <w:szCs w:val="28"/>
        </w:rPr>
      </w:pPr>
    </w:p>
    <w:p w14:paraId="096CBE5B">
      <w:pPr>
        <w:ind w:firstLine="360" w:firstLineChars="200"/>
        <w:rPr>
          <w:rFonts w:ascii="宋体" w:hAnsi="宋体"/>
          <w:sz w:val="18"/>
          <w:szCs w:val="18"/>
        </w:rPr>
      </w:pPr>
    </w:p>
    <w:p w14:paraId="36AEC86F">
      <w:pPr>
        <w:autoSpaceDE w:val="0"/>
        <w:autoSpaceDN w:val="0"/>
        <w:adjustRightInd w:val="0"/>
        <w:spacing w:line="280" w:lineRule="atLeast"/>
        <w:jc w:val="left"/>
        <w:rPr>
          <w:rFonts w:ascii="仿宋_GB2312" w:eastAsia="仿宋_GB2312" w:cs="仿宋_GB2312"/>
          <w:color w:val="000000"/>
          <w:kern w:val="0"/>
          <w:sz w:val="24"/>
          <w:szCs w:val="24"/>
        </w:rPr>
      </w:pPr>
    </w:p>
    <w:p w14:paraId="4400AA0A">
      <w:pPr>
        <w:widowControl/>
        <w:spacing w:line="280" w:lineRule="atLeast"/>
        <w:jc w:val="left"/>
      </w:pPr>
    </w:p>
    <w:p w14:paraId="78F4BE8E"/>
    <w:sectPr>
      <w:headerReference r:id="rId11"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63BAB92-091E-403D-B9ED-476A0261E644}"/>
  </w:font>
  <w:font w:name="黑体">
    <w:panose1 w:val="02010609060101010101"/>
    <w:charset w:val="86"/>
    <w:family w:val="auto"/>
    <w:pitch w:val="default"/>
    <w:sig w:usb0="800002BF" w:usb1="38CF7CFA" w:usb2="00000016" w:usb3="00000000" w:csb0="00040001" w:csb1="00000000"/>
    <w:embedRegular r:id="rId2" w:fontKey="{A166C992-5929-429B-ADA0-51A8E2659D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3834C9C-54BC-41B6-B658-F5B5442CDED8}"/>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4" w:fontKey="{71677123-E5DF-499F-B2F0-32BEA094484F}"/>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5" w:fontKey="{CCBB6483-ED2D-43F2-AE59-413C6A08CD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14:paraId="26499E30">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56E0A">
    <w:pPr>
      <w:pStyle w:val="3"/>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36</w:t>
    </w:r>
    <w:r>
      <w:rPr>
        <w:kern w:val="0"/>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14:paraId="0554971A">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14:paraId="3DBD8334">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3844E">
    <w:pPr>
      <w:pStyle w:val="4"/>
      <w:jc w:val="right"/>
      <w:rPr>
        <w:b/>
      </w:rPr>
    </w:pPr>
    <w:r>
      <w:rPr>
        <w:rFonts w:hint="eastAsia"/>
        <w:b/>
      </w:rPr>
      <w:t>投资协议书</w:t>
    </w:r>
  </w:p>
  <w:p w14:paraId="31D4FF08">
    <w:pPr>
      <w:pStyle w:val="4"/>
      <w:jc w:val="right"/>
      <w:rPr>
        <w:b/>
      </w:rPr>
    </w:pPr>
    <w:r>
      <w:rPr>
        <w:rFonts w:hint="eastAsia"/>
        <w:b/>
      </w:rPr>
      <w:t>注：本文件由兴银理财有限责任公司统一编制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566AB">
    <w:pPr>
      <w:pStyle w:val="4"/>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14:paraId="2BC83520">
    <w:pPr>
      <w:pStyle w:val="4"/>
      <w:jc w:val="right"/>
      <w:rPr>
        <w:rFonts w:ascii="Times New Roman" w:hAnsi="Times New Roman"/>
        <w:b/>
      </w:rPr>
    </w:pPr>
    <w:r>
      <w:rPr>
        <w:rFonts w:hint="eastAsia" w:ascii="Times New Roman" w:hAnsi="Times New Roman"/>
        <w:b/>
      </w:rPr>
      <w:t>注：本文件由兴银理财有限责任公司统一编制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9EF32">
    <w:pPr>
      <w:pStyle w:val="4"/>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14:paraId="1AAD3E22">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A894">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14:paraId="212D0509">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40302">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投资者权益须知</w:t>
    </w:r>
  </w:p>
  <w:p w14:paraId="4BB91FD1">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4077BD"/>
    <w:rsid w:val="2BBE5BA7"/>
    <w:rsid w:val="5EFB11E5"/>
    <w:rsid w:val="637F58C5"/>
    <w:rsid w:val="7C32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paragraph" w:styleId="5">
    <w:name w:val="toc 1"/>
    <w:basedOn w:val="1"/>
    <w:next w:val="1"/>
    <w:qFormat/>
    <w:uiPriority w:val="39"/>
    <w:pPr>
      <w:tabs>
        <w:tab w:val="right" w:leader="dot" w:pos="8296"/>
      </w:tabs>
      <w:spacing w:line="360" w:lineRule="auto"/>
    </w:p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0"/>
    <w:pPr>
      <w:ind w:firstLine="420" w:firstLineChars="200"/>
    </w:pPr>
  </w:style>
  <w:style w:type="paragraph" w:customStyle="1" w:styleId="1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2183</Words>
  <Characters>2236</Characters>
  <Lines>0</Lines>
  <Paragraphs>0</Paragraphs>
  <TotalTime>0</TotalTime>
  <ScaleCrop>false</ScaleCrop>
  <LinksUpToDate>false</LinksUpToDate>
  <CharactersWithSpaces>2249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2025-06-06T03:06:00Z</dcterms:created>
  <dc:creator>cib</dc:creator>
  <cp:lastModifiedBy>H2O Delirious</cp:lastModifiedBy>
  <dcterms:modified xsi:type="dcterms:W3CDTF">2026-07-14T00:42:33Z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eyJoZGlkIjoiM2RkMzBiZDIxN2JjZTY3MjU2NDJmZmIzNjhiMGMzNzkiLCJ1c2VySWQiOiIxMTM3NDE4ODQ1In0=</vt:lpwstr>
  </property>
  <property fmtid="{D5CDD505-2E9C-101B-9397-08002B2CF9AE}" pid="4" name="ICV">
    <vt:lpwstr>B2A3C7B8C1BB44E69B3B79A914FDFBA5_12</vt:lpwstr>
  </property>
</Properties>
</file>