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000000"/>
          <w:highlight w:val="none"/>
        </w:rPr>
      </w:pPr>
      <w:bookmarkStart w:id="0" w:name="_GoBack"/>
      <w:bookmarkEnd w:id="0"/>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幸福99丰裕固收763天26113期理财</w:t>
      </w:r>
      <w:r>
        <w:rPr>
          <w:rFonts w:hint="eastAsia" w:ascii="宋体" w:hAnsi="宋体" w:cs="宋体"/>
          <w:b/>
          <w:bCs/>
          <w:color w:val="000000"/>
          <w:sz w:val="44"/>
          <w:szCs w:val="44"/>
          <w:highlight w:val="none"/>
        </w:rPr>
        <w:t>合同</w:t>
      </w: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32"/>
          <w:szCs w:val="32"/>
          <w:highlight w:val="none"/>
        </w:rPr>
      </w:pPr>
      <w:r>
        <w:rPr>
          <w:rFonts w:hint="eastAsia" w:ascii="宋体" w:hAnsi="宋体" w:cs="宋体"/>
          <w:color w:val="000000"/>
          <w:sz w:val="32"/>
          <w:szCs w:val="32"/>
          <w:highlight w:val="none"/>
        </w:rPr>
        <w:t>理财计划管理人：杭银理财有限责任公司</w:t>
      </w:r>
    </w:p>
    <w:p>
      <w:pPr>
        <w:ind w:firstLine="1280" w:firstLineChars="400"/>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理财计划托管人：</w:t>
      </w:r>
      <w:r>
        <w:rPr>
          <w:rFonts w:hint="eastAsia" w:ascii="宋体" w:hAnsi="宋体" w:eastAsia="宋体" w:cs="宋体"/>
          <w:color w:val="000000"/>
          <w:kern w:val="2"/>
          <w:sz w:val="32"/>
          <w:szCs w:val="32"/>
          <w:highlight w:val="none"/>
          <w:lang w:val="en-US" w:eastAsia="zh-CN" w:bidi="ar-SA"/>
        </w:rPr>
        <w:t>杭州银行股份有限公司</w:t>
      </w:r>
    </w:p>
    <w:p>
      <w:pPr>
        <w:ind w:firstLine="1280" w:firstLineChars="400"/>
        <w:jc w:val="left"/>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outlineLvl w:val="9"/>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幸福99丰裕固收763天26113期理财</w:t>
      </w:r>
      <w:r>
        <w:rPr>
          <w:rFonts w:hint="eastAsia" w:ascii="宋体" w:hAnsi="宋体" w:cs="宋体"/>
          <w:b/>
          <w:bCs/>
          <w:color w:val="000000"/>
          <w:sz w:val="44"/>
          <w:szCs w:val="44"/>
          <w:highlight w:val="none"/>
        </w:rPr>
        <w:t>合同文件</w:t>
      </w: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tbl>
      <w:tblPr>
        <w:tblStyle w:val="8"/>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幸福99丰裕固收763天26113期理财</w:t>
            </w:r>
            <w:r>
              <w:rPr>
                <w:rFonts w:hint="eastAsia" w:ascii="宋体" w:hAnsi="宋体" w:cs="宋体"/>
                <w:color w:val="000000"/>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幸福99丰裕固收763天26113期理财</w:t>
            </w:r>
            <w:r>
              <w:rPr>
                <w:rFonts w:hint="eastAsia" w:ascii="宋体" w:hAnsi="宋体" w:cs="宋体"/>
                <w:color w:val="000000"/>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幸福99丰裕固收763天26113期理财</w:t>
      </w:r>
      <w:r>
        <w:rPr>
          <w:rFonts w:hint="eastAsia" w:ascii="宋体" w:hAnsi="宋体" w:cs="宋体"/>
          <w:b/>
          <w:bCs/>
          <w:color w:val="000000"/>
          <w:sz w:val="44"/>
          <w:szCs w:val="44"/>
          <w:highlight w:val="none"/>
        </w:rPr>
        <w:t>风险揭示书</w:t>
      </w:r>
    </w:p>
    <w:p>
      <w:pPr>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尊敬的理财投资者：</w:t>
      </w:r>
    </w:p>
    <w:p>
      <w:pPr>
        <w:spacing w:line="360" w:lineRule="auto"/>
        <w:jc w:val="center"/>
        <w:rPr>
          <w:rFonts w:hint="eastAsia" w:ascii="宋体" w:hAnsi="宋体" w:cs="宋体"/>
          <w:b/>
          <w:bCs/>
          <w:color w:val="000000"/>
          <w:sz w:val="24"/>
          <w:highlight w:val="none"/>
          <w:u w:val="single"/>
        </w:rPr>
      </w:pPr>
      <w:r>
        <w:rPr>
          <w:rFonts w:hint="eastAsia" w:ascii="宋体" w:hAnsi="宋体" w:cs="宋体"/>
          <w:b/>
          <w:bCs/>
          <w:color w:val="000000"/>
          <w:sz w:val="24"/>
          <w:highlight w:val="none"/>
          <w:u w:val="single"/>
        </w:rPr>
        <w:t>理财非存款、产品有风险、投资</w:t>
      </w:r>
      <w:r>
        <w:rPr>
          <w:rFonts w:hint="eastAsia" w:ascii="宋体" w:hAnsi="宋体" w:cs="宋体"/>
          <w:b/>
          <w:bCs/>
          <w:color w:val="000000"/>
          <w:sz w:val="24"/>
          <w:highlight w:val="none"/>
          <w:u w:val="single"/>
          <w:lang w:eastAsia="zh-CN"/>
        </w:rPr>
        <w:t>须</w:t>
      </w:r>
      <w:r>
        <w:rPr>
          <w:rFonts w:hint="eastAsia" w:ascii="宋体" w:hAnsi="宋体" w:cs="宋体"/>
          <w:b/>
          <w:bCs/>
          <w:color w:val="000000"/>
          <w:sz w:val="24"/>
          <w:highlight w:val="none"/>
          <w:u w:val="single"/>
        </w:rPr>
        <w:t>谨慎</w:t>
      </w:r>
    </w:p>
    <w:p>
      <w:pPr>
        <w:spacing w:line="360" w:lineRule="auto"/>
        <w:ind w:firstLine="480" w:firstLineChars="200"/>
        <w:jc w:val="left"/>
        <w:rPr>
          <w:rFonts w:hint="eastAsia" w:ascii="宋体" w:hAnsi="宋体" w:cs="宋体"/>
          <w:b/>
          <w:color w:val="000000"/>
          <w:sz w:val="24"/>
          <w:highlight w:val="none"/>
        </w:rPr>
      </w:pPr>
      <w:r>
        <w:rPr>
          <w:rFonts w:hint="eastAsia" w:ascii="宋体" w:hAnsi="宋体" w:cs="宋体"/>
          <w:bCs/>
          <w:color w:val="000000"/>
          <w:sz w:val="24"/>
          <w:highlight w:val="none"/>
        </w:rPr>
        <w:t>根据</w:t>
      </w:r>
      <w:r>
        <w:rPr>
          <w:rFonts w:hint="eastAsia" w:ascii="宋体" w:hAnsi="宋体" w:cs="宋体"/>
          <w:bCs/>
          <w:color w:val="000000"/>
          <w:sz w:val="24"/>
          <w:highlight w:val="none"/>
          <w:lang w:eastAsia="zh-CN"/>
        </w:rPr>
        <w:t>国家金融监督管理总局</w:t>
      </w:r>
      <w:r>
        <w:rPr>
          <w:rFonts w:hint="eastAsia" w:ascii="宋体" w:hAnsi="宋体" w:cs="宋体"/>
          <w:bCs/>
          <w:color w:val="000000"/>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风险揭示书、理财计划说明书、投资者权益须知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和理财计划（</w:t>
      </w:r>
      <w:r>
        <w:rPr>
          <w:rFonts w:hint="eastAsia" w:ascii="宋体" w:hAnsi="宋体" w:cs="宋体"/>
          <w:bCs/>
          <w:color w:val="000000"/>
          <w:sz w:val="24"/>
          <w:highlight w:val="none"/>
          <w:lang w:val="en-US" w:eastAsia="zh-CN"/>
        </w:rPr>
        <w:t>代理销售</w:t>
      </w:r>
      <w:r>
        <w:rPr>
          <w:rFonts w:hint="eastAsia" w:ascii="宋体" w:hAnsi="宋体" w:cs="宋体"/>
          <w:bCs/>
          <w:color w:val="000000"/>
          <w:sz w:val="24"/>
          <w:highlight w:val="none"/>
          <w:lang w:eastAsia="zh-CN"/>
        </w:rPr>
        <w:t>）销售协议书</w:t>
      </w:r>
      <w:r>
        <w:rPr>
          <w:rFonts w:hint="eastAsia" w:ascii="宋体" w:hAnsi="宋体" w:cs="宋体"/>
          <w:bCs/>
          <w:color w:val="000000"/>
          <w:sz w:val="24"/>
          <w:highlight w:val="none"/>
        </w:rPr>
        <w:t>，</w:t>
      </w:r>
      <w:r>
        <w:rPr>
          <w:rFonts w:hint="eastAsia" w:ascii="宋体" w:hAnsi="宋体" w:cs="宋体"/>
          <w:b/>
          <w:bCs w:val="0"/>
          <w:color w:val="000000"/>
          <w:sz w:val="24"/>
          <w:highlight w:val="none"/>
        </w:rPr>
        <w:t>若通过电子渠道购买的，成功交易后视同为投资者与管理人已完成理财计划交易合同的签订</w:t>
      </w:r>
      <w:r>
        <w:rPr>
          <w:rFonts w:hint="eastAsia" w:ascii="宋体" w:hAnsi="宋体" w:cs="宋体"/>
          <w:bCs/>
          <w:color w:val="000000"/>
          <w:sz w:val="24"/>
          <w:highlight w:val="none"/>
        </w:rPr>
        <w:t>），了解理财计划相关具体情况，并确保已评估自身的风险承受能力和理财计划相关风险后，谨慎投资。</w:t>
      </w:r>
      <w:r>
        <w:rPr>
          <w:rFonts w:hint="eastAsia" w:ascii="宋体" w:hAnsi="宋体" w:cs="宋体"/>
          <w:b/>
          <w:color w:val="000000"/>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理财计划共性风险</w:t>
      </w:r>
    </w:p>
    <w:p>
      <w:pPr>
        <w:numPr>
          <w:ilvl w:val="0"/>
          <w:numId w:val="2"/>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购买力风险：如发生通货膨胀，则所投资产的收益可能会被通货膨胀抵消，从而对理财计划收益</w:t>
      </w:r>
      <w:r>
        <w:rPr>
          <w:rFonts w:hint="eastAsia" w:ascii="宋体" w:hAnsi="宋体" w:cs="宋体"/>
          <w:b/>
          <w:color w:val="000000"/>
          <w:sz w:val="24"/>
          <w:highlight w:val="none"/>
          <w:lang w:eastAsia="zh-CN"/>
        </w:rPr>
        <w:t>的实际购买力</w:t>
      </w:r>
      <w:r>
        <w:rPr>
          <w:rFonts w:hint="eastAsia" w:ascii="宋体" w:hAnsi="宋体" w:cs="宋体"/>
          <w:b/>
          <w:color w:val="000000"/>
          <w:sz w:val="24"/>
          <w:highlight w:val="none"/>
        </w:rPr>
        <w:t>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政策风险：理财计划根据当前的相关法规和政策设计，如国家宏观政策以及相关市场</w:t>
      </w:r>
      <w:r>
        <w:rPr>
          <w:rFonts w:hint="eastAsia" w:ascii="宋体" w:hAnsi="宋体" w:cs="宋体"/>
          <w:b/>
          <w:color w:val="000000"/>
          <w:sz w:val="24"/>
          <w:highlight w:val="none"/>
          <w:lang w:val="en-US" w:eastAsia="zh-CN"/>
        </w:rPr>
        <w:t>法律、</w:t>
      </w:r>
      <w:r>
        <w:rPr>
          <w:rFonts w:hint="eastAsia" w:ascii="宋体" w:hAnsi="宋体" w:cs="宋体"/>
          <w:b/>
          <w:color w:val="000000"/>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终止风险：为保护投资者利益，在理财计划存续期间，管理人可根据理财计划说明书约定的情形提前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终止本理财计划。如理财计划被提前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终止，则投资者将面临提前终止再投资</w:t>
      </w:r>
      <w:r>
        <w:rPr>
          <w:rFonts w:hint="eastAsia" w:ascii="宋体" w:hAnsi="宋体" w:cs="宋体"/>
          <w:b/>
          <w:color w:val="000000"/>
          <w:sz w:val="24"/>
          <w:highlight w:val="none"/>
          <w:lang w:eastAsia="zh-CN"/>
        </w:rPr>
        <w:t>或延期兑付</w:t>
      </w:r>
      <w:r>
        <w:rPr>
          <w:rFonts w:hint="eastAsia" w:ascii="宋体" w:hAnsi="宋体" w:cs="宋体"/>
          <w:b/>
          <w:color w:val="000000"/>
          <w:sz w:val="24"/>
          <w:highlight w:val="none"/>
        </w:rPr>
        <w:t>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信息传递风险：</w:t>
      </w:r>
      <w:r>
        <w:rPr>
          <w:rFonts w:hint="eastAsia" w:ascii="宋体" w:hAnsi="宋体" w:cs="宋体"/>
          <w:b/>
          <w:color w:val="000000"/>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color w:val="000000"/>
          <w:sz w:val="24"/>
          <w:highlight w:val="none"/>
        </w:rPr>
        <w:t>由于投资者未能及时主动了解理财计划信息</w:t>
      </w:r>
      <w:r>
        <w:rPr>
          <w:rFonts w:hint="eastAsia" w:ascii="宋体" w:hAnsi="宋体" w:cs="宋体"/>
          <w:b/>
          <w:color w:val="000000"/>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color w:val="000000"/>
          <w:sz w:val="24"/>
          <w:highlight w:val="none"/>
        </w:rPr>
        <w:t>。</w:t>
      </w:r>
      <w:r>
        <w:rPr>
          <w:rFonts w:hint="eastAsia" w:ascii="宋体" w:hAnsi="宋体" w:cs="宋体"/>
          <w:b/>
          <w:color w:val="000000"/>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color w:val="000000"/>
          <w:sz w:val="24"/>
          <w:highlight w:val="none"/>
          <w:lang w:eastAsia="zh-CN"/>
        </w:rPr>
        <w:t>理</w:t>
      </w:r>
      <w:r>
        <w:rPr>
          <w:rFonts w:hint="eastAsia" w:ascii="宋体" w:hAnsi="宋体" w:cs="宋体"/>
          <w:b/>
          <w:color w:val="000000"/>
          <w:sz w:val="24"/>
          <w:highlight w:val="none"/>
        </w:rPr>
        <w:t>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color w:val="000000"/>
          <w:sz w:val="24"/>
          <w:highlight w:val="none"/>
        </w:rPr>
      </w:pPr>
      <w:r>
        <w:rPr>
          <w:rFonts w:hint="eastAsia" w:ascii="宋体" w:hAnsi="宋体" w:cs="宋体"/>
          <w:b/>
          <w:color w:val="000000"/>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lang w:eastAsia="zh-CN"/>
        </w:rPr>
        <w:t>关</w:t>
      </w:r>
      <w:r>
        <w:rPr>
          <w:rFonts w:ascii="宋体" w:hAnsi="宋体" w:cs="宋体"/>
          <w:b/>
          <w:color w:val="000000"/>
          <w:sz w:val="24"/>
          <w:highlight w:val="none"/>
        </w:rPr>
        <w:t>联关系</w:t>
      </w:r>
      <w:r>
        <w:rPr>
          <w:rFonts w:hint="eastAsia" w:ascii="宋体" w:hAnsi="宋体" w:cs="宋体"/>
          <w:b/>
          <w:color w:val="000000"/>
          <w:sz w:val="24"/>
          <w:highlight w:val="none"/>
          <w:lang w:val="en-US" w:eastAsia="zh-CN"/>
        </w:rPr>
        <w:t>及关联交易</w:t>
      </w:r>
      <w:r>
        <w:rPr>
          <w:rFonts w:ascii="宋体" w:hAnsi="宋体" w:cs="宋体"/>
          <w:b/>
          <w:color w:val="000000"/>
          <w:sz w:val="24"/>
          <w:highlight w:val="none"/>
        </w:rPr>
        <w:t>风险：</w:t>
      </w:r>
      <w:r>
        <w:rPr>
          <w:rFonts w:hint="eastAsia" w:ascii="宋体" w:hAnsi="宋体" w:cs="宋体"/>
          <w:b/>
          <w:color w:val="000000"/>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color w:val="000000"/>
          <w:sz w:val="24"/>
          <w:highlight w:val="none"/>
        </w:rPr>
        <w:t>杭州银行股份有限公司</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以下简称“杭州银行”</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作为理财计划的销售服务机构</w:t>
      </w:r>
      <w:r>
        <w:rPr>
          <w:rFonts w:ascii="宋体" w:hAnsi="宋体" w:cs="宋体"/>
          <w:b/>
          <w:color w:val="000000"/>
          <w:sz w:val="24"/>
          <w:highlight w:val="none"/>
        </w:rPr>
        <w:t>，</w:t>
      </w:r>
      <w:r>
        <w:rPr>
          <w:rFonts w:hint="eastAsia" w:ascii="宋体" w:hAnsi="宋体" w:cs="宋体"/>
          <w:b/>
          <w:color w:val="000000"/>
          <w:sz w:val="24"/>
          <w:highlight w:val="none"/>
          <w:lang w:val="en-US" w:eastAsia="zh-CN"/>
        </w:rPr>
        <w:t>负责理财计划的代理销售工作。</w:t>
      </w:r>
      <w:r>
        <w:rPr>
          <w:rFonts w:ascii="宋体" w:hAnsi="宋体" w:cs="宋体"/>
          <w:b/>
          <w:color w:val="000000"/>
          <w:sz w:val="24"/>
          <w:highlight w:val="none"/>
        </w:rPr>
        <w:t>杭银理财系杭州银行全资子公司，双方存在关联关系。</w:t>
      </w:r>
      <w:r>
        <w:rPr>
          <w:rFonts w:hint="eastAsia" w:ascii="宋体" w:hAnsi="宋体" w:cs="宋体"/>
          <w:b/>
          <w:color w:val="000000"/>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color w:val="000000"/>
          <w:sz w:val="24"/>
          <w:highlight w:val="none"/>
        </w:rPr>
      </w:pPr>
    </w:p>
    <w:p>
      <w:p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 xml:space="preserve">    上述理财计划共性与特定风险发生时，投资者的本金及收益可能遭受损失，在最不利情形下，将损失全部本金及收益</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如有</w:t>
      </w:r>
      <w:r>
        <w:rPr>
          <w:rFonts w:hint="eastAsia" w:ascii="宋体" w:hAnsi="宋体" w:cs="宋体"/>
          <w:b/>
          <w:color w:val="000000"/>
          <w:sz w:val="24"/>
          <w:highlight w:val="none"/>
          <w:lang w:eastAsia="zh-CN"/>
        </w:rPr>
        <w:t>）</w:t>
      </w:r>
      <w:r>
        <w:rPr>
          <w:rFonts w:hint="eastAsia" w:ascii="宋体" w:hAnsi="宋体" w:cs="宋体"/>
          <w:b/>
          <w:color w:val="000000"/>
          <w:sz w:val="24"/>
          <w:highlight w:val="none"/>
        </w:rPr>
        <w:t>，由此产生的风险及损失将由投资者自行承担。</w:t>
      </w:r>
    </w:p>
    <w:p>
      <w:pPr>
        <w:numPr>
          <w:ilvl w:val="0"/>
          <w:numId w:val="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其他信息提示</w:t>
      </w:r>
    </w:p>
    <w:p>
      <w:p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 xml:space="preserve">    </w:t>
      </w:r>
      <w:r>
        <w:rPr>
          <w:rFonts w:hint="eastAsia" w:ascii="宋体" w:hAnsi="宋体" w:cs="宋体"/>
          <w:bCs/>
          <w:color w:val="000000"/>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根据募集方式的不同，理财产品分为公募理财产品和私募理财产品。</w:t>
      </w:r>
      <w:r>
        <w:rPr>
          <w:rFonts w:hint="eastAsia" w:ascii="宋体" w:hAnsi="宋体" w:cs="宋体"/>
          <w:bCs/>
          <w:color w:val="000000"/>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根据投资性质的不同，理财产品分为固定收益类理财产品、权益类理财产品、商品及金融衍生品类理财产品和混合类理财产品。</w:t>
      </w:r>
      <w:r>
        <w:rPr>
          <w:rFonts w:hint="eastAsia" w:ascii="宋体" w:hAnsi="宋体" w:cs="宋体"/>
          <w:bCs/>
          <w:color w:val="000000"/>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根据运作方式的不同，将理财产品分为封闭式理财产品和开放式理财产品。</w:t>
      </w:r>
      <w:r>
        <w:rPr>
          <w:rFonts w:hint="eastAsia" w:ascii="宋体" w:hAnsi="宋体" w:cs="宋体"/>
          <w:bCs/>
          <w:color w:val="000000"/>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本理财计划为</w:t>
      </w:r>
      <w:r>
        <w:rPr>
          <w:rFonts w:hint="eastAsia" w:ascii="宋体" w:hAnsi="宋体" w:eastAsia="宋体" w:cs="宋体"/>
          <w:b/>
          <w:color w:val="000000"/>
          <w:kern w:val="2"/>
          <w:sz w:val="24"/>
          <w:szCs w:val="24"/>
          <w:highlight w:val="none"/>
          <w:lang w:val="en-US" w:eastAsia="zh-CN" w:bidi="ar-SA"/>
        </w:rPr>
        <w:t>公募</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封闭式</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固定收益类</w:t>
      </w:r>
      <w:r>
        <w:rPr>
          <w:rFonts w:hint="eastAsia" w:ascii="宋体" w:hAnsi="宋体" w:cs="宋体"/>
          <w:b/>
          <w:color w:val="000000"/>
          <w:sz w:val="24"/>
          <w:highlight w:val="none"/>
        </w:rPr>
        <w:t>〗净值型理财计划，〖</w:t>
      </w:r>
      <w:r>
        <w:rPr>
          <w:rFonts w:hint="eastAsia" w:ascii="宋体" w:hAnsi="宋体" w:eastAsia="宋体" w:cs="宋体"/>
          <w:b/>
          <w:color w:val="000000"/>
          <w:kern w:val="2"/>
          <w:sz w:val="24"/>
          <w:szCs w:val="24"/>
          <w:highlight w:val="none"/>
          <w:lang w:val="en-US" w:eastAsia="zh-CN" w:bidi="ar-SA"/>
        </w:rPr>
        <w:t>763</w:t>
      </w:r>
      <w:r>
        <w:rPr>
          <w:rFonts w:hint="eastAsia" w:ascii="宋体" w:hAnsi="宋体" w:cs="宋体"/>
          <w:b/>
          <w:color w:val="000000"/>
          <w:sz w:val="24"/>
          <w:highlight w:val="none"/>
        </w:rPr>
        <w:t>〗</w:t>
      </w:r>
      <w:r>
        <w:rPr>
          <w:rFonts w:hint="eastAsia" w:ascii="宋体" w:hAnsi="宋体" w:cs="宋体"/>
          <w:b/>
          <w:color w:val="000000"/>
          <w:sz w:val="24"/>
          <w:highlight w:val="none"/>
          <w:lang w:eastAsia="zh-CN"/>
        </w:rPr>
        <w:t>天</w:t>
      </w:r>
      <w:r>
        <w:rPr>
          <w:rFonts w:hint="eastAsia" w:ascii="宋体" w:hAnsi="宋体" w:cs="宋体"/>
          <w:bCs/>
          <w:color w:val="000000"/>
          <w:sz w:val="24"/>
          <w:highlight w:val="none"/>
          <w:lang w:eastAsia="zh-CN"/>
        </w:rPr>
        <w:t>，</w:t>
      </w:r>
      <w:r>
        <w:rPr>
          <w:rFonts w:hint="eastAsia" w:ascii="宋体" w:hAnsi="宋体" w:cs="宋体"/>
          <w:b/>
          <w:color w:val="000000"/>
          <w:sz w:val="24"/>
          <w:highlight w:val="none"/>
        </w:rPr>
        <w:t>不保证本金与收益。</w:t>
      </w:r>
      <w:r>
        <w:rPr>
          <w:rFonts w:hint="eastAsia" w:ascii="宋体" w:hAnsi="宋体" w:cs="宋体"/>
          <w:b/>
          <w:color w:val="000000"/>
          <w:sz w:val="24"/>
          <w:highlight w:val="none"/>
          <w:lang w:val="en-US" w:eastAsia="zh-CN"/>
        </w:rPr>
        <w:t>理财计划过往业绩不代表其未来表现，不等于理财计划实际收益，投资须谨慎！</w:t>
      </w:r>
      <w:r>
        <w:rPr>
          <w:rFonts w:hint="eastAsia" w:ascii="宋体" w:hAnsi="宋体" w:cs="宋体"/>
          <w:b/>
          <w:color w:val="000000"/>
          <w:sz w:val="24"/>
          <w:highlight w:val="none"/>
        </w:rPr>
        <w:t>根据本公司理财产品内部风险评级，该理财计划风险评级结果为〖</w:t>
      </w:r>
      <w:r>
        <w:rPr>
          <w:rFonts w:hint="eastAsia" w:ascii="宋体" w:hAnsi="宋体" w:eastAsia="宋体" w:cs="宋体"/>
          <w:b/>
          <w:color w:val="000000"/>
          <w:kern w:val="2"/>
          <w:sz w:val="24"/>
          <w:szCs w:val="24"/>
          <w:highlight w:val="none"/>
          <w:lang w:val="en-US" w:eastAsia="zh-CN" w:bidi="ar-SA"/>
        </w:rPr>
        <w:t>R2</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中低</w:t>
      </w:r>
      <w:r>
        <w:rPr>
          <w:rFonts w:hint="eastAsia" w:ascii="宋体" w:hAnsi="宋体" w:cs="宋体"/>
          <w:b/>
          <w:color w:val="000000"/>
          <w:sz w:val="24"/>
          <w:highlight w:val="none"/>
        </w:rPr>
        <w:t>〗风险</w:t>
      </w:r>
      <w:r>
        <w:rPr>
          <w:rFonts w:hint="eastAsia" w:ascii="宋体" w:hAnsi="宋体" w:cs="宋体"/>
          <w:bCs/>
          <w:color w:val="000000"/>
          <w:sz w:val="24"/>
          <w:highlight w:val="none"/>
        </w:rPr>
        <w:t>（本风险等级为我公司内部风险评级结果，仅供参考</w:t>
      </w:r>
      <w:r>
        <w:rPr>
          <w:rFonts w:hint="eastAsia" w:ascii="宋体" w:hAnsi="宋体" w:cs="宋体"/>
          <w:bCs/>
          <w:color w:val="000000"/>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color w:val="000000"/>
          <w:sz w:val="24"/>
          <w:highlight w:val="none"/>
        </w:rPr>
        <w:t>），</w:t>
      </w:r>
      <w:r>
        <w:rPr>
          <w:rFonts w:hint="eastAsia" w:ascii="宋体" w:hAnsi="宋体" w:cs="宋体"/>
          <w:b/>
          <w:color w:val="000000"/>
          <w:sz w:val="24"/>
          <w:highlight w:val="none"/>
        </w:rPr>
        <w:t>总体风险〖</w:t>
      </w:r>
      <w:r>
        <w:rPr>
          <w:rFonts w:hint="eastAsia" w:ascii="宋体" w:hAnsi="宋体" w:eastAsia="宋体" w:cs="宋体"/>
          <w:b/>
          <w:color w:val="000000"/>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color w:val="000000"/>
          <w:sz w:val="24"/>
          <w:highlight w:val="none"/>
        </w:rPr>
        <w:t>〗。</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本理财计划适合</w:t>
      </w:r>
      <w:r>
        <w:rPr>
          <w:rFonts w:hint="eastAsia" w:ascii="宋体" w:hAnsi="宋体" w:eastAsia="宋体" w:cs="宋体"/>
          <w:b/>
          <w:color w:val="000000"/>
          <w:kern w:val="2"/>
          <w:sz w:val="24"/>
          <w:szCs w:val="24"/>
          <w:highlight w:val="none"/>
          <w:lang w:val="en-US" w:eastAsia="zh-CN" w:bidi="ar-SA"/>
        </w:rPr>
        <w:t>〖机构投资者〗以及〖稳健型、平衡型、成长型、进取型〗的个人投资者</w:t>
      </w:r>
      <w:r>
        <w:rPr>
          <w:rFonts w:hint="eastAsia" w:ascii="宋体" w:hAnsi="宋体" w:cs="宋体"/>
          <w:b/>
          <w:color w:val="000000"/>
          <w:sz w:val="24"/>
          <w:highlight w:val="none"/>
          <w:lang w:eastAsia="zh-CN"/>
        </w:rPr>
        <w:t>。</w:t>
      </w:r>
      <w:r>
        <w:rPr>
          <w:rFonts w:hint="eastAsia" w:ascii="宋体" w:hAnsi="宋体" w:cs="宋体"/>
          <w:b w:val="0"/>
          <w:bCs/>
          <w:color w:val="000000"/>
          <w:sz w:val="24"/>
          <w:highlight w:val="none"/>
          <w:lang w:val="en-US" w:eastAsia="zh-CN"/>
        </w:rPr>
        <w:t>本理财计划投资者适当性评估由销售机构负责，销售机构</w:t>
      </w:r>
      <w:r>
        <w:rPr>
          <w:rFonts w:hint="eastAsia" w:ascii="宋体" w:hAnsi="宋体" w:cs="宋体"/>
          <w:bCs/>
          <w:color w:val="000000"/>
          <w:sz w:val="24"/>
          <w:highlight w:val="none"/>
        </w:rPr>
        <w:t>应确保个人投资者的风险承受能力不低于本理财计划风险评级。</w:t>
      </w:r>
      <w:r>
        <w:rPr>
          <w:rFonts w:hint="eastAsia" w:ascii="宋体" w:hAnsi="宋体" w:cs="宋体"/>
          <w:bCs/>
          <w:color w:val="000000"/>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特别提示：杭银理财有限责任公司作为本</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管理人</w:t>
      </w:r>
      <w:r>
        <w:rPr>
          <w:rFonts w:hint="eastAsia" w:ascii="宋体" w:hAnsi="宋体" w:cs="宋体"/>
          <w:bCs/>
          <w:color w:val="000000"/>
          <w:sz w:val="24"/>
          <w:szCs w:val="24"/>
          <w:highlight w:val="none"/>
        </w:rPr>
        <w:t>有权按照</w:t>
      </w:r>
      <w:r>
        <w:rPr>
          <w:rFonts w:hint="eastAsia" w:ascii="宋体" w:hAnsi="宋体" w:cs="宋体"/>
          <w:bCs/>
          <w:color w:val="000000"/>
          <w:sz w:val="24"/>
          <w:highlight w:val="none"/>
        </w:rPr>
        <w:t>国内外反洗钱相关适用的</w:t>
      </w:r>
      <w:r>
        <w:rPr>
          <w:rFonts w:hint="eastAsia" w:ascii="宋体" w:hAnsi="宋体" w:cs="宋体"/>
          <w:bCs/>
          <w:color w:val="000000"/>
          <w:sz w:val="24"/>
          <w:szCs w:val="24"/>
          <w:highlight w:val="none"/>
        </w:rPr>
        <w:t>法律法规和监管要求，从</w:t>
      </w:r>
      <w:r>
        <w:rPr>
          <w:rFonts w:hint="eastAsia" w:ascii="宋体" w:hAnsi="宋体" w:cs="宋体"/>
          <w:bCs/>
          <w:color w:val="000000"/>
          <w:sz w:val="24"/>
          <w:szCs w:val="24"/>
          <w:highlight w:val="none"/>
          <w:lang w:eastAsia="zh-CN"/>
        </w:rPr>
        <w:t>销售机构</w:t>
      </w:r>
      <w:r>
        <w:rPr>
          <w:rFonts w:hint="eastAsia" w:ascii="宋体" w:hAnsi="宋体" w:cs="宋体"/>
          <w:bCs/>
          <w:color w:val="000000"/>
          <w:sz w:val="24"/>
          <w:szCs w:val="24"/>
          <w:highlight w:val="none"/>
        </w:rPr>
        <w:t>获</w:t>
      </w:r>
      <w:r>
        <w:rPr>
          <w:rFonts w:hint="eastAsia" w:ascii="宋体" w:hAnsi="宋体" w:cs="宋体"/>
          <w:bCs/>
          <w:color w:val="000000"/>
          <w:sz w:val="24"/>
          <w:highlight w:val="none"/>
        </w:rPr>
        <w:t>得相应必要的</w:t>
      </w:r>
      <w:r>
        <w:rPr>
          <w:rFonts w:hint="eastAsia" w:ascii="宋体" w:hAnsi="宋体" w:cs="宋体"/>
          <w:bCs/>
          <w:color w:val="000000"/>
          <w:sz w:val="24"/>
          <w:szCs w:val="24"/>
          <w:highlight w:val="none"/>
        </w:rPr>
        <w:t>投资者身份信息并报送投资者身份信息及其持有理财产品信息。</w:t>
      </w:r>
      <w:r>
        <w:rPr>
          <w:rFonts w:hint="eastAsia" w:ascii="宋体" w:hAnsi="宋体" w:cs="宋体"/>
          <w:bCs/>
          <w:color w:val="000000"/>
          <w:sz w:val="24"/>
          <w:szCs w:val="24"/>
          <w:highlight w:val="none"/>
          <w:lang w:eastAsia="zh-CN"/>
        </w:rPr>
        <w:t>销售机构</w:t>
      </w:r>
      <w:r>
        <w:rPr>
          <w:rFonts w:hint="eastAsia" w:ascii="宋体" w:hAnsi="宋体" w:cs="宋体"/>
          <w:bCs/>
          <w:color w:val="000000"/>
          <w:sz w:val="24"/>
          <w:highlight w:val="none"/>
        </w:rPr>
        <w:t>将</w:t>
      </w:r>
      <w:r>
        <w:rPr>
          <w:rFonts w:hint="eastAsia" w:ascii="宋体" w:hAnsi="宋体" w:cs="宋体"/>
          <w:bCs/>
          <w:color w:val="000000"/>
          <w:sz w:val="24"/>
          <w:szCs w:val="24"/>
          <w:highlight w:val="none"/>
        </w:rPr>
        <w:t>在</w:t>
      </w:r>
      <w:r>
        <w:rPr>
          <w:rFonts w:hint="eastAsia" w:ascii="宋体" w:hAnsi="宋体" w:cs="宋体"/>
          <w:bCs/>
          <w:color w:val="000000"/>
          <w:sz w:val="24"/>
          <w:highlight w:val="none"/>
        </w:rPr>
        <w:t>合法、合理且必要时向管理人</w:t>
      </w:r>
      <w:r>
        <w:rPr>
          <w:rFonts w:hint="eastAsia" w:ascii="宋体" w:hAnsi="宋体" w:cs="宋体"/>
          <w:bCs/>
          <w:color w:val="000000"/>
          <w:sz w:val="24"/>
          <w:szCs w:val="24"/>
          <w:highlight w:val="none"/>
        </w:rPr>
        <w:t>提供投资</w:t>
      </w:r>
      <w:r>
        <w:rPr>
          <w:rFonts w:hint="eastAsia" w:ascii="宋体" w:hAnsi="宋体" w:cs="宋体"/>
          <w:bCs/>
          <w:color w:val="000000"/>
          <w:sz w:val="24"/>
          <w:highlight w:val="none"/>
        </w:rPr>
        <w:t>者身份识别</w:t>
      </w:r>
      <w:r>
        <w:rPr>
          <w:rFonts w:hint="eastAsia" w:ascii="宋体" w:hAnsi="宋体" w:cs="宋体"/>
          <w:bCs/>
          <w:color w:val="000000"/>
          <w:sz w:val="24"/>
          <w:szCs w:val="24"/>
          <w:highlight w:val="none"/>
        </w:rPr>
        <w:t>信息（投资者身份</w:t>
      </w:r>
      <w:r>
        <w:rPr>
          <w:rFonts w:hint="eastAsia" w:ascii="宋体" w:hAnsi="宋体" w:cs="宋体"/>
          <w:bCs/>
          <w:color w:val="000000"/>
          <w:sz w:val="24"/>
          <w:highlight w:val="none"/>
        </w:rPr>
        <w:t>识别</w:t>
      </w:r>
      <w:r>
        <w:rPr>
          <w:rFonts w:hint="eastAsia" w:ascii="宋体" w:hAnsi="宋体" w:cs="宋体"/>
          <w:bCs/>
          <w:color w:val="000000"/>
          <w:sz w:val="24"/>
          <w:szCs w:val="24"/>
          <w:highlight w:val="none"/>
        </w:rPr>
        <w:t>信息包括</w:t>
      </w:r>
      <w:r>
        <w:rPr>
          <w:rFonts w:hint="eastAsia" w:ascii="宋体" w:hAnsi="宋体" w:cs="宋体"/>
          <w:bCs/>
          <w:color w:val="000000"/>
          <w:sz w:val="24"/>
          <w:highlight w:val="none"/>
        </w:rPr>
        <w:t>但不限于</w:t>
      </w:r>
      <w:r>
        <w:rPr>
          <w:rFonts w:hint="eastAsia" w:ascii="宋体" w:hAnsi="宋体" w:cs="宋体"/>
          <w:bCs/>
          <w:color w:val="000000"/>
          <w:sz w:val="24"/>
          <w:szCs w:val="24"/>
          <w:highlight w:val="none"/>
        </w:rPr>
        <w:t>：投资者的姓名、性别、国籍、职业、住所地或者工作单位地址、</w:t>
      </w:r>
      <w:r>
        <w:rPr>
          <w:rFonts w:hint="eastAsia" w:ascii="宋体" w:hAnsi="宋体" w:cs="宋体"/>
          <w:bCs/>
          <w:color w:val="000000"/>
          <w:sz w:val="24"/>
          <w:highlight w:val="none"/>
        </w:rPr>
        <w:t>常居地地址、</w:t>
      </w:r>
      <w:r>
        <w:rPr>
          <w:rFonts w:hint="eastAsia" w:ascii="宋体" w:hAnsi="宋体" w:cs="宋体"/>
          <w:bCs/>
          <w:color w:val="000000"/>
          <w:sz w:val="24"/>
          <w:szCs w:val="24"/>
          <w:highlight w:val="none"/>
        </w:rPr>
        <w:t>联系方式、身份证明文件的种类、号码和有效期限</w:t>
      </w:r>
      <w:r>
        <w:rPr>
          <w:rFonts w:hint="eastAsia" w:ascii="宋体" w:hAnsi="宋体" w:cs="宋体"/>
          <w:bCs/>
          <w:color w:val="000000"/>
          <w:sz w:val="24"/>
          <w:highlight w:val="none"/>
        </w:rPr>
        <w:t>、代理人信息、受益所有人信息</w:t>
      </w:r>
      <w:r>
        <w:rPr>
          <w:rFonts w:hint="eastAsia" w:ascii="宋体" w:hAnsi="宋体" w:cs="宋体"/>
          <w:bCs/>
          <w:color w:val="000000"/>
          <w:sz w:val="24"/>
          <w:szCs w:val="24"/>
          <w:highlight w:val="none"/>
        </w:rPr>
        <w:t>），以及</w:t>
      </w:r>
      <w:r>
        <w:rPr>
          <w:rFonts w:hint="eastAsia" w:ascii="宋体" w:hAnsi="宋体" w:cs="宋体"/>
          <w:bCs/>
          <w:color w:val="000000"/>
          <w:sz w:val="24"/>
          <w:highlight w:val="none"/>
        </w:rPr>
        <w:t>在合法、合理且必要时进一步提供</w:t>
      </w:r>
      <w:r>
        <w:rPr>
          <w:rFonts w:hint="eastAsia" w:ascii="宋体" w:hAnsi="宋体" w:cs="宋体"/>
          <w:bCs/>
          <w:color w:val="000000"/>
          <w:sz w:val="24"/>
          <w:szCs w:val="24"/>
          <w:highlight w:val="none"/>
        </w:rPr>
        <w:t>身份证明文件的复印件和影印件</w:t>
      </w:r>
      <w:r>
        <w:rPr>
          <w:rFonts w:hint="eastAsia" w:ascii="宋体" w:hAnsi="宋体" w:cs="宋体"/>
          <w:bCs/>
          <w:color w:val="000000"/>
          <w:sz w:val="24"/>
          <w:highlight w:val="none"/>
        </w:rPr>
        <w:t>以及其他必要信息</w:t>
      </w:r>
      <w:r>
        <w:rPr>
          <w:rFonts w:hint="eastAsia" w:ascii="宋体" w:hAnsi="宋体" w:cs="宋体"/>
          <w:bCs/>
          <w:color w:val="000000"/>
          <w:sz w:val="24"/>
          <w:szCs w:val="24"/>
          <w:highlight w:val="none"/>
        </w:rPr>
        <w:t>。投资者签署</w:t>
      </w:r>
      <w:r>
        <w:rPr>
          <w:rFonts w:hint="eastAsia" w:ascii="宋体" w:hAnsi="宋体" w:cs="宋体"/>
          <w:bCs/>
          <w:color w:val="000000"/>
          <w:sz w:val="24"/>
          <w:highlight w:val="none"/>
        </w:rPr>
        <w:t>后</w:t>
      </w:r>
      <w:r>
        <w:rPr>
          <w:rFonts w:hint="eastAsia" w:ascii="宋体" w:hAnsi="宋体" w:cs="宋体"/>
          <w:bCs/>
          <w:color w:val="000000"/>
          <w:sz w:val="24"/>
          <w:szCs w:val="24"/>
          <w:highlight w:val="none"/>
        </w:rPr>
        <w:t>即表示同意并配合提供前述信</w:t>
      </w:r>
      <w:r>
        <w:rPr>
          <w:rFonts w:hint="eastAsia" w:ascii="宋体" w:hAnsi="宋体" w:cs="宋体"/>
          <w:bCs/>
          <w:color w:val="000000"/>
          <w:sz w:val="24"/>
          <w:highlight w:val="none"/>
        </w:rPr>
        <w:t>息。</w:t>
      </w: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right"/>
        <w:rPr>
          <w:rFonts w:hint="eastAsia" w:ascii="宋体" w:hAnsi="宋体" w:cs="宋体"/>
          <w:b/>
          <w:color w:val="000000"/>
          <w:highlight w:val="none"/>
        </w:rPr>
      </w:pPr>
      <w:r>
        <w:rPr>
          <w:rFonts w:hint="eastAsia" w:ascii="宋体" w:hAnsi="宋体" w:cs="宋体"/>
          <w:bCs/>
          <w:color w:val="000000"/>
          <w:sz w:val="24"/>
          <w:highlight w:val="none"/>
        </w:rPr>
        <w:t>风险提示方：杭银理财有限责任公司</w:t>
      </w:r>
    </w:p>
    <w:p>
      <w:pPr>
        <w:rPr>
          <w:rFonts w:hint="eastAsia" w:ascii="宋体" w:hAnsi="宋体" w:cs="宋体"/>
          <w:b/>
          <w:color w:val="000000"/>
          <w:highlight w:val="none"/>
        </w:rPr>
      </w:pPr>
      <w:r>
        <w:rPr>
          <w:rFonts w:hint="eastAsia" w:ascii="宋体" w:hAnsi="宋体" w:cs="宋体"/>
          <w:b/>
          <w:color w:val="000000"/>
          <w:highlight w:val="none"/>
        </w:rPr>
        <w:br w:type="page"/>
      </w:r>
    </w:p>
    <w:p>
      <w:pPr>
        <w:pStyle w:val="17"/>
        <w:pageBreakBefore/>
        <w:widowControl/>
        <w:spacing w:line="360" w:lineRule="auto"/>
        <w:ind w:left="0" w:leftChars="0"/>
        <w:jc w:val="center"/>
        <w:outlineLvl w:val="9"/>
        <w:rPr>
          <w:rFonts w:hint="eastAsia" w:ascii="宋体" w:hAnsi="宋体" w:cs="宋体"/>
          <w:b/>
          <w:color w:val="000000"/>
          <w:highlight w:val="none"/>
        </w:rPr>
      </w:pPr>
      <w:r>
        <w:rPr>
          <w:rFonts w:hint="eastAsia" w:ascii="宋体" w:hAnsi="宋体" w:cs="宋体"/>
          <w:b/>
          <w:color w:val="000000"/>
          <w:highlight w:val="none"/>
        </w:rPr>
        <w:t>投资者确认栏（个人投资者填写）</w:t>
      </w:r>
    </w:p>
    <w:p>
      <w:pPr>
        <w:pStyle w:val="17"/>
        <w:spacing w:line="360" w:lineRule="auto"/>
        <w:jc w:val="both"/>
        <w:rPr>
          <w:rFonts w:hint="eastAsia" w:ascii="宋体" w:hAnsi="宋体" w:cs="宋体"/>
          <w:b/>
          <w:color w:val="000000"/>
          <w:highlight w:val="none"/>
        </w:rPr>
      </w:pPr>
    </w:p>
    <w:p>
      <w:pPr>
        <w:pStyle w:val="17"/>
        <w:spacing w:line="360" w:lineRule="auto"/>
        <w:jc w:val="both"/>
        <w:rPr>
          <w:rFonts w:hint="eastAsia" w:ascii="宋体" w:hAnsi="宋体" w:cs="宋体"/>
          <w:color w:val="000000"/>
          <w:highlight w:val="none"/>
        </w:rPr>
      </w:pPr>
      <w:r>
        <w:rPr>
          <w:rFonts w:hint="eastAsia" w:ascii="宋体" w:hAnsi="宋体" w:cs="宋体"/>
          <w:color w:val="000000"/>
          <w:highlight w:val="none"/>
        </w:rPr>
        <w:t>本人经销售机构评估的风险承受能力等级为（投资者填写）：</w:t>
      </w:r>
    </w:p>
    <w:p>
      <w:pPr>
        <w:pStyle w:val="17"/>
        <w:spacing w:line="360" w:lineRule="auto"/>
        <w:jc w:val="both"/>
        <w:rPr>
          <w:rFonts w:hint="eastAsia" w:ascii="宋体" w:hAnsi="宋体" w:cs="宋体"/>
          <w:color w:val="000000"/>
          <w:highlight w:val="none"/>
          <w:u w:val="single"/>
        </w:rPr>
      </w:pPr>
      <w:r>
        <w:rPr>
          <w:rFonts w:hint="eastAsia" w:ascii="宋体" w:hAnsi="宋体" w:cs="宋体"/>
          <w:color w:val="000000"/>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000000"/>
          <w:highlight w:val="none"/>
          <w:u w:val="single"/>
        </w:rPr>
      </w:pPr>
      <w:r>
        <w:rPr>
          <w:rFonts w:hint="eastAsia" w:ascii="宋体" w:hAnsi="宋体" w:cs="宋体"/>
          <w:color w:val="000000"/>
          <w:highlight w:val="none"/>
          <w:u w:val="single"/>
        </w:rPr>
        <w:t>如超过一年未进行风险承受能力评估或影响本人风险承受能力的因素发生变化，本人将于再次购买理财</w:t>
      </w:r>
      <w:r>
        <w:rPr>
          <w:rFonts w:hint="eastAsia" w:ascii="宋体" w:hAnsi="宋体" w:cs="宋体"/>
          <w:color w:val="000000"/>
          <w:highlight w:val="none"/>
          <w:u w:val="single"/>
          <w:lang w:eastAsia="zh-CN"/>
        </w:rPr>
        <w:t>计划</w:t>
      </w:r>
      <w:r>
        <w:rPr>
          <w:rFonts w:hint="eastAsia" w:ascii="宋体" w:hAnsi="宋体" w:cs="宋体"/>
          <w:color w:val="000000"/>
          <w:highlight w:val="none"/>
          <w:u w:val="single"/>
        </w:rPr>
        <w:t>时及时完成风险承受能力评估。</w:t>
      </w:r>
    </w:p>
    <w:p>
      <w:pPr>
        <w:pStyle w:val="17"/>
        <w:spacing w:line="360" w:lineRule="auto"/>
        <w:ind w:firstLine="472" w:firstLineChars="196"/>
        <w:jc w:val="both"/>
        <w:rPr>
          <w:rFonts w:hint="eastAsia" w:ascii="宋体" w:hAnsi="宋体" w:cs="宋体"/>
          <w:b/>
          <w:bCs/>
          <w:color w:val="000000"/>
          <w:highlight w:val="none"/>
          <w:u w:val="single"/>
        </w:rPr>
      </w:pPr>
      <w:r>
        <w:rPr>
          <w:rFonts w:hint="eastAsia" w:ascii="宋体" w:hAnsi="宋体" w:cs="宋体"/>
          <w:b/>
          <w:bCs/>
          <w:color w:val="000000"/>
          <w:highlight w:val="none"/>
          <w:u w:val="single"/>
        </w:rPr>
        <w:t>声明：本人已经认真阅读本风险揭示书以及《理财计划产品说明书》《投资者权益须知》《理财计划投资协议书》</w:t>
      </w:r>
      <w:r>
        <w:rPr>
          <w:rFonts w:hint="eastAsia" w:ascii="宋体" w:hAnsi="宋体" w:cs="宋体"/>
          <w:b/>
          <w:bCs/>
          <w:color w:val="000000"/>
          <w:highlight w:val="none"/>
          <w:u w:val="single"/>
          <w:lang w:eastAsia="zh-CN"/>
        </w:rPr>
        <w:t>《理财计划销售协议书》</w:t>
      </w:r>
      <w:r>
        <w:rPr>
          <w:rFonts w:hint="eastAsia" w:ascii="宋体" w:hAnsi="宋体" w:cs="宋体"/>
          <w:b/>
          <w:bCs/>
          <w:color w:val="000000"/>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000000"/>
          <w:highlight w:val="none"/>
          <w:u w:val="single"/>
          <w:lang w:eastAsia="zh-CN"/>
        </w:rPr>
        <w:t>《理财计划销售协议书》</w:t>
      </w:r>
      <w:r>
        <w:rPr>
          <w:rFonts w:hint="eastAsia" w:ascii="宋体" w:hAnsi="宋体" w:cs="宋体"/>
          <w:b/>
          <w:bCs/>
          <w:color w:val="000000"/>
          <w:highlight w:val="none"/>
          <w:u w:val="single"/>
        </w:rPr>
        <w:t>等本</w:t>
      </w:r>
      <w:r>
        <w:rPr>
          <w:rFonts w:hint="eastAsia" w:ascii="宋体" w:hAnsi="宋体" w:cs="宋体"/>
          <w:b/>
          <w:bCs/>
          <w:color w:val="000000"/>
          <w:highlight w:val="none"/>
          <w:u w:val="single"/>
          <w:lang w:eastAsia="zh-CN"/>
        </w:rPr>
        <w:t>理财计划</w:t>
      </w:r>
      <w:r>
        <w:rPr>
          <w:rFonts w:hint="eastAsia" w:ascii="宋体" w:hAnsi="宋体" w:cs="宋体"/>
          <w:b/>
          <w:bCs/>
          <w:color w:val="000000"/>
          <w:highlight w:val="none"/>
          <w:u w:val="single"/>
        </w:rPr>
        <w:t>合同全部内容，自愿且有能力承担投资本理财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的风险。</w:t>
      </w:r>
    </w:p>
    <w:p>
      <w:pPr>
        <w:pStyle w:val="17"/>
        <w:spacing w:line="360" w:lineRule="auto"/>
        <w:ind w:firstLine="472" w:firstLineChars="196"/>
        <w:jc w:val="both"/>
        <w:rPr>
          <w:rFonts w:ascii="宋体" w:hAnsi="宋体" w:cs="宋体"/>
          <w:b/>
          <w:bCs/>
          <w:color w:val="000000"/>
          <w:highlight w:val="none"/>
          <w:u w:val="single"/>
        </w:rPr>
      </w:pPr>
      <w:r>
        <w:rPr>
          <w:rFonts w:hint="eastAsia" w:ascii="宋体" w:hAnsi="宋体" w:cs="宋体"/>
          <w:b/>
          <w:bCs/>
          <w:color w:val="000000"/>
          <w:highlight w:val="none"/>
          <w:u w:val="single"/>
        </w:rPr>
        <w:t>本人购买本理财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的资金为合法自有资金，不存在使用借款、贷款等非自有资金的情形；且系为合法目的投资本理财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000000"/>
          <w:highlight w:val="none"/>
        </w:rPr>
      </w:pPr>
      <w:r>
        <w:rPr>
          <w:rFonts w:hint="eastAsia" w:ascii="宋体" w:hAnsi="宋体" w:cs="宋体"/>
          <w:color w:val="000000"/>
          <w:highlight w:val="none"/>
        </w:rPr>
        <w:t>（投资者需全文抄录以下文字以完成确认：</w:t>
      </w:r>
      <w:r>
        <w:rPr>
          <w:rFonts w:hint="eastAsia" w:ascii="宋体" w:hAnsi="宋体" w:cs="宋体"/>
          <w:b/>
          <w:color w:val="000000"/>
          <w:highlight w:val="none"/>
        </w:rPr>
        <w:t>“本人已经阅读上述风险揭示，愿意承担投资风险。”</w:t>
      </w:r>
      <w:r>
        <w:rPr>
          <w:rFonts w:hint="eastAsia" w:ascii="宋体" w:hAnsi="宋体" w:cs="宋体"/>
          <w:b/>
          <w:color w:val="000000"/>
          <w:highlight w:val="none"/>
          <w:lang w:eastAsia="zh-CN"/>
        </w:rPr>
        <w:t>如通过线上渠道购买，认</w:t>
      </w:r>
      <w:r>
        <w:rPr>
          <w:rFonts w:hint="eastAsia" w:ascii="宋体" w:hAnsi="宋体" w:cs="宋体"/>
          <w:b/>
          <w:color w:val="000000"/>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000000"/>
          <w:highlight w:val="none"/>
        </w:rPr>
        <w:t xml:space="preserve">） </w:t>
      </w:r>
    </w:p>
    <w:p>
      <w:pPr>
        <w:pStyle w:val="17"/>
        <w:spacing w:line="360" w:lineRule="auto"/>
        <w:jc w:val="both"/>
        <w:rPr>
          <w:rFonts w:hint="eastAsia" w:ascii="宋体" w:hAnsi="宋体" w:cs="宋体"/>
          <w:color w:val="000000"/>
          <w:highlight w:val="none"/>
          <w:u w:val="single"/>
        </w:rPr>
      </w:pPr>
      <w:r>
        <w:rPr>
          <w:rFonts w:hint="eastAsia" w:ascii="宋体" w:hAnsi="宋体" w:cs="宋体"/>
          <w:color w:val="000000"/>
          <w:highlight w:val="none"/>
        </w:rPr>
        <w:t>本人同时确认如下：</w:t>
      </w:r>
      <w:r>
        <w:rPr>
          <w:rFonts w:hint="eastAsia" w:ascii="宋体" w:hAnsi="宋体" w:cs="宋体"/>
          <w:color w:val="000000"/>
          <w:highlight w:val="none"/>
          <w:u w:val="single"/>
        </w:rPr>
        <w:t xml:space="preserve">                                                          </w:t>
      </w:r>
    </w:p>
    <w:p>
      <w:pPr>
        <w:pStyle w:val="17"/>
        <w:spacing w:line="360" w:lineRule="auto"/>
        <w:jc w:val="both"/>
        <w:rPr>
          <w:rFonts w:hint="eastAsia" w:ascii="宋体" w:hAnsi="宋体" w:cs="宋体"/>
          <w:color w:val="000000"/>
          <w:highlight w:val="none"/>
        </w:rPr>
      </w:pPr>
      <w:r>
        <w:rPr>
          <w:rFonts w:hint="eastAsia" w:ascii="宋体" w:hAnsi="宋体" w:cs="宋体"/>
          <w:color w:val="000000"/>
          <w:highlight w:val="none"/>
          <w:u w:val="single"/>
        </w:rPr>
        <w:t xml:space="preserve">                                                                                </w:t>
      </w:r>
    </w:p>
    <w:p>
      <w:pPr>
        <w:spacing w:line="360" w:lineRule="auto"/>
        <w:rPr>
          <w:rFonts w:hint="eastAsia" w:ascii="宋体" w:hAnsi="宋体" w:cs="宋体"/>
          <w:color w:val="000000"/>
          <w:kern w:val="0"/>
          <w:sz w:val="24"/>
          <w:highlight w:val="none"/>
        </w:rPr>
      </w:pPr>
    </w:p>
    <w:p>
      <w:pPr>
        <w:spacing w:line="360" w:lineRule="auto"/>
        <w:rPr>
          <w:rFonts w:hint="eastAsia" w:ascii="宋体" w:hAnsi="宋体"/>
          <w:b/>
          <w:color w:val="000000"/>
          <w:kern w:val="0"/>
          <w:szCs w:val="21"/>
          <w:highlight w:val="none"/>
        </w:rPr>
      </w:pPr>
      <w:r>
        <w:rPr>
          <w:rFonts w:hint="eastAsia" w:ascii="宋体" w:hAnsi="宋体" w:cs="宋体"/>
          <w:color w:val="000000"/>
          <w:kern w:val="0"/>
          <w:sz w:val="24"/>
          <w:highlight w:val="none"/>
        </w:rPr>
        <w:t>确认人（签字）：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日期：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月</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日</w:t>
      </w:r>
    </w:p>
    <w:p>
      <w:pPr>
        <w:rPr>
          <w:rFonts w:hint="eastAsia" w:ascii="宋体" w:hAnsi="宋体" w:eastAsia="宋体" w:cs="宋体"/>
          <w:b/>
          <w:bCs/>
          <w:color w:val="000000"/>
          <w:highlight w:val="none"/>
          <w:u w:val="none"/>
        </w:rPr>
      </w:pPr>
      <w:r>
        <w:rPr>
          <w:rFonts w:hint="eastAsia" w:ascii="宋体" w:hAnsi="宋体" w:eastAsia="宋体" w:cs="宋体"/>
          <w:b/>
          <w:bCs/>
          <w:color w:val="000000"/>
          <w:highlight w:val="none"/>
          <w:u w:val="none"/>
        </w:rPr>
        <w:br w:type="page"/>
      </w:r>
    </w:p>
    <w:p>
      <w:pPr>
        <w:pStyle w:val="17"/>
        <w:pageBreakBefore/>
        <w:widowControl/>
        <w:spacing w:line="360" w:lineRule="auto"/>
        <w:ind w:firstLine="482" w:firstLineChars="200"/>
        <w:jc w:val="center"/>
        <w:outlineLvl w:val="9"/>
        <w:rPr>
          <w:rFonts w:hint="eastAsia" w:ascii="宋体" w:hAnsi="宋体" w:eastAsia="宋体" w:cs="宋体"/>
          <w:b/>
          <w:bCs/>
          <w:color w:val="000000"/>
          <w:highlight w:val="none"/>
          <w:u w:val="none"/>
        </w:rPr>
      </w:pPr>
      <w:r>
        <w:rPr>
          <w:rFonts w:hint="eastAsia" w:ascii="宋体" w:hAnsi="宋体" w:eastAsia="宋体" w:cs="宋体"/>
          <w:b/>
          <w:bCs/>
          <w:color w:val="000000"/>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000000"/>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jc w:val="both"/>
        <w:rPr>
          <w:rFonts w:hint="eastAsia" w:ascii="宋体" w:hAnsi="宋体" w:eastAsia="宋体" w:cs="宋体"/>
          <w:b w:val="0"/>
          <w:bCs w:val="0"/>
          <w:color w:val="000000"/>
          <w:highlight w:val="none"/>
          <w:u w:val="none"/>
          <w:lang w:val="en-US" w:eastAsia="zh-CN"/>
        </w:rPr>
      </w:pPr>
      <w:r>
        <w:rPr>
          <w:rFonts w:hint="eastAsia" w:ascii="宋体" w:hAnsi="宋体" w:eastAsia="宋体" w:cs="宋体"/>
          <w:b w:val="0"/>
          <w:bCs w:val="0"/>
          <w:color w:val="000000"/>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000000"/>
          <w:highlight w:val="none"/>
          <w:u w:val="none"/>
          <w:lang w:val="en-US" w:eastAsia="zh-CN"/>
        </w:rPr>
        <w:t>日期：</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年</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月</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ind w:left="0" w:leftChars="0" w:firstLine="0" w:firstLineChars="0"/>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幸福99丰裕固收763天26113期理财</w:t>
      </w:r>
      <w:r>
        <w:rPr>
          <w:rFonts w:hint="eastAsia" w:ascii="宋体" w:hAnsi="宋体" w:cs="宋体"/>
          <w:b/>
          <w:bCs/>
          <w:color w:val="000000"/>
          <w:sz w:val="44"/>
          <w:szCs w:val="44"/>
          <w:highlight w:val="none"/>
        </w:rPr>
        <w:t>产品说明书</w:t>
      </w:r>
    </w:p>
    <w:p>
      <w:pPr>
        <w:jc w:val="center"/>
        <w:rPr>
          <w:rFonts w:hint="eastAsia" w:ascii="宋体" w:hAnsi="宋体" w:cs="宋体"/>
          <w:b/>
          <w:bCs/>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right"/>
        <w:rPr>
          <w:rFonts w:hint="eastAsia" w:ascii="宋体" w:hAnsi="宋体" w:cs="宋体"/>
          <w:bCs/>
          <w:color w:val="000000"/>
          <w:sz w:val="24"/>
          <w:highlight w:val="none"/>
        </w:rPr>
      </w:pPr>
      <w:r>
        <w:rPr>
          <w:rFonts w:hint="eastAsia" w:ascii="宋体" w:hAnsi="宋体" w:cs="宋体"/>
          <w:color w:val="000000"/>
          <w:sz w:val="24"/>
          <w:highlight w:val="none"/>
        </w:rPr>
        <w:t>备案编号:</w:t>
      </w:r>
      <w:r>
        <w:rPr>
          <w:rFonts w:hint="eastAsia" w:ascii="宋体" w:hAnsi="宋体" w:cs="宋体"/>
          <w:bCs/>
          <w:color w:val="000000"/>
          <w:sz w:val="24"/>
          <w:highlight w:val="none"/>
        </w:rPr>
        <w:t>〖</w:t>
      </w:r>
      <w:r>
        <w:rPr>
          <w:rFonts w:hint="eastAsia" w:ascii="宋体" w:hAnsi="宋体" w:eastAsia="宋体" w:cs="宋体"/>
          <w:bCs/>
          <w:color w:val="000000"/>
          <w:kern w:val="2"/>
          <w:sz w:val="24"/>
          <w:szCs w:val="24"/>
          <w:highlight w:val="none"/>
          <w:lang w:val="en-US" w:eastAsia="zh-CN" w:bidi="ar-SA"/>
        </w:rPr>
        <w:t>Z7002226000259</w:t>
      </w:r>
      <w:r>
        <w:rPr>
          <w:rFonts w:hint="eastAsia" w:ascii="宋体" w:hAnsi="宋体" w:cs="宋体"/>
          <w:bCs/>
          <w:color w:val="000000"/>
          <w:sz w:val="24"/>
          <w:highlight w:val="none"/>
        </w:rPr>
        <w:t>〗</w:t>
      </w:r>
    </w:p>
    <w:p>
      <w:pPr>
        <w:spacing w:line="360" w:lineRule="auto"/>
        <w:jc w:val="center"/>
        <w:rPr>
          <w:rFonts w:hint="eastAsia" w:ascii="宋体" w:hAnsi="宋体" w:cs="宋体"/>
          <w:bCs/>
          <w:color w:val="000000"/>
          <w:sz w:val="24"/>
          <w:highlight w:val="none"/>
        </w:rPr>
      </w:pPr>
    </w:p>
    <w:p>
      <w:pPr>
        <w:numPr>
          <w:ilvl w:val="0"/>
          <w:numId w:val="9"/>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重要须知</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本理财计划不等同于银行存款、预期收益型理财产品或其他产品。</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本理财计划仅向依据中华人民共和国有关法律法规及本理财计划产品说明书规定可以购买本理财计划的投资者发售。</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本理财计划是非保本净值型产品。管理人对本理财计划的本金和收益不提供保证承诺。</w:t>
      </w:r>
      <w:r>
        <w:rPr>
          <w:rFonts w:hint="eastAsia" w:ascii="宋体" w:hAnsi="宋体" w:cs="宋体"/>
          <w:bCs/>
          <w:color w:val="000000"/>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color w:val="000000"/>
          <w:sz w:val="24"/>
          <w:highlight w:val="none"/>
          <w:lang w:eastAsia="zh-CN"/>
        </w:rPr>
        <w:t>《理财计划销售协议书》</w:t>
      </w:r>
      <w:r>
        <w:rPr>
          <w:rFonts w:hint="eastAsia" w:ascii="宋体" w:hAnsi="宋体" w:cs="宋体"/>
          <w:bCs/>
          <w:color w:val="000000"/>
          <w:sz w:val="24"/>
          <w:highlight w:val="none"/>
        </w:rPr>
        <w:t>，将共同构成投资者与管理人之间的理财计划</w:t>
      </w:r>
      <w:r>
        <w:rPr>
          <w:rFonts w:hint="eastAsia" w:ascii="宋体" w:hAnsi="宋体" w:cs="宋体"/>
          <w:bCs/>
          <w:color w:val="000000"/>
          <w:sz w:val="24"/>
          <w:highlight w:val="none"/>
          <w:lang w:val="en-US" w:eastAsia="zh-CN"/>
        </w:rPr>
        <w:t>销售文件</w:t>
      </w:r>
      <w:r>
        <w:rPr>
          <w:rFonts w:hint="eastAsia" w:ascii="宋体" w:hAnsi="宋体" w:cs="宋体"/>
          <w:bCs/>
          <w:color w:val="000000"/>
          <w:sz w:val="24"/>
          <w:highlight w:val="none"/>
        </w:rPr>
        <w:t>。</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在本理财计划存续期内，如因监管政策或法律法规发生变化，在不损害投资者利益的前提下，管理人有权对</w:t>
      </w:r>
      <w:r>
        <w:rPr>
          <w:rFonts w:hint="eastAsia" w:ascii="宋体" w:hAnsi="宋体" w:cs="宋体"/>
          <w:bCs/>
          <w:color w:val="000000"/>
          <w:sz w:val="24"/>
          <w:highlight w:val="none"/>
          <w:lang w:val="en-US" w:eastAsia="zh-CN"/>
        </w:rPr>
        <w:t>因上述变化导致的</w:t>
      </w:r>
      <w:r>
        <w:rPr>
          <w:rFonts w:hint="eastAsia" w:ascii="宋体" w:hAnsi="宋体" w:cs="宋体"/>
          <w:bCs/>
          <w:color w:val="000000"/>
          <w:sz w:val="24"/>
          <w:highlight w:val="none"/>
        </w:rPr>
        <w:t>本理财计划说明书条款</w:t>
      </w:r>
      <w:r>
        <w:rPr>
          <w:rFonts w:hint="eastAsia" w:ascii="宋体" w:hAnsi="宋体" w:cs="宋体"/>
          <w:bCs/>
          <w:color w:val="000000"/>
          <w:sz w:val="24"/>
          <w:highlight w:val="none"/>
          <w:lang w:val="en-US" w:eastAsia="zh-CN"/>
        </w:rPr>
        <w:t>变化</w:t>
      </w:r>
      <w:r>
        <w:rPr>
          <w:rFonts w:hint="eastAsia" w:ascii="宋体" w:hAnsi="宋体" w:cs="宋体"/>
          <w:bCs/>
          <w:color w:val="000000"/>
          <w:sz w:val="24"/>
          <w:highlight w:val="none"/>
        </w:rPr>
        <w:t>进行修订。</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管理人承诺以诚实守信、勤勉尽职的原则，根据本理财计划说明书所载要求管理和运用理财计划资产。</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管理人有权依法对本理财计划产品说明书进行解释。</w:t>
      </w:r>
    </w:p>
    <w:p>
      <w:pPr>
        <w:spacing w:line="360" w:lineRule="auto"/>
        <w:jc w:val="left"/>
        <w:rPr>
          <w:rFonts w:hint="eastAsia" w:ascii="宋体" w:hAnsi="宋体" w:cs="宋体"/>
          <w:bCs/>
          <w:color w:val="000000"/>
          <w:sz w:val="24"/>
          <w:highlight w:val="none"/>
        </w:rPr>
      </w:pPr>
    </w:p>
    <w:p>
      <w:pPr>
        <w:numPr>
          <w:ilvl w:val="0"/>
          <w:numId w:val="1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释义</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本说明书中，除非另有明确说明，否则下列词语或简称具有如下含义：</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参与主体用语</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理财计划管理人/产品管理人/管理人/本公司：</w:t>
      </w:r>
      <w:r>
        <w:rPr>
          <w:rFonts w:hint="eastAsia" w:ascii="宋体" w:hAnsi="宋体" w:cs="宋体"/>
          <w:bCs/>
          <w:color w:val="000000"/>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000000"/>
          <w:kern w:val="2"/>
          <w:highlight w:val="none"/>
          <w:lang w:eastAsia="zh-CN"/>
        </w:rPr>
        <w:t>。杭银理财有限责任公司简称杭银理财，官网网站为</w:t>
      </w:r>
      <w:r>
        <w:rPr>
          <w:rFonts w:hint="eastAsia" w:ascii="宋体" w:hAnsi="宋体" w:cs="宋体"/>
          <w:bCs/>
          <w:color w:val="000000"/>
          <w:kern w:val="2"/>
          <w:highlight w:val="none"/>
          <w:u w:val="none"/>
          <w:lang w:val="en-US" w:eastAsia="zh-CN"/>
        </w:rPr>
        <w:t>https://</w:t>
      </w:r>
      <w:r>
        <w:fldChar w:fldCharType="begin"/>
      </w:r>
      <w:r>
        <w:instrText xml:space="preserve"> HYPERLINK "http://www.hzbank.com.cn" </w:instrText>
      </w:r>
      <w:r>
        <w:fldChar w:fldCharType="separate"/>
      </w:r>
      <w:r>
        <w:rPr>
          <w:rFonts w:hint="eastAsia" w:ascii="宋体" w:hAnsi="宋体" w:cs="宋体"/>
          <w:bCs/>
          <w:color w:val="000000"/>
          <w:kern w:val="2"/>
          <w:highlight w:val="none"/>
          <w:u w:val="none"/>
        </w:rPr>
        <w:t>www.hzbank</w:t>
      </w:r>
      <w:r>
        <w:rPr>
          <w:rFonts w:hint="eastAsia" w:ascii="宋体" w:hAnsi="宋体" w:cs="宋体"/>
          <w:bCs/>
          <w:color w:val="000000"/>
          <w:kern w:val="2"/>
          <w:highlight w:val="none"/>
          <w:u w:val="none"/>
          <w:lang w:val="en-US" w:eastAsia="zh-CN"/>
        </w:rPr>
        <w:t>wealth</w:t>
      </w:r>
      <w:r>
        <w:rPr>
          <w:rFonts w:hint="eastAsia" w:ascii="宋体" w:hAnsi="宋体" w:cs="宋体"/>
          <w:bCs/>
          <w:color w:val="000000"/>
          <w:kern w:val="2"/>
          <w:highlight w:val="none"/>
          <w:u w:val="none"/>
        </w:rPr>
        <w:t>.com.cn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u w:val="none"/>
          <w:lang w:eastAsia="zh-CN"/>
        </w:rPr>
        <w:t>，</w:t>
      </w:r>
      <w:r>
        <w:rPr>
          <w:rFonts w:hint="eastAsia" w:ascii="宋体" w:hAnsi="宋体" w:cs="宋体"/>
          <w:bCs/>
          <w:color w:val="000000"/>
          <w:kern w:val="2"/>
          <w:highlight w:val="none"/>
          <w:u w:val="none"/>
          <w:lang w:val="en-US" w:eastAsia="zh-CN"/>
        </w:rPr>
        <w:t>客服电话400-8950-999</w:t>
      </w:r>
      <w:r>
        <w:rPr>
          <w:rFonts w:hint="eastAsia" w:ascii="宋体" w:hAnsi="宋体" w:cs="宋体"/>
          <w:bCs/>
          <w:color w:val="000000"/>
          <w:kern w:val="2"/>
          <w:highlight w:val="none"/>
          <w:u w:val="none"/>
        </w:rPr>
        <w:t>。</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fldChar w:fldCharType="begin"/>
      </w:r>
      <w:r>
        <w:instrText xml:space="preserve"> HYPERLINK "http://www.hzbank.com.cn" </w:instrText>
      </w:r>
      <w: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理财计划托管人/产品托管人/托管人：</w:t>
      </w:r>
      <w:r>
        <w:rPr>
          <w:rFonts w:hint="eastAsia" w:ascii="宋体" w:hAnsi="宋体" w:cs="宋体"/>
          <w:bCs/>
          <w:color w:val="000000"/>
          <w:kern w:val="2"/>
          <w:highlight w:val="none"/>
        </w:rPr>
        <w:t>指</w:t>
      </w:r>
      <w:r>
        <w:rPr>
          <w:rFonts w:hint="eastAsia" w:ascii="宋体" w:hAnsi="宋体" w:cs="宋体"/>
          <w:color w:val="000000"/>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color w:val="000000"/>
          <w:sz w:val="24"/>
          <w:szCs w:val="24"/>
          <w:highlight w:val="none"/>
        </w:rPr>
        <w:t>〗</w:t>
      </w:r>
      <w:r>
        <w:rPr>
          <w:rFonts w:hint="eastAsia" w:ascii="宋体" w:hAnsi="宋体" w:cs="宋体"/>
          <w:bCs/>
          <w:color w:val="000000"/>
          <w:kern w:val="2"/>
          <w:highlight w:val="none"/>
        </w:rPr>
        <w:t>。</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认购人：</w:t>
      </w:r>
      <w:r>
        <w:rPr>
          <w:rFonts w:hint="eastAsia" w:ascii="宋体" w:hAnsi="宋体" w:cs="宋体"/>
          <w:bCs/>
          <w:color w:val="000000"/>
          <w:kern w:val="2"/>
          <w:highlight w:val="none"/>
        </w:rPr>
        <w:t>指在理财计划认购期间签署理财计划合同并向理财计划管理人交付认购资金的个人、机构投资者。</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理财计划份额持有人/持有人：</w:t>
      </w:r>
      <w:r>
        <w:rPr>
          <w:rFonts w:hint="eastAsia" w:ascii="宋体" w:hAnsi="宋体" w:cs="宋体"/>
          <w:bCs/>
          <w:color w:val="000000"/>
          <w:kern w:val="2"/>
          <w:highlight w:val="none"/>
        </w:rPr>
        <w:t>指认购/申购申请后，经过管理人确认成功后，从而持有理财计划份额的投资者。</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监管机构：</w:t>
      </w:r>
      <w:r>
        <w:rPr>
          <w:rFonts w:hint="eastAsia" w:ascii="宋体" w:hAnsi="宋体" w:cs="宋体"/>
          <w:bCs/>
          <w:color w:val="000000"/>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000000"/>
          <w:kern w:val="2"/>
          <w:highlight w:val="none"/>
          <w:lang w:eastAsia="zh-CN"/>
        </w:rPr>
        <w:t>国家金融监督管理总局</w:t>
      </w:r>
      <w:r>
        <w:rPr>
          <w:rFonts w:hint="eastAsia" w:ascii="宋体" w:hAnsi="宋体" w:cs="宋体"/>
          <w:bCs/>
          <w:color w:val="000000"/>
          <w:kern w:val="2"/>
          <w:highlight w:val="none"/>
        </w:rPr>
        <w:t>、中国证券监督管理委员会、外汇管理局、银行业理财登记托管中心等。</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法律文件用语</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说明书/产品说明书：</w:t>
      </w:r>
      <w:r>
        <w:rPr>
          <w:rFonts w:hint="eastAsia" w:ascii="宋体" w:hAnsi="宋体" w:cs="宋体"/>
          <w:bCs/>
          <w:color w:val="000000"/>
          <w:kern w:val="2"/>
          <w:highlight w:val="none"/>
        </w:rPr>
        <w:t>指《</w:t>
      </w:r>
      <w:r>
        <w:rPr>
          <w:rFonts w:hint="eastAsia" w:ascii="宋体" w:hAnsi="宋体" w:eastAsia="宋体" w:cs="宋体"/>
          <w:bCs/>
          <w:color w:val="000000"/>
          <w:kern w:val="2"/>
          <w:sz w:val="24"/>
          <w:szCs w:val="24"/>
          <w:highlight w:val="none"/>
          <w:lang w:val="en-US" w:eastAsia="zh-CN" w:bidi="ar-SA"/>
        </w:rPr>
        <w:t>幸福99丰裕固收763天26113期理财</w:t>
      </w:r>
      <w:r>
        <w:rPr>
          <w:rFonts w:hint="eastAsia" w:ascii="宋体" w:hAnsi="宋体" w:cs="宋体"/>
          <w:bCs/>
          <w:color w:val="000000"/>
          <w:highlight w:val="none"/>
        </w:rPr>
        <w:t>产品说明书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风险揭示书：</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幸福99丰裕固收763天26113期理财</w:t>
      </w:r>
      <w:r>
        <w:rPr>
          <w:rFonts w:hint="eastAsia" w:ascii="宋体" w:hAnsi="宋体" w:cs="宋体"/>
          <w:bCs/>
          <w:color w:val="000000"/>
          <w:highlight w:val="none"/>
        </w:rPr>
        <w:t>合同不可分割组成部分的风险揭示书，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投资者权益须知：</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幸福99丰裕固收763天26113期理财</w:t>
      </w:r>
      <w:r>
        <w:rPr>
          <w:rFonts w:hint="eastAsia" w:ascii="宋体" w:hAnsi="宋体" w:cs="宋体"/>
          <w:bCs/>
          <w:color w:val="000000"/>
          <w:highlight w:val="none"/>
        </w:rPr>
        <w:t>合同不可分割组成部分的投资者权益须知，</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投资协议书：</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幸福99丰裕固收763天26113期理财</w:t>
      </w:r>
      <w:r>
        <w:rPr>
          <w:rFonts w:hint="eastAsia" w:ascii="宋体" w:hAnsi="宋体" w:cs="宋体"/>
          <w:bCs/>
          <w:color w:val="000000"/>
          <w:highlight w:val="none"/>
        </w:rPr>
        <w:t>合同不可分割组成部分的理财计划投资协议书，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bCs w:val="0"/>
          <w:color w:val="000000"/>
          <w:kern w:val="2"/>
          <w:highlight w:val="none"/>
          <w:lang w:eastAsia="zh-CN"/>
        </w:rPr>
        <w:t>理财</w:t>
      </w:r>
      <w:r>
        <w:rPr>
          <w:rFonts w:hint="eastAsia" w:ascii="宋体" w:hAnsi="宋体" w:cs="宋体"/>
          <w:b/>
          <w:bCs w:val="0"/>
          <w:color w:val="000000"/>
          <w:kern w:val="2"/>
          <w:highlight w:val="none"/>
          <w:lang w:val="en-US" w:eastAsia="zh-CN"/>
        </w:rPr>
        <w:t>计划</w:t>
      </w:r>
      <w:r>
        <w:rPr>
          <w:rFonts w:hint="eastAsia" w:ascii="宋体" w:hAnsi="宋体" w:cs="宋体"/>
          <w:b/>
          <w:bCs w:val="0"/>
          <w:color w:val="000000"/>
          <w:kern w:val="2"/>
          <w:highlight w:val="none"/>
          <w:lang w:eastAsia="zh-CN"/>
        </w:rPr>
        <w:t>销售协议书：</w:t>
      </w:r>
      <w:r>
        <w:rPr>
          <w:rFonts w:hint="eastAsia" w:ascii="宋体" w:hAnsi="宋体" w:cs="宋体"/>
          <w:bCs/>
          <w:color w:val="000000"/>
          <w:kern w:val="2"/>
          <w:highlight w:val="none"/>
          <w:lang w:eastAsia="zh-CN"/>
        </w:rPr>
        <w:t>指作为</w:t>
      </w:r>
      <w:r>
        <w:rPr>
          <w:rFonts w:hint="eastAsia" w:ascii="宋体" w:hAnsi="宋体" w:eastAsia="宋体" w:cs="宋体"/>
          <w:bCs/>
          <w:color w:val="000000"/>
          <w:kern w:val="2"/>
          <w:sz w:val="24"/>
          <w:szCs w:val="24"/>
          <w:highlight w:val="none"/>
          <w:lang w:val="en-US" w:eastAsia="zh-CN" w:bidi="ar-SA"/>
        </w:rPr>
        <w:t>幸福99丰裕固收763天26113期理财</w:t>
      </w:r>
      <w:r>
        <w:rPr>
          <w:rFonts w:hint="eastAsia" w:ascii="宋体" w:hAnsi="宋体" w:cs="宋体"/>
          <w:bCs/>
          <w:color w:val="000000"/>
          <w:kern w:val="2"/>
          <w:highlight w:val="none"/>
          <w:lang w:val="en-US" w:eastAsia="zh-CN"/>
        </w:rPr>
        <w:t>合同不可分割组成部分的理财计划销售协议书，以及对该文件的有效修改与补充。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合同/销售文件：</w:t>
      </w:r>
      <w:r>
        <w:rPr>
          <w:rFonts w:hint="eastAsia" w:ascii="宋体" w:hAnsi="宋体" w:cs="宋体"/>
          <w:bCs/>
          <w:color w:val="000000"/>
          <w:kern w:val="2"/>
          <w:highlight w:val="none"/>
        </w:rPr>
        <w:t>指《理财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风险揭示书</w:t>
      </w:r>
      <w:r>
        <w:rPr>
          <w:rFonts w:hint="eastAsia" w:ascii="宋体" w:hAnsi="宋体" w:cs="宋体"/>
          <w:bCs/>
          <w:color w:val="000000"/>
          <w:kern w:val="2"/>
          <w:highlight w:val="none"/>
        </w:rPr>
        <w:t>》《</w:t>
      </w:r>
      <w:r>
        <w:rPr>
          <w:rFonts w:hint="eastAsia" w:ascii="宋体" w:hAnsi="宋体" w:cs="宋体"/>
          <w:bCs/>
          <w:color w:val="000000"/>
          <w:kern w:val="2"/>
          <w:highlight w:val="none"/>
          <w:lang w:eastAsia="zh-CN"/>
        </w:rPr>
        <w:t>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产品说明</w:t>
      </w:r>
      <w:r>
        <w:rPr>
          <w:rFonts w:hint="eastAsia" w:ascii="宋体" w:hAnsi="宋体" w:cs="宋体"/>
          <w:bCs/>
          <w:color w:val="000000"/>
          <w:kern w:val="2"/>
          <w:highlight w:val="none"/>
        </w:rPr>
        <w:t>书》《投资者权益须知》《理财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rPr>
        <w:t>投资协议书》</w:t>
      </w:r>
      <w:r>
        <w:rPr>
          <w:rFonts w:hint="eastAsia" w:ascii="宋体" w:hAnsi="宋体" w:cs="宋体"/>
          <w:bCs/>
          <w:color w:val="000000"/>
          <w:kern w:val="2"/>
          <w:highlight w:val="none"/>
          <w:lang w:eastAsia="zh-CN"/>
        </w:rPr>
        <w:t>《理财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销售协议书》五</w:t>
      </w:r>
      <w:r>
        <w:rPr>
          <w:rFonts w:hint="eastAsia" w:ascii="宋体" w:hAnsi="宋体" w:cs="宋体"/>
          <w:bCs/>
          <w:color w:val="000000"/>
          <w:kern w:val="2"/>
          <w:highlight w:val="none"/>
        </w:rPr>
        <w:t>个部分。</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理财产品用语</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理财计划/理财产品/产品：</w:t>
      </w:r>
      <w:r>
        <w:rPr>
          <w:rFonts w:hint="eastAsia" w:ascii="宋体" w:hAnsi="宋体" w:cs="宋体"/>
          <w:bCs/>
          <w:color w:val="000000"/>
          <w:kern w:val="2"/>
          <w:highlight w:val="none"/>
        </w:rPr>
        <w:t>指</w:t>
      </w:r>
      <w:r>
        <w:rPr>
          <w:rFonts w:hint="eastAsia" w:ascii="宋体" w:hAnsi="宋体" w:eastAsia="宋体" w:cs="宋体"/>
          <w:bCs/>
          <w:color w:val="000000"/>
          <w:kern w:val="2"/>
          <w:sz w:val="24"/>
          <w:szCs w:val="24"/>
          <w:highlight w:val="none"/>
          <w:lang w:val="en-US" w:eastAsia="zh-CN" w:bidi="ar-SA"/>
        </w:rPr>
        <w:t>幸福99丰裕固收763天26113期理财</w:t>
      </w:r>
      <w:r>
        <w:rPr>
          <w:rFonts w:hint="eastAsia" w:ascii="宋体" w:hAnsi="宋体" w:cs="宋体"/>
          <w:bCs/>
          <w:color w:val="000000"/>
          <w:highlight w:val="none"/>
        </w:rPr>
        <w:t>。</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理财计划份额/产品份额：</w:t>
      </w:r>
      <w:r>
        <w:rPr>
          <w:rFonts w:hint="eastAsia" w:ascii="宋体" w:hAnsi="宋体" w:cs="宋体"/>
          <w:bCs/>
          <w:color w:val="000000"/>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理财计划份额净值/产品份额净值：</w:t>
      </w:r>
      <w:r>
        <w:rPr>
          <w:rFonts w:hint="eastAsia" w:ascii="宋体" w:hAnsi="宋体" w:cs="宋体"/>
          <w:bCs/>
          <w:color w:val="000000"/>
          <w:highlight w:val="none"/>
        </w:rPr>
        <w:t>指理财计划份额的单位净值，即每1份理财计划份额以人民币或外币（以产品说明书交易币种为准）计价的价格。</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理财计划份额累计净值/产品份额累计净值：</w:t>
      </w:r>
      <w:r>
        <w:rPr>
          <w:rFonts w:hint="eastAsia" w:ascii="宋体" w:hAnsi="宋体" w:cs="宋体"/>
          <w:bCs/>
          <w:color w:val="000000"/>
          <w:highlight w:val="none"/>
        </w:rPr>
        <w:t>指理财计划份额的单位净值与理财计划成立后历次累计单位收益分配的总和。</w:t>
      </w:r>
    </w:p>
    <w:p>
      <w:pPr>
        <w:pStyle w:val="17"/>
        <w:numPr>
          <w:ilvl w:val="0"/>
          <w:numId w:val="15"/>
        </w:numPr>
        <w:adjustRightInd/>
        <w:spacing w:line="360" w:lineRule="auto"/>
        <w:rPr>
          <w:rFonts w:hint="eastAsia" w:ascii="宋体" w:hAnsi="宋体" w:cs="宋体"/>
          <w:b/>
          <w:color w:val="000000"/>
          <w:highlight w:val="none"/>
        </w:rPr>
      </w:pPr>
      <w:r>
        <w:rPr>
          <w:rFonts w:hint="eastAsia" w:ascii="宋体" w:hAnsi="宋体" w:cs="宋体"/>
          <w:b/>
          <w:color w:val="000000"/>
          <w:highlight w:val="none"/>
        </w:rPr>
        <w:t>工作日：</w:t>
      </w:r>
      <w:r>
        <w:rPr>
          <w:rFonts w:hint="eastAsia" w:ascii="宋体" w:hAnsi="宋体" w:cs="宋体"/>
          <w:bCs/>
          <w:color w:val="000000"/>
          <w:highlight w:val="none"/>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color w:val="000000"/>
          <w:highlight w:val="none"/>
        </w:rPr>
      </w:pPr>
      <w:r>
        <w:rPr>
          <w:rFonts w:hint="eastAsia" w:ascii="宋体" w:hAnsi="宋体" w:cs="宋体"/>
          <w:b/>
          <w:color w:val="000000"/>
          <w:highlight w:val="none"/>
        </w:rPr>
        <w:t>交易日：</w:t>
      </w:r>
      <w:r>
        <w:rPr>
          <w:rFonts w:hint="eastAsia" w:ascii="宋体" w:hAnsi="宋体" w:cs="宋体"/>
          <w:bCs/>
          <w:color w:val="000000"/>
          <w:highlight w:val="none"/>
        </w:rPr>
        <w:t>指</w:t>
      </w:r>
      <w:r>
        <w:rPr>
          <w:rFonts w:hint="eastAsia" w:ascii="宋体" w:hAnsi="宋体" w:cs="宋体"/>
          <w:color w:val="000000"/>
          <w:szCs w:val="21"/>
          <w:highlight w:val="none"/>
        </w:rPr>
        <w:t>〖</w:t>
      </w:r>
      <w:r>
        <w:rPr>
          <w:rFonts w:hint="eastAsia" w:ascii="宋体" w:hAnsi="宋体" w:cs="宋体"/>
          <w:bCs/>
          <w:color w:val="000000"/>
          <w:highlight w:val="none"/>
        </w:rPr>
        <w:t>上海证券交易所、深圳证券交易所</w:t>
      </w:r>
      <w:r>
        <w:rPr>
          <w:rFonts w:hint="eastAsia" w:ascii="宋体" w:hAnsi="宋体" w:cs="宋体"/>
          <w:color w:val="000000"/>
          <w:szCs w:val="21"/>
          <w:highlight w:val="none"/>
        </w:rPr>
        <w:t>〗</w:t>
      </w:r>
      <w:r>
        <w:rPr>
          <w:rFonts w:hint="eastAsia" w:ascii="宋体" w:hAnsi="宋体" w:cs="宋体"/>
          <w:bCs/>
          <w:color w:val="000000"/>
          <w:highlight w:val="none"/>
        </w:rPr>
        <w:t>的正常交易日。</w:t>
      </w:r>
      <w:r>
        <w:rPr>
          <w:rFonts w:hint="eastAsia" w:ascii="宋体" w:hAnsi="宋体" w:cs="宋体"/>
          <w:bCs/>
          <w:color w:val="000000"/>
          <w:highlight w:val="none"/>
          <w:lang w:val="en-US" w:eastAsia="zh-CN"/>
        </w:rPr>
        <w:t>如涉及到监管条例部分，统一以监管条例表述替代。</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成立日：</w:t>
      </w:r>
      <w:r>
        <w:rPr>
          <w:rFonts w:hint="eastAsia" w:ascii="宋体" w:hAnsi="宋体" w:cs="宋体"/>
          <w:bCs/>
          <w:color w:val="000000"/>
          <w:highlight w:val="none"/>
        </w:rPr>
        <w:t>指理财计划完成首次募集发行后正式成立运作日。</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认购期：</w:t>
      </w:r>
      <w:r>
        <w:rPr>
          <w:rFonts w:hint="eastAsia" w:ascii="宋体" w:hAnsi="宋体" w:cs="宋体"/>
          <w:bCs/>
          <w:color w:val="000000"/>
          <w:kern w:val="2"/>
          <w:highlight w:val="none"/>
        </w:rPr>
        <w:t>指理财计划成立前，理财计划管理人接受理财计划认购的时间。</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封闭期：</w:t>
      </w:r>
      <w:r>
        <w:rPr>
          <w:rFonts w:hint="eastAsia" w:ascii="宋体" w:hAnsi="宋体" w:cs="宋体"/>
          <w:bCs/>
          <w:color w:val="000000"/>
          <w:kern w:val="2"/>
          <w:highlight w:val="none"/>
        </w:rPr>
        <w:t>指理财</w:t>
      </w:r>
      <w:r>
        <w:rPr>
          <w:rFonts w:hint="eastAsia" w:ascii="宋体" w:hAnsi="宋体" w:cs="宋体"/>
          <w:bCs/>
          <w:color w:val="000000"/>
          <w:kern w:val="2"/>
          <w:highlight w:val="none"/>
          <w:lang w:eastAsia="zh-CN"/>
        </w:rPr>
        <w:t>计划</w:t>
      </w:r>
      <w:r>
        <w:rPr>
          <w:rFonts w:hint="eastAsia" w:ascii="宋体" w:hAnsi="宋体" w:cs="宋体"/>
          <w:bCs/>
          <w:color w:val="000000"/>
          <w:kern w:val="2"/>
          <w:highlight w:val="none"/>
        </w:rPr>
        <w:t>成立后，理财计划不接受投资者申购赎回的时间。</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建仓期：</w:t>
      </w:r>
      <w:r>
        <w:rPr>
          <w:rFonts w:hint="eastAsia" w:ascii="宋体" w:hAnsi="宋体" w:cs="宋体"/>
          <w:bCs/>
          <w:color w:val="000000"/>
          <w:kern w:val="2"/>
          <w:highlight w:val="none"/>
        </w:rPr>
        <w:t>指理财计划成立后，在一定期限内投资比例无法满足本理财计划约定的投资比例要求。</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到期日：</w:t>
      </w:r>
      <w:r>
        <w:rPr>
          <w:rFonts w:hint="eastAsia" w:ascii="宋体" w:hAnsi="宋体" w:cs="宋体"/>
          <w:bCs/>
          <w:color w:val="000000"/>
          <w:kern w:val="2"/>
          <w:highlight w:val="none"/>
        </w:rPr>
        <w:t>指理财计划终止运作的日期。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收益分配基准日：</w:t>
      </w:r>
      <w:r>
        <w:rPr>
          <w:rFonts w:hint="eastAsia" w:ascii="宋体" w:hAnsi="宋体" w:cs="宋体"/>
          <w:bCs/>
          <w:color w:val="000000"/>
          <w:kern w:val="2"/>
          <w:highlight w:val="none"/>
        </w:rPr>
        <w:t>指理财计划进行收益分配时用以确认分配收益金额的最终确认日期。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节假日临时调整：</w:t>
      </w:r>
      <w:r>
        <w:rPr>
          <w:rFonts w:hint="eastAsia" w:ascii="宋体" w:hAnsi="宋体" w:cs="宋体"/>
          <w:bCs/>
          <w:color w:val="000000"/>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提前终止权：</w:t>
      </w:r>
      <w:r>
        <w:rPr>
          <w:rFonts w:hint="eastAsia" w:ascii="宋体" w:hAnsi="宋体" w:cs="宋体"/>
          <w:bCs/>
          <w:color w:val="000000"/>
          <w:highlight w:val="none"/>
        </w:rPr>
        <w:t>指在本理财计划存续期内，管理人单方面决定全部提前终止本理财计划的权利。</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提前终止日：</w:t>
      </w:r>
      <w:r>
        <w:rPr>
          <w:rFonts w:hint="eastAsia" w:ascii="宋体" w:hAnsi="宋体" w:cs="宋体"/>
          <w:bCs/>
          <w:color w:val="000000"/>
          <w:kern w:val="2"/>
          <w:highlight w:val="none"/>
        </w:rPr>
        <w:t>指</w:t>
      </w:r>
      <w:r>
        <w:rPr>
          <w:rFonts w:hint="eastAsia" w:ascii="宋体" w:hAnsi="宋体" w:cs="宋体"/>
          <w:bCs/>
          <w:color w:val="000000"/>
          <w:highlight w:val="none"/>
        </w:rPr>
        <w:t>管理人行使提前终止权的日期，即本理财计划被提前终止、开始停止计算收益的日期。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资金到账日：</w:t>
      </w:r>
      <w:r>
        <w:rPr>
          <w:rFonts w:hint="eastAsia" w:ascii="宋体" w:hAnsi="宋体" w:cs="宋体"/>
          <w:bCs/>
          <w:color w:val="000000"/>
          <w:highlight w:val="none"/>
        </w:rPr>
        <w:t>指理财计划终止运作后，资金返还至投资者账户的日期。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w:t>
      </w:r>
      <w:r>
        <w:rPr>
          <w:rFonts w:hint="eastAsia" w:ascii="宋体" w:hAnsi="宋体" w:cs="宋体"/>
          <w:bCs/>
          <w:color w:val="000000"/>
          <w:kern w:val="2"/>
          <w:highlight w:val="none"/>
        </w:rPr>
        <w:t>指投资者根据理财计划约定申请购买本理财计划份额的行为。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收益分配：</w:t>
      </w:r>
      <w:r>
        <w:rPr>
          <w:rFonts w:hint="eastAsia" w:ascii="宋体" w:hAnsi="宋体" w:cs="宋体"/>
          <w:bCs/>
          <w:color w:val="000000"/>
          <w:kern w:val="2"/>
          <w:highlight w:val="none"/>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理财计划费用/产品费用：</w:t>
      </w:r>
      <w:r>
        <w:rPr>
          <w:rFonts w:hint="eastAsia" w:ascii="宋体" w:hAnsi="宋体" w:cs="宋体"/>
          <w:bCs/>
          <w:color w:val="000000"/>
          <w:highlight w:val="none"/>
        </w:rPr>
        <w:t>指管理人为成立理财计划及处理理财计划事务而支出的所有费用，包括但不限于管理人收取的固定管理费、浮动管理费、</w:t>
      </w:r>
      <w:r>
        <w:rPr>
          <w:rFonts w:hint="eastAsia" w:ascii="宋体" w:hAnsi="宋体" w:cs="宋体"/>
          <w:bCs/>
          <w:color w:val="000000"/>
          <w:highlight w:val="none"/>
          <w:lang w:eastAsia="zh-CN"/>
        </w:rPr>
        <w:t>销售服务费</w:t>
      </w:r>
      <w:r>
        <w:rPr>
          <w:rFonts w:hint="eastAsia" w:ascii="宋体" w:hAnsi="宋体" w:cs="宋体"/>
          <w:bCs/>
          <w:color w:val="000000"/>
          <w:highlight w:val="none"/>
        </w:rPr>
        <w:t>、托管人收取的托管费、交易费用、执行费用等相关费用，具体以</w:t>
      </w:r>
      <w:r>
        <w:rPr>
          <w:rFonts w:hint="eastAsia" w:ascii="宋体" w:hAnsi="宋体" w:cs="宋体"/>
          <w:bCs/>
          <w:color w:val="000000"/>
          <w:highlight w:val="none"/>
          <w:lang w:eastAsia="zh-CN"/>
        </w:rPr>
        <w:t>实际发生</w:t>
      </w:r>
      <w:r>
        <w:rPr>
          <w:rFonts w:hint="eastAsia" w:ascii="宋体" w:hAnsi="宋体" w:cs="宋体"/>
          <w:bCs/>
          <w:color w:val="000000"/>
          <w:highlight w:val="none"/>
        </w:rPr>
        <w:t>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bCs w:val="0"/>
          <w:color w:val="000000"/>
          <w:highlight w:val="none"/>
          <w:lang w:eastAsia="zh-CN"/>
        </w:rPr>
        <w:t>其他费用：</w:t>
      </w:r>
      <w:r>
        <w:rPr>
          <w:rFonts w:hint="eastAsia" w:ascii="宋体" w:hAnsi="宋体" w:cs="宋体"/>
          <w:b w:val="0"/>
          <w:bCs/>
          <w:color w:val="000000"/>
          <w:highlight w:val="none"/>
          <w:lang w:eastAsia="zh-CN"/>
        </w:rPr>
        <w:t>指除理财计划费用以外，理财计划涉及的其他相关费用，包括但不限于认购费、申购费、赎回费、投顾费等，具体以</w:t>
      </w:r>
      <w:r>
        <w:rPr>
          <w:rFonts w:hint="eastAsia" w:ascii="宋体" w:hAnsi="宋体" w:cs="宋体"/>
          <w:bCs/>
          <w:color w:val="000000"/>
          <w:highlight w:val="none"/>
        </w:rPr>
        <w:t>本说明书第八条约定</w:t>
      </w:r>
      <w:r>
        <w:rPr>
          <w:rFonts w:hint="eastAsia" w:ascii="宋体" w:hAnsi="宋体" w:cs="宋体"/>
          <w:b w:val="0"/>
          <w:bCs/>
          <w:color w:val="000000"/>
          <w:highlight w:val="none"/>
          <w:lang w:eastAsia="zh-CN"/>
        </w:rPr>
        <w:t>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理财计划估值：</w:t>
      </w:r>
      <w:r>
        <w:rPr>
          <w:rFonts w:hint="eastAsia" w:ascii="宋体" w:hAnsi="宋体" w:cs="宋体"/>
          <w:bCs/>
          <w:color w:val="000000"/>
          <w:highlight w:val="none"/>
        </w:rPr>
        <w:t>指计算评估理财计划资产以确定理财计划份额净值的过程。</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理财业绩比较基准：</w:t>
      </w:r>
      <w:r>
        <w:rPr>
          <w:rFonts w:hint="eastAsia" w:ascii="宋体" w:hAnsi="宋体" w:cs="宋体"/>
          <w:bCs/>
          <w:color w:val="000000"/>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指定账户：</w:t>
      </w:r>
      <w:r>
        <w:rPr>
          <w:rFonts w:hint="eastAsia" w:ascii="宋体" w:hAnsi="宋体" w:cs="宋体"/>
          <w:bCs/>
          <w:color w:val="000000"/>
          <w:kern w:val="2"/>
          <w:highlight w:val="none"/>
        </w:rPr>
        <w:t>指投资者开立的，在理财计划认/申购时指定扣划本金、返还本金或收益的银行账户。</w:t>
      </w:r>
    </w:p>
    <w:p>
      <w:pPr>
        <w:pStyle w:val="17"/>
        <w:numPr>
          <w:ilvl w:val="0"/>
          <w:numId w:val="15"/>
        </w:numPr>
        <w:adjustRightInd/>
        <w:spacing w:line="360" w:lineRule="auto"/>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流动性</w:t>
      </w:r>
      <w:r>
        <w:rPr>
          <w:rFonts w:hint="eastAsia"/>
          <w:b/>
          <w:bCs w:val="0"/>
          <w:color w:val="000000"/>
          <w:highlight w:val="none"/>
          <w:lang w:val="en-US" w:eastAsia="zh-CN"/>
        </w:rPr>
        <w:t>受限资产：</w:t>
      </w:r>
      <w:r>
        <w:rPr>
          <w:rFonts w:hint="eastAsia"/>
          <w:color w:val="000000"/>
          <w:highlight w:val="none"/>
          <w:lang w:val="en-US" w:eastAsia="zh-CN"/>
        </w:rPr>
        <w:t>是指由于法律法规、监管、合同或操作障碍等原因无法以合理价格予以变现的资产，包括到期日在</w:t>
      </w:r>
      <w:r>
        <w:rPr>
          <w:rFonts w:hint="eastAsia" w:ascii="宋体" w:hAnsi="宋体" w:eastAsia="宋体" w:cs="宋体"/>
          <w:color w:val="000000"/>
          <w:highlight w:val="none"/>
          <w:lang w:val="en-US" w:eastAsia="zh-CN"/>
        </w:rPr>
        <w:t>10</w:t>
      </w:r>
      <w:r>
        <w:rPr>
          <w:rFonts w:hint="eastAsia"/>
          <w:color w:val="000000"/>
          <w:highlight w:val="none"/>
          <w:lang w:val="en-US" w:eastAsia="zh-CN"/>
        </w:rPr>
        <w:t>个交易日以上的逆回购与银行定期存款（含协议约定有条件提前支取的银行存款）、距可赎回日在</w:t>
      </w:r>
      <w:r>
        <w:rPr>
          <w:rFonts w:hint="eastAsia" w:ascii="宋体" w:hAnsi="宋体" w:eastAsia="宋体" w:cs="宋体"/>
          <w:color w:val="000000"/>
          <w:highlight w:val="none"/>
          <w:lang w:val="en-US" w:eastAsia="zh-CN"/>
        </w:rPr>
        <w:t>10</w:t>
      </w:r>
      <w:r>
        <w:rPr>
          <w:rFonts w:hint="eastAsia"/>
          <w:color w:val="000000"/>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rPr>
          <w:rFonts w:hint="eastAsia" w:ascii="宋体" w:hAnsi="宋体" w:cs="宋体"/>
          <w:b/>
          <w:bCs w:val="0"/>
          <w:color w:val="000000"/>
          <w:kern w:val="2"/>
          <w:highlight w:val="none"/>
        </w:rPr>
      </w:pPr>
      <w:r>
        <w:rPr>
          <w:rFonts w:hint="eastAsia"/>
          <w:b/>
          <w:bCs/>
          <w:color w:val="000000"/>
          <w:highlight w:val="none"/>
          <w:lang w:val="en-US" w:eastAsia="zh-CN"/>
        </w:rPr>
        <w:t>投资退出期：</w:t>
      </w:r>
      <w:r>
        <w:rPr>
          <w:rFonts w:hint="eastAsia" w:ascii="Times New Roman" w:hAnsi="Times New Roman" w:eastAsia="宋体" w:cs="Times New Roman"/>
          <w:color w:val="000000"/>
          <w:highlight w:val="none"/>
          <w:lang w:val="en-US" w:eastAsia="zh-CN"/>
        </w:rPr>
        <w:t>是指理财计划临近到期前，管理人通过资产变现用以进行资金交割清算的准备期。</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相关事件用语</w:t>
      </w:r>
    </w:p>
    <w:p>
      <w:pPr>
        <w:pStyle w:val="17"/>
        <w:numPr>
          <w:ilvl w:val="0"/>
          <w:numId w:val="16"/>
        </w:numPr>
        <w:adjustRightInd/>
        <w:spacing w:line="360" w:lineRule="auto"/>
        <w:rPr>
          <w:rFonts w:hint="eastAsia" w:ascii="宋体" w:hAnsi="宋体" w:cs="宋体"/>
          <w:bCs/>
          <w:color w:val="000000"/>
          <w:kern w:val="2"/>
          <w:highlight w:val="none"/>
        </w:rPr>
      </w:pPr>
      <w:r>
        <w:rPr>
          <w:rFonts w:hint="eastAsia" w:ascii="宋体" w:hAnsi="宋体" w:cs="宋体"/>
          <w:b/>
          <w:color w:val="000000"/>
          <w:kern w:val="2"/>
          <w:highlight w:val="none"/>
        </w:rPr>
        <w:t>不可抗力：</w:t>
      </w:r>
      <w:r>
        <w:rPr>
          <w:rFonts w:hint="eastAsia" w:ascii="宋体" w:hAnsi="宋体" w:cs="宋体"/>
          <w:bCs/>
          <w:color w:val="000000"/>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color w:val="000000"/>
          <w:highlight w:val="none"/>
        </w:rPr>
      </w:pPr>
      <w:r>
        <w:rPr>
          <w:rFonts w:hint="eastAsia" w:ascii="宋体" w:hAnsi="宋体" w:cs="宋体"/>
          <w:bCs/>
          <w:color w:val="000000"/>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巨额赎回：</w:t>
      </w:r>
      <w:r>
        <w:rPr>
          <w:rFonts w:hint="eastAsia" w:ascii="宋体" w:hAnsi="宋体" w:cs="宋体"/>
          <w:bCs/>
          <w:color w:val="000000"/>
          <w:kern w:val="2"/>
          <w:highlight w:val="none"/>
        </w:rPr>
        <w:t>指理财计划的申购和赎回开放期内，理财计划任一开放日净赎回申请份额超过上一工作日日终理财计划总份额的10%，即为发生巨额赎回行为。</w:t>
      </w:r>
    </w:p>
    <w:p>
      <w:pPr>
        <w:pStyle w:val="17"/>
        <w:numPr>
          <w:ilvl w:val="0"/>
          <w:numId w:val="17"/>
        </w:numPr>
        <w:adjustRightInd/>
        <w:spacing w:line="360" w:lineRule="auto"/>
        <w:ind w:firstLine="482" w:firstLineChars="200"/>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摆动定价机制：</w:t>
      </w:r>
      <w:r>
        <w:rPr>
          <w:rFonts w:hint="eastAsia" w:ascii="宋体" w:hAnsi="宋体" w:cs="宋体"/>
          <w:b w:val="0"/>
          <w:bCs/>
          <w:color w:val="000000"/>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17"/>
        </w:numPr>
        <w:adjustRightInd/>
        <w:spacing w:line="360" w:lineRule="auto"/>
        <w:ind w:firstLine="482" w:firstLineChars="200"/>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短期赎回费机制：</w:t>
      </w:r>
      <w:r>
        <w:rPr>
          <w:rFonts w:hint="eastAsia" w:ascii="宋体" w:hAnsi="宋体" w:cs="宋体"/>
          <w:b w:val="0"/>
          <w:bCs/>
          <w:color w:val="000000"/>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000000"/>
          <w:kern w:val="2"/>
          <w:highlight w:val="none"/>
        </w:rPr>
      </w:pPr>
    </w:p>
    <w:p>
      <w:pPr>
        <w:pStyle w:val="17"/>
        <w:numPr>
          <w:ilvl w:val="0"/>
          <w:numId w:val="18"/>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风险评级</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000000"/>
          <w:kern w:val="2"/>
          <w:highlight w:val="none"/>
        </w:rPr>
        <w:t>本理财计划的风险等级为〖</w:t>
      </w:r>
      <w:r>
        <w:rPr>
          <w:rFonts w:hint="eastAsia" w:ascii="宋体" w:hAnsi="宋体" w:eastAsia="宋体" w:cs="宋体"/>
          <w:b/>
          <w:color w:val="000000"/>
          <w:kern w:val="2"/>
          <w:sz w:val="24"/>
          <w:szCs w:val="24"/>
          <w:highlight w:val="none"/>
          <w:lang w:val="en-US" w:eastAsia="zh-CN" w:bidi="ar-SA"/>
        </w:rPr>
        <w:t>R2</w:t>
      </w:r>
      <w:r>
        <w:rPr>
          <w:rFonts w:hint="eastAsia" w:ascii="宋体" w:hAnsi="宋体" w:cs="宋体"/>
          <w:b/>
          <w:color w:val="000000"/>
          <w:kern w:val="2"/>
          <w:highlight w:val="none"/>
        </w:rPr>
        <w:t>〗，〖</w:t>
      </w:r>
      <w:r>
        <w:rPr>
          <w:rFonts w:hint="eastAsia" w:ascii="宋体" w:hAnsi="宋体" w:eastAsia="宋体" w:cs="宋体"/>
          <w:b/>
          <w:color w:val="000000"/>
          <w:kern w:val="2"/>
          <w:sz w:val="24"/>
          <w:szCs w:val="24"/>
          <w:highlight w:val="none"/>
          <w:lang w:val="en-US" w:eastAsia="zh-CN" w:bidi="ar-SA"/>
        </w:rPr>
        <w:t>中低</w:t>
      </w:r>
      <w:r>
        <w:rPr>
          <w:rFonts w:hint="eastAsia" w:ascii="宋体" w:hAnsi="宋体" w:cs="宋体"/>
          <w:b/>
          <w:color w:val="000000"/>
          <w:kern w:val="2"/>
          <w:highlight w:val="none"/>
        </w:rPr>
        <w:t>〗风险。</w:t>
      </w:r>
      <w:r>
        <w:rPr>
          <w:rFonts w:hint="eastAsia" w:ascii="宋体" w:hAnsi="宋体" w:cs="宋体"/>
          <w:bCs/>
          <w:color w:val="000000"/>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保守型、</w:t>
            </w:r>
            <w:r>
              <w:rPr>
                <w:rFonts w:hint="eastAsia" w:ascii="宋体" w:hAnsi="宋体" w:cs="宋体"/>
                <w:bCs/>
                <w:color w:val="000000"/>
                <w:kern w:val="2"/>
                <w:highlight w:val="none"/>
              </w:rPr>
              <w:t>稳健型</w:t>
            </w:r>
            <w:r>
              <w:rPr>
                <w:rFonts w:hint="eastAsia" w:ascii="宋体" w:hAnsi="宋体" w:cs="宋体"/>
                <w:bCs/>
                <w:color w:val="000000"/>
                <w:kern w:val="2"/>
                <w:highlight w:val="none"/>
                <w:lang w:eastAsia="zh-CN"/>
              </w:rPr>
              <w:t>、</w:t>
            </w: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w:t>
            </w:r>
            <w:r>
              <w:rPr>
                <w:rFonts w:hint="eastAsia" w:ascii="宋体" w:hAnsi="宋体" w:cs="宋体"/>
                <w:bCs/>
                <w:color w:val="000000"/>
                <w:kern w:val="2"/>
                <w:highlight w:val="none"/>
              </w:rPr>
              <w:t>型</w:t>
            </w:r>
            <w:r>
              <w:rPr>
                <w:rFonts w:hint="eastAsia" w:ascii="宋体" w:hAnsi="宋体" w:cs="宋体"/>
                <w:bCs/>
                <w:color w:val="000000"/>
                <w:kern w:val="2"/>
                <w:highlight w:val="none"/>
                <w:lang w:eastAsia="zh-CN"/>
              </w:rPr>
              <w:t>、进取</w:t>
            </w:r>
            <w:r>
              <w:rPr>
                <w:rFonts w:hint="eastAsia" w:ascii="宋体" w:hAnsi="宋体" w:cs="宋体"/>
                <w:bCs/>
                <w:color w:val="000000"/>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稳健型</w:t>
            </w:r>
            <w:r>
              <w:rPr>
                <w:rFonts w:hint="eastAsia" w:ascii="宋体" w:hAnsi="宋体" w:cs="宋体"/>
                <w:bCs/>
                <w:color w:val="000000"/>
                <w:kern w:val="2"/>
                <w:highlight w:val="none"/>
                <w:lang w:eastAsia="zh-CN"/>
              </w:rPr>
              <w:t>、</w:t>
            </w: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w:t>
            </w:r>
            <w:r>
              <w:rPr>
                <w:rFonts w:hint="eastAsia" w:ascii="宋体" w:hAnsi="宋体" w:cs="宋体"/>
                <w:bCs/>
                <w:color w:val="000000"/>
                <w:kern w:val="2"/>
                <w:highlight w:val="none"/>
              </w:rPr>
              <w:t>型</w:t>
            </w:r>
            <w:r>
              <w:rPr>
                <w:rFonts w:hint="eastAsia" w:ascii="宋体" w:hAnsi="宋体" w:cs="宋体"/>
                <w:bCs/>
                <w:color w:val="000000"/>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进取型</w:t>
            </w:r>
          </w:p>
        </w:tc>
      </w:tr>
    </w:tbl>
    <w:p>
      <w:pPr>
        <w:pStyle w:val="17"/>
        <w:adjustRightInd/>
        <w:spacing w:line="360" w:lineRule="auto"/>
        <w:ind w:firstLine="480" w:firstLineChars="200"/>
        <w:rPr>
          <w:rFonts w:hint="default" w:ascii="宋体" w:hAnsi="宋体" w:cs="宋体"/>
          <w:bCs/>
          <w:color w:val="000000"/>
          <w:kern w:val="2"/>
          <w:highlight w:val="none"/>
          <w:lang w:val="en-US" w:eastAsia="zh-CN"/>
        </w:rPr>
      </w:pPr>
      <w:r>
        <w:rPr>
          <w:rFonts w:hint="eastAsia" w:ascii="宋体" w:hAnsi="宋体" w:cs="宋体"/>
          <w:bCs/>
          <w:color w:val="000000"/>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000000"/>
          <w:kern w:val="2"/>
          <w:highlight w:val="none"/>
          <w:lang w:eastAsia="zh-CN"/>
        </w:rPr>
      </w:pPr>
    </w:p>
    <w:p>
      <w:pPr>
        <w:pStyle w:val="17"/>
        <w:numPr>
          <w:ilvl w:val="0"/>
          <w:numId w:val="18"/>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幸福99丰裕固收763天26113期理财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丰裕固收26113期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FYG26113</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Z7002226000259</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000000"/>
                <w:kern w:val="2"/>
                <w:highlight w:val="none"/>
                <w:lang w:eastAsia="zh-CN"/>
              </w:rPr>
              <w:t>投资者风险承受能力评级水平以销售机构评估为准。</w:t>
            </w:r>
          </w:p>
          <w:p>
            <w:pPr>
              <w:pageBreakBefore w:val="0"/>
              <w:spacing w:before="0" w:after="0" w:line="360" w:lineRule="auto"/>
              <w:ind w:left="0" w:right="0" w:hanging="1"/>
              <w:jc w:val="left"/>
              <w:textAlignment w:val="auto"/>
            </w:pPr>
            <w:r>
              <w:rPr>
                <w:rFonts w:ascii="宋体" w:hAnsi="宋体" w:eastAsia="宋体" w:cs="宋体"/>
                <w:b/>
                <w:i w:val="0"/>
                <w:caps w:val="0"/>
                <w:strike w:val="0"/>
                <w:dstrike w:val="0"/>
                <w:shadow w:val="0"/>
                <w:emboss w:val="0"/>
                <w:imprint w:val="0"/>
                <w:color w:val="000000"/>
                <w:kern w:val="2"/>
                <w:position w:val="-1"/>
                <w:sz w:val="21"/>
                <w:u w:val="none"/>
                <w:vertAlign w:val="baseline"/>
              </w:rPr>
              <w:t>其中：</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A份额（销售代码〖FYG26113A〗）：普通个人投资者和机构客户。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B份额（销售代码〖FYG26113B〗）：普通个人投资者和机构客户。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C份额（销售代码〖FYG26113C〗）：普通个人投资者和机构客户。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D份额（销售代码〖FYG26113D〗）：普通个人投资者和机构客户。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E份额惠享款（幸福金桂）（销售代码〖FYG26113E〗）：普通个人投资者和机构客户。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F份额惠享款（幸福金桂私行专属）（销售代码〖FYG26113F〗）：特邀客户。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H份额（销售代码〖FYG26113H〗）：普通个人投资者和机构客户。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I份额（爽盈优选）（销售代码〖FYG26113I〗）：普通个人投资者和机构客户。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J份额（天府·优选）（销售代码〖FYG26113J〗）：普通个人投资者和机构客户。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K份额惠享款（吉享人生）（销售代码〖FYG26113K〗）：普通个人投资者和机构客户。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M份额惠享款（湖北银行专属）（销售代码〖FYG26113M〗）：普通个人投资者和机构客户。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N份额惠享款（长长财富·鑫享）（销售代码〖FYG26113N〗）：普通个人投资者和机构客户。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P份额（芙蓉锦程·优选）（销售代码〖FYG26113P〗）：普通个人投资者和机构客户。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Q份额（芙蓉锦程·优选-尊享款）（销售代码〖FYG26113Q〗）：普通个人投资者和机构客户。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R份额（吉林农商工薪代发专属）（销售代码〖FYG26113R〗）：普通个人投资者和机构客户。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U份额（吉林农商工会卡专属）（销售代码〖FYG26113U〗）：普通个人投资者和机构客户。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W份额惠享款（销售代码〖FYG26113W〗）：普通个人投资者和机构客户。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X份额惠享款（销售代码〖FYG26113X〗）：普通个人投资者和机构客户。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Y份额惠享款（销售代码〖FYG26113Y〗）：普通个人投资者和机构客户。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Z份额惠享款（销售代码〖FYG26113Z〗）：普通个人投资者和机构客户。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固定收益类</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否</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人民币</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16</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22</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23</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2028</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8</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24</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763</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〖K份额〗起点〖5〗万元整，超过认购起点部分，应为〖1〗元的整数倍。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，则管理人可宣布本理财计划不成立并在原定理财计划成立日后〖2〗个工作日内通过管理人或销售机构发布不成立信息，投资者购买的理财资金将在原定成立日后2个工作日内划转至投资者指定理财账户，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CN"/>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理财计划总份额，单位净值〖保留小数点后四位〗</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w:t>
            </w:r>
            <w:r>
              <w:rPr>
                <w:rFonts w:hint="eastAsia" w:ascii="宋体" w:hAnsi="宋体" w:cs="宋体"/>
                <w:color w:val="000000"/>
                <w:kern w:val="2"/>
                <w:sz w:val="21"/>
                <w:szCs w:val="21"/>
                <w:highlight w:val="none"/>
                <w:lang w:val="en-US" w:eastAsia="zh-CN" w:bidi="ar-SA"/>
              </w:rPr>
              <w:t>四舍五入</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color w:val="000000"/>
                <w:kern w:val="2"/>
                <w:sz w:val="21"/>
                <w:szCs w:val="21"/>
                <w:lang w:val="en-US" w:eastAsia="zh-CN" w:bidi="ar"/>
              </w:rPr>
              <w:t>〖1〗个〖工作日〗</w:t>
            </w:r>
            <w:r>
              <w:rPr>
                <w:rFonts w:hint="eastAsia" w:ascii="宋体" w:hAnsi="宋体" w:cs="宋体"/>
                <w:color w:val="000000"/>
                <w:szCs w:val="21"/>
                <w:highlight w:val="none"/>
              </w:rPr>
              <w:t>，最晚</w:t>
            </w:r>
            <w:r>
              <w:rPr>
                <w:rFonts w:hint="eastAsia" w:ascii="宋体" w:hAnsi="宋体" w:eastAsia="宋体" w:cs="宋体"/>
                <w:color w:val="000000"/>
                <w:kern w:val="2"/>
                <w:sz w:val="21"/>
                <w:szCs w:val="21"/>
                <w:lang w:val="en-US" w:eastAsia="zh-CN" w:bidi="ar"/>
              </w:rPr>
              <w:t>〖3〗个〖工作日〗内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color w:val="000000"/>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color w:val="000000"/>
                <w:szCs w:val="21"/>
                <w:highlight w:val="none"/>
                <w:lang w:eastAsia="zh-CN"/>
              </w:rPr>
              <w:t>不</w:t>
            </w:r>
            <w:r>
              <w:rPr>
                <w:rFonts w:hint="eastAsia" w:ascii="宋体" w:hAnsi="宋体" w:cs="宋体"/>
                <w:color w:val="000000"/>
                <w:szCs w:val="21"/>
                <w:highlight w:val="none"/>
              </w:rPr>
              <w:t>定期〗将大于1元部分的收益进行全部或部分收益分配，具体分配方案以管理人公告为准。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pageBreakBefore w:val="0"/>
              <w:spacing w:before="0" w:after="0" w:line="360" w:lineRule="auto"/>
              <w:ind w:left="0" w:right="0" w:hanging="1"/>
              <w:jc w:val="left"/>
              <w:textAlignment w:val="auto"/>
            </w:pP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本理财计划〖A份额〗业绩比较基准为〖2.45%-2.65%〗（年化）。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本理财计划〖B份额〗业绩比较基准为〖2.55%-2.75%〗（年化）。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本理财计划〖C份额〗业绩比较基准为〖2.65%-2.85%〗（年化）。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本理财计划〖D份额〗业绩比较基准为〖2.60%-2.80%〗（年化）。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本理财计划〖E份额〗业绩比较基准为〖2.55%-2.75%〗（年化）。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本理财计划〖F份额〗业绩比较基准为〖2.60%-2.80%〗（年化）。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本理财计划〖H份额〗业绩比较基准为〖2.70%-2.90%〗（年化）。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本理财计划〖I份额〗业绩比较基准为〖2.45%-2.65%〗（年化）。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本理财计划〖J份额〗业绩比较基准为〖2.60%-2.80%〗（年化）。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本理财计划〖K份额〗业绩比较基准为〖2.65%-2.85%〗（年化）。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本理财计划〖M份额〗业绩比较基准为〖2.75%-2.95%〗（年化）。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本理财计划〖N份额〗业绩比较基准为〖2.55%-2.75%〗（年化）。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本理财计划〖P份额〗业绩比较基准为〖2.60%-2.80%〗（年化）。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本理财计划〖Q份额〗业绩比较基准为〖2.75%-2.95%〗（年化）。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本理财计划〖R份额〗业绩比较基准为〖2.70%-2.90%〗（年化）。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本理财计划〖U份额〗业绩比较基准为〖2.73%-2.93%〗（年化）。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本理财计划〖W份额〗业绩比较基准为〖2.45%-2.65%〗（年化）。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本理财计划〖X份额〗业绩比较基准为〖2.60%-2.80%〗（年化）。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本理财计划〖Y份额〗业绩比较基准为〖2.55%-2.75%〗（年化）。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本理财计划〖Z份额〗业绩比较基准为〖2.65%-2.85%〗（年化）。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000000"/>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color w:val="000000"/>
                <w:szCs w:val="21"/>
                <w:highlight w:val="none"/>
              </w:rPr>
            </w:pPr>
            <w:r>
              <w:rPr>
                <w:rFonts w:hint="eastAsia" w:ascii="宋体" w:hAnsi="宋体" w:cs="宋体"/>
                <w:color w:val="000000"/>
                <w:szCs w:val="21"/>
                <w:highlight w:val="none"/>
              </w:rPr>
              <w:t>管理人有权根据市场情况及</w:t>
            </w:r>
            <w:r>
              <w:rPr>
                <w:rFonts w:hint="eastAsia" w:ascii="宋体" w:hAnsi="宋体" w:cs="宋体"/>
                <w:color w:val="000000"/>
                <w:szCs w:val="21"/>
                <w:highlight w:val="none"/>
                <w:lang w:eastAsia="zh-CN"/>
              </w:rPr>
              <w:t>理财计划</w:t>
            </w:r>
            <w:r>
              <w:rPr>
                <w:rFonts w:hint="eastAsia" w:ascii="宋体" w:hAnsi="宋体" w:cs="宋体"/>
                <w:color w:val="000000"/>
                <w:szCs w:val="21"/>
                <w:highlight w:val="none"/>
              </w:rPr>
              <w:t>运作情况调整业绩基准，并至少于新业绩基准启用前</w:t>
            </w:r>
            <w:r>
              <w:rPr>
                <w:rFonts w:hint="eastAsia" w:ascii="宋体" w:hAnsi="宋体" w:cs="宋体"/>
                <w:color w:val="000000"/>
                <w:kern w:val="0"/>
                <w:highlight w:val="none"/>
              </w:rPr>
              <w:t>〖</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w:t>
            </w:r>
            <w:r>
              <w:rPr>
                <w:rFonts w:hint="eastAsia" w:ascii="宋体" w:hAnsi="宋体" w:cs="宋体"/>
                <w:color w:val="000000"/>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color w:val="000000"/>
                <w:szCs w:val="21"/>
                <w:highlight w:val="none"/>
              </w:rPr>
              <w:t>本理财计划为净值型理财产品，其业绩表现将随市场波动具有不确定性。本公司提醒投资者关注，业绩比较基准</w:t>
            </w:r>
            <w:r>
              <w:rPr>
                <w:rFonts w:hint="eastAsia" w:ascii="宋体" w:hAnsi="宋体" w:cs="宋体"/>
                <w:b/>
                <w:color w:val="000000"/>
                <w:szCs w:val="21"/>
                <w:highlight w:val="none"/>
                <w:lang w:eastAsia="zh-CN"/>
              </w:rPr>
              <w:t>不是预期收益率，</w:t>
            </w:r>
            <w:r>
              <w:rPr>
                <w:rFonts w:hint="eastAsia" w:ascii="宋体" w:hAnsi="宋体" w:cs="宋体"/>
                <w:b/>
                <w:color w:val="000000"/>
                <w:szCs w:val="21"/>
                <w:highlight w:val="none"/>
              </w:rPr>
              <w:t>并不代表</w:t>
            </w:r>
            <w:r>
              <w:rPr>
                <w:rFonts w:hint="eastAsia" w:ascii="宋体" w:hAnsi="宋体" w:cs="宋体"/>
                <w:b/>
                <w:color w:val="000000"/>
                <w:szCs w:val="21"/>
                <w:highlight w:val="none"/>
                <w:lang w:eastAsia="zh-CN"/>
              </w:rPr>
              <w:t>理财计划的未来表现和</w:t>
            </w:r>
            <w:r>
              <w:rPr>
                <w:rFonts w:hint="eastAsia" w:ascii="宋体" w:hAnsi="宋体" w:cs="宋体"/>
                <w:b/>
                <w:color w:val="000000"/>
                <w:szCs w:val="21"/>
                <w:highlight w:val="none"/>
              </w:rPr>
              <w:t>实际收益率</w:t>
            </w:r>
            <w:r>
              <w:rPr>
                <w:rFonts w:hint="eastAsia" w:ascii="宋体" w:hAnsi="宋体" w:cs="宋体"/>
                <w:b/>
                <w:color w:val="000000"/>
                <w:szCs w:val="21"/>
                <w:highlight w:val="none"/>
                <w:lang w:eastAsia="zh-CN"/>
              </w:rPr>
              <w:t>，不构成对理财计划收益的承诺</w:t>
            </w:r>
            <w:r>
              <w:rPr>
                <w:rFonts w:hint="eastAsia" w:ascii="宋体" w:hAnsi="宋体" w:cs="宋体"/>
                <w:b/>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〖E份额〗收取年化〖0.20%〗的销售服务费, 〖F份额〗收取年化〖0.15%〗的销售服务费, 〖H份额〗收取年化〖0.05%〗的销售服务费, 〖I份额〗收取年化〖0.30%〗的销售服务费, 〖J份额〗收取年化〖0.15%〗的销售服务费, 〖K份额〗收取年化〖0.10%〗的销售服务费, 〖M份额〗收取年化〖0.01%〗的销售服务费, 〖N份额〗收取年化〖0.20%〗的销售服务费, 〖P份额〗收取年化〖0.15%〗的销售服务费, 〖Q份额〗收取年化〖0.05%〗的销售服务费, 〖R份额〗收取年化〖0.05%〗的销售服务费, 〖U份额〗收取年化〖0.02%〗的销售服务费, 〖W份额〗收取年化〖0.30%〗的销售服务费, 〖X份额〗收取年化〖0.15%〗的销售服务费, 〖Y份额〗收取年化〖0.20%〗的销售服务费, 〖Z份额〗收取年化〖0.10%〗的销售服务费。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〖E份额〗收取年化〖0.10%〗的固定管理费, 〖F份额〗收取年化〖0.10%〗的固定管理费, 〖H份额〗收取年化〖0.10%〗的固定管理费, 〖I份额〗收取年化〖0.10%〗的固定管理费, 〖J份额〗收取年化〖0.10%〗的固定管理费, 〖K份额〗收取年化〖0.10%〗的固定管理费, 〖M份额〗收取年化〖0.09%〗的固定管理费, 〖N份额〗收取年化〖0.10%〗的固定管理费, 〖P份额〗收取年化〖0.10%〗的固定管理费, 〖Q份额〗收取年化〖0.05%〗的固定管理费, 〖R份额〗收取年化〖0.10%〗的固定管理费, 〖U份额〗收取年化〖0.10%〗的固定管理费, 〖W份额〗收取年化〖0.10%〗的固定管理费, 〖X份额〗收取年化〖0.10%〗的固定管理费, 〖Y份额〗收取年化〖0.10%〗的固定管理费, 〖Z份额〗收取年化〖0.10%〗的固定管理费。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到期日（提前终止日）的折合年化收益率在〖业绩比较基准下限（含）至业绩比较基准上限（含）〗的部分，管理人提取〖50%〗作为浮动管理费，在折合年化收益率超过〖业绩比较基准上限〗的部分，管理人提取〖80%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000000"/>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投资范围</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color w:val="000000"/>
          <w:kern w:val="2"/>
          <w:position w:val="0"/>
          <w:sz w:val="24"/>
          <w:szCs w:val="24"/>
          <w:highlight w:val="none"/>
        </w:rPr>
      </w:pPr>
      <w:r>
        <w:rPr>
          <w:rFonts w:hint="eastAsia" w:ascii="宋体" w:hAnsi="宋体" w:eastAsia="宋体" w:cs="宋体"/>
          <w:color w:val="000000"/>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color w:val="000000"/>
          <w:highlight w:val="none"/>
        </w:rPr>
      </w:pPr>
      <w:r>
        <w:rPr>
          <w:rFonts w:hint="eastAsia" w:ascii="宋体" w:hAnsi="宋体" w:eastAsia="宋体" w:cs="宋体"/>
          <w:color w:val="000000"/>
          <w:kern w:val="2"/>
          <w:position w:val="0"/>
          <w:sz w:val="24"/>
          <w:szCs w:val="24"/>
          <w:highlight w:val="none"/>
          <w:lang w:val="en-US" w:eastAsia="zh-CN" w:bidi="ar"/>
        </w:rPr>
        <w:t>法律法规或监管机构允许投资的符合本理财产品投资性质的其他金融资产。</w:t>
      </w:r>
    </w:p>
    <w:p>
      <w:pPr>
        <w:numPr>
          <w:ilvl w:val="0"/>
          <w:numId w:val="20"/>
        </w:numPr>
        <w:spacing w:line="360" w:lineRule="auto"/>
        <w:jc w:val="left"/>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投资比例</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本理财计划各投资资产占</w:t>
      </w:r>
      <w:r>
        <w:rPr>
          <w:rFonts w:hint="eastAsia" w:ascii="宋体" w:hAnsi="宋体" w:eastAsia="宋体" w:cs="宋体"/>
          <w:bCs/>
          <w:color w:val="000000"/>
          <w:sz w:val="24"/>
          <w:highlight w:val="none"/>
          <w:lang w:eastAsia="zh-CN"/>
        </w:rPr>
        <w:t>总</w:t>
      </w:r>
      <w:r>
        <w:rPr>
          <w:rFonts w:hint="eastAsia" w:ascii="宋体" w:hAnsi="宋体" w:eastAsia="宋体" w:cs="宋体"/>
          <w:bCs/>
          <w:color w:val="000000"/>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color w:val="000000"/>
          <w:kern w:val="2"/>
          <w:sz w:val="24"/>
          <w:szCs w:val="24"/>
          <w:lang w:val="en-US" w:eastAsia="zh-CN" w:bidi="ar"/>
        </w:rPr>
        <w:t>本理财产品投资于固定收益类资产的比例不低于80%，投资于非标准化债权类资产的比例不高于50%。</w:t>
      </w:r>
    </w:p>
    <w:p>
      <w:pPr>
        <w:pStyle w:val="17"/>
        <w:numPr>
          <w:ilvl w:val="0"/>
          <w:numId w:val="21"/>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21"/>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21"/>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21"/>
        </w:numPr>
        <w:adjustRightInd/>
        <w:spacing w:line="360" w:lineRule="auto"/>
        <w:ind w:firstLine="458" w:firstLineChars="190"/>
        <w:rPr>
          <w:rFonts w:hint="eastAsia" w:ascii="宋体" w:hAnsi="宋体" w:cs="宋体"/>
          <w:bCs/>
          <w:color w:val="000000"/>
          <w:kern w:val="2"/>
          <w:highlight w:val="none"/>
        </w:rPr>
      </w:pPr>
      <w:r>
        <w:rPr>
          <w:rFonts w:hint="eastAsia" w:ascii="宋体" w:hAnsi="宋体" w:cs="宋体"/>
          <w:b/>
          <w:bCs w:val="0"/>
          <w:color w:val="000000"/>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投资策略</w:t>
      </w:r>
    </w:p>
    <w:p>
      <w:pPr>
        <w:pStyle w:val="17"/>
        <w:numPr>
          <w:ilvl w:val="0"/>
          <w:numId w:val="22"/>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2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23"/>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投资集中度限制</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本理财计划持有单只证券或单只公募</w:t>
      </w:r>
      <w:r>
        <w:fldChar w:fldCharType="begin"/>
      </w:r>
      <w:r>
        <w:instrText xml:space="preserve"> HYPERLINK "https://baike.baidu.com/item/%E8%AF%81%E5%88%B8%E6%8A%95%E8%B5%84%E5%9F%BA%E9%87%91/3746" \t "https://baike.baidu.com/item/%E5%95%86%E4%B8%9A%E9%93%B6%E8%A1%8C%E7%90%86%E8%B4%A2%E4%B8%9A%E5%8A%A1%E7%9B%91%E7%9D%A3%E7%AE%A1%E7%90%86%E5%8A%9E%E6%B3%95/_blank" </w:instrText>
      </w:r>
      <w:r>
        <w:fldChar w:fldCharType="separate"/>
      </w:r>
      <w:r>
        <w:rPr>
          <w:rFonts w:ascii="宋体" w:hAnsi="宋体" w:cs="宋体"/>
          <w:bCs/>
          <w:color w:val="000000"/>
          <w:sz w:val="24"/>
          <w:highlight w:val="none"/>
        </w:rPr>
        <w:t>证券投资基金</w:t>
      </w:r>
      <w:r>
        <w:rPr>
          <w:rFonts w:ascii="宋体" w:hAnsi="宋体" w:cs="宋体"/>
          <w:bCs/>
          <w:color w:val="000000"/>
          <w:sz w:val="24"/>
          <w:highlight w:val="none"/>
        </w:rPr>
        <w:fldChar w:fldCharType="end"/>
      </w:r>
      <w:r>
        <w:rPr>
          <w:rFonts w:ascii="宋体" w:hAnsi="宋体" w:cs="宋体"/>
          <w:bCs/>
          <w:color w:val="000000"/>
          <w:sz w:val="24"/>
          <w:highlight w:val="none"/>
        </w:rPr>
        <w:t>的市值不得超过该理财</w:t>
      </w:r>
      <w:r>
        <w:rPr>
          <w:rFonts w:hint="eastAsia" w:ascii="宋体" w:hAnsi="宋体" w:cs="宋体"/>
          <w:bCs/>
          <w:color w:val="000000"/>
          <w:sz w:val="24"/>
          <w:highlight w:val="none"/>
        </w:rPr>
        <w:t>计划</w:t>
      </w:r>
      <w:r>
        <w:rPr>
          <w:rFonts w:ascii="宋体" w:hAnsi="宋体" w:cs="宋体"/>
          <w:bCs/>
          <w:color w:val="000000"/>
          <w:sz w:val="24"/>
          <w:highlight w:val="none"/>
        </w:rPr>
        <w:t>净资产</w:t>
      </w:r>
      <w:r>
        <w:rPr>
          <w:rFonts w:hint="eastAsia" w:ascii="宋体" w:hAnsi="宋体" w:cs="宋体"/>
          <w:bCs/>
          <w:color w:val="000000"/>
          <w:sz w:val="24"/>
          <w:highlight w:val="none"/>
        </w:rPr>
        <w:t>的</w:t>
      </w:r>
      <w:r>
        <w:rPr>
          <w:rFonts w:ascii="宋体" w:hAnsi="宋体" w:cs="宋体"/>
          <w:bCs/>
          <w:color w:val="000000"/>
          <w:sz w:val="24"/>
          <w:highlight w:val="none"/>
        </w:rPr>
        <w:t>10%</w:t>
      </w:r>
      <w:r>
        <w:rPr>
          <w:rFonts w:hint="eastAsia" w:ascii="宋体" w:hAnsi="宋体" w:cs="宋体"/>
          <w:bCs/>
          <w:color w:val="000000"/>
          <w:sz w:val="24"/>
          <w:highlight w:val="none"/>
        </w:rPr>
        <w:t>。</w:t>
      </w:r>
    </w:p>
    <w:p>
      <w:pPr>
        <w:numPr>
          <w:ilvl w:val="0"/>
          <w:numId w:val="25"/>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国务院银行业监督管理机构另有规定的除外。</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投资期限限制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本理财计划投资的非标准化债权类资产到期日不得晚于理财计划到期日。</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投资杠杆率限制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本理财计划的总资产不得超过净资产的200%。</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其他投资限制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fldChar w:fldCharType="begin"/>
      </w:r>
      <w:r>
        <w:instrText xml:space="preserve"> HYPERLINK "https://baike.baidu.com/item/%E8%B5%84%E4%BA%A7%E6%94%AF%E6%8C%81%E8%AF%81%E5%88%B8/8989161" \t "https://baike.baidu.com/item/%E5%95%86%E4%B8%9A%E9%93%B6%E8%A1%8C%E7%90%86%E8%B4%A2%E4%B8%9A%E5%8A%A1%E7%9B%91%E7%9D%A3%E7%AE%A1%E7%90%86%E5%8A%9E%E6%B3%95/_blank" </w:instrText>
      </w:r>
      <w:r>
        <w:fldChar w:fldCharType="separate"/>
      </w:r>
      <w:r>
        <w:rPr>
          <w:rFonts w:ascii="宋体" w:hAnsi="宋体" w:cs="宋体"/>
          <w:bCs/>
          <w:color w:val="000000"/>
          <w:sz w:val="24"/>
          <w:highlight w:val="none"/>
        </w:rPr>
        <w:t>资产支持证券</w:t>
      </w:r>
      <w:r>
        <w:rPr>
          <w:rFonts w:ascii="宋体" w:hAnsi="宋体" w:cs="宋体"/>
          <w:bCs/>
          <w:color w:val="000000"/>
          <w:sz w:val="24"/>
          <w:highlight w:val="none"/>
        </w:rPr>
        <w:fldChar w:fldCharType="end"/>
      </w:r>
      <w:r>
        <w:rPr>
          <w:rFonts w:hint="eastAsia" w:ascii="宋体" w:hAnsi="宋体" w:cs="宋体"/>
          <w:bCs/>
          <w:color w:val="000000"/>
          <w:sz w:val="24"/>
          <w:highlight w:val="none"/>
        </w:rPr>
        <w:t>，不得直接或间接投资于未上市公司股权及其受（收）益权。</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lang w:eastAsia="zh-CN"/>
        </w:rPr>
        <w:t>拟</w:t>
      </w:r>
      <w:r>
        <w:rPr>
          <w:rFonts w:hint="eastAsia" w:ascii="宋体" w:hAnsi="宋体" w:cs="宋体"/>
          <w:b/>
          <w:bCs w:val="0"/>
          <w:color w:val="00000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color w:val="000000"/>
          <w:sz w:val="24"/>
          <w:highlight w:val="none"/>
          <w:lang w:val="en-US" w:eastAsia="zh-CN"/>
        </w:rPr>
      </w:pPr>
      <w:r>
        <w:rPr>
          <w:rFonts w:hint="eastAsia" w:ascii="宋体" w:hAnsi="宋体" w:cs="宋体"/>
          <w:b w:val="0"/>
          <w:bCs/>
          <w:color w:val="000000"/>
          <w:sz w:val="24"/>
          <w:highlight w:val="none"/>
          <w:lang w:eastAsia="zh-CN"/>
        </w:rPr>
        <w:t>本理财计划</w:t>
      </w:r>
      <w:r>
        <w:rPr>
          <w:rFonts w:hint="eastAsia" w:ascii="宋体" w:hAnsi="宋体" w:cs="宋体"/>
          <w:b w:val="0"/>
          <w:bCs/>
          <w:color w:val="000000"/>
          <w:sz w:val="24"/>
          <w:highlight w:val="none"/>
          <w:lang w:val="en-US" w:eastAsia="zh-CN"/>
        </w:rPr>
        <w:t>拟投资市场可能面临的流动性风险如下：</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投资于</w:t>
      </w:r>
      <w:r>
        <w:rPr>
          <w:rFonts w:hint="eastAsia" w:ascii="宋体" w:hAnsi="宋体" w:cs="宋体"/>
          <w:bCs/>
          <w:color w:val="000000"/>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以上风险仅为列举性质，未能详尽列明拟投资市场和资产面临的全部流动性风险</w:t>
      </w:r>
      <w:r>
        <w:rPr>
          <w:rFonts w:hint="default" w:ascii="宋体" w:hAnsi="宋体" w:cs="宋体"/>
          <w:bCs/>
          <w:color w:val="000000"/>
          <w:sz w:val="24"/>
          <w:highlight w:val="none"/>
          <w:lang w:val="en-US" w:eastAsia="zh-CN"/>
        </w:rPr>
        <w:t>可能导致投资者投资本金及收益损失</w:t>
      </w:r>
      <w:r>
        <w:rPr>
          <w:rFonts w:hint="eastAsia" w:ascii="宋体" w:hAnsi="宋体" w:cs="宋体"/>
          <w:bCs/>
          <w:color w:val="000000"/>
          <w:sz w:val="24"/>
          <w:highlight w:val="none"/>
          <w:lang w:val="en-US" w:eastAsia="zh-CN"/>
        </w:rPr>
        <w:t>或延期兑付</w:t>
      </w:r>
      <w:r>
        <w:rPr>
          <w:rFonts w:hint="default" w:ascii="宋体" w:hAnsi="宋体" w:cs="宋体"/>
          <w:bCs/>
          <w:color w:val="000000"/>
          <w:sz w:val="24"/>
          <w:highlight w:val="none"/>
          <w:lang w:val="en-US" w:eastAsia="zh-CN"/>
        </w:rPr>
        <w:t>的所有因素</w:t>
      </w:r>
      <w:r>
        <w:rPr>
          <w:rFonts w:hint="eastAsia" w:ascii="宋体" w:hAnsi="宋体" w:cs="宋体"/>
          <w:bCs/>
          <w:color w:val="000000"/>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合作机构及主要职责</w:t>
      </w:r>
    </w:p>
    <w:p>
      <w:pPr>
        <w:numPr>
          <w:ilvl w:val="0"/>
          <w:numId w:val="28"/>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color w:val="000000"/>
                <w:szCs w:val="21"/>
                <w:highlight w:val="none"/>
              </w:rPr>
            </w:pPr>
            <w:r>
              <w:rPr>
                <w:rFonts w:hint="default" w:ascii="宋体" w:hAnsi="宋体" w:eastAsia="宋体" w:cs="宋体"/>
                <w:bCs/>
                <w:color w:val="000000"/>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color w:val="000000"/>
                <w:szCs w:val="21"/>
                <w:highlight w:val="none"/>
              </w:rPr>
            </w:pPr>
            <w:r>
              <w:rPr>
                <w:rFonts w:hint="eastAsia" w:ascii="宋体" w:hAnsi="宋体" w:eastAsia="宋体" w:cs="宋体"/>
                <w:bCs/>
                <w:color w:val="000000"/>
                <w:kern w:val="2"/>
                <w:sz w:val="21"/>
                <w:szCs w:val="21"/>
                <w:highlight w:val="none"/>
                <w:lang w:val="en-US" w:eastAsia="zh-CN" w:bidi="ar-SA"/>
              </w:rPr>
              <w:t>主要提供包括账户开立、资金保管、资金结算、估值核对等理财产品托管服务。</w:t>
            </w:r>
          </w:p>
        </w:tc>
      </w:tr>
    </w:tbl>
    <w:p>
      <w:pPr>
        <w:numPr>
          <w:ilvl w:val="0"/>
          <w:numId w:val="2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jc w:val="center"/>
            </w:pPr>
            <w:r>
              <w:t>销售机构信息</w:t>
            </w:r>
          </w:p>
        </w:tc>
        <w:tc>
          <w:tcPr>
            <w:tcW w:w="1600" w:type="dxa"/>
            <w:vMerge w:val="restart"/>
            <w:vAlign w:val="center"/>
          </w:tcPr>
          <w:p>
            <w:pPr>
              <w:jc w:val="center"/>
            </w:pPr>
            <w:r>
              <w:t>杭州银行股份有限公司</w:t>
            </w:r>
          </w:p>
        </w:tc>
        <w:tc>
          <w:tcPr>
            <w:tcW w:w="1200" w:type="dxa"/>
            <w:vAlign w:val="center"/>
          </w:tcPr>
          <w:p>
            <w:pPr>
              <w:jc w:val="left"/>
            </w:pPr>
            <w:r>
              <w:t>住所</w:t>
            </w:r>
          </w:p>
        </w:tc>
        <w:tc>
          <w:tcPr>
            <w:tcW w:w="3800" w:type="dxa"/>
            <w:vAlign w:val="center"/>
          </w:tcPr>
          <w:p>
            <w:pPr>
              <w:jc w:val="center"/>
            </w:pPr>
            <w: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杭银理财有限责任公司</w:t>
            </w:r>
          </w:p>
        </w:tc>
        <w:tc>
          <w:tcPr>
            <w:tcW w:w="1200" w:type="dxa"/>
            <w:vAlign w:val="center"/>
          </w:tcPr>
          <w:p>
            <w:pPr>
              <w:jc w:val="left"/>
            </w:pPr>
            <w:r>
              <w:t>住所</w:t>
            </w:r>
          </w:p>
        </w:tc>
        <w:tc>
          <w:tcPr>
            <w:tcW w:w="3800" w:type="dxa"/>
            <w:vAlign w:val="center"/>
          </w:tcPr>
          <w:p>
            <w:pPr>
              <w:jc w:val="center"/>
            </w:pPr>
            <w: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中山农村商业银行股份有限公司</w:t>
            </w:r>
          </w:p>
        </w:tc>
        <w:tc>
          <w:tcPr>
            <w:tcW w:w="1200" w:type="dxa"/>
            <w:vAlign w:val="center"/>
          </w:tcPr>
          <w:p>
            <w:pPr>
              <w:jc w:val="left"/>
            </w:pPr>
            <w:r>
              <w:t>住所</w:t>
            </w:r>
          </w:p>
        </w:tc>
        <w:tc>
          <w:tcPr>
            <w:tcW w:w="3800" w:type="dxa"/>
            <w:vAlign w:val="center"/>
          </w:tcPr>
          <w:p>
            <w:pPr>
              <w:jc w:val="center"/>
            </w:pPr>
            <w:r>
              <w:t>中山市东区中山三路26号之一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0760-23327126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厦门国际银行股份有限公司</w:t>
            </w:r>
          </w:p>
        </w:tc>
        <w:tc>
          <w:tcPr>
            <w:tcW w:w="1200" w:type="dxa"/>
            <w:vAlign w:val="center"/>
          </w:tcPr>
          <w:p>
            <w:pPr>
              <w:jc w:val="left"/>
            </w:pPr>
            <w:r>
              <w:t>住所</w:t>
            </w:r>
          </w:p>
        </w:tc>
        <w:tc>
          <w:tcPr>
            <w:tcW w:w="3800" w:type="dxa"/>
            <w:vAlign w:val="center"/>
          </w:tcPr>
          <w:p>
            <w:pPr>
              <w:jc w:val="center"/>
            </w:pPr>
            <w: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厦门银行股份有限公司</w:t>
            </w:r>
          </w:p>
        </w:tc>
        <w:tc>
          <w:tcPr>
            <w:tcW w:w="1200" w:type="dxa"/>
            <w:vAlign w:val="center"/>
          </w:tcPr>
          <w:p>
            <w:pPr>
              <w:jc w:val="left"/>
            </w:pPr>
            <w:r>
              <w:t>住所</w:t>
            </w:r>
          </w:p>
        </w:tc>
        <w:tc>
          <w:tcPr>
            <w:tcW w:w="3800" w:type="dxa"/>
            <w:vAlign w:val="center"/>
          </w:tcPr>
          <w:p>
            <w:pPr>
              <w:jc w:val="center"/>
            </w:pPr>
            <w:r>
              <w:t>厦门市思明区湖滨北路101号商业银行大厦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400-858-8888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山西银行股份有限公司</w:t>
            </w:r>
          </w:p>
        </w:tc>
        <w:tc>
          <w:tcPr>
            <w:tcW w:w="1200" w:type="dxa"/>
            <w:vAlign w:val="center"/>
          </w:tcPr>
          <w:p>
            <w:pPr>
              <w:jc w:val="left"/>
            </w:pPr>
            <w:r>
              <w:t>住所</w:t>
            </w:r>
          </w:p>
        </w:tc>
        <w:tc>
          <w:tcPr>
            <w:tcW w:w="3800" w:type="dxa"/>
            <w:vAlign w:val="center"/>
          </w:tcPr>
          <w:p>
            <w:pPr>
              <w:jc w:val="center"/>
            </w:pPr>
            <w:r>
              <w:t>山西转型综合改革示范区学府产业园高新街15号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0351-96588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成都农村商业银行股份有限公司</w:t>
            </w:r>
          </w:p>
        </w:tc>
        <w:tc>
          <w:tcPr>
            <w:tcW w:w="1200" w:type="dxa"/>
            <w:vAlign w:val="center"/>
          </w:tcPr>
          <w:p>
            <w:pPr>
              <w:jc w:val="left"/>
            </w:pPr>
            <w:r>
              <w:t>住所</w:t>
            </w:r>
          </w:p>
        </w:tc>
        <w:tc>
          <w:tcPr>
            <w:tcW w:w="3800" w:type="dxa"/>
            <w:vAlign w:val="center"/>
          </w:tcPr>
          <w:p>
            <w:pPr>
              <w:jc w:val="center"/>
            </w:pPr>
            <w:r>
              <w:t>成都市武侯区科华中路88号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新疆银行股份有限公司</w:t>
            </w:r>
          </w:p>
        </w:tc>
        <w:tc>
          <w:tcPr>
            <w:tcW w:w="1200" w:type="dxa"/>
            <w:vAlign w:val="center"/>
          </w:tcPr>
          <w:p>
            <w:pPr>
              <w:jc w:val="left"/>
            </w:pPr>
            <w:r>
              <w:t>住所</w:t>
            </w:r>
          </w:p>
        </w:tc>
        <w:tc>
          <w:tcPr>
            <w:tcW w:w="3800" w:type="dxa"/>
            <w:vAlign w:val="center"/>
          </w:tcPr>
          <w:p>
            <w:pPr>
              <w:jc w:val="center"/>
            </w:pPr>
            <w:r>
              <w:t>新疆乌鲁木齐市天山区新华南路338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0991-96559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无锡农村商业银行股份有限公司</w:t>
            </w:r>
          </w:p>
        </w:tc>
        <w:tc>
          <w:tcPr>
            <w:tcW w:w="1200" w:type="dxa"/>
            <w:vAlign w:val="center"/>
          </w:tcPr>
          <w:p>
            <w:pPr>
              <w:jc w:val="left"/>
            </w:pPr>
            <w:r>
              <w:t>住所</w:t>
            </w:r>
          </w:p>
        </w:tc>
        <w:tc>
          <w:tcPr>
            <w:tcW w:w="3800" w:type="dxa"/>
            <w:vAlign w:val="center"/>
          </w:tcPr>
          <w:p>
            <w:pPr>
              <w:jc w:val="center"/>
            </w:pPr>
            <w: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晋商银行股份有限公司</w:t>
            </w:r>
          </w:p>
        </w:tc>
        <w:tc>
          <w:tcPr>
            <w:tcW w:w="1200" w:type="dxa"/>
            <w:vAlign w:val="center"/>
          </w:tcPr>
          <w:p>
            <w:pPr>
              <w:jc w:val="left"/>
            </w:pPr>
            <w:r>
              <w:t>住所</w:t>
            </w:r>
          </w:p>
        </w:tc>
        <w:tc>
          <w:tcPr>
            <w:tcW w:w="3800" w:type="dxa"/>
            <w:vAlign w:val="center"/>
          </w:tcPr>
          <w:p>
            <w:pPr>
              <w:jc w:val="center"/>
            </w:pPr>
            <w:r>
              <w:t>中国山西省太原市小店区长风街59号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9510-5588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汉口银行股份有限公司</w:t>
            </w:r>
          </w:p>
        </w:tc>
        <w:tc>
          <w:tcPr>
            <w:tcW w:w="1200" w:type="dxa"/>
            <w:vAlign w:val="center"/>
          </w:tcPr>
          <w:p>
            <w:pPr>
              <w:jc w:val="left"/>
            </w:pPr>
            <w:r>
              <w:t>住所</w:t>
            </w:r>
          </w:p>
        </w:tc>
        <w:tc>
          <w:tcPr>
            <w:tcW w:w="3800" w:type="dxa"/>
            <w:vAlign w:val="center"/>
          </w:tcPr>
          <w:p>
            <w:pPr>
              <w:jc w:val="center"/>
            </w:pPr>
            <w: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江苏丹阳农村商业银行股份有限公司</w:t>
            </w:r>
          </w:p>
        </w:tc>
        <w:tc>
          <w:tcPr>
            <w:tcW w:w="1200" w:type="dxa"/>
            <w:vAlign w:val="center"/>
          </w:tcPr>
          <w:p>
            <w:pPr>
              <w:jc w:val="left"/>
            </w:pPr>
            <w:r>
              <w:t>住所</w:t>
            </w:r>
          </w:p>
        </w:tc>
        <w:tc>
          <w:tcPr>
            <w:tcW w:w="3800" w:type="dxa"/>
            <w:vAlign w:val="center"/>
          </w:tcPr>
          <w:p>
            <w:pPr>
              <w:jc w:val="center"/>
            </w:pPr>
            <w: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江苏南通农村商业银行股份有限公司</w:t>
            </w:r>
          </w:p>
        </w:tc>
        <w:tc>
          <w:tcPr>
            <w:tcW w:w="1200" w:type="dxa"/>
            <w:vAlign w:val="center"/>
          </w:tcPr>
          <w:p>
            <w:pPr>
              <w:jc w:val="left"/>
            </w:pPr>
            <w:r>
              <w:t>住所</w:t>
            </w:r>
          </w:p>
        </w:tc>
        <w:tc>
          <w:tcPr>
            <w:tcW w:w="3800" w:type="dxa"/>
            <w:vAlign w:val="center"/>
          </w:tcPr>
          <w:p>
            <w:pPr>
              <w:jc w:val="center"/>
            </w:pPr>
            <w: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江苏启东农村商业银行股份有限公司</w:t>
            </w:r>
          </w:p>
        </w:tc>
        <w:tc>
          <w:tcPr>
            <w:tcW w:w="1200" w:type="dxa"/>
            <w:vAlign w:val="center"/>
          </w:tcPr>
          <w:p>
            <w:pPr>
              <w:jc w:val="left"/>
            </w:pPr>
            <w:r>
              <w:t>住所</w:t>
            </w:r>
          </w:p>
        </w:tc>
        <w:tc>
          <w:tcPr>
            <w:tcW w:w="3800" w:type="dxa"/>
            <w:vAlign w:val="center"/>
          </w:tcPr>
          <w:p>
            <w:pPr>
              <w:jc w:val="center"/>
            </w:pPr>
            <w: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江苏如皋农村商业银行股份有限公司</w:t>
            </w:r>
          </w:p>
        </w:tc>
        <w:tc>
          <w:tcPr>
            <w:tcW w:w="1200" w:type="dxa"/>
            <w:vAlign w:val="center"/>
          </w:tcPr>
          <w:p>
            <w:pPr>
              <w:jc w:val="left"/>
            </w:pPr>
            <w:r>
              <w:t>住所</w:t>
            </w:r>
          </w:p>
        </w:tc>
        <w:tc>
          <w:tcPr>
            <w:tcW w:w="3800" w:type="dxa"/>
            <w:vAlign w:val="center"/>
          </w:tcPr>
          <w:p>
            <w:pPr>
              <w:jc w:val="center"/>
            </w:pPr>
            <w:r>
              <w:t>如皋市如城街道海阳南路999号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江苏宝应农村商业银行股份有限公司</w:t>
            </w:r>
          </w:p>
        </w:tc>
        <w:tc>
          <w:tcPr>
            <w:tcW w:w="1200" w:type="dxa"/>
            <w:vAlign w:val="center"/>
          </w:tcPr>
          <w:p>
            <w:pPr>
              <w:jc w:val="left"/>
            </w:pPr>
            <w:r>
              <w:t>住所</w:t>
            </w:r>
          </w:p>
        </w:tc>
        <w:tc>
          <w:tcPr>
            <w:tcW w:w="3800" w:type="dxa"/>
            <w:vAlign w:val="center"/>
          </w:tcPr>
          <w:p>
            <w:pPr>
              <w:jc w:val="center"/>
            </w:pPr>
            <w:r>
              <w:t>江苏省宝应县文津路1号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江苏常熟农村商业银行股份有限公司</w:t>
            </w:r>
          </w:p>
        </w:tc>
        <w:tc>
          <w:tcPr>
            <w:tcW w:w="1200" w:type="dxa"/>
            <w:vAlign w:val="center"/>
          </w:tcPr>
          <w:p>
            <w:pPr>
              <w:jc w:val="left"/>
            </w:pPr>
            <w:r>
              <w:t>住所</w:t>
            </w:r>
          </w:p>
        </w:tc>
        <w:tc>
          <w:tcPr>
            <w:tcW w:w="3800" w:type="dxa"/>
            <w:vAlign w:val="center"/>
          </w:tcPr>
          <w:p>
            <w:pPr>
              <w:jc w:val="center"/>
            </w:pPr>
            <w: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江苏张家港农村商业银行股份有限公司</w:t>
            </w:r>
          </w:p>
        </w:tc>
        <w:tc>
          <w:tcPr>
            <w:tcW w:w="1200" w:type="dxa"/>
            <w:vAlign w:val="center"/>
          </w:tcPr>
          <w:p>
            <w:pPr>
              <w:jc w:val="left"/>
            </w:pPr>
            <w:r>
              <w:t>住所</w:t>
            </w:r>
          </w:p>
        </w:tc>
        <w:tc>
          <w:tcPr>
            <w:tcW w:w="3800" w:type="dxa"/>
            <w:vAlign w:val="center"/>
          </w:tcPr>
          <w:p>
            <w:pPr>
              <w:jc w:val="center"/>
            </w:pPr>
            <w:r>
              <w:t>江苏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江苏扬中农村商业银行股份有限公司</w:t>
            </w:r>
          </w:p>
        </w:tc>
        <w:tc>
          <w:tcPr>
            <w:tcW w:w="1200" w:type="dxa"/>
            <w:vAlign w:val="center"/>
          </w:tcPr>
          <w:p>
            <w:pPr>
              <w:jc w:val="left"/>
            </w:pPr>
            <w:r>
              <w:t>住所</w:t>
            </w:r>
          </w:p>
        </w:tc>
        <w:tc>
          <w:tcPr>
            <w:tcW w:w="3800" w:type="dxa"/>
            <w:vAlign w:val="center"/>
          </w:tcPr>
          <w:p>
            <w:pPr>
              <w:jc w:val="center"/>
            </w:pPr>
            <w:r>
              <w:t>江苏省扬中市扬子西路79号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江苏扬州农村商业银行股份有限公司</w:t>
            </w:r>
          </w:p>
        </w:tc>
        <w:tc>
          <w:tcPr>
            <w:tcW w:w="1200" w:type="dxa"/>
            <w:vAlign w:val="center"/>
          </w:tcPr>
          <w:p>
            <w:pPr>
              <w:jc w:val="left"/>
            </w:pPr>
            <w:r>
              <w:t>住所</w:t>
            </w:r>
          </w:p>
        </w:tc>
        <w:tc>
          <w:tcPr>
            <w:tcW w:w="3800" w:type="dxa"/>
            <w:vAlign w:val="center"/>
          </w:tcPr>
          <w:p>
            <w:pPr>
              <w:jc w:val="center"/>
            </w:pPr>
            <w: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江苏昆山农村商业银行股份有限公司</w:t>
            </w:r>
          </w:p>
        </w:tc>
        <w:tc>
          <w:tcPr>
            <w:tcW w:w="1200" w:type="dxa"/>
            <w:vAlign w:val="center"/>
          </w:tcPr>
          <w:p>
            <w:pPr>
              <w:jc w:val="left"/>
            </w:pPr>
            <w:r>
              <w:t>住所</w:t>
            </w:r>
          </w:p>
        </w:tc>
        <w:tc>
          <w:tcPr>
            <w:tcW w:w="3800" w:type="dxa"/>
            <w:vAlign w:val="center"/>
          </w:tcPr>
          <w:p>
            <w:pPr>
              <w:jc w:val="center"/>
            </w:pPr>
            <w: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江苏江阴农村商业银行股份有限公司</w:t>
            </w:r>
          </w:p>
        </w:tc>
        <w:tc>
          <w:tcPr>
            <w:tcW w:w="1200" w:type="dxa"/>
            <w:vAlign w:val="center"/>
          </w:tcPr>
          <w:p>
            <w:pPr>
              <w:jc w:val="left"/>
            </w:pPr>
            <w:r>
              <w:t>住所</w:t>
            </w:r>
          </w:p>
        </w:tc>
        <w:tc>
          <w:tcPr>
            <w:tcW w:w="3800" w:type="dxa"/>
            <w:vAlign w:val="center"/>
          </w:tcPr>
          <w:p>
            <w:pPr>
              <w:jc w:val="center"/>
            </w:pPr>
            <w: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江苏滨海农村商业银行股份有限公司</w:t>
            </w:r>
          </w:p>
        </w:tc>
        <w:tc>
          <w:tcPr>
            <w:tcW w:w="1200" w:type="dxa"/>
            <w:vAlign w:val="center"/>
          </w:tcPr>
          <w:p>
            <w:pPr>
              <w:jc w:val="left"/>
            </w:pPr>
            <w:r>
              <w:t>住所</w:t>
            </w:r>
          </w:p>
        </w:tc>
        <w:tc>
          <w:tcPr>
            <w:tcW w:w="3800" w:type="dxa"/>
            <w:vAlign w:val="center"/>
          </w:tcPr>
          <w:p>
            <w:pPr>
              <w:jc w:val="center"/>
            </w:pPr>
            <w:r>
              <w:t>滨海县城迎宾中路1号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江苏盐城农村商业银行股份有限公司</w:t>
            </w:r>
          </w:p>
        </w:tc>
        <w:tc>
          <w:tcPr>
            <w:tcW w:w="1200" w:type="dxa"/>
            <w:vAlign w:val="center"/>
          </w:tcPr>
          <w:p>
            <w:pPr>
              <w:jc w:val="left"/>
            </w:pPr>
            <w:r>
              <w:t>住所</w:t>
            </w:r>
          </w:p>
        </w:tc>
        <w:tc>
          <w:tcPr>
            <w:tcW w:w="3800" w:type="dxa"/>
            <w:vAlign w:val="center"/>
          </w:tcPr>
          <w:p>
            <w:pPr>
              <w:jc w:val="center"/>
            </w:pPr>
            <w:r>
              <w:t>盐城市盐南高新区新都西路8号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88880000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江苏苏州农村商业银行股份有限公司</w:t>
            </w:r>
          </w:p>
        </w:tc>
        <w:tc>
          <w:tcPr>
            <w:tcW w:w="1200" w:type="dxa"/>
            <w:vAlign w:val="center"/>
          </w:tcPr>
          <w:p>
            <w:pPr>
              <w:jc w:val="left"/>
            </w:pPr>
            <w:r>
              <w:t>住所</w:t>
            </w:r>
          </w:p>
        </w:tc>
        <w:tc>
          <w:tcPr>
            <w:tcW w:w="3800" w:type="dxa"/>
            <w:vAlign w:val="center"/>
          </w:tcPr>
          <w:p>
            <w:pPr>
              <w:jc w:val="center"/>
            </w:pPr>
            <w: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江苏银行股份有限公司</w:t>
            </w:r>
          </w:p>
        </w:tc>
        <w:tc>
          <w:tcPr>
            <w:tcW w:w="1200" w:type="dxa"/>
            <w:vAlign w:val="center"/>
          </w:tcPr>
          <w:p>
            <w:pPr>
              <w:jc w:val="left"/>
            </w:pPr>
            <w:r>
              <w:t>住所</w:t>
            </w:r>
          </w:p>
        </w:tc>
        <w:tc>
          <w:tcPr>
            <w:tcW w:w="3800" w:type="dxa"/>
            <w:vAlign w:val="center"/>
          </w:tcPr>
          <w:p>
            <w:pPr>
              <w:jc w:val="center"/>
            </w:pPr>
            <w: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江苏镇江农村商业银行股份有限公司</w:t>
            </w:r>
          </w:p>
        </w:tc>
        <w:tc>
          <w:tcPr>
            <w:tcW w:w="1200" w:type="dxa"/>
            <w:vAlign w:val="center"/>
          </w:tcPr>
          <w:p>
            <w:pPr>
              <w:jc w:val="left"/>
            </w:pPr>
            <w:r>
              <w:t>住所</w:t>
            </w:r>
          </w:p>
        </w:tc>
        <w:tc>
          <w:tcPr>
            <w:tcW w:w="3800" w:type="dxa"/>
            <w:vAlign w:val="center"/>
          </w:tcPr>
          <w:p>
            <w:pPr>
              <w:jc w:val="center"/>
            </w:pPr>
            <w: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江苏高邮农村商业银行股份有限公司</w:t>
            </w:r>
          </w:p>
        </w:tc>
        <w:tc>
          <w:tcPr>
            <w:tcW w:w="1200" w:type="dxa"/>
            <w:vAlign w:val="center"/>
          </w:tcPr>
          <w:p>
            <w:pPr>
              <w:jc w:val="left"/>
            </w:pPr>
            <w:r>
              <w:t>住所</w:t>
            </w:r>
          </w:p>
        </w:tc>
        <w:tc>
          <w:tcPr>
            <w:tcW w:w="3800" w:type="dxa"/>
            <w:vAlign w:val="center"/>
          </w:tcPr>
          <w:p>
            <w:pPr>
              <w:jc w:val="center"/>
            </w:pPr>
            <w:r>
              <w:t>高邮市文游中路28号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泉州银行股份有限公司</w:t>
            </w:r>
          </w:p>
        </w:tc>
        <w:tc>
          <w:tcPr>
            <w:tcW w:w="1200" w:type="dxa"/>
            <w:vAlign w:val="center"/>
          </w:tcPr>
          <w:p>
            <w:pPr>
              <w:jc w:val="left"/>
            </w:pPr>
            <w:r>
              <w:t>住所</w:t>
            </w:r>
          </w:p>
        </w:tc>
        <w:tc>
          <w:tcPr>
            <w:tcW w:w="3800" w:type="dxa"/>
            <w:vAlign w:val="center"/>
          </w:tcPr>
          <w:p>
            <w:pPr>
              <w:jc w:val="center"/>
            </w:pPr>
            <w: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湖北银行股份有限公司</w:t>
            </w:r>
          </w:p>
        </w:tc>
        <w:tc>
          <w:tcPr>
            <w:tcW w:w="1200" w:type="dxa"/>
            <w:vAlign w:val="center"/>
          </w:tcPr>
          <w:p>
            <w:pPr>
              <w:jc w:val="left"/>
            </w:pPr>
            <w:r>
              <w:t>住所</w:t>
            </w:r>
          </w:p>
        </w:tc>
        <w:tc>
          <w:tcPr>
            <w:tcW w:w="3800" w:type="dxa"/>
            <w:vAlign w:val="center"/>
          </w:tcPr>
          <w:p>
            <w:pPr>
              <w:jc w:val="center"/>
            </w:pPr>
            <w: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长安银行股份有限公司</w:t>
            </w:r>
          </w:p>
        </w:tc>
        <w:tc>
          <w:tcPr>
            <w:tcW w:w="1200" w:type="dxa"/>
            <w:vAlign w:val="center"/>
          </w:tcPr>
          <w:p>
            <w:pPr>
              <w:jc w:val="left"/>
            </w:pPr>
            <w:r>
              <w:t>住所</w:t>
            </w:r>
          </w:p>
        </w:tc>
        <w:tc>
          <w:tcPr>
            <w:tcW w:w="3800" w:type="dxa"/>
            <w:vAlign w:val="center"/>
          </w:tcPr>
          <w:p>
            <w:pPr>
              <w:jc w:val="center"/>
            </w:pPr>
            <w: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jc w:val="center"/>
            </w:pPr>
            <w:r>
              <w:t>销售机构职责</w:t>
            </w:r>
          </w:p>
        </w:tc>
        <w:tc>
          <w:tcPr>
            <w:tcW w:w="6600" w:type="dxa"/>
            <w:gridSpan w:val="3"/>
            <w:vAlign w:val="center"/>
          </w:tcPr>
          <w:p>
            <w:pPr>
              <w:jc w:val="left"/>
            </w:pPr>
            <w: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color w:val="000000"/>
          <w:sz w:val="24"/>
          <w:highlight w:val="none"/>
        </w:rPr>
      </w:pPr>
      <w:r>
        <w:rPr>
          <w:rFonts w:hint="eastAsia"/>
          <w:color w:val="000000"/>
          <w:sz w:val="24"/>
          <w:highlight w:val="none"/>
        </w:rPr>
        <w:t>理财计划所投资各类资产按照会计准则和监管要求进行会计分类，并按如下规则进行计量：</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color w:val="000000"/>
          <w:kern w:val="2"/>
          <w:highlight w:val="none"/>
          <w:lang w:eastAsia="zh-CN"/>
        </w:rPr>
      </w:pPr>
      <w:r>
        <w:rPr>
          <w:rFonts w:hint="eastAsia" w:ascii="宋体" w:hAnsi="宋体" w:cs="宋体"/>
          <w:bCs/>
          <w:color w:val="000000"/>
          <w:kern w:val="2"/>
          <w:highlight w:val="none"/>
          <w:lang w:eastAsia="zh-CN"/>
        </w:rPr>
        <w:t>银行存款</w:t>
      </w:r>
      <w:r>
        <w:rPr>
          <w:rFonts w:hint="eastAsia" w:ascii="宋体" w:hAnsi="宋体" w:cs="宋体"/>
          <w:bCs/>
          <w:color w:val="000000"/>
          <w:kern w:val="2"/>
          <w:highlight w:val="none"/>
        </w:rPr>
        <w:t>及回购，以本金列示，按商定利率在实际持有期间内逐日计提利息。</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color w:val="000000"/>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color w:val="000000"/>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2）</w:t>
      </w:r>
      <w:r>
        <w:rPr>
          <w:rFonts w:hint="eastAsia" w:ascii="宋体" w:hAnsi="宋体"/>
          <w:color w:val="000000"/>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3）</w:t>
      </w:r>
      <w:r>
        <w:rPr>
          <w:rFonts w:hint="eastAsia" w:ascii="宋体" w:hAnsi="宋体"/>
          <w:color w:val="000000"/>
          <w:sz w:val="24"/>
          <w:highlight w:val="none"/>
        </w:rPr>
        <w:t>首次发行未上市的股票，按发行价格进行估值；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4）</w:t>
      </w:r>
      <w:r>
        <w:rPr>
          <w:rFonts w:hint="eastAsia" w:ascii="宋体" w:hAnsi="宋体"/>
          <w:color w:val="000000"/>
          <w:sz w:val="24"/>
          <w:highlight w:val="none"/>
        </w:rPr>
        <w:t>因持有股票而享有的配股权，采用估值技术确定公允价值。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color w:val="000000"/>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color w:val="000000"/>
          <w:kern w:val="2"/>
          <w:highlight w:val="none"/>
          <w:lang w:eastAsia="zh-CN"/>
        </w:rPr>
        <w:t>按最能反映公允价值的价格估值，</w:t>
      </w:r>
      <w:r>
        <w:rPr>
          <w:rFonts w:hint="eastAsia" w:ascii="宋体" w:hAnsi="宋体" w:cs="宋体"/>
          <w:bCs/>
          <w:color w:val="000000"/>
          <w:kern w:val="2"/>
          <w:highlight w:val="none"/>
        </w:rPr>
        <w:t>并自协商一致日后执行。</w:t>
      </w:r>
    </w:p>
    <w:p>
      <w:pPr>
        <w:pStyle w:val="17"/>
        <w:tabs>
          <w:tab w:val="left" w:pos="0"/>
        </w:tabs>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暂停估值情形</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3"/>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费用及税收</w:t>
      </w:r>
    </w:p>
    <w:p>
      <w:pPr>
        <w:numPr>
          <w:ilvl w:val="0"/>
          <w:numId w:val="34"/>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费用种类</w:t>
      </w:r>
    </w:p>
    <w:p>
      <w:pPr>
        <w:spacing w:line="360" w:lineRule="auto"/>
        <w:ind w:firstLine="480" w:firstLineChars="200"/>
        <w:jc w:val="left"/>
        <w:rPr>
          <w:rFonts w:ascii="宋体" w:hAnsi="宋体" w:cs="宋体"/>
          <w:b/>
          <w:color w:val="000000"/>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34"/>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费用计提方法、标准及支付方式</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H份额〗、〖I份额〗、〖J份额〗、〖P份额〗、〖Q份额〗、〖R份额〗、〖U份额〗和销售服务费于产品成立日一次性收取的〖E份额〗、〖F份额〗、〖K份额〗、〖M份额〗、〖N份额〗、〖W份额〗、〖X份额〗、〖Y份额〗、〖Z份额〗。A份额的年化销售服务费率为〖0.30%〗, B份额的年化销售服务费率为〖0.20%〗, C份额的年化销售服务费率为〖0.10%〗, D份额的年化销售服务费率为〖0.15%〗, E份额的年化销售服务费率为〖0.20%〗, F份额的年化销售服务费率为〖0.15%〗, H份额的年化销售服务费率为〖0.05%〗, I份额的年化销售服务费率为〖0.30%〗, J份额的年化销售服务费率为〖0.15%〗, K份额的年化销售服务费率为〖0.10%〗, M份额的年化销售服务费率为〖0.01%〗, N份额的年化销售服务费率为〖0.20%〗, P份额的年化销售服务费率为〖0.15%〗, Q份额的年化销售服务费率为〖0.05%〗, R份额的年化销售服务费率为〖0.05%〗, U份额的年化销售服务费率为〖0.02%〗, W份额的年化销售服务费率为〖0.30%〗, X份额的年化销售服务费率为〖0.15%〗, Y份额的年化销售服务费率为〖0.20%〗, Z份额的年化销售服务费率为〖0.10%〗。两种计算方法如下：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H2为〖E份额〗应计提的销售服务费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E2为〖E份额〗成立日产品份额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bCs/>
          <w:color w:val="000000"/>
          <w:kern w:val="2"/>
          <w:sz w:val="24"/>
          <w:szCs w:val="24"/>
          <w:highlight w:val="none"/>
          <w:lang w:val="en-US" w:eastAsia="zh-CN"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color w:val="000000"/>
          <w:sz w:val="24"/>
          <w:szCs w:val="24"/>
          <w:highlight w:val="none"/>
          <w:lang w:eastAsia="zh-CN"/>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E份额的年化固定管理费率为〖0.10%〗, F份额的年化固定管理费率为〖0.10%〗, H份额的年化固定管理费率为〖0.10%〗, I份额的年化固定管理费率为〖0.10%〗, J份额的年化固定管理费率为〖0.10%〗, K份额的年化固定管理费率为〖0.10%〗, M份额的年化固定管理费率为〖0.09%〗, N份额的年化固定管理费率为〖0.10%〗, P份额的年化固定管理费率为〖0.10%〗, Q份额的年化固定管理费率为〖0.05%〗, R份额的年化固定管理费率为〖0.10%〗, U份额的年化固定管理费率为〖0.10%〗, W份额的年化固定管理费率为〖0.10%〗, X份额的年化固定管理费率为〖0.10%〗, Y份额的年化固定管理费率为〖0.10%〗, Z份额的年化固定管理费率为〖0.10%〗,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0.10</w:t>
      </w:r>
      <w:r>
        <w:rPr>
          <w:rFonts w:hint="eastAsia" w:ascii="宋体" w:hAnsi="宋体" w:cs="宋体"/>
          <w:bCs/>
          <w:color w:val="000000"/>
          <w:kern w:val="2"/>
          <w:sz w:val="24"/>
          <w:szCs w:val="24"/>
          <w:highlight w:val="none"/>
          <w:lang w:val="en-US" w:eastAsia="zh-CN"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CN"/>
        </w:rPr>
        <w:t>。</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财产管理、运用或处分过程中发生的税费。</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代理机构手续费、管理费、财务顾问费、保管费。</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审计费、律师费、公证费等费用。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管理人自行或委托第三方向本理财计划所投资产所涉及相关主体进行追偿所发生的费用（包括但不限于诉讼费、仲裁费、律师费、保全费等全部费用）。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理财计划的交易费用（包括但不限于交易佣金、相关账户费用等）及投资其他资管产品的费用。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监管规定的其他费用。</w:t>
      </w:r>
    </w:p>
    <w:p>
      <w:pPr>
        <w:spacing w:line="360" w:lineRule="auto"/>
        <w:jc w:val="left"/>
        <w:rPr>
          <w:rFonts w:ascii="宋体" w:hAnsi="宋体" w:cs="宋体"/>
          <w:bCs/>
          <w:color w:val="000000"/>
          <w:sz w:val="24"/>
          <w:highlight w:val="none"/>
        </w:rPr>
      </w:pPr>
      <w:r>
        <w:rPr>
          <w:rFonts w:hint="eastAsia" w:ascii="宋体" w:hAnsi="宋体" w:cs="宋体"/>
          <w:bCs/>
          <w:color w:val="000000"/>
          <w:sz w:val="24"/>
          <w:highlight w:val="none"/>
        </w:rPr>
        <w:t xml:space="preserve">    </w:t>
      </w:r>
      <w:r>
        <w:rPr>
          <w:rFonts w:hint="eastAsia" w:ascii="宋体" w:hAnsi="宋体" w:cs="宋体"/>
          <w:b/>
          <w:color w:val="000000"/>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税收说明</w:t>
      </w:r>
    </w:p>
    <w:p>
      <w:pPr>
        <w:numPr>
          <w:ilvl w:val="0"/>
          <w:numId w:val="38"/>
        </w:numPr>
        <w:spacing w:line="360" w:lineRule="auto"/>
        <w:jc w:val="left"/>
        <w:rPr>
          <w:color w:val="000000"/>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8"/>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收益计算</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CN"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CN"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CN"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CN"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CN"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CN"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交易规则</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认购</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成立</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3"/>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申购及赎回</w:t>
      </w:r>
    </w:p>
    <w:p>
      <w:pPr>
        <w:spacing w:line="360" w:lineRule="auto"/>
        <w:ind w:firstLine="480" w:firstLineChars="200"/>
        <w:jc w:val="left"/>
        <w:rPr>
          <w:rFonts w:ascii="宋体" w:hAnsi="宋体" w:cs="宋体"/>
          <w:b/>
          <w:color w:val="000000"/>
          <w:sz w:val="24"/>
          <w:highlight w:val="none"/>
        </w:rPr>
      </w:pPr>
      <w:r>
        <w:rPr>
          <w:rFonts w:hint="eastAsia" w:ascii="宋体" w:hAnsi="宋体" w:cs="宋体"/>
          <w:bCs/>
          <w:color w:val="000000"/>
          <w:sz w:val="24"/>
          <w:highlight w:val="none"/>
        </w:rPr>
        <w:t>本理财计划封闭式运作，存续期间不开放申购和赎回。</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color w:val="000000"/>
          <w:sz w:val="24"/>
          <w:highlight w:val="none"/>
        </w:rPr>
      </w:pPr>
      <w:r>
        <w:rPr>
          <w:rFonts w:hint="eastAsia" w:ascii="宋体" w:hAnsi="宋体" w:cs="宋体"/>
          <w:bCs/>
          <w:color w:val="000000"/>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color w:val="000000"/>
          <w:kern w:val="2"/>
          <w:sz w:val="24"/>
          <w:szCs w:val="24"/>
          <w:lang w:val="en-US" w:eastAsia="zh-CN" w:bidi="ar"/>
        </w:rPr>
        <w:t>〖1〗个〖工作日〗</w:t>
      </w:r>
      <w:r>
        <w:rPr>
          <w:rFonts w:hint="eastAsia" w:ascii="宋体" w:hAnsi="宋体" w:cs="宋体"/>
          <w:bCs/>
          <w:color w:val="000000"/>
          <w:sz w:val="24"/>
          <w:highlight w:val="none"/>
        </w:rPr>
        <w:t>、最晚</w:t>
      </w:r>
      <w:r>
        <w:rPr>
          <w:rFonts w:hint="eastAsia" w:ascii="宋体" w:hAnsi="宋体" w:eastAsia="宋体" w:cs="宋体"/>
          <w:color w:val="000000"/>
          <w:kern w:val="2"/>
          <w:sz w:val="24"/>
          <w:szCs w:val="24"/>
          <w:lang w:val="en-US" w:eastAsia="zh-CN" w:bidi="ar"/>
        </w:rPr>
        <w:t>〖3〗个〖工作日〗</w:t>
      </w:r>
      <w:r>
        <w:rPr>
          <w:rFonts w:hint="eastAsia" w:ascii="宋体" w:hAnsi="宋体" w:cs="宋体"/>
          <w:bCs/>
          <w:color w:val="000000"/>
          <w:sz w:val="24"/>
          <w:highlight w:val="none"/>
        </w:rPr>
        <w:t>内（遇节假日顺延）将资金按规定的要求划入投资者授权指定的理财账户。（具体以销售机构规定为准）</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提前终止</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在理财计划期限内，管理人根据投资情况有提前终止权，于本理财计划提前终止日前</w:t>
      </w:r>
      <w:r>
        <w:rPr>
          <w:rFonts w:hint="eastAsia" w:ascii="宋体" w:hAnsi="宋体" w:cs="宋体"/>
          <w:color w:val="000000"/>
          <w:sz w:val="24"/>
          <w:szCs w:val="24"/>
          <w:highlight w:val="none"/>
        </w:rPr>
        <w:t>〖</w:t>
      </w:r>
      <w:r>
        <w:rPr>
          <w:rFonts w:hint="eastAsia" w:ascii="宋体" w:hAnsi="宋体" w:cs="宋体"/>
          <w:bCs/>
          <w:color w:val="000000"/>
          <w:sz w:val="24"/>
          <w:highlight w:val="none"/>
        </w:rPr>
        <w:t>2〗个〖</w:t>
      </w:r>
      <w:r>
        <w:rPr>
          <w:rFonts w:hint="eastAsia" w:ascii="宋体" w:hAnsi="宋体" w:eastAsia="宋体" w:cs="宋体"/>
          <w:bCs/>
          <w:color w:val="000000"/>
          <w:kern w:val="2"/>
          <w:sz w:val="24"/>
          <w:szCs w:val="24"/>
          <w:highlight w:val="none"/>
          <w:lang w:val="en-US" w:eastAsia="zh-CN" w:bidi="ar-SA"/>
        </w:rPr>
        <w:t>工作日</w:t>
      </w:r>
      <w:r>
        <w:rPr>
          <w:rFonts w:hint="eastAsia" w:ascii="宋体" w:hAnsi="宋体" w:cs="宋体"/>
          <w:bCs/>
          <w:color w:val="000000"/>
          <w:sz w:val="24"/>
          <w:highlight w:val="none"/>
        </w:rPr>
        <w:t>〗通过管理人或销售机构发布提前终止公告，并于终止日后</w:t>
      </w:r>
      <w:r>
        <w:rPr>
          <w:rFonts w:hint="eastAsia" w:ascii="宋体" w:hAnsi="宋体" w:cs="宋体"/>
          <w:color w:val="000000"/>
          <w:sz w:val="24"/>
          <w:szCs w:val="24"/>
          <w:highlight w:val="none"/>
        </w:rPr>
        <w:t>〖</w:t>
      </w:r>
      <w:r>
        <w:rPr>
          <w:rFonts w:hint="eastAsia" w:ascii="宋体" w:hAnsi="宋体" w:cs="宋体"/>
          <w:color w:val="000000"/>
          <w:kern w:val="2"/>
          <w:sz w:val="24"/>
          <w:szCs w:val="24"/>
          <w:highlight w:val="none"/>
          <w:lang w:val="en-US" w:eastAsia="zh-CN" w:bidi="ar-SA"/>
        </w:rPr>
        <w:t>3</w:t>
      </w:r>
      <w:r>
        <w:rPr>
          <w:rFonts w:hint="eastAsia" w:ascii="宋体" w:hAnsi="宋体" w:cs="宋体"/>
          <w:bCs/>
          <w:color w:val="000000"/>
          <w:sz w:val="24"/>
          <w:highlight w:val="none"/>
        </w:rPr>
        <w:t>〗个〖</w:t>
      </w:r>
      <w:r>
        <w:rPr>
          <w:rFonts w:hint="eastAsia" w:ascii="宋体" w:hAnsi="宋体" w:eastAsia="宋体" w:cs="宋体"/>
          <w:bCs/>
          <w:color w:val="000000"/>
          <w:kern w:val="2"/>
          <w:sz w:val="24"/>
          <w:szCs w:val="24"/>
          <w:highlight w:val="none"/>
          <w:lang w:val="en-US" w:eastAsia="zh-CN" w:bidi="ar-SA"/>
        </w:rPr>
        <w:t>工作日</w:t>
      </w:r>
      <w:r>
        <w:rPr>
          <w:rFonts w:hint="eastAsia" w:ascii="宋体" w:hAnsi="宋体" w:cs="宋体"/>
          <w:bCs/>
          <w:color w:val="000000"/>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如发生以下事项时，管理人可对本理财计划行使全部</w:t>
      </w:r>
      <w:r>
        <w:rPr>
          <w:rFonts w:hint="eastAsia" w:ascii="宋体" w:hAnsi="宋体" w:cs="宋体"/>
          <w:b/>
          <w:color w:val="000000"/>
          <w:sz w:val="24"/>
          <w:highlight w:val="none"/>
          <w:lang w:eastAsia="zh-CN"/>
        </w:rPr>
        <w:t>或部分</w:t>
      </w:r>
      <w:r>
        <w:rPr>
          <w:rFonts w:hint="eastAsia" w:ascii="宋体" w:hAnsi="宋体" w:cs="宋体"/>
          <w:b/>
          <w:color w:val="000000"/>
          <w:sz w:val="24"/>
          <w:highlight w:val="none"/>
        </w:rPr>
        <w:t>提前终止权：</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如因本理财计划资产运作模式等与法律法规、规章的规定或者监管部门的要求等存在冲突导致理财计划必须提前终止的。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国家有关法律、法规、规章、政策的改变、紧急措施的出台、理财市场环境发生重大变化等导致理财计划必须提前终止的。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因不可抗力因素导致本理财计划必须提前终止的。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理财计划的投资策略已不适合当前的市场环境的。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lang w:eastAsia="zh-CN"/>
        </w:rPr>
        <w:t>融资人行使提前到期或还款权利的。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管理人认为应该提前终止的其他情形。</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延期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预计在理财计划预计到期日，理财计划资产因市场风险、信用风险等原因无法全部变现。</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预计理财计划所投资的信托计划、资管计划、私募基金的受托人或管理人不能按时向管理人划付理财计划的本金和收益。</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理财计划财产涉及诉讼或仲裁，且预计诉讼或仲裁执行程序于理财计划到期日尚未终结。</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管理人与托管人、销售机构协商一致决定延期。</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法律法规规定的或管理人认为有必要延期的其他情形。</w:t>
      </w:r>
    </w:p>
    <w:p>
      <w:pPr>
        <w:spacing w:line="360" w:lineRule="auto"/>
        <w:jc w:val="left"/>
        <w:rPr>
          <w:rFonts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信息披露</w:t>
      </w:r>
    </w:p>
    <w:p>
      <w:pPr>
        <w:numPr>
          <w:ilvl w:val="0"/>
          <w:numId w:val="46"/>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披露内容及时间</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认购信息披露</w:t>
      </w:r>
    </w:p>
    <w:p>
      <w:pPr>
        <w:numPr>
          <w:ilvl w:val="0"/>
          <w:numId w:val="4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运作信息披露</w:t>
      </w:r>
    </w:p>
    <w:p>
      <w:pPr>
        <w:numPr>
          <w:ilvl w:val="0"/>
          <w:numId w:val="4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9"/>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9"/>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临时信息披露</w:t>
      </w:r>
    </w:p>
    <w:p>
      <w:pPr>
        <w:numPr>
          <w:ilvl w:val="0"/>
          <w:numId w:val="5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50"/>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46"/>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其他</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追索条款</w:t>
      </w:r>
    </w:p>
    <w:p>
      <w:p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1"/>
        </w:numPr>
        <w:tabs>
          <w:tab w:val="left" w:pos="6090"/>
        </w:tabs>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信息安全</w:t>
      </w:r>
    </w:p>
    <w:p>
      <w:p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r>
        <w:rPr>
          <w:rFonts w:ascii="宋体" w:hAnsi="宋体" w:cs="宋体"/>
          <w:bCs/>
          <w:color w:val="000000"/>
          <w:sz w:val="2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center"/>
        <w:rPr>
          <w:rFonts w:hint="eastAsia" w:ascii="宋体" w:hAnsi="宋体" w:cs="宋体"/>
          <w:b/>
          <w:bCs/>
          <w:color w:val="000000"/>
          <w:sz w:val="24"/>
          <w:highlight w:val="none"/>
          <w:u w:val="single"/>
        </w:rPr>
      </w:pPr>
      <w:r>
        <w:rPr>
          <w:rFonts w:hint="eastAsia" w:ascii="宋体" w:hAnsi="宋体" w:cs="宋体"/>
          <w:b/>
          <w:bCs/>
          <w:color w:val="000000"/>
          <w:sz w:val="24"/>
          <w:highlight w:val="none"/>
          <w:u w:val="single"/>
        </w:rPr>
        <w:t>理财非存款、产品有风险、投资须谨慎</w:t>
      </w:r>
    </w:p>
    <w:p>
      <w:p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尊敬的投资者：</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52"/>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理财计划办理流程</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color w:val="000000"/>
          <w:kern w:val="0"/>
          <w:sz w:val="24"/>
          <w:highlight w:val="none"/>
          <w:lang w:val="en-US" w:eastAsia="zh-CN"/>
        </w:rPr>
        <w:t>如销售机构对于机构投资者的风险承受能力评估有要求的，则参照销售机构相关评估标准或代理销售协议书执行。</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投资者应仔细阅读本理财计划完整合同（包括但不限于</w:t>
      </w:r>
      <w:r>
        <w:rPr>
          <w:rFonts w:hint="eastAsia" w:ascii="宋体" w:hAnsi="宋体" w:cs="宋体"/>
          <w:color w:val="000000"/>
          <w:kern w:val="0"/>
          <w:sz w:val="24"/>
          <w:highlight w:val="none"/>
          <w:lang w:eastAsia="zh-CN"/>
        </w:rPr>
        <w:t>理财计划</w:t>
      </w:r>
      <w:r>
        <w:rPr>
          <w:rFonts w:hint="eastAsia" w:ascii="宋体" w:hAnsi="宋体" w:cs="宋体"/>
          <w:color w:val="000000"/>
          <w:kern w:val="0"/>
          <w:sz w:val="24"/>
          <w:highlight w:val="none"/>
        </w:rPr>
        <w:t>风险揭示书、理财计划产品说明书、投资者权益须知</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理财计划投资协议书</w:t>
      </w:r>
      <w:r>
        <w:rPr>
          <w:rFonts w:hint="eastAsia" w:ascii="宋体" w:hAnsi="宋体" w:cs="宋体"/>
          <w:color w:val="000000"/>
          <w:kern w:val="0"/>
          <w:sz w:val="24"/>
          <w:highlight w:val="none"/>
          <w:lang w:eastAsia="zh-CN"/>
        </w:rPr>
        <w:t>和理财计划（</w:t>
      </w:r>
      <w:r>
        <w:rPr>
          <w:rFonts w:hint="eastAsia" w:ascii="宋体" w:hAnsi="宋体" w:cs="宋体"/>
          <w:color w:val="000000"/>
          <w:kern w:val="0"/>
          <w:sz w:val="24"/>
          <w:highlight w:val="none"/>
          <w:lang w:val="en-US" w:eastAsia="zh-CN"/>
        </w:rPr>
        <w:t>代理销售</w:t>
      </w:r>
      <w:r>
        <w:rPr>
          <w:rFonts w:hint="eastAsia" w:ascii="宋体" w:hAnsi="宋体" w:cs="宋体"/>
          <w:color w:val="000000"/>
          <w:kern w:val="0"/>
          <w:sz w:val="24"/>
          <w:highlight w:val="none"/>
          <w:lang w:eastAsia="zh-CN"/>
        </w:rPr>
        <w:t>）销售协议书</w:t>
      </w:r>
      <w:r>
        <w:rPr>
          <w:rFonts w:hint="eastAsia" w:ascii="宋体" w:hAnsi="宋体" w:cs="宋体"/>
          <w:color w:val="000000"/>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如在银行营业场所购买杭银理财理财计划，销售机构需对每笔理财计划销售过程同步录音录像。</w:t>
      </w:r>
      <w:r>
        <w:rPr>
          <w:rFonts w:hint="eastAsia" w:ascii="宋体" w:hAnsi="宋体" w:cs="宋体"/>
          <w:color w:val="000000"/>
          <w:kern w:val="0"/>
          <w:sz w:val="24"/>
          <w:highlight w:val="none"/>
          <w:lang w:val="en-US" w:eastAsia="zh-CN"/>
        </w:rPr>
        <w:t>在没有销售人员推介的情况下，投资者通过自助终端等电子设备进行自主购买的情况除外。</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投资者确定交易金额，完成交易申请，并在确认份额后进行查询。</w:t>
      </w:r>
    </w:p>
    <w:p>
      <w:pPr>
        <w:numPr>
          <w:ilvl w:val="0"/>
          <w:numId w:val="54"/>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杭银理财产品风险评级</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机构投资者及进取型的个人投资者</w:t>
            </w:r>
          </w:p>
        </w:tc>
      </w:tr>
    </w:tbl>
    <w:p>
      <w:pPr>
        <w:pStyle w:val="17"/>
        <w:adjustRightInd/>
        <w:spacing w:line="360" w:lineRule="auto"/>
        <w:ind w:firstLine="480" w:firstLineChars="200"/>
        <w:rPr>
          <w:rFonts w:hint="default" w:ascii="宋体" w:hAnsi="宋体" w:eastAsia="宋体" w:cs="宋体"/>
          <w:b/>
          <w:color w:val="000000"/>
          <w:kern w:val="0"/>
          <w:sz w:val="24"/>
          <w:highlight w:val="none"/>
          <w:lang w:val="en-US" w:eastAsia="zh-CN"/>
        </w:rPr>
      </w:pPr>
      <w:r>
        <w:rPr>
          <w:rFonts w:hint="eastAsia" w:ascii="宋体" w:hAnsi="宋体" w:cs="宋体"/>
          <w:bCs/>
          <w:color w:val="000000"/>
          <w:kern w:val="2"/>
          <w:highlight w:val="none"/>
          <w:lang w:eastAsia="zh-CN"/>
        </w:rPr>
        <w:t>投资者风险承受能力评级水平以销售机构评估为准。</w:t>
      </w:r>
    </w:p>
    <w:p>
      <w:pPr>
        <w:numPr>
          <w:ilvl w:val="0"/>
          <w:numId w:val="55"/>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投资者风险承受能力评估</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个人投资者风险承受能力评估流程（详询销售机构工作人员）</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个人投资者在销售机构进行风险承受能力评估；</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填写销售机构个人投资者风险承受能力测试问卷；</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生成相应的个人投资者风险承受能力评估结果；</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投资者对评估结果进行确认。</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color w:val="000000"/>
          <w:kern w:val="0"/>
          <w:sz w:val="24"/>
          <w:highlight w:val="none"/>
          <w:lang w:eastAsia="zh-CN"/>
        </w:rPr>
        <w:t>理财计划风险揭示书、理财计划</w:t>
      </w:r>
      <w:r>
        <w:rPr>
          <w:rFonts w:hint="eastAsia" w:ascii="宋体" w:hAnsi="宋体" w:cs="宋体"/>
          <w:color w:val="000000"/>
          <w:kern w:val="0"/>
          <w:sz w:val="24"/>
          <w:highlight w:val="none"/>
        </w:rPr>
        <w:t>产品说明书</w:t>
      </w:r>
      <w:r>
        <w:rPr>
          <w:rFonts w:hint="eastAsia" w:ascii="宋体" w:hAnsi="宋体" w:cs="宋体"/>
          <w:color w:val="000000"/>
          <w:kern w:val="0"/>
          <w:sz w:val="24"/>
          <w:highlight w:val="none"/>
          <w:lang w:eastAsia="zh-CN"/>
        </w:rPr>
        <w:t>、理财计划投资协议书和理财计划销售协议书</w:t>
      </w:r>
      <w:r>
        <w:rPr>
          <w:rFonts w:hint="eastAsia" w:ascii="宋体" w:hAnsi="宋体" w:cs="宋体"/>
          <w:color w:val="000000"/>
          <w:kern w:val="0"/>
          <w:sz w:val="24"/>
          <w:highlight w:val="none"/>
        </w:rPr>
        <w:t>的基础上，充分认识投资本理财计划需要承担的风险。</w:t>
      </w:r>
      <w:r>
        <w:rPr>
          <w:rFonts w:hint="eastAsia" w:ascii="宋体" w:hAnsi="宋体" w:cs="宋体"/>
          <w:color w:val="000000"/>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四、理财计划信息披露</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五、投资者信息管理</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六、投诉与建议</w:t>
      </w:r>
    </w:p>
    <w:p>
      <w:pPr>
        <w:numPr>
          <w:ilvl w:val="0"/>
          <w:numId w:val="59"/>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投资者如认为理财</w:t>
      </w:r>
      <w:r>
        <w:rPr>
          <w:rFonts w:hint="eastAsia" w:ascii="宋体" w:hAnsi="宋体" w:cs="宋体"/>
          <w:color w:val="000000"/>
          <w:kern w:val="0"/>
          <w:sz w:val="24"/>
          <w:highlight w:val="none"/>
          <w:lang w:val="en-US" w:eastAsia="zh-CN"/>
        </w:rPr>
        <w:t>计划</w:t>
      </w:r>
      <w:r>
        <w:rPr>
          <w:rFonts w:hint="eastAsia" w:ascii="宋体" w:hAnsi="宋体" w:cs="宋体"/>
          <w:color w:val="000000"/>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color w:val="000000"/>
          <w:kern w:val="0"/>
          <w:sz w:val="24"/>
          <w:highlight w:val="none"/>
          <w:lang w:val="en-US" w:eastAsia="zh-CN"/>
        </w:rPr>
        <w:t>或管理人</w:t>
      </w:r>
      <w:r>
        <w:rPr>
          <w:rFonts w:hint="eastAsia" w:ascii="宋体" w:hAnsi="宋体" w:cs="宋体"/>
          <w:color w:val="000000"/>
          <w:kern w:val="0"/>
          <w:sz w:val="24"/>
          <w:highlight w:val="none"/>
        </w:rPr>
        <w:t>热线或客服电话进行反馈</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将由专人接听、记录您的意见建议，并由双方协商共同解决。</w:t>
      </w:r>
    </w:p>
    <w:p>
      <w:pPr>
        <w:numPr>
          <w:ilvl w:val="0"/>
          <w:numId w:val="59"/>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联络方式</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杭银理财联络方式：</w:t>
      </w:r>
    </w:p>
    <w:p>
      <w:pPr>
        <w:numPr>
          <w:ilvl w:val="0"/>
          <w:numId w:val="60"/>
        </w:numPr>
        <w:spacing w:line="360" w:lineRule="auto"/>
        <w:ind w:left="0" w:leftChars="0" w:firstLine="400" w:firstLineChars="0"/>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color w:val="000000"/>
          <w:kern w:val="0"/>
          <w:sz w:val="24"/>
          <w:highlight w:val="none"/>
          <w:u w:val="single"/>
          <w:lang w:val="en-US" w:eastAsia="zh-CN"/>
        </w:rPr>
      </w:pPr>
      <w:r>
        <w:rPr>
          <w:rFonts w:hint="eastAsia" w:ascii="宋体" w:hAnsi="宋体" w:cs="宋体"/>
          <w:color w:val="000000"/>
          <w:kern w:val="0"/>
          <w:sz w:val="24"/>
          <w:highlight w:val="none"/>
          <w:lang w:eastAsia="zh-CN"/>
        </w:rPr>
        <w:t>官方网站：</w:t>
      </w:r>
      <w:r>
        <w:rPr>
          <w:rFonts w:hint="eastAsia" w:ascii="宋体" w:hAnsi="宋体" w:cs="宋体"/>
          <w:bCs/>
          <w:color w:val="000000"/>
          <w:kern w:val="2"/>
          <w:highlight w:val="none"/>
          <w:u w:val="none"/>
          <w:lang w:val="en-US" w:eastAsia="zh-CN"/>
        </w:rPr>
        <w:t>https://</w:t>
      </w:r>
      <w:r>
        <w:rPr>
          <w:rStyle w:val="11"/>
          <w:rFonts w:hint="eastAsia" w:ascii="宋体" w:hAnsi="宋体" w:cs="宋体"/>
          <w:color w:val="000000"/>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u w:val="none"/>
          <w:lang w:val="en-US" w:eastAsia="zh-CN"/>
        </w:rPr>
        <w:t>公司地址：</w:t>
      </w:r>
      <w:r>
        <w:rPr>
          <w:rFonts w:hint="eastAsia" w:ascii="宋体" w:hAnsi="宋体" w:cs="宋体"/>
          <w:color w:val="000000"/>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若</w:t>
      </w:r>
      <w:r>
        <w:rPr>
          <w:rFonts w:hint="eastAsia" w:ascii="宋体" w:hAnsi="宋体" w:cs="宋体"/>
          <w:color w:val="000000"/>
          <w:kern w:val="0"/>
          <w:sz w:val="24"/>
          <w:highlight w:val="none"/>
        </w:rPr>
        <w:t>上述联系方式变更，杭银理财将提前通过</w:t>
      </w:r>
      <w:r>
        <w:rPr>
          <w:rFonts w:hint="eastAsia" w:ascii="宋体" w:hAnsi="宋体" w:cs="宋体"/>
          <w:color w:val="000000"/>
          <w:kern w:val="0"/>
          <w:sz w:val="24"/>
          <w:highlight w:val="none"/>
          <w:lang w:eastAsia="zh-CN"/>
        </w:rPr>
        <w:t>官方网站</w:t>
      </w:r>
      <w:r>
        <w:rPr>
          <w:rFonts w:hint="eastAsia" w:ascii="宋体" w:hAnsi="宋体" w:cs="宋体"/>
          <w:color w:val="000000"/>
          <w:kern w:val="0"/>
          <w:sz w:val="24"/>
          <w:highlight w:val="none"/>
        </w:rPr>
        <w:t>及时告知投资者。</w:t>
      </w:r>
    </w:p>
    <w:p>
      <w:pPr>
        <w:numPr>
          <w:ilvl w:val="0"/>
          <w:numId w:val="60"/>
        </w:numPr>
        <w:spacing w:line="360" w:lineRule="auto"/>
        <w:ind w:left="0" w:leftChars="0" w:firstLine="400" w:firstLineChars="0"/>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杭州银行</w:t>
      </w:r>
      <w:r>
        <w:rPr>
          <w:rFonts w:hint="eastAsia" w:ascii="宋体" w:hAnsi="宋体" w:cs="宋体"/>
          <w:color w:val="000000"/>
          <w:kern w:val="0"/>
          <w:sz w:val="24"/>
          <w:highlight w:val="none"/>
        </w:rPr>
        <w:t>（作为销售机构）</w:t>
      </w:r>
      <w:r>
        <w:rPr>
          <w:rFonts w:hint="eastAsia" w:ascii="宋体" w:hAnsi="宋体" w:cs="宋体"/>
          <w:color w:val="000000"/>
          <w:kern w:val="0"/>
          <w:sz w:val="24"/>
          <w:highlight w:val="none"/>
          <w:lang w:eastAsia="zh-CN"/>
        </w:rPr>
        <w:t>联络方式：</w:t>
      </w:r>
    </w:p>
    <w:p>
      <w:pPr>
        <w:spacing w:line="360" w:lineRule="auto"/>
        <w:ind w:firstLine="480" w:firstLineChars="200"/>
        <w:rPr>
          <w:rFonts w:hint="eastAsia" w:ascii="宋体" w:hAnsi="宋体" w:cs="宋体"/>
          <w:color w:val="000000"/>
          <w:kern w:val="0"/>
          <w:sz w:val="24"/>
          <w:highlight w:val="none"/>
          <w:u w:val="single"/>
          <w:lang w:val="en-US" w:eastAsia="zh-CN"/>
        </w:rPr>
      </w:pPr>
      <w:r>
        <w:rPr>
          <w:rFonts w:hint="eastAsia" w:ascii="宋体" w:hAnsi="宋体" w:cs="宋体"/>
          <w:color w:val="000000"/>
          <w:kern w:val="0"/>
          <w:sz w:val="24"/>
          <w:highlight w:val="none"/>
          <w:lang w:eastAsia="zh-CN"/>
        </w:rPr>
        <w:t>官方网站</w:t>
      </w:r>
      <w:r>
        <w:rPr>
          <w:rFonts w:hint="eastAsia" w:ascii="宋体" w:hAnsi="宋体" w:cs="宋体"/>
          <w:color w:val="000000"/>
          <w:kern w:val="0"/>
          <w:sz w:val="24"/>
          <w:highlight w:val="none"/>
          <w:lang w:val="en-US" w:eastAsia="zh-CN"/>
        </w:rPr>
        <w:t xml:space="preserve">: </w:t>
      </w:r>
      <w:r>
        <w:fldChar w:fldCharType="begin"/>
      </w:r>
      <w:r>
        <w:instrText xml:space="preserve"> HYPERLINK "http://www.hzbankwealth.cn" </w:instrText>
      </w:r>
      <w:r>
        <w:fldChar w:fldCharType="separate"/>
      </w:r>
      <w:r>
        <w:rPr>
          <w:rStyle w:val="11"/>
          <w:rFonts w:hint="eastAsia" w:ascii="宋体" w:hAnsi="宋体" w:cs="宋体"/>
          <w:color w:val="000000"/>
          <w:kern w:val="0"/>
          <w:sz w:val="24"/>
          <w:highlight w:val="none"/>
          <w:u w:val="none"/>
          <w:lang w:val="en-US" w:eastAsia="zh-CN"/>
        </w:rPr>
        <w:t>www.hzbank.com.cn</w:t>
      </w:r>
      <w:r>
        <w:rPr>
          <w:rStyle w:val="11"/>
          <w:rFonts w:hint="eastAsia" w:ascii="宋体" w:hAnsi="宋体" w:cs="宋体"/>
          <w:color w:val="000000"/>
          <w:kern w:val="0"/>
          <w:sz w:val="24"/>
          <w:highlight w:val="none"/>
          <w:u w:val="none"/>
          <w:lang w:val="en-US" w:eastAsia="zh-CN"/>
        </w:rPr>
        <w:fldChar w:fldCharType="end"/>
      </w:r>
    </w:p>
    <w:p>
      <w:pPr>
        <w:spacing w:line="360" w:lineRule="auto"/>
        <w:ind w:firstLine="480" w:firstLineChars="200"/>
        <w:rPr>
          <w:rFonts w:hint="default" w:ascii="宋体" w:hAnsi="宋体" w:eastAsia="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客户服务热线：95398、</w:t>
      </w:r>
      <w:r>
        <w:rPr>
          <w:rFonts w:hint="eastAsia" w:ascii="宋体" w:hAnsi="宋体" w:cs="宋体"/>
          <w:color w:val="000000"/>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color w:val="000000"/>
          <w:kern w:val="0"/>
          <w:sz w:val="24"/>
          <w:highlight w:val="none"/>
          <w:lang w:eastAsia="zh-CN"/>
        </w:rPr>
        <w:t>在</w:t>
      </w:r>
      <w:r>
        <w:rPr>
          <w:rFonts w:hint="eastAsia" w:ascii="宋体" w:hAnsi="宋体" w:cs="宋体"/>
          <w:color w:val="000000"/>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b/>
          <w:color w:val="000000"/>
          <w:sz w:val="44"/>
          <w:szCs w:val="44"/>
          <w:highlight w:val="none"/>
        </w:rPr>
      </w:pPr>
      <w:r>
        <w:rPr>
          <w:rFonts w:hint="eastAsia"/>
          <w:b/>
          <w:color w:val="000000"/>
          <w:sz w:val="44"/>
          <w:szCs w:val="44"/>
          <w:highlight w:val="none"/>
        </w:rPr>
        <w:t>杭银理财理财计划投资协议书</w:t>
      </w:r>
    </w:p>
    <w:p>
      <w:pPr>
        <w:jc w:val="center"/>
        <w:rPr>
          <w:rFonts w:hint="eastAsia"/>
          <w:b/>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center"/>
        <w:rPr>
          <w:rFonts w:hint="eastAsia"/>
          <w:b/>
          <w:color w:val="000000"/>
          <w:sz w:val="32"/>
          <w:szCs w:val="32"/>
          <w:highlight w:val="none"/>
        </w:rPr>
      </w:pPr>
      <w:r>
        <w:rPr>
          <w:rFonts w:hint="eastAsia" w:ascii="宋体" w:hAnsi="宋体" w:cs="宋体"/>
          <w:b/>
          <w:bCs/>
          <w:color w:val="000000"/>
          <w:sz w:val="24"/>
          <w:highlight w:val="none"/>
          <w:u w:val="single"/>
        </w:rPr>
        <w:t>理财非存款、产品有风险、投资须谨慎</w:t>
      </w:r>
    </w:p>
    <w:p>
      <w:pPr>
        <w:spacing w:line="360" w:lineRule="auto"/>
        <w:ind w:firstLine="482" w:firstLineChars="200"/>
        <w:rPr>
          <w:rFonts w:hint="eastAsia"/>
          <w:b/>
          <w:bCs/>
          <w:color w:val="000000"/>
          <w:sz w:val="24"/>
          <w:highlight w:val="none"/>
        </w:rPr>
      </w:pPr>
      <w:r>
        <w:rPr>
          <w:rFonts w:hint="eastAsia"/>
          <w:b/>
          <w:bCs/>
          <w:color w:val="000000"/>
          <w:sz w:val="24"/>
          <w:highlight w:val="none"/>
        </w:rPr>
        <w:t>特别提示：杭银理财理财计划投资协议书与</w:t>
      </w:r>
      <w:r>
        <w:rPr>
          <w:rFonts w:hint="eastAsia"/>
          <w:b/>
          <w:bCs/>
          <w:color w:val="000000"/>
          <w:sz w:val="24"/>
          <w:highlight w:val="none"/>
          <w:lang w:eastAsia="zh-CN"/>
        </w:rPr>
        <w:t>理财计划风险揭示书、理财计划产品说明书、</w:t>
      </w:r>
      <w:r>
        <w:rPr>
          <w:rFonts w:hint="eastAsia"/>
          <w:b/>
          <w:bCs/>
          <w:color w:val="000000"/>
          <w:sz w:val="24"/>
          <w:highlight w:val="none"/>
        </w:rPr>
        <w:t>投资者权益须知</w:t>
      </w:r>
      <w:r>
        <w:rPr>
          <w:rFonts w:hint="eastAsia"/>
          <w:b/>
          <w:bCs/>
          <w:color w:val="000000"/>
          <w:sz w:val="24"/>
          <w:highlight w:val="none"/>
          <w:lang w:eastAsia="zh-CN"/>
        </w:rPr>
        <w:t>及理财计划销售协议书</w:t>
      </w:r>
      <w:r>
        <w:rPr>
          <w:rFonts w:hint="eastAsia"/>
          <w:b/>
          <w:bCs/>
          <w:color w:val="000000"/>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color w:val="000000"/>
          <w:sz w:val="24"/>
          <w:highlight w:val="none"/>
        </w:rPr>
      </w:pPr>
      <w:r>
        <w:rPr>
          <w:rFonts w:hint="eastAsia"/>
          <w:color w:val="000000"/>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color w:val="000000"/>
          <w:sz w:val="24"/>
          <w:highlight w:val="none"/>
        </w:rPr>
      </w:pPr>
    </w:p>
    <w:p>
      <w:pPr>
        <w:numPr>
          <w:ilvl w:val="0"/>
          <w:numId w:val="61"/>
        </w:numPr>
        <w:spacing w:line="360" w:lineRule="auto"/>
        <w:ind w:firstLine="482" w:firstLineChars="200"/>
        <w:outlineLvl w:val="9"/>
        <w:rPr>
          <w:rFonts w:hint="eastAsia" w:ascii="宋体" w:hAnsi="宋体"/>
          <w:b/>
          <w:bCs/>
          <w:color w:val="000000"/>
          <w:sz w:val="24"/>
          <w:highlight w:val="none"/>
        </w:rPr>
      </w:pPr>
      <w:r>
        <w:rPr>
          <w:rFonts w:hint="eastAsia"/>
          <w:b/>
          <w:bCs/>
          <w:color w:val="000000"/>
          <w:sz w:val="24"/>
          <w:highlight w:val="none"/>
        </w:rPr>
        <w:t>名词释义</w:t>
      </w:r>
    </w:p>
    <w:p>
      <w:pPr>
        <w:spacing w:line="360" w:lineRule="auto"/>
        <w:ind w:firstLine="480" w:firstLineChars="200"/>
        <w:rPr>
          <w:rFonts w:hint="eastAsia"/>
          <w:bCs/>
          <w:color w:val="000000"/>
          <w:sz w:val="24"/>
          <w:highlight w:val="none"/>
        </w:rPr>
      </w:pPr>
      <w:r>
        <w:rPr>
          <w:rFonts w:hint="eastAsia"/>
          <w:bCs/>
          <w:color w:val="000000"/>
          <w:sz w:val="24"/>
          <w:highlight w:val="none"/>
        </w:rPr>
        <w:t>详见理财计划说明书“释义”部分。</w:t>
      </w:r>
    </w:p>
    <w:p>
      <w:pPr>
        <w:spacing w:line="360" w:lineRule="auto"/>
        <w:ind w:firstLine="480" w:firstLineChars="200"/>
        <w:rPr>
          <w:rFonts w:hint="eastAsia"/>
          <w:bCs/>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投资者权利与义务</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投资者保证自身完全了解理财投资的性质，投资所涉及的风险以及自身风险承受能力，在慎重考虑后独立作出交易决定。</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投资者保证其有权利签署本协议和履行本协议所述的义务，并已为此采取一切所需的行为。</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本协议终止前，投资者不得将授权指定账户销户。若发生因投资者注销授权指定账户造成理财计划无法正常兑付的，管理人不承担任何责任。</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投资者进行投资时，应严格遵守反洗钱相关法规的规定，切实履行反洗钱及反恐怖融资义务。 </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管理人权利与义务</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管理人应当诚实守信、勤勉尽责地履行受人之托、代人理财职责。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管理人应当按照理财计划销售文件的约定收取管理费用、确定收益分配方案、向投资者分配收益。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管理人应当按照理财计划销售文件的约定履行风险揭示及信息披露义务。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管理人应当确保理财业务与其他业务相分离，理财计划之间相分离，理财业务操作与其他业务操作相分离。 </w:t>
      </w:r>
    </w:p>
    <w:p>
      <w:pPr>
        <w:widowControl/>
        <w:numPr>
          <w:ilvl w:val="0"/>
          <w:numId w:val="63"/>
        </w:numPr>
        <w:spacing w:line="360" w:lineRule="auto"/>
        <w:contextualSpacing/>
        <w:outlineLvl w:val="9"/>
        <w:rPr>
          <w:rFonts w:ascii="宋体" w:hAnsi="宋体"/>
          <w:color w:val="000000"/>
          <w:sz w:val="24"/>
          <w:highlight w:val="none"/>
        </w:rPr>
      </w:pPr>
      <w:r>
        <w:rPr>
          <w:rFonts w:ascii="宋体" w:hAnsi="宋体"/>
          <w:color w:val="000000"/>
          <w:sz w:val="24"/>
          <w:highlight w:val="none"/>
        </w:rPr>
        <w:t>管理人不得将理财</w:t>
      </w:r>
      <w:r>
        <w:rPr>
          <w:rFonts w:hint="eastAsia" w:ascii="宋体" w:hAnsi="宋体"/>
          <w:color w:val="000000"/>
          <w:sz w:val="24"/>
          <w:highlight w:val="none"/>
        </w:rPr>
        <w:t>计划</w:t>
      </w:r>
      <w:r>
        <w:rPr>
          <w:rFonts w:ascii="宋体" w:hAnsi="宋体"/>
          <w:color w:val="000000"/>
          <w:sz w:val="24"/>
          <w:highlight w:val="none"/>
        </w:rPr>
        <w:t>财产归入其自有资产</w:t>
      </w:r>
      <w:r>
        <w:rPr>
          <w:rFonts w:hint="eastAsia" w:ascii="宋体" w:hAnsi="宋体"/>
          <w:color w:val="000000"/>
          <w:sz w:val="24"/>
          <w:highlight w:val="none"/>
        </w:rPr>
        <w:t>，</w:t>
      </w:r>
      <w:r>
        <w:rPr>
          <w:rFonts w:ascii="宋体" w:hAnsi="宋体"/>
          <w:color w:val="000000"/>
          <w:sz w:val="24"/>
          <w:highlight w:val="none"/>
        </w:rPr>
        <w:t>因依法解散</w:t>
      </w:r>
      <w:r>
        <w:rPr>
          <w:rFonts w:hint="eastAsia" w:ascii="宋体" w:hAnsi="宋体"/>
          <w:color w:val="000000"/>
          <w:sz w:val="24"/>
          <w:highlight w:val="none"/>
        </w:rPr>
        <w:t>、</w:t>
      </w:r>
      <w:r>
        <w:rPr>
          <w:rFonts w:ascii="宋体" w:hAnsi="宋体"/>
          <w:color w:val="000000"/>
          <w:sz w:val="24"/>
          <w:highlight w:val="none"/>
        </w:rPr>
        <w:t>被依法撤销或者被依法宣告破产等原因进行清算的</w:t>
      </w:r>
      <w:r>
        <w:rPr>
          <w:rFonts w:hint="eastAsia" w:ascii="宋体" w:hAnsi="宋体"/>
          <w:color w:val="000000"/>
          <w:sz w:val="24"/>
          <w:highlight w:val="none"/>
        </w:rPr>
        <w:t>，</w:t>
      </w:r>
      <w:r>
        <w:rPr>
          <w:rFonts w:ascii="宋体" w:hAnsi="宋体"/>
          <w:color w:val="000000"/>
          <w:sz w:val="24"/>
          <w:highlight w:val="none"/>
        </w:rPr>
        <w:t>理财</w:t>
      </w:r>
      <w:r>
        <w:rPr>
          <w:rFonts w:hint="eastAsia" w:ascii="宋体" w:hAnsi="宋体"/>
          <w:color w:val="000000"/>
          <w:sz w:val="24"/>
          <w:highlight w:val="none"/>
        </w:rPr>
        <w:t>计划</w:t>
      </w:r>
      <w:r>
        <w:rPr>
          <w:rFonts w:ascii="宋体" w:hAnsi="宋体"/>
          <w:color w:val="000000"/>
          <w:sz w:val="24"/>
          <w:highlight w:val="none"/>
        </w:rPr>
        <w:t>财产不属于其清算财产</w:t>
      </w:r>
      <w:r>
        <w:rPr>
          <w:rFonts w:hint="eastAsia" w:ascii="宋体" w:hAnsi="宋体"/>
          <w:color w:val="000000"/>
          <w:sz w:val="24"/>
          <w:highlight w:val="none"/>
        </w:rPr>
        <w:t>。</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理财计划认（申）购、赎回及终止</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理财计划认/申购办理流程：参照《投资者权益须知》约定。 </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64"/>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 xml:space="preserve">理财计划投资品种、投资起点金额、收益支付方式：参照对应期次的《理财计划产品说明书》中的条款约定。 </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税收处理</w:t>
      </w:r>
    </w:p>
    <w:p>
      <w:pPr>
        <w:widowControl/>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违约责任及免责条款</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color w:val="000000"/>
          <w:sz w:val="24"/>
          <w:highlight w:val="none"/>
          <w:lang w:eastAsia="zh-CN"/>
        </w:rPr>
        <w:t>赎回</w:t>
      </w:r>
      <w:r>
        <w:rPr>
          <w:rFonts w:hint="eastAsia" w:ascii="宋体" w:hAnsi="宋体"/>
          <w:color w:val="000000"/>
          <w:sz w:val="24"/>
          <w:highlight w:val="none"/>
        </w:rPr>
        <w:t>，本合同自动终止。因提前终止而产生的损失及相关费用由投资者承担。本合同前述情况终止的，理财本金不计付</w:t>
      </w:r>
      <w:r>
        <w:rPr>
          <w:rFonts w:hint="eastAsia" w:ascii="宋体" w:hAnsi="宋体"/>
          <w:color w:val="000000"/>
          <w:sz w:val="24"/>
          <w:highlight w:val="none"/>
          <w:lang w:eastAsia="zh-CN"/>
        </w:rPr>
        <w:t>赎回</w:t>
      </w:r>
      <w:r>
        <w:rPr>
          <w:rFonts w:hint="eastAsia" w:ascii="宋体" w:hAnsi="宋体"/>
          <w:color w:val="000000"/>
          <w:sz w:val="24"/>
          <w:highlight w:val="none"/>
        </w:rPr>
        <w:t>日前的理财收益，也不计付存款利息。</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因国家有关法律、法规、规章、政策的修改或新的法律、法规、规章、政策颁布以及紧急措施的出台导致的风险及损失，管理人不承担责任。</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color w:val="000000"/>
          <w:sz w:val="24"/>
          <w:highlight w:val="none"/>
        </w:rPr>
      </w:pPr>
    </w:p>
    <w:p>
      <w:pPr>
        <w:numPr>
          <w:ilvl w:val="0"/>
          <w:numId w:val="61"/>
        </w:numPr>
        <w:spacing w:line="360" w:lineRule="auto"/>
        <w:ind w:firstLine="482" w:firstLineChars="200"/>
        <w:outlineLvl w:val="9"/>
        <w:rPr>
          <w:b/>
          <w:color w:val="000000"/>
          <w:sz w:val="24"/>
          <w:highlight w:val="none"/>
        </w:rPr>
      </w:pPr>
      <w:r>
        <w:rPr>
          <w:rFonts w:hint="eastAsia"/>
          <w:b/>
          <w:color w:val="000000"/>
          <w:sz w:val="24"/>
          <w:highlight w:val="none"/>
        </w:rPr>
        <w:t>适用法律与争议解决</w:t>
      </w:r>
    </w:p>
    <w:p>
      <w:pPr>
        <w:widowControl/>
        <w:spacing w:line="360" w:lineRule="auto"/>
        <w:ind w:firstLine="480" w:firstLineChars="200"/>
        <w:contextualSpacing/>
        <w:rPr>
          <w:rFonts w:ascii="宋体" w:hAnsi="宋体"/>
          <w:color w:val="000000"/>
          <w:sz w:val="24"/>
          <w:highlight w:val="none"/>
        </w:rPr>
      </w:pPr>
      <w:r>
        <w:rPr>
          <w:rFonts w:hint="eastAsia" w:ascii="宋体" w:hAnsi="宋体"/>
          <w:color w:val="000000"/>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color w:val="000000"/>
          <w:sz w:val="24"/>
          <w:highlight w:val="none"/>
        </w:rPr>
        <w:t>的法律和行政法规。本合同项下的及与之有关的一切争议，投资者与管理人双方应首先协商解决，协商不成的，应提交</w:t>
      </w:r>
      <w:r>
        <w:rPr>
          <w:rFonts w:hint="eastAsia" w:ascii="宋体" w:hAnsi="宋体"/>
          <w:color w:val="000000"/>
          <w:sz w:val="24"/>
          <w:highlight w:val="none"/>
          <w:lang w:val="en-US" w:eastAsia="zh-CN"/>
        </w:rPr>
        <w:t>被告人</w:t>
      </w:r>
      <w:r>
        <w:rPr>
          <w:rFonts w:hint="eastAsia" w:ascii="宋体" w:hAnsi="宋体"/>
          <w:color w:val="000000"/>
          <w:sz w:val="24"/>
          <w:highlight w:val="none"/>
        </w:rPr>
        <w:t>所在地人民法院司法裁决。诉讼期间，未涉及争议的条款仍需继续履行。</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协议生效和终止</w:t>
      </w:r>
    </w:p>
    <w:p>
      <w:pPr>
        <w:widowControl/>
        <w:numPr>
          <w:ilvl w:val="0"/>
          <w:numId w:val="66"/>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投资者和管理人双方认可本协议可以纸质或电子数据等形式提交、订立或确认。 </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本协议书以纸质书面形式订立的，自投资者</w:t>
      </w:r>
      <w:r>
        <w:rPr>
          <w:rFonts w:hint="eastAsia" w:ascii="宋体" w:hAnsi="宋体"/>
          <w:color w:val="000000"/>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color w:val="000000"/>
          <w:sz w:val="24"/>
          <w:highlight w:val="none"/>
        </w:rPr>
        <w:t>之后立即生效。协议一式</w:t>
      </w:r>
      <w:r>
        <w:rPr>
          <w:rFonts w:hint="eastAsia" w:ascii="宋体" w:hAnsi="宋体"/>
          <w:color w:val="000000"/>
          <w:sz w:val="24"/>
          <w:highlight w:val="none"/>
          <w:lang w:eastAsia="zh-CN"/>
        </w:rPr>
        <w:t>贰</w:t>
      </w:r>
      <w:r>
        <w:rPr>
          <w:rFonts w:hint="eastAsia" w:ascii="宋体" w:hAnsi="宋体"/>
          <w:color w:val="000000"/>
          <w:sz w:val="24"/>
          <w:highlight w:val="none"/>
        </w:rPr>
        <w:t>份，投资者和管理人双方各执</w:t>
      </w:r>
      <w:r>
        <w:rPr>
          <w:rFonts w:hint="eastAsia" w:ascii="宋体" w:hAnsi="宋体"/>
          <w:color w:val="000000"/>
          <w:sz w:val="24"/>
          <w:highlight w:val="none"/>
          <w:lang w:eastAsia="zh-CN"/>
        </w:rPr>
        <w:t>壹</w:t>
      </w:r>
      <w:r>
        <w:rPr>
          <w:rFonts w:hint="eastAsia" w:ascii="宋体" w:hAnsi="宋体"/>
          <w:color w:val="000000"/>
          <w:sz w:val="24"/>
          <w:highlight w:val="none"/>
        </w:rPr>
        <w:t xml:space="preserve">份，具有同等法律效力。 </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color w:val="000000"/>
          <w:sz w:val="24"/>
          <w:highlight w:val="none"/>
        </w:rPr>
      </w:pPr>
    </w:p>
    <w:p>
      <w:pPr>
        <w:numPr>
          <w:ilvl w:val="0"/>
          <w:numId w:val="61"/>
        </w:numPr>
        <w:spacing w:line="360" w:lineRule="auto"/>
        <w:ind w:firstLine="482" w:firstLineChars="200"/>
        <w:outlineLvl w:val="9"/>
        <w:rPr>
          <w:b/>
          <w:color w:val="000000"/>
          <w:sz w:val="24"/>
          <w:highlight w:val="none"/>
        </w:rPr>
      </w:pPr>
      <w:r>
        <w:rPr>
          <w:rFonts w:hint="eastAsia"/>
          <w:b/>
          <w:color w:val="000000"/>
          <w:sz w:val="24"/>
          <w:highlight w:val="none"/>
        </w:rPr>
        <w:t>附则</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如果由于任何原因使本合同下的任何条款或内容成为无效或被依法撤销，本合同其他条款或内容的合法性、有效性和可执行性不受影响。</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ascii="宋体" w:hAnsi="宋体" w:cs="宋体"/>
          <w:bCs/>
          <w:color w:val="000000"/>
          <w:sz w:val="24"/>
          <w:highlight w:val="none"/>
        </w:rPr>
      </w:pPr>
      <w:r>
        <w:rPr>
          <w:rFonts w:hint="eastAsia" w:ascii="宋体" w:hAnsi="宋体" w:cs="宋体"/>
          <w:color w:val="000000"/>
          <w:kern w:val="0"/>
          <w:highlight w:val="none"/>
        </w:rPr>
        <w:t>杭银理财有限责任公司</w:t>
      </w:r>
    </w:p>
    <w:p>
      <w:pPr>
        <w:pageBreakBefore/>
        <w:widowControl/>
        <w:spacing w:line="360" w:lineRule="auto"/>
        <w:rPr>
          <w:rFonts w:ascii="宋体" w:hAnsi="宋体"/>
          <w:color w:val="000000"/>
          <w:sz w:val="24"/>
          <w:highlight w:val="none"/>
        </w:rPr>
      </w:pPr>
      <w:r>
        <w:rPr>
          <w:rFonts w:hint="eastAsia" w:ascii="宋体" w:hAnsi="宋体"/>
          <w:color w:val="000000"/>
          <w:sz w:val="24"/>
          <w:highlight w:val="none"/>
        </w:rPr>
        <w:t>本页为纸质形式（如有）</w:t>
      </w:r>
      <w:r>
        <w:rPr>
          <w:rFonts w:hint="eastAsia" w:ascii="宋体" w:hAnsi="宋体"/>
          <w:color w:val="000000"/>
          <w:sz w:val="24"/>
          <w:highlight w:val="none"/>
          <w:lang w:val="en-US" w:eastAsia="zh-CN"/>
        </w:rPr>
        <w:t>投资</w:t>
      </w:r>
      <w:r>
        <w:rPr>
          <w:rFonts w:hint="eastAsia" w:ascii="宋体" w:hAnsi="宋体"/>
          <w:color w:val="000000"/>
          <w:sz w:val="24"/>
          <w:highlight w:val="none"/>
        </w:rPr>
        <w:t>协议书签章页</w:t>
      </w: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rFonts w:hint="eastAsia" w:ascii="宋体" w:hAnsi="宋体"/>
          <w:b/>
          <w:bCs/>
          <w:color w:val="000000"/>
          <w:sz w:val="24"/>
          <w:highlight w:val="none"/>
        </w:rPr>
      </w:pPr>
      <w:r>
        <w:rPr>
          <w:rFonts w:hint="eastAsia" w:ascii="宋体" w:hAnsi="宋体"/>
          <w:b/>
          <w:bCs/>
          <w:color w:val="000000"/>
          <w:sz w:val="24"/>
          <w:highlight w:val="none"/>
        </w:rPr>
        <w:t>投资者（签字</w:t>
      </w:r>
      <w:r>
        <w:rPr>
          <w:rFonts w:hint="eastAsia" w:ascii="宋体" w:hAnsi="宋体" w:eastAsia="宋体" w:cs="黑体"/>
          <w:b/>
          <w:bCs/>
          <w:color w:val="000000"/>
          <w:sz w:val="24"/>
          <w:highlight w:val="none"/>
          <w:lang w:eastAsia="zh-CN"/>
        </w:rPr>
        <w:t>或签章</w:t>
      </w:r>
      <w:r>
        <w:rPr>
          <w:rFonts w:hint="eastAsia" w:ascii="宋体" w:hAnsi="宋体"/>
          <w:b/>
          <w:bCs/>
          <w:color w:val="000000"/>
          <w:sz w:val="24"/>
          <w:highlight w:val="none"/>
        </w:rPr>
        <w:t>）：</w:t>
      </w:r>
    </w:p>
    <w:p>
      <w:pPr>
        <w:spacing w:line="360" w:lineRule="auto"/>
        <w:rPr>
          <w:rFonts w:hint="eastAsia" w:ascii="宋体" w:hAnsi="宋体"/>
          <w:b/>
          <w:bCs/>
          <w:color w:val="000000"/>
          <w:sz w:val="24"/>
          <w:highlight w:val="none"/>
        </w:rPr>
      </w:pPr>
    </w:p>
    <w:p>
      <w:pPr>
        <w:spacing w:line="360" w:lineRule="auto"/>
        <w:rPr>
          <w:rFonts w:hint="eastAsia" w:ascii="宋体" w:hAnsi="宋体"/>
          <w:b/>
          <w:bCs/>
          <w:color w:val="000000"/>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color w:val="000000"/>
          <w:sz w:val="24"/>
          <w:highlight w:val="none"/>
        </w:rPr>
        <w:t xml:space="preserve">   年   月   日</w:t>
      </w:r>
    </w:p>
    <w:p>
      <w:pPr>
        <w:pageBreakBefore/>
        <w:widowControl/>
        <w:spacing w:line="120" w:lineRule="auto"/>
        <w:jc w:val="center"/>
        <w:outlineLvl w:val="9"/>
        <w:rPr>
          <w:rFonts w:hint="eastAsia" w:ascii="Calibri" w:hAnsi="Calibri" w:eastAsia="宋体" w:cs="黑体"/>
          <w:b/>
          <w:bCs w:val="0"/>
          <w:color w:val="000000"/>
          <w:sz w:val="44"/>
          <w:szCs w:val="44"/>
          <w:highlight w:val="none"/>
        </w:rPr>
      </w:pPr>
      <w:r>
        <w:rPr>
          <w:rFonts w:hint="eastAsia" w:ascii="Calibri" w:hAnsi="Calibri" w:eastAsia="宋体" w:cs="黑体"/>
          <w:b/>
          <w:bCs w:val="0"/>
          <w:color w:val="000000"/>
          <w:sz w:val="44"/>
          <w:szCs w:val="44"/>
          <w:highlight w:val="none"/>
          <w:lang w:val="en-US" w:eastAsia="zh-CN"/>
        </w:rPr>
        <w:t>杭银理财理财计划</w:t>
      </w:r>
      <w:r>
        <w:rPr>
          <w:rFonts w:hint="eastAsia" w:ascii="Calibri" w:hAnsi="Calibri" w:eastAsia="宋体" w:cs="黑体"/>
          <w:b/>
          <w:bCs w:val="0"/>
          <w:color w:val="000000"/>
          <w:sz w:val="44"/>
          <w:szCs w:val="44"/>
          <w:highlight w:val="none"/>
        </w:rPr>
        <w:t>销售协议书</w:t>
      </w:r>
    </w:p>
    <w:p>
      <w:pPr>
        <w:jc w:val="center"/>
        <w:rPr>
          <w:rFonts w:hint="eastAsia" w:ascii="宋体" w:hAnsi="宋体" w:eastAsia="宋体" w:cs="宋体"/>
          <w:b w:val="0"/>
          <w:bCs w:val="0"/>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eastAsia="zh-CN"/>
        </w:rPr>
        <w:t>202502</w:t>
      </w:r>
      <w:r>
        <w:rPr>
          <w:rFonts w:hint="eastAsia" w:ascii="宋体" w:hAnsi="宋体" w:eastAsia="宋体" w:cs="宋体"/>
          <w:color w:val="000000"/>
          <w:sz w:val="28"/>
          <w:szCs w:val="28"/>
          <w:highlight w:val="none"/>
        </w:rPr>
        <w:t>版）</w:t>
      </w:r>
    </w:p>
    <w:p>
      <w:pPr>
        <w:spacing w:line="360" w:lineRule="auto"/>
        <w:jc w:val="center"/>
        <w:rPr>
          <w:rFonts w:hint="default"/>
          <w:color w:val="000000"/>
          <w:sz w:val="32"/>
          <w:szCs w:val="40"/>
          <w:highlight w:val="none"/>
          <w:lang w:val="en-US" w:eastAsia="zh-CN"/>
        </w:rPr>
      </w:pPr>
      <w:r>
        <w:rPr>
          <w:rFonts w:hint="eastAsia" w:ascii="宋体" w:hAnsi="宋体" w:cs="宋体"/>
          <w:b/>
          <w:bCs/>
          <w:color w:val="000000"/>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color w:val="000000"/>
          <w:sz w:val="24"/>
          <w:highlight w:val="none"/>
        </w:rPr>
      </w:pPr>
      <w:r>
        <w:rPr>
          <w:rFonts w:hint="eastAsia" w:ascii="Calibri" w:hAnsi="Calibri" w:eastAsia="宋体" w:cs="黑体"/>
          <w:b/>
          <w:bCs/>
          <w:color w:val="000000"/>
          <w:sz w:val="24"/>
          <w:highlight w:val="none"/>
        </w:rPr>
        <w:t>特别提示：</w:t>
      </w:r>
      <w:r>
        <w:rPr>
          <w:rFonts w:hint="eastAsia" w:ascii="Calibri" w:hAnsi="Calibri" w:eastAsia="宋体" w:cs="黑体"/>
          <w:b/>
          <w:bCs/>
          <w:color w:val="000000"/>
          <w:sz w:val="24"/>
          <w:highlight w:val="none"/>
          <w:lang w:eastAsia="zh-CN"/>
        </w:rPr>
        <w:t>《</w:t>
      </w:r>
      <w:r>
        <w:rPr>
          <w:rFonts w:hint="eastAsia" w:ascii="Calibri" w:hAnsi="Calibri" w:eastAsia="宋体" w:cs="黑体"/>
          <w:b/>
          <w:bCs/>
          <w:color w:val="000000"/>
          <w:sz w:val="24"/>
          <w:highlight w:val="none"/>
        </w:rPr>
        <w:t>杭银理财</w:t>
      </w:r>
      <w:r>
        <w:rPr>
          <w:rFonts w:hint="eastAsia" w:ascii="Calibri" w:hAnsi="Calibri" w:eastAsia="宋体" w:cs="黑体"/>
          <w:b/>
          <w:bCs/>
          <w:color w:val="000000"/>
          <w:sz w:val="24"/>
          <w:highlight w:val="none"/>
          <w:lang w:val="en-US" w:eastAsia="zh-CN"/>
        </w:rPr>
        <w:t>理财计划销售协议书</w:t>
      </w:r>
      <w:r>
        <w:rPr>
          <w:rFonts w:hint="eastAsia" w:ascii="宋体" w:hAnsi="宋体" w:eastAsia="宋体" w:cs="宋体"/>
          <w:b/>
          <w:bCs/>
          <w:color w:val="000000"/>
          <w:sz w:val="24"/>
          <w:highlight w:val="none"/>
          <w:lang w:val="en-US" w:eastAsia="zh-CN"/>
        </w:rPr>
        <w:t>（202502</w:t>
      </w:r>
      <w:r>
        <w:rPr>
          <w:rFonts w:hint="eastAsia" w:ascii="Calibri" w:hAnsi="Calibri" w:eastAsia="宋体" w:cs="黑体"/>
          <w:b/>
          <w:bCs/>
          <w:color w:val="000000"/>
          <w:sz w:val="24"/>
          <w:highlight w:val="none"/>
          <w:lang w:val="en-US" w:eastAsia="zh-CN"/>
        </w:rPr>
        <w:t>版）</w:t>
      </w:r>
      <w:r>
        <w:rPr>
          <w:rFonts w:hint="eastAsia" w:ascii="Calibri" w:hAnsi="Calibri" w:eastAsia="宋体" w:cs="黑体"/>
          <w:b/>
          <w:bCs/>
          <w:color w:val="000000"/>
          <w:sz w:val="24"/>
          <w:highlight w:val="none"/>
          <w:lang w:eastAsia="zh-CN"/>
        </w:rPr>
        <w:t>》</w:t>
      </w:r>
      <w:r>
        <w:rPr>
          <w:rFonts w:hint="eastAsia" w:ascii="Calibri" w:hAnsi="Calibri" w:eastAsia="宋体" w:cs="黑体"/>
          <w:b/>
          <w:bCs/>
          <w:color w:val="000000"/>
          <w:sz w:val="24"/>
          <w:highlight w:val="none"/>
          <w:lang w:val="en-US" w:eastAsia="zh-CN"/>
        </w:rPr>
        <w:t>与对应期次的</w:t>
      </w:r>
      <w:r>
        <w:rPr>
          <w:rFonts w:hint="eastAsia" w:eastAsia="宋体" w:cs="黑体"/>
          <w:b/>
          <w:bCs/>
          <w:color w:val="000000"/>
          <w:sz w:val="24"/>
          <w:highlight w:val="none"/>
          <w:lang w:val="en-US" w:eastAsia="zh-CN"/>
        </w:rPr>
        <w:t>理财计划风险揭示书、理财计划产品说明书、投资者权益须知及</w:t>
      </w:r>
      <w:r>
        <w:rPr>
          <w:rFonts w:hint="eastAsia" w:ascii="Calibri" w:hAnsi="Calibri" w:eastAsia="宋体" w:cs="黑体"/>
          <w:b/>
          <w:bCs/>
          <w:color w:val="000000"/>
          <w:sz w:val="24"/>
          <w:highlight w:val="none"/>
        </w:rPr>
        <w:t>理财计划投资协议书共同构成完整且不可分割的理财计划</w:t>
      </w:r>
      <w:r>
        <w:rPr>
          <w:rFonts w:hint="eastAsia" w:ascii="Calibri" w:hAnsi="Calibri" w:eastAsia="宋体" w:cs="黑体"/>
          <w:b/>
          <w:bCs/>
          <w:color w:val="000000"/>
          <w:sz w:val="24"/>
          <w:highlight w:val="none"/>
          <w:lang w:val="en-US" w:eastAsia="zh-CN"/>
        </w:rPr>
        <w:t>合同</w:t>
      </w:r>
      <w:r>
        <w:rPr>
          <w:rFonts w:hint="eastAsia" w:ascii="Calibri" w:hAnsi="Calibri" w:eastAsia="宋体" w:cs="黑体"/>
          <w:b/>
          <w:bCs/>
          <w:color w:val="000000"/>
          <w:sz w:val="24"/>
          <w:highlight w:val="none"/>
        </w:rPr>
        <w:t>。杭银理财有限责任公司（以下简称“杭银理财”）建议投资者在购买理财计划前认真阅读</w:t>
      </w:r>
      <w:r>
        <w:rPr>
          <w:rFonts w:hint="eastAsia" w:ascii="Calibri" w:hAnsi="Calibri" w:eastAsia="宋体" w:cs="黑体"/>
          <w:b/>
          <w:bCs/>
          <w:color w:val="000000"/>
          <w:sz w:val="24"/>
          <w:highlight w:val="none"/>
          <w:lang w:val="en-US" w:eastAsia="zh-CN"/>
        </w:rPr>
        <w:t>全套</w:t>
      </w:r>
      <w:r>
        <w:rPr>
          <w:rFonts w:hint="eastAsia" w:ascii="Calibri" w:hAnsi="Calibri" w:eastAsia="宋体" w:cs="黑体"/>
          <w:b/>
          <w:bCs/>
          <w:color w:val="000000"/>
          <w:sz w:val="24"/>
          <w:highlight w:val="none"/>
        </w:rPr>
        <w:t>理财计划</w:t>
      </w:r>
      <w:r>
        <w:rPr>
          <w:rFonts w:hint="eastAsia" w:ascii="Calibri" w:hAnsi="Calibri" w:eastAsia="宋体" w:cs="黑体"/>
          <w:b/>
          <w:bCs/>
          <w:color w:val="000000"/>
          <w:sz w:val="24"/>
          <w:highlight w:val="none"/>
          <w:lang w:val="en-US" w:eastAsia="zh-CN"/>
        </w:rPr>
        <w:t>合同</w:t>
      </w:r>
      <w:r>
        <w:rPr>
          <w:rFonts w:hint="eastAsia" w:ascii="Calibri" w:hAnsi="Calibri" w:eastAsia="宋体" w:cs="黑体"/>
          <w:b/>
          <w:bCs/>
          <w:color w:val="000000"/>
          <w:sz w:val="24"/>
          <w:highlight w:val="none"/>
        </w:rPr>
        <w:t>，投资者签署</w:t>
      </w:r>
      <w:r>
        <w:rPr>
          <w:rFonts w:hint="eastAsia" w:ascii="Calibri" w:hAnsi="Calibri" w:eastAsia="宋体" w:cs="黑体"/>
          <w:b/>
          <w:bCs/>
          <w:color w:val="000000"/>
          <w:sz w:val="24"/>
          <w:highlight w:val="none"/>
          <w:lang w:val="en-US" w:eastAsia="zh-CN"/>
        </w:rPr>
        <w:t>本</w:t>
      </w:r>
      <w:r>
        <w:rPr>
          <w:rFonts w:hint="eastAsia" w:ascii="Calibri" w:hAnsi="Calibri" w:eastAsia="宋体" w:cs="黑体"/>
          <w:b/>
          <w:bCs/>
          <w:color w:val="000000"/>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color w:val="000000"/>
          <w:sz w:val="24"/>
          <w:highlight w:val="none"/>
          <w:lang w:val="en-US" w:eastAsia="zh-CN"/>
        </w:rPr>
      </w:pPr>
      <w:r>
        <w:rPr>
          <w:rFonts w:hint="eastAsia" w:ascii="Calibri" w:hAnsi="Calibri" w:eastAsia="宋体" w:cs="黑体"/>
          <w:b/>
          <w:bCs/>
          <w:color w:val="000000"/>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r>
        <w:rPr>
          <w:rFonts w:hint="eastAsia" w:ascii="Calibri" w:hAnsi="Calibri" w:eastAsia="宋体" w:cs="黑体"/>
          <w:color w:val="000000"/>
          <w:sz w:val="24"/>
          <w:highlight w:val="none"/>
          <w:lang w:val="en-US" w:eastAsia="zh-CN"/>
        </w:rPr>
        <w:t>理财计划销售的相关法律主体为发行理财计划的理财公司、</w:t>
      </w:r>
      <w:r>
        <w:rPr>
          <w:rFonts w:hint="eastAsia" w:eastAsia="宋体" w:cs="黑体"/>
          <w:color w:val="000000"/>
          <w:sz w:val="24"/>
          <w:highlight w:val="none"/>
          <w:lang w:val="en-US" w:eastAsia="zh-CN"/>
        </w:rPr>
        <w:t>理财公司自有销售渠道以及</w:t>
      </w:r>
      <w:r>
        <w:rPr>
          <w:rFonts w:hint="eastAsia" w:ascii="Calibri" w:hAnsi="Calibri" w:eastAsia="宋体" w:cs="黑体"/>
          <w:color w:val="000000"/>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color w:val="000000"/>
          <w:sz w:val="24"/>
          <w:highlight w:val="none"/>
          <w:lang w:val="en-US" w:eastAsia="zh-CN"/>
        </w:rPr>
        <w:t>理财公司和</w:t>
      </w:r>
      <w:r>
        <w:rPr>
          <w:rFonts w:hint="eastAsia" w:ascii="Calibri" w:hAnsi="Calibri" w:eastAsia="宋体" w:cs="黑体"/>
          <w:color w:val="000000"/>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r>
        <w:rPr>
          <w:rFonts w:hint="eastAsia" w:ascii="Calibri" w:hAnsi="Calibri" w:eastAsia="宋体" w:cs="黑体"/>
          <w:color w:val="000000"/>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第一条 </w:t>
      </w:r>
      <w:r>
        <w:rPr>
          <w:rFonts w:hint="eastAsia" w:ascii="Calibri" w:hAnsi="Calibri" w:eastAsia="宋体" w:cs="黑体"/>
          <w:b/>
          <w:bCs/>
          <w:color w:val="000000"/>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color w:val="000000"/>
          <w:sz w:val="24"/>
          <w:highlight w:val="none"/>
          <w:lang w:val="en-US" w:eastAsia="zh-CN"/>
        </w:rPr>
      </w:pPr>
      <w:r>
        <w:rPr>
          <w:rFonts w:hint="eastAsia" w:ascii="Calibri" w:hAnsi="Calibri" w:eastAsia="宋体" w:cs="黑体"/>
          <w:bCs/>
          <w:color w:val="000000"/>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第二条 </w:t>
      </w:r>
      <w:r>
        <w:rPr>
          <w:rFonts w:hint="eastAsia" w:ascii="Calibri" w:hAnsi="Calibri" w:eastAsia="宋体" w:cs="黑体"/>
          <w:b/>
          <w:bCs/>
          <w:color w:val="000000"/>
          <w:sz w:val="24"/>
          <w:highlight w:val="none"/>
          <w:lang w:val="en-US" w:eastAsia="zh-CN"/>
        </w:rPr>
        <w:t>投资者权利与义务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投资者保证自身完全了解理财投资的性质，投资所涉及的风险以及自身风险承受能力，在慎重考虑后独立作出交易决定。</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b/>
          <w:bCs/>
          <w:color w:val="000000"/>
          <w:sz w:val="24"/>
          <w:highlight w:val="none"/>
        </w:rPr>
        <w:t>投资者购买</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lang w:eastAsia="zh-CN"/>
        </w:rPr>
        <w:t>代理销售</w:t>
      </w:r>
      <w:r>
        <w:rPr>
          <w:rFonts w:hint="eastAsia" w:ascii="宋体" w:hAnsi="宋体" w:eastAsia="宋体" w:cs="黑体"/>
          <w:b/>
          <w:bCs/>
          <w:color w:val="000000"/>
          <w:sz w:val="24"/>
          <w:highlight w:val="none"/>
        </w:rPr>
        <w:t>的私募</w:t>
      </w:r>
      <w:r>
        <w:rPr>
          <w:rFonts w:hint="eastAsia" w:ascii="宋体" w:hAnsi="宋体" w:eastAsia="宋体" w:cs="黑体"/>
          <w:b/>
          <w:bCs/>
          <w:color w:val="000000"/>
          <w:sz w:val="24"/>
          <w:highlight w:val="none"/>
          <w:lang w:eastAsia="zh-CN"/>
        </w:rPr>
        <w:t>理财计划</w:t>
      </w:r>
      <w:r>
        <w:rPr>
          <w:rFonts w:hint="eastAsia" w:ascii="宋体" w:hAnsi="宋体" w:eastAsia="宋体" w:cs="黑体"/>
          <w:b/>
          <w:bCs/>
          <w:color w:val="000000"/>
          <w:sz w:val="24"/>
          <w:highlight w:val="none"/>
        </w:rPr>
        <w:t>后，可以享有24 小时的投资冷静期，在投资冷静期内，如</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改变投资决定，应提出解除相应理财</w:t>
      </w:r>
      <w:r>
        <w:rPr>
          <w:rFonts w:hint="eastAsia" w:ascii="宋体" w:hAnsi="宋体" w:eastAsia="宋体" w:cs="黑体"/>
          <w:b/>
          <w:bCs/>
          <w:color w:val="000000"/>
          <w:sz w:val="24"/>
          <w:highlight w:val="none"/>
          <w:lang w:val="en-US" w:eastAsia="zh-CN"/>
        </w:rPr>
        <w:t>计划合同</w:t>
      </w:r>
      <w:r>
        <w:rPr>
          <w:rFonts w:hint="eastAsia" w:ascii="宋体" w:hAnsi="宋体" w:eastAsia="宋体" w:cs="黑体"/>
          <w:b/>
          <w:bCs/>
          <w:color w:val="000000"/>
          <w:sz w:val="24"/>
          <w:highlight w:val="none"/>
        </w:rPr>
        <w:t>文件申请，</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rPr>
        <w:t>将及时退还</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的全部投资款项。</w:t>
      </w:r>
      <w:r>
        <w:rPr>
          <w:rFonts w:hint="eastAsia" w:ascii="宋体" w:hAnsi="宋体" w:eastAsia="宋体" w:cs="黑体"/>
          <w:color w:val="000000"/>
          <w:sz w:val="24"/>
          <w:highlight w:val="none"/>
        </w:rPr>
        <w:t>投资冷静期相关约定详见</w:t>
      </w:r>
      <w:r>
        <w:rPr>
          <w:rFonts w:hint="eastAsia" w:ascii="宋体" w:hAnsi="宋体" w:eastAsia="宋体" w:cs="黑体"/>
          <w:color w:val="000000"/>
          <w:sz w:val="24"/>
          <w:highlight w:val="none"/>
          <w:lang w:val="en-US" w:eastAsia="zh-CN"/>
        </w:rPr>
        <w:t>理财计划产品</w:t>
      </w:r>
      <w:r>
        <w:rPr>
          <w:rFonts w:hint="eastAsia" w:ascii="宋体" w:hAnsi="宋体" w:eastAsia="宋体" w:cs="黑体"/>
          <w:color w:val="000000"/>
          <w:sz w:val="24"/>
          <w:highlight w:val="none"/>
        </w:rPr>
        <w:t>说明书</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投资者保证其有权利签署本协议和履行本协议所述的义务，并已为此采取一切所需的行为。</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投资者保证执行及交付任何文件或履行本协议项下的义务，均不会违反任何适用法律、法规、法令或法律限制</w:t>
      </w:r>
      <w:r>
        <w:rPr>
          <w:rFonts w:hint="eastAsia" w:ascii="宋体" w:hAnsi="宋体" w:eastAsia="宋体" w:cs="黑体"/>
          <w:color w:val="000000"/>
          <w:sz w:val="24"/>
          <w:highlight w:val="none"/>
          <w:lang w:eastAsia="zh-CN"/>
        </w:rPr>
        <w:t>；</w:t>
      </w:r>
      <w:r>
        <w:rPr>
          <w:rFonts w:hint="eastAsia" w:ascii="宋体" w:hAnsi="宋体" w:eastAsia="宋体" w:cs="黑体"/>
          <w:color w:val="000000"/>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color w:val="000000"/>
          <w:sz w:val="24"/>
          <w:highlight w:val="none"/>
          <w:lang w:val="en-US" w:eastAsia="zh-CN"/>
        </w:rPr>
        <w:t>其</w:t>
      </w:r>
      <w:r>
        <w:rPr>
          <w:rFonts w:hint="eastAsia" w:ascii="宋体" w:hAnsi="宋体" w:eastAsia="宋体" w:cs="黑体"/>
          <w:color w:val="000000"/>
          <w:sz w:val="24"/>
          <w:highlight w:val="none"/>
        </w:rPr>
        <w:t>授权指定</w:t>
      </w:r>
      <w:r>
        <w:rPr>
          <w:rFonts w:hint="eastAsia" w:ascii="宋体" w:hAnsi="宋体" w:eastAsia="宋体" w:cs="黑体"/>
          <w:color w:val="000000"/>
          <w:sz w:val="24"/>
          <w:highlight w:val="none"/>
          <w:lang w:val="en-US" w:eastAsia="zh-CN"/>
        </w:rPr>
        <w:t>的</w:t>
      </w:r>
      <w:r>
        <w:rPr>
          <w:rFonts w:hint="eastAsia" w:ascii="宋体" w:hAnsi="宋体" w:eastAsia="宋体" w:cs="黑体"/>
          <w:color w:val="000000"/>
          <w:sz w:val="24"/>
          <w:highlight w:val="none"/>
        </w:rPr>
        <w:t>账户</w:t>
      </w:r>
      <w:r>
        <w:rPr>
          <w:rFonts w:hint="eastAsia" w:ascii="宋体" w:hAnsi="宋体" w:eastAsia="宋体" w:cs="黑体"/>
          <w:color w:val="000000"/>
          <w:sz w:val="24"/>
          <w:highlight w:val="none"/>
          <w:lang w:val="en-US" w:eastAsia="zh-CN"/>
        </w:rPr>
        <w:t>中（以下简称“授权指定账户”）</w:t>
      </w:r>
      <w:r>
        <w:rPr>
          <w:rFonts w:hint="eastAsia" w:ascii="宋体" w:hAnsi="宋体" w:eastAsia="宋体" w:cs="黑体"/>
          <w:color w:val="000000"/>
          <w:sz w:val="24"/>
          <w:highlight w:val="none"/>
        </w:rPr>
        <w:t>存入足额的资金以确保账户余额大于或等于认/申购金额。</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在此确认</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rPr>
        <w:t>的系统记录以及录音、录像构成对</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操作行为（包括但不限于购买、赎回、撤单）的有效证据，并且在</w:t>
      </w:r>
      <w:r>
        <w:rPr>
          <w:rFonts w:hint="eastAsia" w:ascii="宋体" w:hAnsi="宋体" w:eastAsia="宋体" w:cs="黑体"/>
          <w:b/>
          <w:bCs/>
          <w:color w:val="000000"/>
          <w:sz w:val="24"/>
          <w:highlight w:val="none"/>
          <w:lang w:val="en-US" w:eastAsia="zh-CN"/>
        </w:rPr>
        <w:t>双</w:t>
      </w:r>
      <w:r>
        <w:rPr>
          <w:rFonts w:hint="eastAsia" w:ascii="宋体" w:hAnsi="宋体" w:eastAsia="宋体" w:cs="黑体"/>
          <w:b/>
          <w:bCs/>
          <w:color w:val="000000"/>
          <w:sz w:val="24"/>
          <w:highlight w:val="none"/>
        </w:rPr>
        <w:t>方发生争议时可以作为合法有效的证据使用</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在本理财计划存续期内，如有权机关要求</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配合对投资者理财份额、理财账户、授权指定账户进行查封、冻结或扣划的，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有权根据实际情况采取</w:t>
      </w:r>
      <w:r>
        <w:rPr>
          <w:rFonts w:hint="eastAsia" w:ascii="宋体" w:hAnsi="宋体" w:eastAsia="宋体" w:cs="黑体"/>
          <w:color w:val="000000"/>
          <w:sz w:val="24"/>
          <w:highlight w:val="none"/>
          <w:lang w:val="en-US" w:eastAsia="zh-CN"/>
        </w:rPr>
        <w:t>相应</w:t>
      </w:r>
      <w:r>
        <w:rPr>
          <w:rFonts w:hint="eastAsia" w:ascii="宋体" w:hAnsi="宋体" w:eastAsia="宋体" w:cs="黑体"/>
          <w:color w:val="000000"/>
          <w:sz w:val="24"/>
          <w:highlight w:val="none"/>
        </w:rPr>
        <w:t>措施。</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对上述后果不承担任何责任。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本协议终止前，投资者不得将授权指定账户销户。若发生因投资者注销授权指定账户造成理财计划无法正常兑付的，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不承担任何责任。</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投资者应确保其提供的所有资料真实、完整、合法、有效，如果有任何变更，投资者应及时通知</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并办理变更手续。如因投资者未及时通知</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并办理相应的变更手续，由此导致的一切后果由投资者自行承担，</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lang w:val="en-US" w:eastAsia="zh-CN"/>
        </w:rPr>
        <w:t>投资者</w:t>
      </w:r>
      <w:r>
        <w:rPr>
          <w:rFonts w:hint="eastAsia" w:ascii="宋体" w:hAnsi="宋体" w:eastAsia="宋体" w:cs="黑体"/>
          <w:color w:val="000000"/>
          <w:sz w:val="24"/>
          <w:highlight w:val="none"/>
        </w:rPr>
        <w:t>对本协议及其条款负有保密义务，未经</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书面许可，不得向任何组织、个人提供或泄露与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有关的业务资料及信息，但法律、法规另有规定的除外</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投资者进行投资时，应严格遵守反洗钱相关法规的规定，切实履行反洗钱及反恐怖融资义务。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投</w:t>
      </w:r>
      <w:r>
        <w:rPr>
          <w:rFonts w:hint="eastAsia" w:ascii="宋体" w:hAnsi="宋体"/>
          <w:b/>
          <w:bCs/>
          <w:color w:val="000000"/>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第三条 </w:t>
      </w:r>
      <w:r>
        <w:rPr>
          <w:rFonts w:hint="eastAsia" w:ascii="Calibri" w:hAnsi="Calibri" w:eastAsia="宋体" w:cs="黑体"/>
          <w:b/>
          <w:bCs/>
          <w:color w:val="000000"/>
          <w:sz w:val="24"/>
          <w:highlight w:val="none"/>
          <w:lang w:val="en-US" w:eastAsia="zh-CN"/>
        </w:rPr>
        <w:t>销售机构的权利与义务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b/>
          <w:bCs/>
          <w:color w:val="000000"/>
          <w:sz w:val="24"/>
          <w:highlight w:val="none"/>
          <w:lang w:val="en-US" w:eastAsia="zh-CN"/>
        </w:rPr>
        <w:t>代理销售机构非本计划的发行、管理机构，对本计划的业绩不承担任何保证和其他经济责任，不承担本计划的投资和兑付管理责任</w:t>
      </w:r>
      <w:r>
        <w:rPr>
          <w:rFonts w:hint="eastAsia" w:ascii="宋体" w:hAnsi="宋体" w:eastAsia="宋体" w:cs="黑体"/>
          <w:color w:val="000000"/>
          <w:sz w:val="24"/>
          <w:highlight w:val="none"/>
          <w:lang w:val="en-US" w:eastAsia="zh-CN"/>
        </w:rPr>
        <w:t>。</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第四条 </w:t>
      </w:r>
      <w:r>
        <w:rPr>
          <w:rFonts w:hint="eastAsia" w:ascii="Calibri" w:hAnsi="Calibri" w:eastAsia="宋体" w:cs="黑体"/>
          <w:b/>
          <w:bCs/>
          <w:color w:val="000000"/>
          <w:sz w:val="24"/>
          <w:highlight w:val="none"/>
          <w:lang w:val="en-US" w:eastAsia="zh-CN"/>
        </w:rPr>
        <w:t>理财计划认（申）购、赎回及终止</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 xml:space="preserve">理财计划认/申购办理流程：参照投资者权益须知约定。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理财计划认/申购确认：管理人根据</w:t>
      </w:r>
      <w:r>
        <w:rPr>
          <w:rFonts w:hint="eastAsia" w:ascii="宋体" w:hAnsi="宋体" w:eastAsia="宋体" w:cs="黑体"/>
          <w:color w:val="000000"/>
          <w:sz w:val="24"/>
          <w:highlight w:val="none"/>
          <w:lang w:eastAsia="zh-CN"/>
        </w:rPr>
        <w:t>销售</w:t>
      </w:r>
      <w:r>
        <w:rPr>
          <w:rFonts w:hint="eastAsia" w:ascii="宋体" w:hAnsi="宋体" w:eastAsia="宋体" w:cs="黑体"/>
          <w:color w:val="000000"/>
          <w:sz w:val="24"/>
          <w:highlight w:val="none"/>
        </w:rPr>
        <w:t>渠道提供的交易信息及资金划付对投资者相应认/申购进行确认。</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理财计划赎回/终止兑付：在正常情况下，管理人和</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color w:val="000000"/>
          <w:sz w:val="24"/>
          <w:highlight w:val="none"/>
          <w:lang w:val="en-US" w:eastAsia="zh-CN"/>
        </w:rPr>
        <w:t>理财计划</w:t>
      </w:r>
      <w:r>
        <w:rPr>
          <w:rFonts w:hint="eastAsia" w:ascii="宋体" w:hAnsi="宋体" w:eastAsia="宋体" w:cs="黑体"/>
          <w:color w:val="000000"/>
          <w:sz w:val="24"/>
          <w:highlight w:val="none"/>
        </w:rPr>
        <w:t>产品说明书约定管理人对理财计划进行延期或转换时，</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将于原约定清算日前通过信息披露途径及时通知，并根据实际情况进行后续处理。</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资金清算：理财计划终止或份额赎回时，管理人按理财计划合同约定划付至</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清算账户后，由</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向投资者划付投资者应得资金。如因投资者清算账户余额不足，或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未及时足额划付资金，或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清算账户内资金被依法冻结或扣划，或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清算账户处于被挂失、冻结、注销或其他非正常状态等原因而导致交易失败</w:t>
      </w:r>
      <w:r>
        <w:rPr>
          <w:rFonts w:hint="eastAsia" w:ascii="宋体" w:hAnsi="宋体" w:eastAsia="宋体" w:cs="黑体"/>
          <w:color w:val="000000"/>
          <w:sz w:val="24"/>
          <w:highlight w:val="none"/>
          <w:lang w:eastAsia="zh-CN"/>
        </w:rPr>
        <w:t>，</w:t>
      </w:r>
      <w:r>
        <w:rPr>
          <w:rFonts w:hint="eastAsia" w:ascii="宋体" w:hAnsi="宋体" w:eastAsia="宋体" w:cs="黑体"/>
          <w:color w:val="000000"/>
          <w:sz w:val="24"/>
          <w:highlight w:val="none"/>
        </w:rPr>
        <w:t>对于因上述原因导致的交易失败可能带来的任何损失及预期损失，投资者须自行承担或向</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第五条 </w:t>
      </w:r>
      <w:r>
        <w:rPr>
          <w:rFonts w:hint="eastAsia" w:ascii="Calibri" w:hAnsi="Calibri" w:eastAsia="宋体" w:cs="黑体"/>
          <w:b/>
          <w:bCs/>
          <w:color w:val="000000"/>
          <w:sz w:val="24"/>
          <w:highlight w:val="none"/>
          <w:lang w:val="en-US" w:eastAsia="zh-CN"/>
        </w:rPr>
        <w:t>违约责任及免责条款</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若因</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原因导致司法或行政</w:t>
      </w:r>
      <w:r>
        <w:rPr>
          <w:rFonts w:hint="eastAsia" w:ascii="宋体" w:hAnsi="宋体" w:eastAsia="宋体" w:cs="黑体"/>
          <w:color w:val="000000"/>
          <w:sz w:val="24"/>
          <w:highlight w:val="none"/>
          <w:lang w:eastAsia="zh-CN"/>
        </w:rPr>
        <w:t>等有权机关</w:t>
      </w:r>
      <w:r>
        <w:rPr>
          <w:rFonts w:hint="eastAsia" w:ascii="宋体" w:hAnsi="宋体" w:eastAsia="宋体" w:cs="黑体"/>
          <w:color w:val="000000"/>
          <w:sz w:val="24"/>
          <w:highlight w:val="none"/>
        </w:rPr>
        <w:t>采取强制措施对其理财本金、收益进行部分或全部被扣划，均视投资者本人就全部理财本金进行了提前</w:t>
      </w:r>
      <w:r>
        <w:rPr>
          <w:rFonts w:hint="eastAsia" w:ascii="宋体" w:hAnsi="宋体" w:eastAsia="宋体" w:cs="黑体"/>
          <w:color w:val="000000"/>
          <w:sz w:val="24"/>
          <w:highlight w:val="none"/>
          <w:lang w:eastAsia="zh-CN"/>
        </w:rPr>
        <w:t>赎回</w:t>
      </w:r>
      <w:r>
        <w:rPr>
          <w:rFonts w:hint="eastAsia" w:ascii="宋体" w:hAnsi="宋体" w:eastAsia="宋体" w:cs="黑体"/>
          <w:color w:val="000000"/>
          <w:sz w:val="24"/>
          <w:highlight w:val="none"/>
        </w:rPr>
        <w:t>，本</w:t>
      </w:r>
      <w:r>
        <w:rPr>
          <w:rFonts w:hint="eastAsia" w:ascii="宋体" w:hAnsi="宋体" w:eastAsia="宋体" w:cs="黑体"/>
          <w:color w:val="000000"/>
          <w:sz w:val="24"/>
          <w:highlight w:val="none"/>
          <w:lang w:eastAsia="zh-CN"/>
        </w:rPr>
        <w:t>协议</w:t>
      </w:r>
      <w:r>
        <w:rPr>
          <w:rFonts w:hint="eastAsia" w:ascii="宋体" w:hAnsi="宋体" w:eastAsia="宋体" w:cs="黑体"/>
          <w:color w:val="000000"/>
          <w:sz w:val="24"/>
          <w:highlight w:val="none"/>
        </w:rPr>
        <w:t>自动终止。因提前终止而产生的损失及相关费用由投资者承担。本</w:t>
      </w:r>
      <w:r>
        <w:rPr>
          <w:rFonts w:hint="eastAsia" w:ascii="宋体" w:hAnsi="宋体" w:eastAsia="宋体" w:cs="黑体"/>
          <w:color w:val="000000"/>
          <w:sz w:val="24"/>
          <w:highlight w:val="none"/>
          <w:lang w:eastAsia="zh-CN"/>
        </w:rPr>
        <w:t>协议因</w:t>
      </w:r>
      <w:r>
        <w:rPr>
          <w:rFonts w:hint="eastAsia" w:ascii="宋体" w:hAnsi="宋体" w:eastAsia="宋体" w:cs="黑体"/>
          <w:color w:val="000000"/>
          <w:sz w:val="24"/>
          <w:highlight w:val="none"/>
        </w:rPr>
        <w:t>前述情况终止的，理财本金不计付</w:t>
      </w:r>
      <w:r>
        <w:rPr>
          <w:rFonts w:hint="eastAsia" w:ascii="宋体" w:hAnsi="宋体" w:eastAsia="宋体" w:cs="黑体"/>
          <w:color w:val="000000"/>
          <w:sz w:val="24"/>
          <w:highlight w:val="none"/>
          <w:lang w:eastAsia="zh-CN"/>
        </w:rPr>
        <w:t>赎回</w:t>
      </w:r>
      <w:r>
        <w:rPr>
          <w:rFonts w:hint="eastAsia" w:ascii="宋体" w:hAnsi="宋体" w:eastAsia="宋体" w:cs="黑体"/>
          <w:color w:val="000000"/>
          <w:sz w:val="24"/>
          <w:highlight w:val="none"/>
        </w:rPr>
        <w:t>日前的理财收益，也不计付存款利息。</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投资者违反本协议第二条内容，应承担相应违约责任。</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对由此导致的理财业务交易延误、中断、终止及</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损失不承担任何责任，并有权单方终止双方理财业务关系。因</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违反双方约定给</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或全体投资者造成损失的，</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应承担相应的赔偿责任。</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若由于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过错导致理财计划资产发生损失，</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应按其过错承担赔偿责任，</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赔偿的款项计入理财计划的资产和收益。</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由于地震、火灾、战争等不可抗力或突发重大卫生公共事件等不可预测事件造成的交易中断、延误等风险及损失，</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不承担责任；但</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应在上述情况发生</w:t>
      </w:r>
      <w:r>
        <w:rPr>
          <w:rFonts w:hint="eastAsia" w:ascii="宋体" w:hAnsi="宋体" w:eastAsia="宋体" w:cs="黑体"/>
          <w:color w:val="000000"/>
          <w:sz w:val="24"/>
          <w:highlight w:val="none"/>
          <w:lang w:eastAsia="zh-CN"/>
        </w:rPr>
        <w:t>后</w:t>
      </w:r>
      <w:r>
        <w:rPr>
          <w:rFonts w:hint="eastAsia" w:ascii="宋体" w:hAnsi="宋体" w:eastAsia="宋体" w:cs="黑体"/>
          <w:color w:val="000000"/>
          <w:sz w:val="24"/>
          <w:highlight w:val="none"/>
        </w:rPr>
        <w:t>在条件允许时及时通知</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并采取一切必要且可能的措施阻止损失扩大。</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因国家有关法律、法规、规章、政策的修改或新的法律、法规、规章、政策颁布以及紧急措施的出台导致的风险及损失，</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color w:val="000000"/>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第六条 </w:t>
      </w:r>
      <w:r>
        <w:rPr>
          <w:rFonts w:hint="eastAsia" w:ascii="Calibri" w:hAnsi="Calibri" w:eastAsia="宋体" w:cs="黑体"/>
          <w:b/>
          <w:bCs/>
          <w:color w:val="000000"/>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第七条 </w:t>
      </w:r>
      <w:r>
        <w:rPr>
          <w:rFonts w:hint="eastAsia" w:ascii="Calibri" w:hAnsi="Calibri" w:eastAsia="宋体" w:cs="黑体"/>
          <w:b/>
          <w:bCs/>
          <w:color w:val="000000"/>
          <w:sz w:val="24"/>
          <w:highlight w:val="none"/>
          <w:lang w:val="en-US" w:eastAsia="zh-CN"/>
        </w:rPr>
        <w:t>协议生效和终止</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投资者和</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双方认可本协议可以纸质或电子数据等形式提交、订立或确认。 </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本协议书</w:t>
      </w:r>
      <w:r>
        <w:rPr>
          <w:rFonts w:hint="eastAsia" w:ascii="宋体" w:hAnsi="宋体"/>
          <w:color w:val="000000"/>
          <w:sz w:val="24"/>
          <w:highlight w:val="none"/>
        </w:rPr>
        <w:t>以纸质书面形式订立的，自投资者签</w:t>
      </w:r>
      <w:r>
        <w:rPr>
          <w:rFonts w:hint="eastAsia" w:ascii="宋体" w:hAnsi="宋体"/>
          <w:color w:val="000000"/>
          <w:sz w:val="24"/>
          <w:highlight w:val="none"/>
          <w:lang w:val="en-US" w:eastAsia="zh-CN"/>
        </w:rPr>
        <w:t>署（如投资者为个人，应签字；如投资者为机构，应法定代表人或授权代理人签字或盖章并加盖公章或有效授权印章）</w:t>
      </w:r>
      <w:r>
        <w:rPr>
          <w:rFonts w:hint="eastAsia" w:ascii="宋体" w:hAnsi="宋体"/>
          <w:color w:val="000000"/>
          <w:sz w:val="24"/>
          <w:highlight w:val="none"/>
        </w:rPr>
        <w:t>和</w:t>
      </w:r>
      <w:r>
        <w:rPr>
          <w:rFonts w:hint="eastAsia" w:ascii="宋体" w:hAnsi="宋体"/>
          <w:color w:val="000000"/>
          <w:sz w:val="24"/>
          <w:highlight w:val="none"/>
          <w:lang w:eastAsia="zh-CN"/>
        </w:rPr>
        <w:t>销售机构</w:t>
      </w:r>
      <w:r>
        <w:rPr>
          <w:rFonts w:hint="eastAsia" w:ascii="宋体" w:hAnsi="宋体"/>
          <w:color w:val="000000"/>
          <w:sz w:val="24"/>
          <w:highlight w:val="none"/>
        </w:rPr>
        <w:t>签章之后立即生效。协议一式叁份，投资者、管理人和</w:t>
      </w:r>
      <w:r>
        <w:rPr>
          <w:rFonts w:hint="eastAsia" w:ascii="宋体" w:hAnsi="宋体"/>
          <w:color w:val="000000"/>
          <w:sz w:val="24"/>
          <w:highlight w:val="none"/>
          <w:lang w:eastAsia="zh-CN"/>
        </w:rPr>
        <w:t>销售机构</w:t>
      </w:r>
      <w:r>
        <w:rPr>
          <w:rFonts w:hint="eastAsia" w:ascii="宋体" w:hAnsi="宋体"/>
          <w:color w:val="000000"/>
          <w:sz w:val="24"/>
          <w:highlight w:val="none"/>
        </w:rPr>
        <w:t>各执壹份，具有同等法律效力。</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本协议书以数据电文形式订立的，投资者在销售机构的电子银行</w:t>
      </w:r>
      <w:r>
        <w:rPr>
          <w:rFonts w:hint="eastAsia" w:ascii="宋体" w:hAnsi="宋体" w:eastAsia="宋体" w:cs="黑体"/>
          <w:color w:val="000000"/>
          <w:sz w:val="24"/>
          <w:highlight w:val="none"/>
          <w:lang w:eastAsia="zh-CN"/>
        </w:rPr>
        <w:t>渠道</w:t>
      </w:r>
      <w:r>
        <w:rPr>
          <w:rFonts w:hint="eastAsia" w:ascii="宋体" w:hAnsi="宋体" w:eastAsia="宋体" w:cs="黑体"/>
          <w:color w:val="000000"/>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投资者和</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color w:val="000000"/>
          <w:sz w:val="24"/>
          <w:highlight w:val="none"/>
          <w:lang w:val="en-US" w:eastAsia="zh-CN"/>
        </w:rPr>
      </w:pPr>
      <w:r>
        <w:rPr>
          <w:rFonts w:hint="eastAsia" w:eastAsia="宋体" w:cs="黑体"/>
          <w:b/>
          <w:bCs w:val="0"/>
          <w:color w:val="000000"/>
          <w:sz w:val="24"/>
          <w:highlight w:val="none"/>
          <w:lang w:val="en-US" w:eastAsia="zh-CN"/>
        </w:rPr>
        <w:t xml:space="preserve">第八条 </w:t>
      </w:r>
      <w:r>
        <w:rPr>
          <w:rFonts w:hint="eastAsia" w:ascii="Calibri" w:hAnsi="Calibri" w:eastAsia="宋体" w:cs="黑体"/>
          <w:b/>
          <w:bCs w:val="0"/>
          <w:color w:val="000000"/>
          <w:sz w:val="24"/>
          <w:highlight w:val="none"/>
          <w:lang w:val="en-US" w:eastAsia="zh-CN"/>
        </w:rPr>
        <w:t xml:space="preserve">附则 </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如果投资者与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之间存在多份理财计划</w:t>
      </w:r>
      <w:r>
        <w:rPr>
          <w:rFonts w:hint="eastAsia" w:ascii="宋体" w:hAnsi="宋体" w:eastAsia="宋体" w:cs="黑体"/>
          <w:color w:val="000000"/>
          <w:sz w:val="24"/>
          <w:highlight w:val="none"/>
          <w:lang w:val="en-US" w:eastAsia="zh-CN"/>
        </w:rPr>
        <w:t>销售</w:t>
      </w:r>
      <w:r>
        <w:rPr>
          <w:rFonts w:hint="eastAsia" w:ascii="宋体" w:hAnsi="宋体" w:eastAsia="宋体" w:cs="黑体"/>
          <w:color w:val="000000"/>
          <w:sz w:val="24"/>
          <w:highlight w:val="none"/>
        </w:rPr>
        <w:t>协议书，则每一协议书分别与其所对应的</w:t>
      </w:r>
      <w:r>
        <w:rPr>
          <w:rFonts w:hint="eastAsia" w:ascii="宋体" w:hAnsi="宋体" w:eastAsia="宋体" w:cs="黑体"/>
          <w:color w:val="000000"/>
          <w:sz w:val="24"/>
          <w:highlight w:val="none"/>
          <w:lang w:val="en-US" w:eastAsia="zh-CN"/>
        </w:rPr>
        <w:t>理财计划</w:t>
      </w:r>
      <w:r>
        <w:rPr>
          <w:rFonts w:hint="eastAsia" w:ascii="宋体" w:hAnsi="宋体" w:eastAsia="宋体" w:cs="黑体"/>
          <w:color w:val="000000"/>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在理财计划存续期内，如因监管政策或法律法规发生变化，在不损害投资者利益的前提下，</w:t>
      </w:r>
      <w:r>
        <w:rPr>
          <w:rFonts w:hint="eastAsia" w:ascii="宋体" w:hAnsi="宋体" w:eastAsia="宋体" w:cs="黑体"/>
          <w:color w:val="000000"/>
          <w:sz w:val="24"/>
          <w:highlight w:val="none"/>
          <w:lang w:val="en-US" w:eastAsia="zh-CN"/>
        </w:rPr>
        <w:t>管理人</w:t>
      </w:r>
      <w:r>
        <w:rPr>
          <w:rFonts w:hint="eastAsia" w:ascii="宋体" w:hAnsi="宋体" w:eastAsia="宋体" w:cs="黑体"/>
          <w:color w:val="000000"/>
          <w:sz w:val="24"/>
          <w:highlight w:val="none"/>
        </w:rPr>
        <w:t>有权单方对理财计划</w:t>
      </w:r>
      <w:r>
        <w:rPr>
          <w:rFonts w:hint="default" w:ascii="宋体" w:hAnsi="宋体" w:eastAsia="宋体" w:cs="黑体"/>
          <w:color w:val="000000"/>
          <w:sz w:val="24"/>
          <w:highlight w:val="none"/>
          <w:lang w:val="en-US"/>
        </w:rPr>
        <w:t>合同</w:t>
      </w:r>
      <w:r>
        <w:rPr>
          <w:rFonts w:hint="eastAsia" w:ascii="宋体" w:hAnsi="宋体" w:eastAsia="宋体" w:cs="黑体"/>
          <w:color w:val="000000"/>
          <w:sz w:val="24"/>
          <w:highlight w:val="none"/>
          <w:lang w:val="en-US" w:eastAsia="zh-CN"/>
        </w:rPr>
        <w:t>销售文件</w:t>
      </w:r>
      <w:r>
        <w:rPr>
          <w:rFonts w:hint="eastAsia" w:ascii="宋体" w:hAnsi="宋体" w:eastAsia="宋体" w:cs="黑体"/>
          <w:color w:val="000000"/>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color w:val="000000"/>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highlight w:val="none"/>
          <w:lang w:val="en-US" w:eastAsia="zh-CN"/>
        </w:rPr>
      </w:pPr>
    </w:p>
    <w:p>
      <w:pPr>
        <w:widowControl/>
        <w:spacing w:line="360" w:lineRule="auto"/>
        <w:jc w:val="right"/>
        <w:rPr>
          <w:rFonts w:hint="eastAsia" w:ascii="宋体" w:hAnsi="宋体" w:eastAsia="宋体" w:cs="黑体"/>
          <w:b w:val="0"/>
          <w:bCs w:val="0"/>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SA"/>
        </w:rPr>
        <w:t>杭银理财有限责任公司</w:t>
      </w:r>
    </w:p>
    <w:p>
      <w:pPr>
        <w:rPr>
          <w:rFonts w:hint="eastAsia" w:ascii="宋体" w:hAnsi="宋体" w:eastAsia="宋体" w:cs="黑体"/>
          <w:b w:val="0"/>
          <w:bCs w:val="0"/>
          <w:color w:val="000000"/>
          <w:sz w:val="24"/>
          <w:szCs w:val="24"/>
          <w:highlight w:val="none"/>
          <w:lang w:val="en-US" w:eastAsia="zh-CN"/>
        </w:rPr>
      </w:pPr>
      <w:r>
        <w:rPr>
          <w:rFonts w:hint="eastAsia" w:ascii="宋体" w:hAnsi="宋体" w:eastAsia="宋体" w:cs="黑体"/>
          <w:b w:val="0"/>
          <w:bCs w:val="0"/>
          <w:color w:val="000000"/>
          <w:sz w:val="24"/>
          <w:szCs w:val="24"/>
          <w:highlight w:val="none"/>
          <w:lang w:val="en-US" w:eastAsia="zh-CN"/>
        </w:rPr>
        <w:br w:type="page"/>
      </w:r>
    </w:p>
    <w:p>
      <w:pPr>
        <w:rPr>
          <w:rFonts w:hint="default" w:ascii="宋体" w:hAnsi="宋体" w:eastAsia="宋体" w:cs="黑体"/>
          <w:b w:val="0"/>
          <w:bCs w:val="0"/>
          <w:color w:val="000000"/>
          <w:sz w:val="24"/>
          <w:szCs w:val="24"/>
          <w:highlight w:val="none"/>
          <w:lang w:val="en-US" w:eastAsia="zh-CN"/>
        </w:rPr>
      </w:pPr>
      <w:r>
        <w:rPr>
          <w:rFonts w:hint="eastAsia" w:ascii="宋体" w:hAnsi="宋体" w:eastAsia="宋体" w:cs="黑体"/>
          <w:b w:val="0"/>
          <w:bCs w:val="0"/>
          <w:color w:val="000000"/>
          <w:sz w:val="24"/>
          <w:szCs w:val="24"/>
          <w:highlight w:val="none"/>
          <w:lang w:val="en-US" w:eastAsia="zh-CN"/>
        </w:rPr>
        <w:t>本页为</w:t>
      </w:r>
      <w:r>
        <w:rPr>
          <w:rFonts w:hint="eastAsia" w:ascii="宋体" w:hAnsi="宋体" w:eastAsia="宋体" w:cs="黑体"/>
          <w:b w:val="0"/>
          <w:bCs w:val="0"/>
          <w:color w:val="000000"/>
          <w:sz w:val="24"/>
          <w:szCs w:val="24"/>
          <w:highlight w:val="none"/>
        </w:rPr>
        <w:t>纸质</w:t>
      </w:r>
      <w:r>
        <w:rPr>
          <w:rFonts w:hint="eastAsia" w:ascii="宋体" w:hAnsi="宋体" w:eastAsia="宋体" w:cs="黑体"/>
          <w:b w:val="0"/>
          <w:bCs w:val="0"/>
          <w:color w:val="00000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highlight w:val="none"/>
          <w:lang w:eastAsia="zh-CN"/>
        </w:rPr>
      </w:pPr>
      <w:r>
        <w:rPr>
          <w:rFonts w:hint="eastAsia" w:ascii="宋体" w:hAnsi="宋体" w:eastAsia="宋体" w:cs="黑体"/>
          <w:b/>
          <w:bCs/>
          <w:color w:val="000000"/>
          <w:sz w:val="24"/>
          <w:highlight w:val="none"/>
        </w:rPr>
        <w:t>投资者</w:t>
      </w:r>
      <w:r>
        <w:rPr>
          <w:rFonts w:hint="eastAsia" w:ascii="宋体" w:hAnsi="宋体" w:eastAsia="宋体" w:cs="黑体"/>
          <w:b/>
          <w:bCs/>
          <w:color w:val="000000"/>
          <w:sz w:val="24"/>
          <w:highlight w:val="none"/>
          <w:lang w:eastAsia="zh-CN"/>
        </w:rPr>
        <w:t>（</w:t>
      </w:r>
      <w:r>
        <w:rPr>
          <w:rFonts w:hint="eastAsia" w:ascii="宋体" w:hAnsi="宋体" w:eastAsia="宋体" w:cs="黑体"/>
          <w:b/>
          <w:bCs/>
          <w:color w:val="000000"/>
          <w:sz w:val="24"/>
          <w:highlight w:val="none"/>
        </w:rPr>
        <w:t>签字</w:t>
      </w:r>
      <w:r>
        <w:rPr>
          <w:rFonts w:hint="eastAsia" w:ascii="宋体" w:hAnsi="宋体" w:eastAsia="宋体" w:cs="黑体"/>
          <w:b/>
          <w:bCs/>
          <w:color w:val="000000"/>
          <w:sz w:val="24"/>
          <w:highlight w:val="none"/>
          <w:lang w:eastAsia="zh-CN"/>
        </w:rPr>
        <w:t>或签章）</w:t>
      </w:r>
      <w:r>
        <w:rPr>
          <w:rFonts w:hint="eastAsia" w:ascii="宋体" w:hAnsi="宋体" w:eastAsia="宋体" w:cs="黑体"/>
          <w:b/>
          <w:bCs/>
          <w:color w:val="000000"/>
          <w:sz w:val="24"/>
          <w:szCs w:val="24"/>
          <w:highlight w:val="none"/>
          <w:lang w:eastAsia="zh-CN"/>
        </w:rPr>
        <w:t>：</w:t>
      </w:r>
    </w:p>
    <w:p>
      <w:pPr>
        <w:spacing w:before="156" w:beforeLines="50" w:after="156" w:afterLines="50" w:line="360" w:lineRule="auto"/>
        <w:ind w:firstLine="4800" w:firstLineChars="2000"/>
        <w:jc w:val="right"/>
        <w:rPr>
          <w:rFonts w:hint="eastAsia" w:ascii="Arial" w:hAnsi="Arial"/>
          <w:color w:val="000000"/>
          <w:sz w:val="24"/>
          <w:highlight w:val="none"/>
        </w:rPr>
      </w:pPr>
      <w:r>
        <w:rPr>
          <w:rFonts w:hint="eastAsia" w:ascii="Arial" w:hAnsi="Arial"/>
          <w:color w:val="000000"/>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r>
        <w:rPr>
          <w:rFonts w:hint="eastAsia" w:ascii="宋体" w:hAnsi="宋体" w:eastAsia="宋体" w:cs="黑体"/>
          <w:b/>
          <w:bCs/>
          <w:color w:val="000000"/>
          <w:sz w:val="24"/>
          <w:highlight w:val="none"/>
        </w:rPr>
        <w:t>销售机构签章</w:t>
      </w:r>
      <w:r>
        <w:rPr>
          <w:rFonts w:hint="eastAsia" w:ascii="宋体" w:hAnsi="宋体" w:eastAsia="宋体" w:cs="黑体"/>
          <w:b/>
          <w:bCs/>
          <w:color w:val="00000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color w:val="000000"/>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color w:val="000000"/>
                              <w:sz w:val="18"/>
                            </w:rPr>
                            <w:instrText xml:space="preserve"> PAGE  \* MERGEFORMAT </w:instrText>
                          </w:r>
                          <w:r>
                            <w:rPr>
                              <w:rFonts w:hint="eastAsia"/>
                              <w:sz w:val="18"/>
                            </w:rPr>
                            <w:fldChar w:fldCharType="separate"/>
                          </w:r>
                          <w:r>
                            <w:rPr>
                              <w:color w:val="000000"/>
                              <w:sz w:val="18"/>
                            </w:rPr>
                            <w:t>13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color w:val="000000"/>
                        <w:sz w:val="18"/>
                      </w:rPr>
                      <w:instrText xml:space="preserve"> PAGE  \* MERGEFORMAT </w:instrText>
                    </w:r>
                    <w:r>
                      <w:rPr>
                        <w:rFonts w:hint="eastAsia"/>
                        <w:sz w:val="18"/>
                      </w:rPr>
                      <w:fldChar w:fldCharType="separate"/>
                    </w:r>
                    <w:r>
                      <w:rPr>
                        <w:color w:val="000000"/>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color w:val="000000"/>
      </w:rPr>
      <w:t>理财非存款 产品有风险 投资须谨慎</w:t>
    </w:r>
    <w:r>
      <w:rPr>
        <w:b/>
        <w:bCs/>
      </w:rPr>
      <w:drawing>
        <wp:anchor distT="0" distB="0" distL="114300" distR="114300" simplePos="0" relativeHeight="251658240"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0">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1">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2">
    <w:nsid w:val="D8D75090"/>
    <w:multiLevelType w:val="singleLevel"/>
    <w:tmpl w:val="D8D75090"/>
    <w:lvl w:ilvl="0" w:tentative="0">
      <w:start w:val="1"/>
      <w:numFmt w:val="decimal"/>
      <w:suff w:val="nothing"/>
      <w:lvlText w:val="（%1）"/>
      <w:lvlJc w:val="left"/>
      <w:rPr>
        <w:rFonts w:hint="default"/>
        <w:b w:val="0"/>
        <w:bCs w:val="0"/>
      </w:rPr>
    </w:lvl>
  </w:abstractNum>
  <w:abstractNum w:abstractNumId="23">
    <w:nsid w:val="DD2251DF"/>
    <w:multiLevelType w:val="singleLevel"/>
    <w:tmpl w:val="DD2251DF"/>
    <w:lvl w:ilvl="0" w:tentative="0">
      <w:start w:val="1"/>
      <w:numFmt w:val="decimal"/>
      <w:suff w:val="nothing"/>
      <w:lvlText w:val="（%1）"/>
      <w:lvlJc w:val="left"/>
      <w:rPr>
        <w:rFonts w:hint="default"/>
        <w:b w:val="0"/>
        <w:bCs w:val="0"/>
      </w:rPr>
    </w:lvl>
  </w:abstractNum>
  <w:abstractNum w:abstractNumId="24">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5">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7">
    <w:nsid w:val="F574F5B6"/>
    <w:multiLevelType w:val="singleLevel"/>
    <w:tmpl w:val="F574F5B6"/>
    <w:lvl w:ilvl="0" w:tentative="0">
      <w:start w:val="1"/>
      <w:numFmt w:val="decimal"/>
      <w:suff w:val="nothing"/>
      <w:lvlText w:val="（%1）"/>
      <w:lvlJc w:val="left"/>
    </w:lvl>
  </w:abstractNum>
  <w:abstractNum w:abstractNumId="28">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9">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1">
    <w:nsid w:val="084A6179"/>
    <w:multiLevelType w:val="singleLevel"/>
    <w:tmpl w:val="084A6179"/>
    <w:lvl w:ilvl="0" w:tentative="0">
      <w:start w:val="1"/>
      <w:numFmt w:val="decimal"/>
      <w:suff w:val="nothing"/>
      <w:lvlText w:val="（%1）"/>
      <w:lvlJc w:val="left"/>
      <w:rPr>
        <w:rFonts w:hint="default"/>
        <w:highlight w:val="none"/>
      </w:rPr>
    </w:lvl>
  </w:abstractNum>
  <w:abstractNum w:abstractNumId="3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5">
    <w:nsid w:val="167B0BB4"/>
    <w:multiLevelType w:val="singleLevel"/>
    <w:tmpl w:val="167B0BB4"/>
    <w:lvl w:ilvl="0" w:tentative="0">
      <w:start w:val="1"/>
      <w:numFmt w:val="decimal"/>
      <w:suff w:val="nothing"/>
      <w:lvlText w:val="（%1）"/>
      <w:lvlJc w:val="left"/>
    </w:lvl>
  </w:abstractNum>
  <w:abstractNum w:abstractNumId="36">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7">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8">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9">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0">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1">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2">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3">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4">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9">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5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5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5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5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5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5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5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6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6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6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6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6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6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70">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7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0"/>
  </w:num>
  <w:num w:numId="3">
    <w:abstractNumId w:val="42"/>
  </w:num>
  <w:num w:numId="4">
    <w:abstractNumId w:val="37"/>
  </w:num>
  <w:num w:numId="5">
    <w:abstractNumId w:val="49"/>
  </w:num>
  <w:num w:numId="6">
    <w:abstractNumId w:val="72"/>
  </w:num>
  <w:num w:numId="7">
    <w:abstractNumId w:val="32"/>
  </w:num>
  <w:num w:numId="8">
    <w:abstractNumId w:val="73"/>
  </w:num>
  <w:num w:numId="9">
    <w:abstractNumId w:val="47"/>
  </w:num>
  <w:num w:numId="10">
    <w:abstractNumId w:val="44"/>
  </w:num>
  <w:num w:numId="11">
    <w:abstractNumId w:val="28"/>
  </w:num>
  <w:num w:numId="12">
    <w:abstractNumId w:val="26"/>
  </w:num>
  <w:num w:numId="13">
    <w:abstractNumId w:val="33"/>
  </w:num>
  <w:num w:numId="14">
    <w:abstractNumId w:val="25"/>
  </w:num>
  <w:num w:numId="15">
    <w:abstractNumId w:val="20"/>
  </w:num>
  <w:num w:numId="16">
    <w:abstractNumId w:val="11"/>
  </w:num>
  <w:num w:numId="17">
    <w:abstractNumId w:val="17"/>
  </w:num>
  <w:num w:numId="18">
    <w:abstractNumId w:val="8"/>
  </w:num>
  <w:num w:numId="19">
    <w:abstractNumId w:val="9"/>
  </w:num>
  <w:num w:numId="20">
    <w:abstractNumId w:val="7"/>
  </w:num>
  <w:num w:numId="21">
    <w:abstractNumId w:val="70"/>
  </w:num>
  <w:num w:numId="22">
    <w:abstractNumId w:val="5"/>
  </w:num>
  <w:num w:numId="23">
    <w:abstractNumId w:val="1"/>
  </w:num>
  <w:num w:numId="24">
    <w:abstractNumId w:val="43"/>
  </w:num>
  <w:num w:numId="25">
    <w:abstractNumId w:val="27"/>
  </w:num>
  <w:num w:numId="26">
    <w:abstractNumId w:val="19"/>
  </w:num>
  <w:num w:numId="27">
    <w:abstractNumId w:val="38"/>
  </w:num>
  <w:num w:numId="28">
    <w:abstractNumId w:val="21"/>
  </w:num>
  <w:num w:numId="29">
    <w:abstractNumId w:val="6"/>
  </w:num>
  <w:num w:numId="30">
    <w:abstractNumId w:val="46"/>
  </w:num>
  <w:num w:numId="31">
    <w:abstractNumId w:val="4"/>
  </w:num>
  <w:num w:numId="32">
    <w:abstractNumId w:val="31"/>
  </w:num>
  <w:num w:numId="33">
    <w:abstractNumId w:val="36"/>
  </w:num>
  <w:num w:numId="34">
    <w:abstractNumId w:val="71"/>
  </w:num>
  <w:num w:numId="35">
    <w:abstractNumId w:val="30"/>
  </w:num>
  <w:num w:numId="36">
    <w:abstractNumId w:val="23"/>
  </w:num>
  <w:num w:numId="37">
    <w:abstractNumId w:val="41"/>
  </w:num>
  <w:num w:numId="38">
    <w:abstractNumId w:val="2"/>
  </w:num>
  <w:num w:numId="39">
    <w:abstractNumId w:val="24"/>
  </w:num>
  <w:num w:numId="40">
    <w:abstractNumId w:val="29"/>
  </w:num>
  <w:num w:numId="41">
    <w:abstractNumId w:val="45"/>
  </w:num>
  <w:num w:numId="42">
    <w:abstractNumId w:val="34"/>
  </w:num>
  <w:num w:numId="43">
    <w:abstractNumId w:val="18"/>
  </w:num>
  <w:num w:numId="44">
    <w:abstractNumId w:val="48"/>
  </w:num>
  <w:num w:numId="45">
    <w:abstractNumId w:val="12"/>
  </w:num>
  <w:num w:numId="46">
    <w:abstractNumId w:val="10"/>
  </w:num>
  <w:num w:numId="47">
    <w:abstractNumId w:val="13"/>
  </w:num>
  <w:num w:numId="48">
    <w:abstractNumId w:val="35"/>
  </w:num>
  <w:num w:numId="49">
    <w:abstractNumId w:val="22"/>
  </w:num>
  <w:num w:numId="50">
    <w:abstractNumId w:val="3"/>
  </w:num>
  <w:num w:numId="51">
    <w:abstractNumId w:val="40"/>
  </w:num>
  <w:num w:numId="52">
    <w:abstractNumId w:val="57"/>
  </w:num>
  <w:num w:numId="53">
    <w:abstractNumId w:val="56"/>
  </w:num>
  <w:num w:numId="54">
    <w:abstractNumId w:val="58"/>
  </w:num>
  <w:num w:numId="55">
    <w:abstractNumId w:val="59"/>
  </w:num>
  <w:num w:numId="56">
    <w:abstractNumId w:val="60"/>
  </w:num>
  <w:num w:numId="57">
    <w:abstractNumId w:val="61"/>
  </w:num>
  <w:num w:numId="58">
    <w:abstractNumId w:val="62"/>
  </w:num>
  <w:num w:numId="59">
    <w:abstractNumId w:val="63"/>
  </w:num>
  <w:num w:numId="60">
    <w:abstractNumId w:val="39"/>
  </w:num>
  <w:num w:numId="61">
    <w:abstractNumId w:val="16"/>
  </w:num>
  <w:num w:numId="62">
    <w:abstractNumId w:val="50"/>
  </w:num>
  <w:num w:numId="63">
    <w:abstractNumId w:val="51"/>
  </w:num>
  <w:num w:numId="64">
    <w:abstractNumId w:val="52"/>
  </w:num>
  <w:num w:numId="65">
    <w:abstractNumId w:val="53"/>
  </w:num>
  <w:num w:numId="66">
    <w:abstractNumId w:val="54"/>
  </w:num>
  <w:num w:numId="67">
    <w:abstractNumId w:val="55"/>
  </w:num>
  <w:num w:numId="68">
    <w:abstractNumId w:val="64"/>
  </w:num>
  <w:num w:numId="69">
    <w:abstractNumId w:val="65"/>
  </w:num>
  <w:num w:numId="70">
    <w:abstractNumId w:val="15"/>
  </w:num>
  <w:num w:numId="71">
    <w:abstractNumId w:val="66"/>
  </w:num>
  <w:num w:numId="72">
    <w:abstractNumId w:val="67"/>
  </w:num>
  <w:num w:numId="73">
    <w:abstractNumId w:val="68"/>
  </w:num>
  <w:num w:numId="7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BD71EBE"/>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E30F62"/>
    <w:rsid w:val="6DFE35A5"/>
    <w:rsid w:val="6E9C369D"/>
    <w:rsid w:val="6EF41B11"/>
    <w:rsid w:val="6FF79273"/>
    <w:rsid w:val="702573F3"/>
    <w:rsid w:val="70B57531"/>
    <w:rsid w:val="70FA499F"/>
    <w:rsid w:val="730C182D"/>
    <w:rsid w:val="73A34B18"/>
    <w:rsid w:val="73F5BB6D"/>
    <w:rsid w:val="73FC9A3F"/>
    <w:rsid w:val="751974A1"/>
    <w:rsid w:val="758B30E4"/>
    <w:rsid w:val="75F42331"/>
    <w:rsid w:val="761F7C3C"/>
    <w:rsid w:val="76683D2A"/>
    <w:rsid w:val="76C62D9E"/>
    <w:rsid w:val="76DF52A4"/>
    <w:rsid w:val="78244617"/>
    <w:rsid w:val="7A923507"/>
    <w:rsid w:val="7AAFF850"/>
    <w:rsid w:val="7ACB640D"/>
    <w:rsid w:val="7BFF1A29"/>
    <w:rsid w:val="7C044D89"/>
    <w:rsid w:val="7C63442B"/>
    <w:rsid w:val="7D0E5BDE"/>
    <w:rsid w:val="7D3AA22F"/>
    <w:rsid w:val="7D9F2F3F"/>
    <w:rsid w:val="7DE35ECA"/>
    <w:rsid w:val="7DF186E2"/>
    <w:rsid w:val="7E1A0C5A"/>
    <w:rsid w:val="7E3212D3"/>
    <w:rsid w:val="7E7F7BE9"/>
    <w:rsid w:val="7F5F887D"/>
    <w:rsid w:val="7F9FC635"/>
    <w:rsid w:val="7FCC7D05"/>
    <w:rsid w:val="7FEF42B8"/>
    <w:rsid w:val="7FEFE414"/>
    <w:rsid w:val="7FF2B36D"/>
    <w:rsid w:val="84392690"/>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38110</Words>
  <Characters>40979</Characters>
  <Lines>1</Lines>
  <Paragraphs>1</Paragraphs>
  <TotalTime>0</TotalTime>
  <ScaleCrop>false</ScaleCrop>
  <LinksUpToDate>false</LinksUpToDate>
  <CharactersWithSpaces>41466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hccb</cp:lastModifiedBy>
  <dcterms:modified xsi:type="dcterms:W3CDTF">2026-07-09T06:23:21Z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2886C8A4E11EE72F4C9F176AE739E4AC_43</vt:lpwstr>
  </property>
  <property fmtid="{D5CDD505-2E9C-101B-9397-08002B2CF9AE}" pid="3" name="KSOProductBuildVer">
    <vt:lpwstr>2052-11.8.2.8411</vt:lpwstr>
  </property>
</Properties>
</file>