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cs="Times New Roman"/>
          <w:b/>
          <w:sz w:val="28"/>
          <w:szCs w:val="28"/>
        </w:rPr>
      </w:pPr>
      <w:r>
        <w:rPr>
          <w:rFonts w:ascii="黑体" w:hAnsi="黑体" w:eastAsia="黑体" w:cs="Times New Roman"/>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cs="Times New Roman"/>
          <w:b/>
          <w:sz w:val="44"/>
          <w:szCs w:val="44"/>
        </w:rPr>
      </w:pPr>
      <w:r>
        <w:rPr>
          <w:rFonts w:hint="eastAsia" w:ascii="黑体" w:hAnsi="黑体" w:eastAsia="黑体" w:cs="Times New Roman"/>
          <w:b/>
          <w:sz w:val="44"/>
          <w:szCs w:val="44"/>
        </w:rPr>
        <w:t>【兴银理财稳利安盈封闭式2026年489期固收类理财产品】</w:t>
      </w:r>
    </w:p>
    <w:p>
      <w:pPr>
        <w:widowControl/>
        <w:spacing w:line="360" w:lineRule="auto"/>
        <w:jc w:val="center"/>
        <w:rPr>
          <w:rFonts w:ascii="Times New Roman" w:hAnsi="Times New Roman" w:cs="Times New Roman"/>
          <w:b/>
          <w:szCs w:val="21"/>
        </w:rPr>
      </w:pPr>
      <w:r>
        <w:rPr>
          <w:rFonts w:hint="eastAsia" w:ascii="黑体" w:hAnsi="黑体" w:eastAsia="黑体" w:cs="Times New Roman"/>
          <w:b/>
          <w:sz w:val="44"/>
          <w:szCs w:val="44"/>
        </w:rPr>
        <w:t>销售文件</w:t>
      </w:r>
    </w:p>
    <w:tbl>
      <w:tblPr>
        <w:tblStyle w:val="8"/>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序号</w:t>
            </w:r>
          </w:p>
        </w:tc>
        <w:tc>
          <w:tcPr>
            <w:tcW w:w="5689"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理财产品销售文件中的具体文件名称</w:t>
            </w:r>
          </w:p>
        </w:tc>
        <w:tc>
          <w:tcPr>
            <w:tcW w:w="2107"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1</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【兴银理财稳利安盈封闭式2026年489期固收类理财产品】投资协议书</w:t>
            </w:r>
            <w:r>
              <w:rPr>
                <w:rFonts w:ascii="宋体" w:hAnsi="宋体" w:cs="Times New Roman"/>
                <w:kern w:val="0"/>
                <w:sz w:val="20"/>
                <w:szCs w:val="21"/>
              </w:rPr>
              <w:t xml:space="preserve"> </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2</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【兴银理财稳利安盈封闭式2026年489期固收类理财产品】产品说明书</w:t>
            </w:r>
          </w:p>
        </w:tc>
        <w:tc>
          <w:tcPr>
            <w:tcW w:w="2107"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hint="eastAsia" w:ascii="宋体" w:hAnsi="宋体" w:eastAsia="宋体" w:cs="Times New Roman"/>
                <w:kern w:val="0"/>
                <w:sz w:val="20"/>
                <w:szCs w:val="21"/>
                <w:lang w:val="en-US" w:eastAsia="zh-CN" w:bidi="ar-SA"/>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en-US" w:eastAsia="zh-CN" w:bidi="ar-SA"/>
              </w:rPr>
              <w:t>3</w:t>
            </w:r>
          </w:p>
        </w:tc>
        <w:tc>
          <w:tcPr>
            <w:tcW w:w="5689" w:type="dxa"/>
          </w:tcPr>
          <w:p>
            <w:pPr>
              <w:widowControl/>
              <w:spacing w:line="360" w:lineRule="auto"/>
              <w:rPr>
                <w:rFonts w:ascii="宋体" w:hAnsi="宋体" w:cs="Times New Roman"/>
                <w:kern w:val="0"/>
                <w:sz w:val="20"/>
                <w:szCs w:val="21"/>
              </w:rPr>
            </w:pPr>
            <w:r>
              <w:rPr>
                <w:rFonts w:hint="eastAsia" w:ascii="宋体" w:hAnsi="宋体" w:cs="Times New Roman"/>
                <w:kern w:val="0"/>
                <w:sz w:val="20"/>
                <w:szCs w:val="21"/>
              </w:rPr>
              <w:t>【兴银理财稳利安盈封闭式2026年489期固收类理财产品】（代理）销售协议书</w:t>
            </w:r>
          </w:p>
        </w:tc>
        <w:tc>
          <w:tcPr>
            <w:tcW w:w="2107" w:type="dxa"/>
          </w:tcPr>
          <w:p>
            <w:pPr>
              <w:widowControl/>
              <w:spacing w:line="360" w:lineRule="auto"/>
              <w:ind w:firstLine="0" w:firstLineChars="0"/>
              <w:jc w:val="center"/>
              <w:rPr>
                <w:rFonts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en-US" w:eastAsia="zh-CN" w:bidi="ar-SA"/>
              </w:rPr>
              <w:t>（代理）销售</w:t>
            </w:r>
            <w:r>
              <w:rPr>
                <w:rFonts w:ascii="宋体" w:hAnsi="宋体" w:eastAsia="宋体" w:cs="Times New Roman"/>
                <w:kern w:val="0"/>
                <w:sz w:val="20"/>
                <w:szCs w:val="21"/>
                <w:lang w:val="en-US" w:eastAsia="zh-CN" w:bidi="ar-SA"/>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4</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【兴银理财稳利安盈封闭式2026年489期固收类理财产品】风险揭示书</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5</w:t>
            </w:r>
          </w:p>
        </w:tc>
        <w:tc>
          <w:tcPr>
            <w:tcW w:w="5689" w:type="dxa"/>
          </w:tcPr>
          <w:p>
            <w:pPr>
              <w:widowControl/>
              <w:spacing w:line="360" w:lineRule="auto"/>
              <w:rPr>
                <w:rFonts w:ascii="宋体" w:hAnsi="宋体" w:cs="Times New Roman"/>
                <w:kern w:val="0"/>
                <w:sz w:val="20"/>
                <w:szCs w:val="21"/>
              </w:rPr>
            </w:pPr>
            <w:r>
              <w:rPr>
                <w:rFonts w:hint="eastAsia" w:ascii="宋体" w:hAnsi="宋体" w:cs="Times New Roman"/>
                <w:kern w:val="0"/>
                <w:sz w:val="20"/>
                <w:szCs w:val="21"/>
              </w:rPr>
              <w:t>【兴银理财稳利安盈封闭式2026年489期固收类理财产品】投资者权益须知</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投资者权益须知</w:t>
            </w:r>
          </w:p>
        </w:tc>
      </w:tr>
    </w:tbl>
    <w:p>
      <w:pPr>
        <w:widowControl/>
        <w:spacing w:line="360" w:lineRule="auto"/>
        <w:jc w:val="left"/>
        <w:rPr>
          <w:rFonts w:ascii="黑体" w:hAnsi="黑体" w:eastAsia="黑体" w:cs="Times New Roman"/>
          <w:b/>
          <w:szCs w:val="21"/>
        </w:rPr>
      </w:pPr>
      <w:r>
        <w:rPr>
          <w:rFonts w:hint="eastAsia" w:ascii="黑体" w:hAnsi="黑体" w:eastAsia="黑体" w:cs="Times New Roman"/>
          <w:b/>
          <w:szCs w:val="21"/>
        </w:rPr>
        <w:t>郑重提示：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1.销售文件的组成和编制的提示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《投资协议书》《产品说明书》《（代理）销售协议</w:t>
      </w:r>
      <w:r>
        <w:rPr>
          <w:rFonts w:ascii="黑体" w:hAnsi="黑体" w:eastAsia="黑体" w:cs="Times New Roman"/>
          <w:kern w:val="0"/>
          <w:sz w:val="21"/>
          <w:szCs w:val="21"/>
          <w:lang w:val="en-US" w:eastAsia="zh-CN" w:bidi="ar-SA"/>
        </w:rPr>
        <w:t>书</w:t>
      </w:r>
      <w:r>
        <w:rPr>
          <w:rFonts w:hint="eastAsia" w:ascii="黑体" w:hAnsi="黑体" w:eastAsia="黑体" w:cs="Times New Roman"/>
          <w:kern w:val="0"/>
          <w:sz w:val="21"/>
          <w:szCs w:val="21"/>
          <w:lang w:val="en-US" w:eastAsia="zh-CN" w:bidi="ar-SA"/>
        </w:rPr>
        <w:t>》《风险揭示书》《投资者权益须知》等文件共同构成一份完整且不可分割的理财产品销售文件。</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根据《理财公司理财产品销售管理暂行办法》（</w:t>
      </w:r>
      <w:r>
        <w:rPr>
          <w:rFonts w:ascii="黑体" w:hAnsi="黑体" w:eastAsia="黑体" w:cs="Times New Roman"/>
          <w:kern w:val="0"/>
          <w:sz w:val="21"/>
          <w:szCs w:val="21"/>
          <w:lang w:val="en-US" w:eastAsia="zh-CN" w:bidi="ar-SA"/>
        </w:rPr>
        <w:t>银保监会令</w:t>
      </w:r>
      <w:r>
        <w:rPr>
          <w:rFonts w:hint="eastAsia" w:ascii="黑体" w:hAnsi="黑体" w:eastAsia="黑体" w:cs="Times New Roman"/>
          <w:kern w:val="0"/>
          <w:sz w:val="21"/>
          <w:szCs w:val="21"/>
          <w:lang w:val="en-US" w:eastAsia="zh-CN" w:bidi="ar-SA"/>
        </w:rPr>
        <w:t>2</w:t>
      </w:r>
      <w:r>
        <w:rPr>
          <w:rFonts w:ascii="黑体" w:hAnsi="黑体" w:eastAsia="黑体" w:cs="Times New Roman"/>
          <w:kern w:val="0"/>
          <w:sz w:val="21"/>
          <w:szCs w:val="21"/>
          <w:lang w:val="en-US" w:eastAsia="zh-CN" w:bidi="ar-SA"/>
        </w:rPr>
        <w:t>021年第</w:t>
      </w:r>
      <w:r>
        <w:rPr>
          <w:rFonts w:hint="eastAsia" w:ascii="黑体" w:hAnsi="黑体" w:eastAsia="黑体" w:cs="Times New Roman"/>
          <w:kern w:val="0"/>
          <w:sz w:val="21"/>
          <w:szCs w:val="21"/>
          <w:lang w:val="en-US" w:eastAsia="zh-CN" w:bidi="ar-SA"/>
        </w:rPr>
        <w:t>4号）第2</w:t>
      </w:r>
      <w:r>
        <w:rPr>
          <w:rFonts w:ascii="黑体" w:hAnsi="黑体" w:eastAsia="黑体" w:cs="Times New Roman"/>
          <w:kern w:val="0"/>
          <w:sz w:val="21"/>
          <w:szCs w:val="21"/>
          <w:lang w:val="en-US" w:eastAsia="zh-CN" w:bidi="ar-SA"/>
        </w:rPr>
        <w:t>9条规定</w:t>
      </w:r>
      <w:r>
        <w:rPr>
          <w:rFonts w:hint="eastAsia" w:ascii="黑体" w:hAnsi="黑体" w:eastAsia="黑体" w:cs="Times New Roman"/>
          <w:kern w:val="0"/>
          <w:sz w:val="21"/>
          <w:szCs w:val="21"/>
          <w:lang w:val="en-US" w:eastAsia="zh-CN" w:bidi="ar-SA"/>
        </w:rPr>
        <w:t>，</w:t>
      </w:r>
      <w:r>
        <w:rPr>
          <w:rFonts w:ascii="黑体" w:hAnsi="黑体" w:eastAsia="黑体" w:cs="Times New Roman"/>
          <w:kern w:val="0"/>
          <w:sz w:val="21"/>
          <w:szCs w:val="21"/>
          <w:lang w:val="en-US" w:eastAsia="zh-CN" w:bidi="ar-SA"/>
        </w:rPr>
        <w:t>产品管理人统一编制本公司理财产品投资协议书和理财产品说明书</w:t>
      </w:r>
      <w:r>
        <w:rPr>
          <w:rFonts w:hint="eastAsia" w:ascii="黑体" w:hAnsi="黑体" w:eastAsia="黑体" w:cs="Times New Roman"/>
          <w:kern w:val="0"/>
          <w:sz w:val="21"/>
          <w:szCs w:val="21"/>
          <w:lang w:val="en-US" w:eastAsia="zh-CN" w:bidi="ar-SA"/>
        </w:rPr>
        <w:t>。代理销售机构可以接受理财公司委托编制代理销售协议书、风险揭示书、投资者权益须知等销售文件，并应当对其编制的销售文件进行合规性审核，使用前向理财公司备案。</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2.投资者适当性的提示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ascii="黑体" w:hAnsi="黑体" w:eastAsia="黑体" w:cs="Times New Roman"/>
          <w:kern w:val="0"/>
          <w:sz w:val="21"/>
          <w:szCs w:val="21"/>
          <w:lang w:val="en-US" w:eastAsia="zh-CN" w:bidi="ar-SA"/>
        </w:rPr>
        <w:t>3</w:t>
      </w:r>
      <w:r>
        <w:rPr>
          <w:rFonts w:hint="eastAsia" w:ascii="黑体" w:hAnsi="黑体" w:eastAsia="黑体" w:cs="Times New Roman"/>
          <w:kern w:val="0"/>
          <w:sz w:val="21"/>
          <w:szCs w:val="21"/>
          <w:lang w:val="en-US" w:eastAsia="zh-CN" w:bidi="ar-SA"/>
        </w:rPr>
        <w:t>.</w:t>
      </w:r>
      <w:r>
        <w:rPr>
          <w:rFonts w:ascii="黑体" w:hAnsi="黑体" w:eastAsia="黑体" w:cs="Times New Roman"/>
          <w:kern w:val="0"/>
          <w:sz w:val="21"/>
          <w:szCs w:val="21"/>
          <w:lang w:val="en-US" w:eastAsia="zh-CN" w:bidi="ar-SA"/>
        </w:rPr>
        <w:t>签署合同</w:t>
      </w:r>
      <w:r>
        <w:rPr>
          <w:rFonts w:hint="eastAsia" w:ascii="黑体" w:hAnsi="黑体" w:eastAsia="黑体" w:cs="Times New Roman"/>
          <w:kern w:val="0"/>
          <w:sz w:val="21"/>
          <w:szCs w:val="21"/>
          <w:lang w:val="en-US" w:eastAsia="zh-CN" w:bidi="ar-SA"/>
        </w:rPr>
        <w:t>前</w:t>
      </w:r>
      <w:r>
        <w:rPr>
          <w:rFonts w:ascii="黑体" w:hAnsi="黑体" w:eastAsia="黑体" w:cs="Times New Roman"/>
          <w:kern w:val="0"/>
          <w:sz w:val="21"/>
          <w:szCs w:val="21"/>
          <w:lang w:val="en-US" w:eastAsia="zh-CN" w:bidi="ar-SA"/>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cs="Times New Roman"/>
          <w:kern w:val="0"/>
          <w:szCs w:val="21"/>
        </w:rPr>
        <w:t>为了维护您的权益，请在签署有关理财产品销售文件前，仔细阅读理财产品销售文件各条款（特别是</w:t>
      </w:r>
      <w:r>
        <w:rPr>
          <w:rFonts w:ascii="黑体" w:hAnsi="黑体" w:eastAsia="黑体" w:cs="Times New Roman"/>
          <w:kern w:val="0"/>
          <w:szCs w:val="21"/>
        </w:rPr>
        <w:t xml:space="preserve"> “</w:t>
      </w:r>
      <w:r>
        <w:rPr>
          <w:rFonts w:hint="eastAsia" w:ascii="黑体" w:hAnsi="黑体" w:eastAsia="黑体" w:cs="Times New Roman"/>
          <w:kern w:val="0"/>
          <w:szCs w:val="21"/>
        </w:rPr>
        <w:t>黑体字</w:t>
      </w:r>
      <w:r>
        <w:rPr>
          <w:rFonts w:ascii="黑体" w:hAnsi="黑体" w:eastAsia="黑体" w:cs="Times New Roman"/>
          <w:kern w:val="0"/>
          <w:szCs w:val="21"/>
        </w:rPr>
        <w:t>”</w:t>
      </w:r>
      <w:r>
        <w:rPr>
          <w:rFonts w:hint="eastAsia" w:ascii="黑体" w:hAnsi="黑体" w:eastAsia="黑体" w:cs="Times New Roman"/>
          <w:kern w:val="0"/>
          <w:szCs w:val="21"/>
        </w:rPr>
        <w:t>条款以及“★”标识以及“</w:t>
      </w:r>
      <w:r>
        <w:rPr>
          <w:rFonts w:cs="Times New Roman" w:asciiTheme="majorEastAsia" w:hAnsiTheme="majorEastAsia" w:eastAsiaTheme="majorEastAsia"/>
          <w:bCs/>
          <w:sz w:val="18"/>
          <w:szCs w:val="18"/>
        </w:rPr>
        <w:t>■</w:t>
      </w:r>
      <w:r>
        <w:rPr>
          <w:rFonts w:hint="eastAsia" w:ascii="黑体" w:hAnsi="黑体" w:eastAsia="黑体" w:cs="Times New Roman"/>
          <w:kern w:val="0"/>
          <w:szCs w:val="21"/>
        </w:rPr>
        <w:t>”标识，其中“黑体字”条款以及“★”标识表示强调，“</w:t>
      </w:r>
      <w:r>
        <w:rPr>
          <w:rFonts w:cs="Times New Roman" w:asciiTheme="majorEastAsia" w:hAnsiTheme="majorEastAsia" w:eastAsiaTheme="majorEastAsia"/>
          <w:bCs/>
          <w:sz w:val="18"/>
          <w:szCs w:val="18"/>
        </w:rPr>
        <w:t>■</w:t>
      </w:r>
      <w:r>
        <w:rPr>
          <w:rFonts w:hint="eastAsia" w:ascii="黑体" w:hAnsi="黑体" w:eastAsia="黑体" w:cs="Times New Roman"/>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cs="Times New Roman"/>
          <w:kern w:val="0"/>
          <w:szCs w:val="21"/>
        </w:rPr>
      </w:pPr>
    </w:p>
    <w:p>
      <w:pPr>
        <w:tabs>
          <w:tab w:val="left" w:pos="6660"/>
        </w:tabs>
        <w:spacing w:line="360" w:lineRule="auto"/>
        <w:jc w:val="center"/>
        <w:rPr>
          <w:rFonts w:ascii="Times New Roman" w:hAnsi="Times New Roman" w:cs="Times New Roman"/>
          <w:bCs/>
          <w:sz w:val="44"/>
        </w:rPr>
      </w:pPr>
    </w:p>
    <w:p>
      <w:pPr>
        <w:widowControl/>
        <w:spacing w:line="360" w:lineRule="auto"/>
        <w:jc w:val="center"/>
        <w:rPr>
          <w:rStyle w:val="10"/>
          <w:rFonts w:ascii="宋体" w:hAnsi="宋体" w:cs="Times New Roman"/>
          <w:sz w:val="30"/>
          <w:szCs w:val="30"/>
        </w:rPr>
      </w:pPr>
      <w:r>
        <w:rPr>
          <w:rFonts w:hint="eastAsia" w:ascii="宋体" w:hAnsi="宋体" w:cs="Times New Roman"/>
          <w:b/>
          <w:sz w:val="30"/>
          <w:szCs w:val="30"/>
        </w:rPr>
        <w:t>理财非存款、产品有风险、投资须谨慎！</w:t>
      </w:r>
    </w:p>
    <w:p>
      <w:pPr>
        <w:tabs>
          <w:tab w:val="left" w:pos="6660"/>
        </w:tabs>
        <w:spacing w:line="360" w:lineRule="auto"/>
        <w:jc w:val="center"/>
        <w:rPr>
          <w:rFonts w:ascii="Times New Roman" w:hAnsi="Times New Roman" w:cs="Times New Roman"/>
          <w:bCs/>
          <w:sz w:val="44"/>
        </w:rPr>
      </w:pPr>
    </w:p>
    <w:p>
      <w:pPr>
        <w:spacing w:line="360" w:lineRule="auto"/>
        <w:jc w:val="center"/>
        <w:rPr>
          <w:rFonts w:ascii="Times New Roman" w:hAnsi="Times New Roman" w:cs="Times New Roman"/>
          <w:b/>
          <w:sz w:val="52"/>
        </w:rPr>
      </w:pPr>
    </w:p>
    <w:p>
      <w:pPr>
        <w:spacing w:line="360" w:lineRule="auto"/>
        <w:jc w:val="center"/>
        <w:rPr>
          <w:rFonts w:ascii="Times New Roman" w:hAnsi="Times New Roman" w:cs="Times New Roman"/>
          <w:b/>
        </w:rPr>
      </w:pPr>
      <w:r>
        <w:rPr>
          <w:rFonts w:ascii="黑体" w:hAnsi="黑体" w:eastAsia="黑体" w:cs="Times New Roman"/>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rFonts w:ascii="Times New Roman" w:hAnsi="Times New Roman" w:cs="Times New Roman"/>
          <w:b/>
          <w:sz w:val="5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w:t>
      </w:r>
      <w:r>
        <w:rPr>
          <w:rStyle w:val="10"/>
          <w:rFonts w:hint="eastAsia" w:ascii="黑体" w:hAnsi="黑体" w:eastAsia="黑体" w:cs="宋体"/>
          <w:sz w:val="44"/>
          <w:szCs w:val="44"/>
          <w:lang w:val="en-US" w:eastAsia="zh-CN"/>
        </w:rPr>
        <w:t>兴银理财稳利安盈封闭式2026年489期固收类理财产品</w:t>
      </w:r>
      <w:r>
        <w:rPr>
          <w:rStyle w:val="10"/>
          <w:rFonts w:hint="eastAsia" w:ascii="黑体" w:hAnsi="黑体" w:eastAsia="黑体" w:cs="宋体"/>
          <w:sz w:val="44"/>
          <w:szCs w:val="44"/>
        </w:rPr>
        <w:t>】</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投资协议书</w:t>
      </w:r>
    </w:p>
    <w:p>
      <w:pPr>
        <w:spacing w:line="360" w:lineRule="auto"/>
        <w:jc w:val="center"/>
        <w:rPr>
          <w:rFonts w:ascii="Times New Roman" w:hAnsi="Times New Roman" w:cs="Times New Roman"/>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cs="Times New Roman"/>
          <w:b/>
          <w:sz w:val="28"/>
          <w:szCs w:val="28"/>
          <w:u w:val="single"/>
        </w:rPr>
      </w:pPr>
      <w:r>
        <w:rPr>
          <w:rFonts w:hint="eastAsia" w:ascii="黑体" w:hAnsi="黑体" w:eastAsia="黑体" w:cs="Times New Roman"/>
          <w:b/>
          <w:sz w:val="28"/>
          <w:szCs w:val="28"/>
        </w:rPr>
        <w:t>协议编号：【】</w:t>
      </w:r>
    </w:p>
    <w:p>
      <w:pPr>
        <w:spacing w:line="360" w:lineRule="auto"/>
        <w:jc w:val="center"/>
        <w:rPr>
          <w:rFonts w:ascii="Times New Roman" w:hAnsi="Times New Roman" w:cs="Times New Roman"/>
          <w:b/>
          <w:sz w:val="28"/>
          <w:szCs w:val="28"/>
        </w:rPr>
      </w:pPr>
    </w:p>
    <w:p>
      <w:pPr>
        <w:spacing w:line="360" w:lineRule="auto"/>
        <w:jc w:val="center"/>
        <w:rPr>
          <w:rFonts w:ascii="Times New Roman" w:hAnsi="Times New Roman" w:cs="Times New Roman"/>
          <w:b/>
          <w:sz w:val="28"/>
          <w:szCs w:val="28"/>
        </w:rPr>
      </w:pPr>
    </w:p>
    <w:p>
      <w:pPr>
        <w:adjustRightInd w:val="0"/>
        <w:spacing w:line="360" w:lineRule="auto"/>
        <w:jc w:val="center"/>
        <w:rPr>
          <w:rStyle w:val="10"/>
          <w:rFonts w:ascii="宋体" w:hAnsi="宋体" w:cs="Times New Roman"/>
          <w:sz w:val="28"/>
          <w:szCs w:val="28"/>
        </w:rPr>
      </w:pPr>
      <w:bookmarkStart w:id="0" w:name="_Toc123112263"/>
      <w:bookmarkStart w:id="1" w:name="_Toc123701383"/>
      <w:bookmarkStart w:id="2" w:name="_Toc123112224"/>
      <w:bookmarkStart w:id="3" w:name="_Toc139991726"/>
      <w:bookmarkStart w:id="4" w:name="_Toc139992301"/>
      <w:r>
        <w:rPr>
          <w:rStyle w:val="10"/>
          <w:rFonts w:hint="eastAsia" w:ascii="宋体" w:hAnsi="宋体" w:cs="Times New Roman"/>
          <w:sz w:val="28"/>
          <w:szCs w:val="28"/>
        </w:rPr>
        <w:t>理财产品管理人：</w:t>
      </w:r>
      <w:bookmarkEnd w:id="0"/>
      <w:bookmarkEnd w:id="1"/>
      <w:bookmarkEnd w:id="2"/>
      <w:bookmarkEnd w:id="3"/>
      <w:bookmarkEnd w:id="4"/>
      <w:r>
        <w:rPr>
          <w:rStyle w:val="10"/>
          <w:rFonts w:hint="eastAsia" w:ascii="宋体" w:hAnsi="宋体" w:cs="Times New Roman"/>
          <w:sz w:val="28"/>
          <w:szCs w:val="28"/>
        </w:rPr>
        <w:t>兴银理财有限责任公司</w:t>
      </w:r>
    </w:p>
    <w:p>
      <w:pPr>
        <w:adjustRightInd w:val="0"/>
        <w:spacing w:line="360" w:lineRule="auto"/>
        <w:jc w:val="center"/>
        <w:rPr>
          <w:rStyle w:val="10"/>
          <w:rFonts w:ascii="黑体" w:hAnsi="黑体" w:eastAsia="黑体" w:cs="宋体"/>
          <w:sz w:val="28"/>
          <w:szCs w:val="28"/>
        </w:rPr>
      </w:pPr>
      <w:bookmarkStart w:id="5" w:name="_Toc123112225"/>
      <w:bookmarkStart w:id="6" w:name="_Toc123112264"/>
      <w:bookmarkStart w:id="7" w:name="_Toc139991727"/>
      <w:bookmarkStart w:id="8" w:name="_Toc123701384"/>
      <w:bookmarkStart w:id="9" w:name="_Toc139992302"/>
    </w:p>
    <w:bookmarkEnd w:id="5"/>
    <w:bookmarkEnd w:id="6"/>
    <w:bookmarkEnd w:id="7"/>
    <w:bookmarkEnd w:id="8"/>
    <w:bookmarkEnd w:id="9"/>
    <w:p>
      <w:pPr>
        <w:adjustRightInd w:val="0"/>
        <w:spacing w:line="360" w:lineRule="auto"/>
        <w:jc w:val="center"/>
        <w:rPr>
          <w:rStyle w:val="10"/>
          <w:rFonts w:ascii="黑体" w:hAnsi="黑体" w:eastAsia="黑体" w:cs="宋体"/>
          <w:sz w:val="28"/>
          <w:szCs w:val="28"/>
        </w:rPr>
      </w:pPr>
    </w:p>
    <w:p>
      <w:pPr>
        <w:adjustRightInd w:val="0"/>
        <w:spacing w:line="360" w:lineRule="auto"/>
        <w:jc w:val="center"/>
        <w:rPr>
          <w:rStyle w:val="10"/>
          <w:rFonts w:ascii="宋体" w:hAnsi="宋体" w:cs="Times New Roman"/>
          <w:sz w:val="28"/>
          <w:szCs w:val="28"/>
        </w:rPr>
      </w:pPr>
      <w:r>
        <w:rPr>
          <w:rStyle w:val="10"/>
          <w:rFonts w:hint="eastAsia" w:ascii="宋体" w:hAnsi="宋体" w:cs="Times New Roman"/>
          <w:sz w:val="28"/>
          <w:szCs w:val="28"/>
        </w:rPr>
        <w:t>日期</w:t>
      </w:r>
      <w:r>
        <w:rPr>
          <w:rStyle w:val="10"/>
          <w:rFonts w:ascii="宋体" w:hAnsi="宋体" w:cs="Times New Roman"/>
          <w:sz w:val="28"/>
          <w:szCs w:val="28"/>
        </w:rPr>
        <w:t>：</w:t>
      </w:r>
      <w:r>
        <w:rPr>
          <w:rStyle w:val="10"/>
          <w:rFonts w:hint="eastAsia" w:ascii="宋体" w:hAnsi="宋体" w:cs="Times New Roman"/>
          <w:sz w:val="28"/>
          <w:szCs w:val="28"/>
        </w:rPr>
        <w:t>【</w:t>
      </w:r>
      <w:r>
        <w:rPr>
          <w:rStyle w:val="10"/>
          <w:rFonts w:hint="eastAsia" w:ascii="宋体" w:hAnsi="宋体" w:cs="Times New Roman"/>
          <w:sz w:val="28"/>
          <w:szCs w:val="28"/>
          <w:lang w:val="en-US" w:eastAsia="zh-CN"/>
        </w:rPr>
        <w:t>2026</w:t>
      </w:r>
      <w:r>
        <w:rPr>
          <w:rStyle w:val="10"/>
          <w:rFonts w:hint="eastAsia" w:ascii="宋体" w:hAnsi="宋体" w:cs="Times New Roman"/>
          <w:sz w:val="28"/>
          <w:szCs w:val="28"/>
        </w:rPr>
        <w:t>】年【</w:t>
      </w:r>
      <w:r>
        <w:rPr>
          <w:rStyle w:val="10"/>
          <w:rFonts w:hint="eastAsia" w:ascii="宋体" w:hAnsi="宋体" w:cs="Times New Roman"/>
          <w:sz w:val="28"/>
          <w:szCs w:val="28"/>
          <w:lang w:val="en-US" w:eastAsia="zh-CN"/>
        </w:rPr>
        <w:t>8</w:t>
      </w:r>
      <w:r>
        <w:rPr>
          <w:rStyle w:val="10"/>
          <w:rFonts w:hint="eastAsia" w:ascii="宋体" w:hAnsi="宋体" w:cs="Times New Roman"/>
          <w:sz w:val="28"/>
          <w:szCs w:val="28"/>
        </w:rPr>
        <w:t>】月</w:t>
      </w:r>
    </w:p>
    <w:p>
      <w:pPr>
        <w:tabs>
          <w:tab w:val="left" w:pos="8070"/>
          <w:tab w:val="right" w:pos="8306"/>
        </w:tabs>
        <w:autoSpaceDE w:val="0"/>
        <w:autoSpaceDN w:val="0"/>
        <w:adjustRightInd w:val="0"/>
        <w:snapToGrid w:val="0"/>
        <w:spacing w:before="156" w:beforeLines="50" w:line="360" w:lineRule="auto"/>
        <w:jc w:val="center"/>
        <w:rPr>
          <w:rFonts w:ascii="Times New Roman" w:hAnsi="Times New Roman" w:cs="Times New Roman"/>
          <w:bCs/>
          <w:sz w:val="32"/>
        </w:rPr>
      </w:pPr>
      <w:r>
        <w:rPr>
          <w:rFonts w:ascii="Times New Roman" w:hAnsi="Times New Roman" w:cs="Times New Roman"/>
          <w:bCs/>
          <w:sz w:val="32"/>
        </w:rPr>
        <w:br w:type="page"/>
      </w:r>
    </w:p>
    <w:p>
      <w:pPr>
        <w:tabs>
          <w:tab w:val="left" w:pos="8070"/>
          <w:tab w:val="right" w:pos="8306"/>
        </w:tabs>
        <w:autoSpaceDE w:val="0"/>
        <w:autoSpaceDN w:val="0"/>
        <w:adjustRightInd w:val="0"/>
        <w:snapToGrid w:val="0"/>
        <w:spacing w:before="156" w:beforeLines="50" w:line="360" w:lineRule="auto"/>
        <w:rPr>
          <w:rFonts w:ascii="Times New Roman" w:hAnsi="Times New Roman" w:cs="Times New Roman"/>
          <w:bCs/>
          <w:sz w:val="32"/>
        </w:rPr>
      </w:pP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cs="Times New Roman"/>
                <w:bCs/>
                <w:sz w:val="32"/>
                <w:szCs w:val="32"/>
              </w:rPr>
            </w:pPr>
            <w:r>
              <w:rPr>
                <w:rFonts w:hint="eastAsia" w:ascii="黑体" w:hAnsi="黑体" w:eastAsia="黑体" w:cs="Times New Roman"/>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cs="Times New Roman"/>
                <w:sz w:val="18"/>
                <w:szCs w:val="18"/>
              </w:rPr>
            </w:pPr>
            <w:r>
              <w:rPr>
                <w:rFonts w:hint="eastAsia" w:ascii="黑体" w:hAnsi="黑体" w:eastAsia="黑体" w:cs="Times New Roman"/>
                <w:sz w:val="18"/>
                <w:szCs w:val="18"/>
              </w:rPr>
              <w:t>投资者同意并授权产品管理人有权根据业务办理需要、反洗钱</w:t>
            </w:r>
            <w:r>
              <w:rPr>
                <w:rFonts w:hint="eastAsia" w:ascii="黑体" w:hAnsi="黑体" w:eastAsia="黑体" w:cs="Times New Roman"/>
                <w:sz w:val="18"/>
                <w:szCs w:val="18"/>
                <w:lang w:eastAsia="zh-CN"/>
              </w:rPr>
              <w:t>、反欺诈</w:t>
            </w:r>
            <w:r>
              <w:rPr>
                <w:rFonts w:hint="eastAsia" w:ascii="黑体" w:hAnsi="黑体" w:eastAsia="黑体" w:cs="Times New Roman"/>
                <w:sz w:val="18"/>
                <w:szCs w:val="18"/>
              </w:rPr>
              <w:t>工作、非居民金融账户涉税信息尽职调查、I</w:t>
            </w:r>
            <w:r>
              <w:rPr>
                <w:rFonts w:ascii="黑体" w:hAnsi="黑体" w:eastAsia="黑体" w:cs="Times New Roman"/>
                <w:sz w:val="18"/>
                <w:szCs w:val="18"/>
              </w:rPr>
              <w:t>PO或并购重组涉及的股东穿透核查或根据其他有权机关或监管要求</w:t>
            </w:r>
            <w:r>
              <w:rPr>
                <w:rFonts w:hint="eastAsia" w:ascii="黑体" w:hAnsi="黑体" w:eastAsia="黑体" w:cs="Times New Roman"/>
                <w:sz w:val="18"/>
                <w:szCs w:val="18"/>
              </w:rPr>
              <w:t>等需要，收集调取投资者开户留存的有效身份证件或者其他身份证明文件信息、交易记录、数据信息、金融账户和其他</w:t>
            </w:r>
            <w:r>
              <w:rPr>
                <w:rFonts w:hint="eastAsia" w:ascii="黑体" w:hAnsi="黑体" w:eastAsia="黑体" w:cs="Times New Roman"/>
                <w:sz w:val="18"/>
                <w:szCs w:val="18"/>
                <w:lang w:eastAsia="zh-CN"/>
              </w:rPr>
              <w:t>必要</w:t>
            </w:r>
            <w:r>
              <w:rPr>
                <w:rFonts w:hint="eastAsia" w:ascii="黑体" w:hAnsi="黑体" w:eastAsia="黑体" w:cs="Times New Roman"/>
                <w:sz w:val="18"/>
                <w:szCs w:val="18"/>
              </w:rPr>
              <w:t>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6"/>
              <w:snapToGrid w:val="0"/>
              <w:spacing w:before="0" w:beforeAutospacing="0" w:after="0" w:afterAutospacing="0" w:line="360" w:lineRule="auto"/>
              <w:jc w:val="both"/>
              <w:rPr>
                <w:rFonts w:ascii="黑体" w:hAnsi="黑体" w:eastAsia="黑体"/>
                <w:bCs/>
                <w:sz w:val="18"/>
                <w:szCs w:val="18"/>
              </w:rPr>
            </w:pPr>
          </w:p>
          <w:p>
            <w:pPr>
              <w:rPr>
                <w:rFonts w:ascii="黑体" w:hAnsi="黑体" w:eastAsia="黑体" w:cs="Times New Roman"/>
                <w:bCs/>
                <w:kern w:val="0"/>
                <w:sz w:val="18"/>
                <w:szCs w:val="18"/>
              </w:rPr>
            </w:pPr>
            <w:r>
              <w:rPr>
                <w:rFonts w:hint="eastAsia" w:ascii="黑体" w:hAnsi="黑体" w:eastAsia="黑体" w:cs="Times New Roman"/>
                <w:bCs/>
                <w:kern w:val="0"/>
                <w:sz w:val="18"/>
                <w:szCs w:val="18"/>
              </w:rPr>
              <w:t>★</w:t>
            </w:r>
            <w:r>
              <w:rPr>
                <w:rFonts w:ascii="黑体" w:hAnsi="黑体" w:eastAsia="黑体" w:cs="Times New Roman"/>
                <w:bCs/>
                <w:kern w:val="0"/>
                <w:sz w:val="18"/>
                <w:szCs w:val="18"/>
              </w:rPr>
              <w:t xml:space="preserve"> </w:t>
            </w:r>
            <w:r>
              <w:rPr>
                <w:rFonts w:hint="eastAsia" w:ascii="黑体" w:hAnsi="黑体" w:eastAsia="黑体" w:cs="Times New Roman"/>
                <w:bCs/>
                <w:kern w:val="0"/>
                <w:sz w:val="18"/>
                <w:szCs w:val="18"/>
              </w:rPr>
              <w:t>关于理财产品信息披露的提示</w:t>
            </w:r>
          </w:p>
          <w:p>
            <w:pPr>
              <w:rPr>
                <w:rFonts w:ascii="黑体" w:hAnsi="黑体" w:eastAsia="黑体" w:cs="Times New Roman"/>
                <w:bCs/>
                <w:sz w:val="18"/>
                <w:szCs w:val="18"/>
              </w:rPr>
            </w:pPr>
            <w:r>
              <w:rPr>
                <w:rFonts w:hint="eastAsia" w:ascii="黑体" w:hAnsi="黑体" w:eastAsia="黑体" w:cs="Times New Roman"/>
                <w:bCs/>
                <w:kern w:val="0"/>
                <w:sz w:val="18"/>
                <w:szCs w:val="18"/>
              </w:rPr>
              <w:t>在购买本产品后，投资者应随时关注该理财产品的信息披露情况，及时获取相关信息。</w:t>
            </w:r>
          </w:p>
          <w:p>
            <w:pPr>
              <w:pStyle w:val="6"/>
              <w:snapToGrid w:val="0"/>
              <w:spacing w:before="0" w:beforeAutospacing="0" w:after="0" w:afterAutospacing="0"/>
              <w:jc w:val="both"/>
              <w:rPr>
                <w:rFonts w:ascii="黑体" w:hAnsi="黑体" w:eastAsia="黑体"/>
                <w:bCs/>
                <w:sz w:val="18"/>
                <w:szCs w:val="18"/>
              </w:rPr>
            </w:pPr>
          </w:p>
          <w:p>
            <w:pPr>
              <w:pStyle w:val="6"/>
              <w:numPr>
                <w:ilvl w:val="255"/>
                <w:numId w:val="0"/>
              </w:numPr>
              <w:snapToGrid w:val="0"/>
              <w:spacing w:before="0" w:beforeAutospacing="0" w:after="0" w:afterAutospacing="0"/>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tabs>
                <w:tab w:val="left" w:pos="8070"/>
                <w:tab w:val="right" w:pos="8306"/>
              </w:tabs>
              <w:autoSpaceDE w:val="0"/>
              <w:autoSpaceDN w:val="0"/>
              <w:adjustRightInd w:val="0"/>
              <w:snapToGrid w:val="0"/>
              <w:spacing w:before="156" w:beforeLines="50"/>
              <w:rPr>
                <w:rFonts w:ascii="Times New Roman" w:hAnsi="Times New Roman" w:cs="Times New Roman"/>
                <w:bCs/>
                <w:sz w:val="32"/>
              </w:rPr>
            </w:pPr>
            <w:r>
              <w:rPr>
                <w:rFonts w:hint="eastAsia" w:ascii="黑体" w:hAnsi="黑体" w:eastAsia="黑体" w:cs="Times New Roman"/>
                <w:bCs/>
                <w:kern w:val="0"/>
                <w:sz w:val="18"/>
                <w:szCs w:val="18"/>
              </w:rPr>
              <w:t>投资者对本理财产品及销售文件的内容有任何疑问，</w:t>
            </w:r>
            <w:r>
              <w:rPr>
                <w:rFonts w:hint="eastAsia" w:ascii="黑体" w:hAnsi="黑体" w:eastAsia="黑体" w:cs="Times New Roman"/>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701386"/>
      <w:bookmarkStart w:id="11" w:name="_Toc123112227"/>
      <w:bookmarkStart w:id="12" w:name="_Toc123112266"/>
      <w:bookmarkStart w:id="13" w:name="_Toc139991729"/>
    </w:p>
    <w:p>
      <w:pPr>
        <w:widowControl/>
        <w:jc w:val="left"/>
        <w:rPr>
          <w:rFonts w:ascii="Times New Roman" w:hAnsi="Times New Roman" w:cs="Times New Roman"/>
          <w:bCs/>
          <w:sz w:val="32"/>
        </w:rPr>
      </w:pPr>
      <w:r>
        <w:rPr>
          <w:rFonts w:ascii="Times New Roman" w:hAnsi="Times New Roman" w:cs="Times New Roman"/>
          <w:bCs/>
          <w:sz w:val="32"/>
        </w:rPr>
        <w:br w:type="page"/>
      </w:r>
    </w:p>
    <w:sdt>
      <w:sdtPr>
        <w:rPr>
          <w:rFonts w:ascii="Times New Roman" w:hAnsi="Times New Roman" w:eastAsia="宋体" w:cs="Times New Roman"/>
          <w:color w:val="auto"/>
          <w:kern w:val="2"/>
          <w:sz w:val="21"/>
          <w:szCs w:val="20"/>
          <w:lang w:val="zh-CN" w:eastAsia="zh-CN" w:bidi="ar-SA"/>
        </w:rPr>
        <w:id w:val="-1"/>
        <w:docPartObj>
          <w:docPartGallery w:val="Table of Contents"/>
          <w:docPartUnique/>
        </w:docPartObj>
      </w:sdtPr>
      <w:sdtEndPr>
        <w:rPr>
          <w:rFonts w:ascii="Times New Roman" w:hAnsi="Times New Roman" w:eastAsia="宋体" w:cs="Times New Roman"/>
          <w:b/>
          <w:bCs/>
          <w:color w:val="auto"/>
          <w:kern w:val="2"/>
          <w:sz w:val="21"/>
          <w:szCs w:val="20"/>
          <w:lang w:val="zh-CN" w:eastAsia="zh-CN" w:bidi="ar-SA"/>
        </w:rPr>
      </w:sdtEndPr>
      <w:sdtContent>
        <w:p>
          <w:pPr>
            <w:pStyle w:val="13"/>
            <w:spacing w:line="360" w:lineRule="auto"/>
            <w:jc w:val="center"/>
          </w:pPr>
          <w:r>
            <w:rPr>
              <w:lang w:val="zh-CN"/>
            </w:rPr>
            <w:t>目录</w:t>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
              <w:bCs/>
              <w:kern w:val="2"/>
              <w:sz w:val="21"/>
              <w:lang w:val="zh-CN" w:eastAsia="zh-CN" w:bidi="ar-SA"/>
            </w:rPr>
            <w:fldChar w:fldCharType="begin"/>
          </w:r>
          <w:r>
            <w:rPr>
              <w:rFonts w:ascii="Times New Roman" w:hAnsi="Times New Roman" w:eastAsia="宋体" w:cs="Times New Roman"/>
              <w:b/>
              <w:bCs/>
              <w:kern w:val="2"/>
              <w:sz w:val="21"/>
              <w:lang w:val="zh-CN" w:eastAsia="zh-CN" w:bidi="ar-SA"/>
            </w:rPr>
            <w:instrText xml:space="preserve"> TOC \o "1-3" \h \z \u </w:instrText>
          </w:r>
          <w:r>
            <w:rPr>
              <w:rFonts w:ascii="Times New Roman" w:hAnsi="Times New Roman" w:eastAsia="宋体" w:cs="Times New Roman"/>
              <w:b/>
              <w:bCs/>
              <w:kern w:val="2"/>
              <w:sz w:val="21"/>
              <w:lang w:val="zh-CN" w:eastAsia="zh-CN" w:bidi="ar-SA"/>
            </w:rPr>
            <w:fldChar w:fldCharType="separate"/>
          </w: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_Toc539500643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第一条</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前言</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_Toc539500643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5</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_Toc1265927842 </w:instrText>
          </w:r>
          <w:r>
            <w:rPr>
              <w:rFonts w:ascii="Times New Roman" w:hAnsi="Times New Roman" w:eastAsia="宋体" w:cs="Times New Roman"/>
              <w:bCs/>
              <w:kern w:val="2"/>
              <w:sz w:val="21"/>
              <w:lang w:val="zh-CN" w:eastAsia="zh-CN" w:bidi="ar-SA"/>
            </w:rPr>
            <w:fldChar w:fldCharType="separate"/>
          </w:r>
          <w:r>
            <w:rPr>
              <w:rFonts w:ascii="Times New Roman" w:hAnsi="Times New Roman" w:eastAsia="宋体" w:cs="Times New Roman"/>
              <w:kern w:val="2"/>
              <w:sz w:val="21"/>
              <w:lang w:val="en-US" w:eastAsia="zh-CN" w:bidi="ar-SA"/>
            </w:rPr>
            <w:t>第</w:t>
          </w:r>
          <w:r>
            <w:rPr>
              <w:rFonts w:hint="eastAsia" w:ascii="Times New Roman" w:hAnsi="Times New Roman" w:eastAsia="宋体" w:cs="Times New Roman"/>
              <w:kern w:val="2"/>
              <w:sz w:val="21"/>
              <w:lang w:val="en-US" w:eastAsia="zh-CN" w:bidi="ar-SA"/>
            </w:rPr>
            <w:t xml:space="preserve">二条 </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双方</w:t>
          </w:r>
          <w:r>
            <w:rPr>
              <w:rFonts w:ascii="Times New Roman" w:hAnsi="Times New Roman" w:eastAsia="宋体" w:cs="Times New Roman"/>
              <w:kern w:val="2"/>
              <w:sz w:val="21"/>
              <w:lang w:val="en-US" w:eastAsia="zh-CN" w:bidi="ar-SA"/>
            </w:rPr>
            <w:t>权利义务</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_Toc1265927842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6</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_Toc1101759693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第三条</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违约责任与免责条款</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_Toc1101759693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9</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_Toc255958842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第四条</w:t>
          </w:r>
          <w:r>
            <w:rPr>
              <w:rFonts w:ascii="Times New Roman" w:hAnsi="Times New Roman" w:eastAsia="宋体" w:cs="Times New Roman"/>
              <w:kern w:val="2"/>
              <w:sz w:val="21"/>
              <w:lang w:val="en-US" w:eastAsia="zh-CN" w:bidi="ar-SA"/>
            </w:rPr>
            <w:t xml:space="preserve">  法律适用和争议解决</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_Toc255958842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10</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_Toc70344562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 xml:space="preserve">第五条 </w:t>
          </w:r>
          <w:r>
            <w:rPr>
              <w:rFonts w:ascii="Times New Roman" w:hAnsi="Times New Roman" w:eastAsia="宋体" w:cs="Times New Roman"/>
              <w:kern w:val="2"/>
              <w:sz w:val="21"/>
              <w:lang w:val="en-US" w:eastAsia="zh-CN" w:bidi="ar-SA"/>
            </w:rPr>
            <w:t xml:space="preserve"> 协议的签署和</w:t>
          </w:r>
          <w:r>
            <w:rPr>
              <w:rFonts w:hint="eastAsia" w:ascii="Times New Roman" w:hAnsi="Times New Roman" w:eastAsia="宋体" w:cs="Times New Roman"/>
              <w:kern w:val="2"/>
              <w:sz w:val="21"/>
              <w:lang w:val="en-US" w:eastAsia="zh-CN" w:bidi="ar-SA"/>
            </w:rPr>
            <w:t>效力</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_Toc70344562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11</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_Toc969028667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 xml:space="preserve">第六条 </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消费者权益保护</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_Toc969028667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12</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spacing w:line="360" w:lineRule="auto"/>
            <w:rPr>
              <w:rFonts w:ascii="Times New Roman" w:hAnsi="Times New Roman" w:cs="Times New Roman"/>
            </w:rPr>
          </w:pPr>
          <w:r>
            <w:rPr>
              <w:rFonts w:ascii="Times New Roman" w:hAnsi="Times New Roman" w:cs="Times New Roman"/>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Times New Roman"/>
          <w:sz w:val="18"/>
          <w:szCs w:val="18"/>
        </w:rPr>
        <w:t>双方经友好协商，本着平等自愿、诚实信用的原则，达成协议如下：</w:t>
      </w:r>
    </w:p>
    <w:p>
      <w:pPr>
        <w:spacing w:line="360" w:lineRule="auto"/>
        <w:rPr>
          <w:rFonts w:ascii="Times New Roman" w:hAnsi="Times New Roman" w:cs="Times New Roman"/>
        </w:rPr>
      </w:pPr>
    </w:p>
    <w:bookmarkEnd w:id="10"/>
    <w:bookmarkEnd w:id="11"/>
    <w:bookmarkEnd w:id="12"/>
    <w:bookmarkEnd w:id="13"/>
    <w:p>
      <w:pPr>
        <w:keepNext/>
        <w:keepLines/>
        <w:widowControl w:val="0"/>
        <w:spacing w:before="0" w:after="0" w:line="360" w:lineRule="auto"/>
        <w:jc w:val="center"/>
        <w:outlineLvl w:val="0"/>
        <w:rPr>
          <w:rFonts w:ascii="Times New Roman" w:hAnsi="Times New Roman" w:eastAsia="宋体" w:cs="Times New Roman"/>
          <w:b/>
          <w:color w:val="auto"/>
          <w:kern w:val="0"/>
          <w:sz w:val="30"/>
          <w:lang w:val="en-US" w:eastAsia="zh-CN" w:bidi="ar-SA"/>
        </w:rPr>
      </w:pPr>
      <w:bookmarkStart w:id="14" w:name="_Toc26897"/>
      <w:bookmarkStart w:id="15" w:name="_Toc139991730"/>
      <w:bookmarkStart w:id="16" w:name="_Toc123112268"/>
      <w:bookmarkStart w:id="17" w:name="_Toc15517"/>
      <w:bookmarkStart w:id="18" w:name="_Toc123112229"/>
      <w:bookmarkStart w:id="19" w:name="_Toc4867"/>
      <w:bookmarkStart w:id="20" w:name="_Toc29629"/>
      <w:bookmarkStart w:id="21" w:name="_Toc30935"/>
      <w:bookmarkStart w:id="22" w:name="_Toc32639"/>
      <w:bookmarkStart w:id="23" w:name="_Toc141703880"/>
      <w:bookmarkStart w:id="24" w:name="_Toc23386"/>
      <w:bookmarkStart w:id="25" w:name="_Toc8727"/>
      <w:bookmarkStart w:id="26" w:name="_Toc123701389"/>
      <w:bookmarkStart w:id="27" w:name="_Toc6306"/>
      <w:bookmarkStart w:id="28" w:name="_Toc4966"/>
      <w:bookmarkStart w:id="29" w:name="_Toc539500643"/>
      <w:bookmarkStart w:id="30" w:name="_Toc608156549"/>
      <w:bookmarkStart w:id="31" w:name="_Toc74065738"/>
      <w:bookmarkStart w:id="32" w:name="_Toc233456271"/>
      <w:r>
        <w:rPr>
          <w:rFonts w:hint="eastAsia" w:ascii="Times New Roman" w:hAnsi="Times New Roman" w:eastAsia="宋体" w:cs="Times New Roman"/>
          <w:b/>
          <w:color w:val="auto"/>
          <w:kern w:val="0"/>
          <w:sz w:val="30"/>
          <w:lang w:val="en-US" w:eastAsia="zh-CN" w:bidi="ar-SA"/>
        </w:rPr>
        <w:t>第一条</w:t>
      </w:r>
      <w:r>
        <w:rPr>
          <w:rFonts w:ascii="Times New Roman" w:hAnsi="Times New Roman" w:eastAsia="宋体" w:cs="Times New Roman"/>
          <w:b/>
          <w:color w:val="auto"/>
          <w:kern w:val="0"/>
          <w:sz w:val="30"/>
          <w:lang w:val="en-US" w:eastAsia="zh-CN" w:bidi="ar-SA"/>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3" w:name="_Toc15067"/>
      <w:bookmarkStart w:id="34" w:name="_Toc22864"/>
      <w:bookmarkStart w:id="35" w:name="_Toc24860"/>
      <w:bookmarkStart w:id="36" w:name="_Toc2465"/>
      <w:bookmarkStart w:id="37" w:name="_Toc819"/>
      <w:bookmarkStart w:id="38" w:name="_Toc21301"/>
      <w:bookmarkStart w:id="39" w:name="_Toc13020"/>
      <w:bookmarkStart w:id="40" w:name="_Toc19592"/>
      <w:bookmarkStart w:id="41" w:name="_Toc258829399"/>
      <w:bookmarkStart w:id="42" w:name="_Toc6617"/>
      <w:bookmarkStart w:id="43" w:name="_Toc3224"/>
      <w:r>
        <w:rPr>
          <w:rFonts w:hint="eastAsia" w:ascii="Times New Roman" w:hAnsi="Times New Roman" w:eastAsia="宋体" w:cs="Times New Roman"/>
          <w:b/>
          <w:color w:val="auto"/>
          <w:kern w:val="0"/>
          <w:sz w:val="30"/>
          <w:lang w:val="en-US" w:eastAsia="zh-CN" w:bidi="ar-SA"/>
        </w:rPr>
        <w:t>前言</w:t>
      </w:r>
      <w:bookmarkEnd w:id="29"/>
      <w:bookmarkEnd w:id="30"/>
    </w:p>
    <w:p>
      <w:pPr>
        <w:widowControl w:val="0"/>
        <w:autoSpaceDE w:val="0"/>
        <w:autoSpaceDN w:val="0"/>
        <w:adjustRightInd w:val="0"/>
        <w:spacing w:line="360" w:lineRule="auto"/>
        <w:ind w:firstLine="361" w:firstLineChars="200"/>
        <w:rPr>
          <w:rFonts w:cs="Times New Roman" w:asciiTheme="majorEastAsia" w:hAnsiTheme="majorEastAsia" w:eastAsiaTheme="majorEastAsia"/>
          <w:b/>
          <w:bCs/>
          <w:color w:val="auto"/>
          <w:sz w:val="18"/>
          <w:szCs w:val="18"/>
          <w:lang w:val="en-US" w:eastAsia="zh-CN" w:bidi="ar-SA"/>
        </w:rPr>
      </w:pPr>
      <w:r>
        <w:rPr>
          <w:rFonts w:hint="eastAsia" w:cs="Times New Roman" w:asciiTheme="majorEastAsia" w:hAnsiTheme="majorEastAsia" w:eastAsiaTheme="majorEastAsia"/>
          <w:b/>
          <w:bCs/>
          <w:color w:val="auto"/>
          <w:sz w:val="18"/>
          <w:szCs w:val="18"/>
          <w:lang w:val="en-US" w:eastAsia="zh-CN" w:bidi="ar-SA"/>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w:t>
      </w:r>
      <w:r>
        <w:rPr>
          <w:rFonts w:hint="eastAsia" w:ascii="宋体" w:hAnsi="宋体" w:cs="Times New Roman"/>
          <w:sz w:val="18"/>
          <w:szCs w:val="18"/>
        </w:rPr>
        <w:t>订立本投资协议书的依据是《中华人民共和国民法典》等法律法规、《关于规范金融机构资产管理业务的指导意见》（银发</w:t>
      </w:r>
      <w:r>
        <w:rPr>
          <w:rFonts w:ascii="宋体" w:hAnsi="宋体" w:cs="Times New Roman"/>
          <w:sz w:val="18"/>
          <w:szCs w:val="18"/>
        </w:rPr>
        <w:t>[2018]106</w:t>
      </w:r>
      <w:r>
        <w:rPr>
          <w:rFonts w:hint="eastAsia" w:ascii="宋体" w:hAnsi="宋体" w:cs="Times New Roman"/>
          <w:sz w:val="18"/>
          <w:szCs w:val="18"/>
        </w:rPr>
        <w:t>号）、《商业银行理财业务监督管理办法》（银保监会令2018年第</w:t>
      </w:r>
      <w:r>
        <w:rPr>
          <w:rFonts w:ascii="宋体" w:hAnsi="宋体" w:cs="Times New Roman"/>
          <w:sz w:val="18"/>
          <w:szCs w:val="18"/>
        </w:rPr>
        <w:t>6</w:t>
      </w:r>
      <w:r>
        <w:rPr>
          <w:rFonts w:hint="eastAsia" w:ascii="宋体" w:hAnsi="宋体" w:cs="Times New Roman"/>
          <w:sz w:val="18"/>
          <w:szCs w:val="18"/>
        </w:rPr>
        <w:t>号）、</w:t>
      </w:r>
      <w:bookmarkStart w:id="44" w:name="_Toc59965743"/>
      <w:r>
        <w:rPr>
          <w:rFonts w:hint="eastAsia" w:ascii="宋体" w:hAnsi="宋体" w:cs="Times New Roman"/>
          <w:sz w:val="18"/>
          <w:szCs w:val="18"/>
        </w:rPr>
        <w:t>《商业银行理财子公司管理办法》</w:t>
      </w:r>
      <w:bookmarkEnd w:id="44"/>
      <w:r>
        <w:rPr>
          <w:rFonts w:hint="eastAsia" w:ascii="宋体" w:hAnsi="宋体" w:cs="Times New Roman"/>
          <w:sz w:val="18"/>
          <w:szCs w:val="18"/>
        </w:rPr>
        <w:t>（银保监会令2018年第7号）、《理财公司理财产品销售管理暂行办法》（银保监会令2021年第4号）</w:t>
      </w:r>
      <w:r>
        <w:rPr>
          <w:rFonts w:hint="eastAsia" w:ascii="宋体" w:hAnsi="宋体" w:cs="Times New Roman"/>
          <w:sz w:val="18"/>
          <w:szCs w:val="18"/>
          <w:lang w:eastAsia="zh-CN"/>
        </w:rPr>
        <w:t>、《金融机构产品适当性管理办法》（国家金融监督管理总局令2025年第7号）、《银行保险机构资产管理产品信息披露管理办法》（国家金融监督管理总局令2025年第10号）</w:t>
      </w:r>
      <w:r>
        <w:rPr>
          <w:rFonts w:hint="eastAsia" w:ascii="宋体" w:hAnsi="宋体" w:cs="Times New Roman"/>
          <w:sz w:val="18"/>
          <w:szCs w:val="18"/>
        </w:rPr>
        <w:t>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3</w:t>
      </w:r>
      <w:r>
        <w:rPr>
          <w:rFonts w:hint="eastAsia" w:ascii="宋体" w:hAnsi="宋体" w:cs="Times New Roman"/>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1"/>
    <w:p>
      <w:pPr>
        <w:widowControl/>
        <w:spacing w:line="360" w:lineRule="auto"/>
        <w:jc w:val="left"/>
        <w:rPr>
          <w:rFonts w:ascii="Times New Roman" w:hAnsi="Times New Roman" w:cs="Times New Roman"/>
        </w:rPr>
      </w:pPr>
      <w:r>
        <w:rPr>
          <w:rFonts w:ascii="Times New Roman" w:hAnsi="Times New Roman" w:cs="Times New Roman"/>
        </w:rPr>
        <w:br w:type="page"/>
      </w:r>
    </w:p>
    <w:p>
      <w:pPr>
        <w:keepNext/>
        <w:keepLines/>
        <w:widowControl w:val="0"/>
        <w:spacing w:before="0" w:after="0" w:line="360" w:lineRule="auto"/>
        <w:jc w:val="center"/>
        <w:outlineLvl w:val="0"/>
        <w:rPr>
          <w:rFonts w:ascii="Times New Roman" w:hAnsi="Times New Roman" w:eastAsia="宋体" w:cs="Times New Roman"/>
          <w:b/>
          <w:color w:val="auto"/>
          <w:kern w:val="0"/>
          <w:sz w:val="30"/>
          <w:lang w:val="en-US" w:eastAsia="zh-CN" w:bidi="ar-SA"/>
        </w:rPr>
      </w:pPr>
      <w:bookmarkStart w:id="45" w:name="_Toc2076127741"/>
      <w:bookmarkStart w:id="46" w:name="_Toc1265927842"/>
      <w:bookmarkStart w:id="47" w:name="_Toc74065739"/>
      <w:r>
        <w:rPr>
          <w:rFonts w:ascii="Times New Roman" w:hAnsi="Times New Roman" w:eastAsia="宋体" w:cs="Times New Roman"/>
          <w:b/>
          <w:color w:val="auto"/>
          <w:kern w:val="0"/>
          <w:sz w:val="30"/>
          <w:lang w:val="en-US" w:eastAsia="zh-CN" w:bidi="ar-SA"/>
        </w:rPr>
        <w:t>第</w:t>
      </w:r>
      <w:r>
        <w:rPr>
          <w:rFonts w:hint="eastAsia" w:ascii="Times New Roman" w:hAnsi="Times New Roman" w:eastAsia="宋体" w:cs="Times New Roman"/>
          <w:b/>
          <w:color w:val="auto"/>
          <w:kern w:val="0"/>
          <w:sz w:val="30"/>
          <w:lang w:val="en-US" w:eastAsia="zh-CN" w:bidi="ar-SA"/>
        </w:rPr>
        <w:t xml:space="preserve">二条 </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双方</w:t>
      </w:r>
      <w:r>
        <w:rPr>
          <w:rFonts w:ascii="Times New Roman" w:hAnsi="Times New Roman" w:eastAsia="宋体" w:cs="Times New Roman"/>
          <w:b/>
          <w:color w:val="auto"/>
          <w:kern w:val="0"/>
          <w:sz w:val="30"/>
          <w:lang w:val="en-US" w:eastAsia="zh-CN" w:bidi="ar-SA"/>
        </w:rPr>
        <w:t>权利义务</w:t>
      </w:r>
      <w:bookmarkEnd w:id="45"/>
      <w:bookmarkEnd w:id="46"/>
    </w:p>
    <w:p>
      <w:pPr>
        <w:tabs>
          <w:tab w:val="left" w:pos="704"/>
          <w:tab w:val="left" w:pos="1995"/>
        </w:tabs>
        <w:autoSpaceDE w:val="0"/>
        <w:autoSpaceDN w:val="0"/>
        <w:adjustRightInd w:val="0"/>
        <w:snapToGrid w:val="0"/>
        <w:spacing w:line="360" w:lineRule="auto"/>
        <w:ind w:firstLine="361" w:firstLineChars="200"/>
        <w:rPr>
          <w:rFonts w:ascii="宋体" w:hAnsi="宋体" w:cs="Times New Roman"/>
          <w:b/>
          <w:sz w:val="18"/>
          <w:szCs w:val="18"/>
        </w:rPr>
      </w:pPr>
      <w:r>
        <w:rPr>
          <w:rFonts w:hint="eastAsia" w:ascii="宋体" w:hAnsi="宋体" w:cs="Times New Roman"/>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1.</w:t>
      </w:r>
      <w:r>
        <w:rPr>
          <w:rFonts w:hint="eastAsia" w:ascii="黑体" w:hAnsi="黑体" w:eastAsia="黑体" w:cs="Times New Roman"/>
          <w:sz w:val="18"/>
          <w:szCs w:val="18"/>
        </w:rPr>
        <w:t>★</w:t>
      </w:r>
      <w:r>
        <w:rPr>
          <w:rFonts w:hint="eastAsia" w:ascii="宋体" w:hAnsi="宋体" w:cs="Times New Roman"/>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cs="Times New Roman"/>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w:t>
      </w:r>
      <w:r>
        <w:rPr>
          <w:rFonts w:hint="eastAsia" w:ascii="宋体" w:hAnsi="宋体" w:cs="Times New Roman"/>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3.</w:t>
      </w:r>
      <w:r>
        <w:rPr>
          <w:rFonts w:hint="eastAsia" w:ascii="黑体" w:hAnsi="黑体" w:eastAsia="黑体" w:cs="Times New Roman"/>
          <w:sz w:val="18"/>
          <w:szCs w:val="18"/>
        </w:rPr>
        <w:t>★</w:t>
      </w:r>
      <w:r>
        <w:rPr>
          <w:rFonts w:hint="eastAsia" w:ascii="宋体" w:hAnsi="宋体" w:cs="Times New Roman"/>
          <w:sz w:val="18"/>
          <w:szCs w:val="18"/>
        </w:rPr>
        <w:t>投资者保证熟悉理财产品类型特征及不同销售渠道的相关规定，了解理财产品</w:t>
      </w:r>
      <w:r>
        <w:rPr>
          <w:rFonts w:hint="eastAsia" w:ascii="黑体" w:hAnsi="黑体" w:eastAsia="黑体" w:cs="Times New Roman"/>
          <w:sz w:val="18"/>
          <w:szCs w:val="18"/>
        </w:rPr>
        <w:t>直销与代销</w:t>
      </w:r>
      <w:r>
        <w:rPr>
          <w:rFonts w:hint="eastAsia" w:ascii="宋体" w:hAnsi="宋体" w:cs="Times New Roman"/>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4.</w:t>
      </w:r>
      <w:r>
        <w:rPr>
          <w:rFonts w:hint="eastAsia" w:ascii="宋体" w:hAnsi="宋体" w:cs="Times New Roman"/>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5.</w:t>
      </w:r>
      <w:r>
        <w:rPr>
          <w:rFonts w:hint="eastAsia" w:ascii="黑体" w:hAnsi="黑体" w:eastAsia="黑体" w:cs="Times New Roman"/>
          <w:sz w:val="18"/>
          <w:szCs w:val="18"/>
        </w:rPr>
        <w:t>★</w:t>
      </w:r>
      <w:r>
        <w:rPr>
          <w:rFonts w:hint="eastAsia" w:ascii="宋体" w:hAnsi="宋体" w:cs="Times New Roman"/>
          <w:sz w:val="18"/>
          <w:szCs w:val="18"/>
        </w:rPr>
        <w:t>投资者承诺所提供的所有资料真实、完整、合法、有效，如有变更，投资者应及时到产品管理人或销售机构办理变更手续。</w:t>
      </w:r>
      <w:r>
        <w:rPr>
          <w:rFonts w:hint="eastAsia" w:ascii="黑体" w:hAnsi="黑体" w:eastAsia="黑体" w:cs="Times New Roman"/>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投资者同意并授权产品管理人有权根据业务办理需要、反洗钱、反欺诈工作、非居民金融账户涉税信息尽职调查、I</w:t>
      </w:r>
      <w:r>
        <w:rPr>
          <w:rFonts w:ascii="黑体" w:hAnsi="黑体" w:eastAsia="黑体" w:cs="Times New Roman"/>
          <w:sz w:val="18"/>
          <w:szCs w:val="18"/>
        </w:rPr>
        <w:t>PO或并购重组涉及的股东穿透核查或根据其他有权机关或监管要求</w:t>
      </w:r>
      <w:r>
        <w:rPr>
          <w:rFonts w:hint="eastAsia" w:ascii="黑体" w:hAnsi="黑体" w:eastAsia="黑体" w:cs="Times New Roman"/>
          <w:sz w:val="18"/>
          <w:szCs w:val="18"/>
        </w:rPr>
        <w:t>等需要，收集调取投资者开户留存的有效身份证件或者其他身份证明文件信息、交易记录、数据信息、金融账户和其他</w:t>
      </w:r>
      <w:r>
        <w:rPr>
          <w:rFonts w:hint="eastAsia" w:ascii="黑体" w:hAnsi="黑体" w:eastAsia="黑体" w:cs="Times New Roman"/>
          <w:sz w:val="18"/>
          <w:szCs w:val="18"/>
          <w:lang w:eastAsia="zh-CN"/>
        </w:rPr>
        <w:t>必要</w:t>
      </w:r>
      <w:r>
        <w:rPr>
          <w:rFonts w:hint="eastAsia" w:ascii="黑体" w:hAnsi="黑体" w:eastAsia="黑体" w:cs="Times New Roman"/>
          <w:sz w:val="18"/>
          <w:szCs w:val="18"/>
        </w:rPr>
        <w:t>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6.</w:t>
      </w:r>
      <w:r>
        <w:rPr>
          <w:rFonts w:hint="eastAsia" w:ascii="宋体" w:hAnsi="宋体" w:cs="Times New Roman"/>
          <w:sz w:val="18"/>
          <w:szCs w:val="18"/>
        </w:rPr>
        <w:t>投资者保证遵守国家反洗钱法律、法规及相关政策要求，不从事涉及洗钱、欺诈、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cs="Times New Roman"/>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黑体"/>
          <w:bCs/>
          <w:sz w:val="18"/>
          <w:szCs w:val="18"/>
        </w:rPr>
      </w:pPr>
      <w:r>
        <w:rPr>
          <w:rFonts w:ascii="宋体" w:hAnsi="宋体" w:cs="Times New Roman"/>
          <w:sz w:val="18"/>
          <w:szCs w:val="18"/>
        </w:rPr>
        <w:t>7.</w:t>
      </w:r>
      <w:r>
        <w:rPr>
          <w:rFonts w:hint="eastAsia" w:ascii="黑体" w:hAnsi="黑体" w:eastAsia="黑体" w:cs="Times New Roman"/>
          <w:sz w:val="18"/>
          <w:szCs w:val="18"/>
        </w:rPr>
        <w:t>★</w:t>
      </w:r>
      <w:r>
        <w:rPr>
          <w:rFonts w:hint="eastAsia" w:ascii="宋体" w:hAnsi="宋体" w:cs="Times New Roman"/>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w:t>
      </w:r>
      <w:r>
        <w:rPr>
          <w:rFonts w:hint="eastAsia" w:ascii="黑体" w:hAnsi="黑体" w:eastAsia="黑体" w:cs="黑体"/>
          <w:bCs/>
          <w:kern w:val="0"/>
          <w:sz w:val="18"/>
          <w:szCs w:val="18"/>
        </w:rPr>
        <w:t>上述理财资金投资本产品，</w:t>
      </w:r>
      <w:r>
        <w:rPr>
          <w:rFonts w:hint="eastAsia" w:ascii="黑体" w:hAnsi="黑体" w:eastAsia="黑体" w:cs="黑体"/>
          <w:bCs/>
          <w:sz w:val="18"/>
          <w:szCs w:val="18"/>
        </w:rPr>
        <w:t>投资者承诺由此产生的相关风险由投资者承担</w:t>
      </w:r>
      <w:r>
        <w:rPr>
          <w:rFonts w:ascii="黑体" w:hAnsi="黑体" w:eastAsia="黑体" w:cs="黑体"/>
          <w:bCs/>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黑体" w:hAnsi="黑体" w:eastAsia="黑体" w:cs="Times New Roman"/>
          <w:sz w:val="18"/>
          <w:szCs w:val="18"/>
        </w:rPr>
        <w:t>8.</w:t>
      </w:r>
      <w:r>
        <w:rPr>
          <w:rFonts w:hint="eastAsia" w:ascii="黑体" w:hAnsi="黑体" w:eastAsia="黑体" w:cs="Times New Roman"/>
          <w:sz w:val="18"/>
          <w:szCs w:val="18"/>
        </w:rPr>
        <w:t>★</w:t>
      </w:r>
      <w:r>
        <w:rPr>
          <w:rFonts w:hint="eastAsia" w:ascii="宋体" w:hAnsi="宋体" w:cs="Times New Roman"/>
          <w:sz w:val="18"/>
          <w:szCs w:val="18"/>
        </w:rPr>
        <w:t>投资者应按产品管理人要求开立理财产品指定账户（</w:t>
      </w:r>
      <w:r>
        <w:rPr>
          <w:rFonts w:hint="eastAsia" w:ascii="宋体" w:hAnsi="宋体" w:cs="Times New Roman"/>
          <w:sz w:val="18"/>
          <w:szCs w:val="18"/>
          <w:lang w:eastAsia="zh-CN"/>
        </w:rPr>
        <w:t>指</w:t>
      </w:r>
      <w:r>
        <w:rPr>
          <w:rFonts w:hint="eastAsia" w:ascii="宋体" w:hAnsi="宋体" w:cs="Times New Roman"/>
          <w:sz w:val="18"/>
          <w:szCs w:val="18"/>
        </w:rPr>
        <w:t>投资者在销售机构开立理财卡结算账户或存折结算账户，用于本产品的资金划转及产品分配</w:t>
      </w:r>
      <w:r>
        <w:rPr>
          <w:rFonts w:hint="eastAsia" w:ascii="宋体" w:hAnsi="宋体" w:cs="Times New Roman"/>
          <w:sz w:val="18"/>
          <w:szCs w:val="18"/>
          <w:lang w:eastAsia="zh-CN"/>
        </w:rPr>
        <w:t>，</w:t>
      </w:r>
      <w:r>
        <w:rPr>
          <w:rFonts w:hint="eastAsia" w:ascii="宋体" w:hAnsi="宋体" w:cs="Times New Roman"/>
          <w:sz w:val="18"/>
          <w:szCs w:val="18"/>
        </w:rPr>
        <w:t>以下简称“指定账户”），用于本产品的理财资金划转及理财产品利益分配，</w:t>
      </w:r>
      <w:r>
        <w:rPr>
          <w:rFonts w:hint="eastAsia" w:ascii="黑体" w:hAnsi="黑体" w:eastAsia="黑体" w:cs="Times New Roman"/>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9.</w:t>
      </w:r>
      <w:r>
        <w:rPr>
          <w:rFonts w:hint="eastAsia" w:ascii="黑体" w:hAnsi="黑体" w:eastAsia="黑体" w:cs="Times New Roman"/>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cs="Times New Roman"/>
          <w:sz w:val="18"/>
          <w:szCs w:val="18"/>
        </w:rPr>
        <w:t>投资者授权</w:t>
      </w:r>
      <w:r>
        <w:rPr>
          <w:rFonts w:hint="eastAsia" w:ascii="黑体" w:hAnsi="黑体" w:eastAsia="黑体" w:cs="Times New Roman"/>
          <w:sz w:val="18"/>
          <w:szCs w:val="18"/>
        </w:rPr>
        <w:t>产品管理人或</w:t>
      </w:r>
      <w:r>
        <w:rPr>
          <w:rFonts w:ascii="黑体" w:hAnsi="黑体" w:eastAsia="黑体" w:cs="Times New Roman"/>
          <w:sz w:val="18"/>
          <w:szCs w:val="18"/>
        </w:rPr>
        <w:t>销售机构于相应的资金归集日</w:t>
      </w:r>
      <w:r>
        <w:rPr>
          <w:rFonts w:hint="eastAsia" w:ascii="黑体" w:hAnsi="黑体" w:eastAsia="黑体" w:cs="Times New Roman"/>
          <w:sz w:val="18"/>
          <w:szCs w:val="18"/>
        </w:rPr>
        <w:t>将</w:t>
      </w:r>
      <w:r>
        <w:rPr>
          <w:rFonts w:ascii="黑体" w:hAnsi="黑体" w:eastAsia="黑体" w:cs="Times New Roman"/>
          <w:sz w:val="18"/>
          <w:szCs w:val="18"/>
        </w:rPr>
        <w:t>投资者指定账户内相应的理财资金划转至产品管理人理财账户</w:t>
      </w:r>
      <w:r>
        <w:rPr>
          <w:rFonts w:hint="eastAsia" w:ascii="黑体" w:hAnsi="黑体" w:eastAsia="黑体" w:cs="Times New Roman"/>
          <w:sz w:val="18"/>
          <w:szCs w:val="18"/>
        </w:rPr>
        <w:t>，</w:t>
      </w:r>
      <w:r>
        <w:rPr>
          <w:rFonts w:ascii="黑体" w:hAnsi="黑体" w:eastAsia="黑体" w:cs="Times New Roman"/>
          <w:sz w:val="18"/>
          <w:szCs w:val="18"/>
        </w:rPr>
        <w:t>则产品管理人无需另行征得投资者同意或给予通知，无需在划款</w:t>
      </w:r>
      <w:r>
        <w:rPr>
          <w:rFonts w:hint="eastAsia" w:ascii="黑体" w:hAnsi="黑体" w:eastAsia="黑体" w:cs="Times New Roman"/>
          <w:sz w:val="18"/>
          <w:szCs w:val="18"/>
        </w:rPr>
        <w:t>时</w:t>
      </w:r>
      <w:r>
        <w:rPr>
          <w:rFonts w:ascii="黑体" w:hAnsi="黑体" w:eastAsia="黑体" w:cs="Times New Roman"/>
          <w:sz w:val="18"/>
          <w:szCs w:val="18"/>
        </w:rPr>
        <w:t>以电话等方式与投资者进行最后确认。</w:t>
      </w:r>
      <w:r>
        <w:rPr>
          <w:rFonts w:hint="eastAsia" w:ascii="黑体" w:hAnsi="黑体" w:eastAsia="黑体" w:cs="Times New Roman"/>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10.</w:t>
      </w:r>
      <w:r>
        <w:rPr>
          <w:rFonts w:hint="eastAsia" w:ascii="黑体" w:hAnsi="黑体" w:eastAsia="黑体" w:cs="Times New Roman"/>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11.</w:t>
      </w:r>
      <w:r>
        <w:rPr>
          <w:rFonts w:hint="eastAsia" w:ascii="黑体" w:hAnsi="黑体" w:eastAsia="黑体" w:cs="Times New Roman"/>
          <w:sz w:val="18"/>
          <w:szCs w:val="18"/>
        </w:rPr>
        <w:t>★未经产品管理人同意，投资者不得向任何第三人转让、赠与本产品说明书或本产品说明书项下的任何权利、利益、权益（包括单独和整体）</w:t>
      </w:r>
      <w:r>
        <w:rPr>
          <w:rFonts w:hint="eastAsia" w:ascii="宋体" w:hAnsi="宋体" w:cs="Times New Roman"/>
          <w:sz w:val="18"/>
          <w:szCs w:val="18"/>
        </w:rPr>
        <w:t>。</w:t>
      </w:r>
    </w:p>
    <w:p>
      <w:pPr>
        <w:tabs>
          <w:tab w:val="left" w:pos="704"/>
          <w:tab w:val="left" w:pos="1995"/>
        </w:tabs>
        <w:autoSpaceDE w:val="0"/>
        <w:autoSpaceDN w:val="0"/>
        <w:adjustRightInd w:val="0"/>
        <w:snapToGrid w:val="0"/>
        <w:spacing w:line="360" w:lineRule="auto"/>
        <w:ind w:firstLine="360" w:firstLineChars="200"/>
        <w:rPr>
          <w:rFonts w:hint="default" w:ascii="宋体" w:hAnsi="宋体" w:eastAsia="宋体" w:cs="Times New Roman"/>
          <w:sz w:val="18"/>
          <w:szCs w:val="18"/>
          <w:lang w:val="en-US" w:eastAsia="zh-CN"/>
        </w:rPr>
      </w:pPr>
      <w:r>
        <w:rPr>
          <w:rFonts w:ascii="宋体" w:hAnsi="宋体" w:cs="Times New Roman"/>
          <w:sz w:val="18"/>
          <w:szCs w:val="18"/>
        </w:rPr>
        <w:t>12.</w:t>
      </w:r>
      <w:r>
        <w:rPr>
          <w:rFonts w:hint="eastAsia" w:ascii="宋体" w:hAnsi="宋体" w:cs="Times New Roman"/>
          <w:sz w:val="18"/>
          <w:szCs w:val="18"/>
          <w:lang w:val="en-US" w:eastAsia="zh-CN"/>
        </w:rPr>
        <w:t>投资者有权按照理财产品销售文件约定的时间和方式查阅或者复制披露的信息资料。</w:t>
      </w:r>
    </w:p>
    <w:p>
      <w:pPr>
        <w:tabs>
          <w:tab w:val="left" w:pos="704"/>
          <w:tab w:val="left" w:pos="1995"/>
        </w:tabs>
        <w:autoSpaceDE w:val="0"/>
        <w:autoSpaceDN w:val="0"/>
        <w:adjustRightInd w:val="0"/>
        <w:snapToGrid w:val="0"/>
        <w:spacing w:line="360" w:lineRule="auto"/>
        <w:ind w:firstLine="360" w:firstLineChars="200"/>
        <w:rPr>
          <w:rFonts w:hint="default" w:ascii="宋体" w:hAnsi="宋体" w:eastAsia="宋体" w:cs="Times New Roman"/>
          <w:sz w:val="18"/>
          <w:szCs w:val="18"/>
          <w:lang w:val="en-US" w:eastAsia="zh-CN"/>
        </w:rPr>
      </w:pPr>
      <w:r>
        <w:rPr>
          <w:rFonts w:hint="eastAsia" w:ascii="宋体" w:hAnsi="宋体" w:cs="Times New Roman"/>
          <w:sz w:val="18"/>
          <w:szCs w:val="18"/>
          <w:lang w:val="en-US" w:eastAsia="zh-CN"/>
        </w:rPr>
        <w:t>13.</w:t>
      </w:r>
      <w:r>
        <w:rPr>
          <w:rFonts w:hint="eastAsia" w:ascii="宋体" w:hAnsi="宋体" w:cs="Times New Roman"/>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cs="Times New Roman"/>
          <w:b/>
          <w:sz w:val="18"/>
          <w:szCs w:val="18"/>
        </w:rPr>
      </w:pPr>
      <w:r>
        <w:rPr>
          <w:rFonts w:hint="eastAsia" w:ascii="宋体" w:hAnsi="宋体" w:cs="Times New Roman"/>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b/>
          <w:sz w:val="18"/>
          <w:szCs w:val="18"/>
        </w:rPr>
      </w:pPr>
      <w:r>
        <w:rPr>
          <w:rFonts w:hint="eastAsia" w:ascii="宋体" w:hAnsi="宋体" w:cs="Times New Roman"/>
          <w:sz w:val="18"/>
          <w:szCs w:val="18"/>
        </w:rPr>
        <w:t>3.</w:t>
      </w:r>
      <w:r>
        <w:rPr>
          <w:rFonts w:ascii="宋体" w:hAnsi="宋体" w:cs="Times New Roman"/>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4.</w:t>
      </w:r>
      <w:r>
        <w:rPr>
          <w:rFonts w:hint="eastAsia" w:ascii="宋体" w:hAnsi="宋体" w:cs="Times New Roman"/>
          <w:sz w:val="18"/>
          <w:szCs w:val="18"/>
        </w:rPr>
        <w:t>产品管理人及</w:t>
      </w:r>
      <w:r>
        <w:rPr>
          <w:rFonts w:ascii="宋体" w:hAnsi="宋体" w:cs="Times New Roman"/>
          <w:sz w:val="18"/>
          <w:szCs w:val="18"/>
        </w:rPr>
        <w:t>/或销售机构</w:t>
      </w:r>
      <w:r>
        <w:rPr>
          <w:rFonts w:hint="eastAsia" w:ascii="宋体" w:hAnsi="宋体" w:cs="Times New Roman"/>
          <w:sz w:val="18"/>
          <w:szCs w:val="18"/>
        </w:rPr>
        <w:t>按照《产品说明书》约定向投资者进行理财产品份额的利益分配并将对应资金划入投资者指定账户后</w:t>
      </w:r>
      <w:r>
        <w:rPr>
          <w:rFonts w:ascii="宋体" w:hAnsi="宋体" w:cs="Times New Roman"/>
          <w:sz w:val="18"/>
          <w:szCs w:val="18"/>
        </w:rPr>
        <w:t xml:space="preserve">, </w:t>
      </w:r>
      <w:r>
        <w:rPr>
          <w:rFonts w:hint="eastAsia" w:ascii="宋体" w:hAnsi="宋体" w:cs="Times New Roman"/>
          <w:sz w:val="18"/>
          <w:szCs w:val="18"/>
        </w:rPr>
        <w:t>即视为产品管理人已向投资者完成利益分配和资金的清算分配。因投资者指定账户冻结、挂失、换卡、销户、长期不动户等原因造成账户变更或异常</w:t>
      </w:r>
      <w:r>
        <w:rPr>
          <w:rFonts w:ascii="宋体" w:hAnsi="宋体" w:cs="Times New Roman"/>
          <w:sz w:val="18"/>
          <w:szCs w:val="18"/>
        </w:rPr>
        <w:t>,</w:t>
      </w:r>
      <w:r>
        <w:rPr>
          <w:rFonts w:hint="eastAsia" w:ascii="宋体" w:hAnsi="宋体" w:cs="Times New Roman"/>
          <w:sz w:val="18"/>
          <w:szCs w:val="18"/>
        </w:rPr>
        <w:t>投资者应及时到产品管理人及</w:t>
      </w:r>
      <w:r>
        <w:rPr>
          <w:rFonts w:ascii="宋体" w:hAnsi="宋体" w:cs="Times New Roman"/>
          <w:sz w:val="18"/>
          <w:szCs w:val="18"/>
        </w:rPr>
        <w:t>/或</w:t>
      </w:r>
      <w:r>
        <w:rPr>
          <w:rFonts w:hint="eastAsia" w:ascii="宋体" w:hAnsi="宋体" w:cs="Times New Roman"/>
          <w:sz w:val="18"/>
          <w:szCs w:val="18"/>
        </w:rPr>
        <w:t>销售机构办理变更手续。</w:t>
      </w:r>
      <w:r>
        <w:rPr>
          <w:rFonts w:hint="eastAsia" w:ascii="黑体" w:hAnsi="黑体" w:eastAsia="黑体" w:cs="黑体"/>
          <w:sz w:val="18"/>
          <w:szCs w:val="18"/>
        </w:rPr>
        <w:t>如因投资者未及时办理变更手续而造成产品管理人及</w:t>
      </w:r>
      <w:r>
        <w:rPr>
          <w:rFonts w:ascii="黑体" w:hAnsi="黑体" w:eastAsia="黑体" w:cs="黑体"/>
          <w:sz w:val="18"/>
          <w:szCs w:val="18"/>
        </w:rPr>
        <w:t>/或</w:t>
      </w:r>
      <w:r>
        <w:rPr>
          <w:rFonts w:hint="eastAsia" w:ascii="黑体" w:hAnsi="黑体" w:eastAsia="黑体" w:cs="黑体"/>
          <w:sz w:val="18"/>
          <w:szCs w:val="18"/>
        </w:rPr>
        <w:t>销售机构无法向投资者进行正常利益分配和资金清算分配</w:t>
      </w:r>
      <w:r>
        <w:rPr>
          <w:rFonts w:ascii="黑体" w:hAnsi="黑体" w:eastAsia="黑体" w:cs="黑体"/>
          <w:sz w:val="18"/>
          <w:szCs w:val="18"/>
        </w:rPr>
        <w:t>,</w:t>
      </w:r>
      <w:r>
        <w:rPr>
          <w:rFonts w:hint="eastAsia" w:ascii="黑体" w:hAnsi="黑体" w:eastAsia="黑体" w:cs="黑体"/>
          <w:sz w:val="18"/>
          <w:szCs w:val="18"/>
        </w:rPr>
        <w:t>由此导致投资者损失的由投资者自行承担</w:t>
      </w:r>
      <w:r>
        <w:rPr>
          <w:rFonts w:ascii="黑体" w:hAnsi="黑体" w:eastAsia="黑体" w:cs="黑体"/>
          <w:sz w:val="18"/>
          <w:szCs w:val="18"/>
        </w:rPr>
        <w:t xml:space="preserve">, </w:t>
      </w:r>
      <w:r>
        <w:rPr>
          <w:rFonts w:hint="eastAsia" w:ascii="黑体" w:hAnsi="黑体" w:eastAsia="黑体" w:cs="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5.</w:t>
      </w:r>
      <w:r>
        <w:rPr>
          <w:rFonts w:hint="eastAsia" w:ascii="黑体" w:hAnsi="黑体" w:eastAsia="黑体" w:cs="Times New Roman"/>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6.</w:t>
      </w:r>
      <w:r>
        <w:rPr>
          <w:rFonts w:hint="eastAsia" w:ascii="宋体" w:hAnsi="宋体" w:cs="Times New Roman"/>
          <w:sz w:val="18"/>
          <w:szCs w:val="18"/>
        </w:rPr>
        <w:t>在理财产品投资过程中发生任何争议，产品管理人有权以管理人的名义代表理财产品进行维权，行使包括但不限于提起诉讼</w:t>
      </w:r>
      <w:r>
        <w:rPr>
          <w:rFonts w:ascii="宋体" w:hAnsi="宋体" w:cs="Times New Roman"/>
          <w:sz w:val="18"/>
          <w:szCs w:val="18"/>
        </w:rPr>
        <w:t>/</w:t>
      </w:r>
      <w:r>
        <w:rPr>
          <w:rFonts w:hint="eastAsia" w:ascii="宋体" w:hAnsi="宋体" w:cs="Times New Roman"/>
          <w:sz w:val="18"/>
          <w:szCs w:val="18"/>
        </w:rPr>
        <w:t>仲裁、申请保全</w:t>
      </w:r>
      <w:r>
        <w:rPr>
          <w:rFonts w:ascii="宋体" w:hAnsi="宋体" w:cs="Times New Roman"/>
          <w:sz w:val="18"/>
          <w:szCs w:val="18"/>
        </w:rPr>
        <w:t>/</w:t>
      </w:r>
      <w:r>
        <w:rPr>
          <w:rFonts w:hint="eastAsia" w:ascii="宋体" w:hAnsi="宋体" w:cs="Times New Roman"/>
          <w:sz w:val="18"/>
          <w:szCs w:val="18"/>
        </w:rPr>
        <w:t>执行等权利，由此产生的费用由理财产品承担。</w:t>
      </w:r>
      <w:r>
        <w:rPr>
          <w:rFonts w:ascii="宋体" w:hAnsi="宋体" w:cs="Times New Roman"/>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7.</w:t>
      </w:r>
      <w:r>
        <w:rPr>
          <w:rFonts w:hint="eastAsia" w:ascii="宋体" w:hAnsi="宋体" w:cs="Times New Roman"/>
          <w:sz w:val="18"/>
          <w:szCs w:val="18"/>
        </w:rPr>
        <w:t>产品管理人全权负责理财产品资金的运用和理财产品资产的管理</w:t>
      </w:r>
      <w:r>
        <w:rPr>
          <w:rFonts w:ascii="宋体" w:hAnsi="宋体" w:cs="Times New Roman"/>
          <w:sz w:val="18"/>
          <w:szCs w:val="18"/>
        </w:rPr>
        <w:t xml:space="preserve">, </w:t>
      </w:r>
      <w:r>
        <w:rPr>
          <w:rFonts w:hint="eastAsia" w:ascii="宋体" w:hAnsi="宋体" w:cs="Times New Roman"/>
          <w:sz w:val="18"/>
          <w:szCs w:val="18"/>
        </w:rPr>
        <w:t>有权参加与理财产品所投资资产相关的所有会议</w:t>
      </w:r>
      <w:r>
        <w:rPr>
          <w:rFonts w:ascii="宋体" w:hAnsi="宋体" w:cs="Times New Roman"/>
          <w:sz w:val="18"/>
          <w:szCs w:val="18"/>
        </w:rPr>
        <w:t xml:space="preserve">, </w:t>
      </w:r>
      <w:r>
        <w:rPr>
          <w:rFonts w:hint="eastAsia" w:ascii="宋体" w:hAnsi="宋体" w:cs="Times New Roman"/>
          <w:sz w:val="18"/>
          <w:szCs w:val="18"/>
        </w:rPr>
        <w:t>并对相关事项进行表决；产品管理人有权代表投资者利益</w:t>
      </w:r>
      <w:r>
        <w:rPr>
          <w:rFonts w:ascii="宋体" w:hAnsi="宋体" w:cs="Times New Roman"/>
          <w:sz w:val="18"/>
          <w:szCs w:val="18"/>
        </w:rPr>
        <w:t xml:space="preserve">, </w:t>
      </w:r>
      <w:r>
        <w:rPr>
          <w:rFonts w:hint="eastAsia" w:ascii="宋体" w:hAnsi="宋体" w:cs="Times New Roman"/>
          <w:sz w:val="18"/>
          <w:szCs w:val="18"/>
        </w:rPr>
        <w:t>按照法律法规和监管部门相关规定对理财产品投资产生的风险资产进行多种方式的处置</w:t>
      </w:r>
      <w:r>
        <w:rPr>
          <w:rFonts w:ascii="宋体" w:hAnsi="宋体" w:cs="Times New Roman"/>
          <w:sz w:val="18"/>
          <w:szCs w:val="18"/>
        </w:rPr>
        <w:t xml:space="preserve">, </w:t>
      </w:r>
      <w:r>
        <w:rPr>
          <w:rFonts w:hint="eastAsia" w:ascii="宋体" w:hAnsi="宋体" w:cs="Times New Roman"/>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hint="eastAsia" w:ascii="宋体" w:hAnsi="宋体" w:cs="Times New Roman"/>
          <w:sz w:val="18"/>
          <w:szCs w:val="18"/>
          <w:lang w:val="en-US" w:eastAsia="zh-CN"/>
        </w:rPr>
        <w:t>8</w:t>
      </w:r>
      <w:r>
        <w:rPr>
          <w:rFonts w:ascii="宋体" w:hAnsi="宋体" w:cs="Times New Roman"/>
          <w:sz w:val="18"/>
          <w:szCs w:val="18"/>
        </w:rPr>
        <w:t>.</w:t>
      </w:r>
      <w:r>
        <w:rPr>
          <w:rFonts w:hint="eastAsia" w:ascii="宋体" w:hAnsi="宋体" w:cs="Times New Roman"/>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宋体" w:hAnsi="宋体" w:cs="Times New Roman"/>
          <w:sz w:val="18"/>
          <w:szCs w:val="18"/>
          <w:lang w:val="en-US" w:eastAsia="zh-CN"/>
        </w:rPr>
        <w:t>9</w:t>
      </w:r>
      <w:r>
        <w:rPr>
          <w:rFonts w:ascii="宋体" w:hAnsi="宋体" w:cs="Times New Roman"/>
          <w:sz w:val="18"/>
          <w:szCs w:val="18"/>
        </w:rPr>
        <w:t>.</w:t>
      </w:r>
      <w:r>
        <w:rPr>
          <w:rFonts w:hint="eastAsia" w:ascii="黑体" w:hAnsi="黑体" w:eastAsia="黑体" w:cs="Times New Roman"/>
          <w:sz w:val="18"/>
          <w:szCs w:val="18"/>
        </w:rPr>
        <w:t>★产品管理人在此特别披露：兴业银行股份有限公司（以下简称“兴业银行”）是产品管理人的关联方，若产品管理人聘请其担任本产品的代理销售机构</w:t>
      </w:r>
      <w:r>
        <w:rPr>
          <w:rFonts w:ascii="黑体" w:hAnsi="黑体" w:eastAsia="黑体" w:cs="Times New Roman"/>
          <w:sz w:val="18"/>
          <w:szCs w:val="18"/>
        </w:rPr>
        <w:t>或</w:t>
      </w:r>
      <w:r>
        <w:rPr>
          <w:rFonts w:hint="eastAsia" w:ascii="黑体" w:hAnsi="黑体" w:eastAsia="黑体" w:cs="Times New Roman"/>
          <w:sz w:val="18"/>
          <w:szCs w:val="18"/>
        </w:rPr>
        <w:t>产品托管人的，产品管理人应履行现行法律法规和监管规定所要求的必要程序。</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lang w:val="en-US" w:eastAsia="zh-CN"/>
        </w:rPr>
        <w:t>0</w:t>
      </w:r>
      <w:r>
        <w:rPr>
          <w:rFonts w:ascii="宋体" w:hAnsi="宋体" w:cs="Times New Roman"/>
          <w:sz w:val="18"/>
          <w:szCs w:val="18"/>
        </w:rPr>
        <w:t>.</w:t>
      </w:r>
      <w:r>
        <w:rPr>
          <w:rFonts w:hint="eastAsia" w:ascii="宋体" w:hAnsi="宋体" w:cs="Times New Roman"/>
          <w:sz w:val="18"/>
          <w:szCs w:val="18"/>
        </w:rPr>
        <w:t>产品管理人</w:t>
      </w:r>
      <w:r>
        <w:rPr>
          <w:rFonts w:ascii="宋体" w:hAnsi="宋体" w:cs="Times New Roman"/>
          <w:sz w:val="18"/>
          <w:szCs w:val="18"/>
        </w:rPr>
        <w:t>负责维护理财产品运作相关的自有</w:t>
      </w:r>
      <w:r>
        <w:rPr>
          <w:rFonts w:hint="eastAsia" w:ascii="宋体" w:hAnsi="宋体" w:cs="仿宋_GB2312"/>
          <w:kern w:val="0"/>
          <w:sz w:val="18"/>
          <w:szCs w:val="18"/>
        </w:rPr>
        <w:t>业务系统和技术设施</w:t>
      </w:r>
      <w:r>
        <w:rPr>
          <w:rFonts w:ascii="宋体" w:hAnsi="宋体" w:cs="Times New Roman"/>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宋体" w:hAnsi="宋体" w:cs="Times New Roman"/>
          <w:sz w:val="18"/>
          <w:szCs w:val="18"/>
        </w:rPr>
        <w:t>1</w:t>
      </w:r>
      <w:r>
        <w:rPr>
          <w:rFonts w:hint="eastAsia" w:ascii="宋体" w:hAnsi="宋体" w:cs="Times New Roman"/>
          <w:sz w:val="18"/>
          <w:szCs w:val="18"/>
          <w:lang w:val="en-US" w:eastAsia="zh-CN"/>
        </w:rPr>
        <w:t>1</w:t>
      </w:r>
      <w:r>
        <w:rPr>
          <w:rFonts w:ascii="宋体" w:hAnsi="宋体" w:cs="Times New Roman"/>
          <w:sz w:val="18"/>
          <w:szCs w:val="18"/>
        </w:rPr>
        <w:t>.</w:t>
      </w:r>
      <w:r>
        <w:rPr>
          <w:rFonts w:hint="eastAsia" w:ascii="宋体" w:hAnsi="宋体" w:cs="Times New Roman"/>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lang w:val="en-US" w:eastAsia="zh-CN"/>
        </w:rPr>
        <w:t>2</w:t>
      </w:r>
      <w:r>
        <w:rPr>
          <w:rFonts w:ascii="宋体" w:hAnsi="宋体" w:cs="Times New Roman"/>
          <w:sz w:val="18"/>
          <w:szCs w:val="18"/>
        </w:rPr>
        <w:t>.其他在本产品所对应理财产品销售文件中约定的产品管理人的权利与义务。</w:t>
      </w:r>
    </w:p>
    <w:p>
      <w:pPr>
        <w:widowControl/>
        <w:spacing w:line="360" w:lineRule="auto"/>
        <w:jc w:val="left"/>
        <w:rPr>
          <w:rFonts w:ascii="Times New Roman" w:hAnsi="Times New Roman" w:cs="Times New Roman"/>
          <w:b/>
          <w:kern w:val="0"/>
          <w:sz w:val="30"/>
        </w:rPr>
      </w:pPr>
      <w:r>
        <w:rPr>
          <w:rFonts w:ascii="Times New Roman" w:hAnsi="Times New Roman" w:cs="Times New Roman"/>
          <w:sz w:val="30"/>
        </w:rPr>
        <w:br w:type="page"/>
      </w:r>
    </w:p>
    <w:bookmarkEnd w:id="32"/>
    <w:bookmarkEnd w:id="33"/>
    <w:bookmarkEnd w:id="34"/>
    <w:bookmarkEnd w:id="35"/>
    <w:bookmarkEnd w:id="36"/>
    <w:bookmarkEnd w:id="37"/>
    <w:bookmarkEnd w:id="38"/>
    <w:bookmarkEnd w:id="39"/>
    <w:bookmarkEnd w:id="40"/>
    <w:bookmarkEnd w:id="41"/>
    <w:bookmarkEnd w:id="42"/>
    <w:bookmarkEnd w:id="43"/>
    <w:bookmarkEnd w:id="47"/>
    <w:p>
      <w:pPr>
        <w:keepNext/>
        <w:keepLines/>
        <w:widowControl w:val="0"/>
        <w:spacing w:before="0" w:after="0" w:line="360" w:lineRule="auto"/>
        <w:jc w:val="center"/>
        <w:outlineLvl w:val="0"/>
        <w:rPr>
          <w:rFonts w:hint="eastAsia" w:ascii="Times New Roman" w:hAnsi="Times New Roman" w:eastAsia="宋体" w:cs="Times New Roman"/>
          <w:b w:val="0"/>
          <w:color w:val="000000"/>
          <w:kern w:val="0"/>
          <w:sz w:val="30"/>
          <w:lang w:val="en-US" w:eastAsia="zh-CN" w:bidi="ar-SA"/>
        </w:rPr>
      </w:pPr>
      <w:bookmarkStart w:id="48" w:name="_Toc486204711"/>
      <w:bookmarkStart w:id="49" w:name="_Toc1101759693"/>
      <w:bookmarkStart w:id="50" w:name="_Toc258829400"/>
      <w:bookmarkStart w:id="51" w:name="_Toc233456272"/>
      <w:r>
        <w:rPr>
          <w:rFonts w:hint="eastAsia" w:ascii="Times New Roman" w:hAnsi="Times New Roman" w:eastAsia="宋体" w:cs="Times New Roman"/>
          <w:b/>
          <w:color w:val="auto"/>
          <w:kern w:val="0"/>
          <w:sz w:val="30"/>
          <w:lang w:val="en-US" w:eastAsia="zh-CN" w:bidi="ar-SA"/>
        </w:rPr>
        <w:t>第三条</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违约责任与免责条款</w:t>
      </w:r>
      <w:bookmarkEnd w:id="48"/>
      <w:bookmarkEnd w:id="49"/>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（一）</w:t>
      </w:r>
      <w:r>
        <w:rPr>
          <w:rFonts w:hint="eastAsia" w:ascii="黑体" w:hAnsi="黑体" w:eastAsia="黑体" w:cs="黑体"/>
          <w:kern w:val="0"/>
          <w:sz w:val="18"/>
          <w:szCs w:val="18"/>
          <w:lang w:eastAsia="zh-CN"/>
        </w:rPr>
        <w:t>违约责任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黑体" w:hAnsi="黑体" w:eastAsia="黑体" w:cs="黑体"/>
          <w:kern w:val="0"/>
          <w:sz w:val="18"/>
          <w:szCs w:val="18"/>
          <w:lang w:eastAsia="zh-CN"/>
        </w:rPr>
        <w:t>除法律法规、监管规定另有要求或双方另有约定外，任何一方违反本协议约定的，应承担违约责任</w:t>
      </w:r>
      <w:r>
        <w:rPr>
          <w:rFonts w:hint="eastAsia" w:ascii="黑体" w:hAnsi="黑体" w:eastAsia="黑体" w:cs="黑体"/>
          <w:kern w:val="0"/>
          <w:sz w:val="18"/>
          <w:szCs w:val="18"/>
        </w:rPr>
        <w:t>。</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lang w:eastAsia="zh-CN"/>
        </w:rPr>
      </w:pPr>
      <w:r>
        <w:rPr>
          <w:rFonts w:hint="eastAsia" w:ascii="黑体" w:hAnsi="黑体" w:eastAsia="黑体" w:cs="黑体"/>
          <w:kern w:val="0"/>
          <w:sz w:val="18"/>
          <w:szCs w:val="18"/>
        </w:rPr>
        <w:t>（二）</w:t>
      </w:r>
      <w:r>
        <w:rPr>
          <w:rFonts w:hint="eastAsia" w:ascii="黑体" w:hAnsi="黑体" w:eastAsia="黑体" w:cs="黑体"/>
          <w:bCs/>
          <w:kern w:val="0"/>
          <w:sz w:val="18"/>
          <w:szCs w:val="18"/>
        </w:rPr>
        <w:t>★</w:t>
      </w:r>
      <w:r>
        <w:rPr>
          <w:rFonts w:hint="eastAsia" w:ascii="黑体" w:hAnsi="黑体" w:eastAsia="黑体" w:cs="黑体"/>
          <w:kern w:val="0"/>
          <w:sz w:val="18"/>
          <w:szCs w:val="18"/>
          <w:lang w:eastAsia="zh-CN"/>
        </w:rPr>
        <w:t>免责条款</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1.对由于国家有关法律、法规、规章、政策的变化，监管机构管理规则的修改、紧急措施的出台等原因而导致的相关风险及损失，双方当事人互不承担责任；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2.本协议书中涉及的相关到期日或分配日如遇节假日，将顺延至下一个工作日，由此产生的风险及损失双方当事人互不承担责任；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lang w:val="en-US" w:eastAsia="zh-CN"/>
        </w:rPr>
        <w:t>3.</w:t>
      </w:r>
      <w:r>
        <w:rPr>
          <w:rFonts w:hint="eastAsia" w:ascii="黑体" w:hAnsi="黑体" w:eastAsia="黑体" w:cs="黑体"/>
          <w:kern w:val="0"/>
          <w:sz w:val="18"/>
          <w:szCs w:val="18"/>
        </w:rPr>
        <w:t>对由不可抗力</w:t>
      </w:r>
      <w:r>
        <w:rPr>
          <w:rFonts w:hint="eastAsia" w:ascii="黑体" w:hAnsi="黑体" w:eastAsia="黑体" w:cs="黑体"/>
          <w:kern w:val="0"/>
          <w:sz w:val="18"/>
          <w:szCs w:val="18"/>
          <w:lang w:eastAsia="zh-CN"/>
        </w:rPr>
        <w:t>及</w:t>
      </w:r>
      <w:r>
        <w:rPr>
          <w:rFonts w:hint="eastAsia" w:ascii="黑体" w:hAnsi="黑体" w:eastAsia="黑体" w:cs="黑体"/>
          <w:kern w:val="0"/>
          <w:sz w:val="18"/>
          <w:szCs w:val="18"/>
          <w:lang w:val="en-US" w:eastAsia="zh-CN"/>
        </w:rPr>
        <w:t>/或非管理人所引起或所能控制的系统故障等</w:t>
      </w:r>
      <w:r>
        <w:rPr>
          <w:rFonts w:hint="eastAsia" w:ascii="黑体" w:hAnsi="黑体" w:eastAsia="黑体" w:cs="黑体"/>
          <w:kern w:val="0"/>
          <w:sz w:val="18"/>
          <w:szCs w:val="18"/>
        </w:rPr>
        <w:t>导致的交易中断、延误及由此造成的损失，产品管理人不承担相应责任，但</w:t>
      </w:r>
      <w:r>
        <w:rPr>
          <w:rFonts w:hint="eastAsia" w:ascii="黑体" w:hAnsi="黑体" w:eastAsia="黑体" w:cs="黑体"/>
          <w:kern w:val="0"/>
          <w:sz w:val="18"/>
          <w:szCs w:val="18"/>
          <w:lang w:eastAsia="zh-CN"/>
        </w:rPr>
        <w:t>不免除因</w:t>
      </w:r>
      <w:r>
        <w:rPr>
          <w:rFonts w:hint="eastAsia" w:ascii="黑体" w:hAnsi="黑体" w:eastAsia="黑体" w:cs="黑体"/>
          <w:kern w:val="0"/>
          <w:sz w:val="18"/>
          <w:szCs w:val="18"/>
        </w:rPr>
        <w:t>产品管理人</w:t>
      </w:r>
      <w:r>
        <w:rPr>
          <w:rFonts w:hint="eastAsia" w:ascii="黑体" w:hAnsi="黑体" w:eastAsia="黑体" w:cs="黑体"/>
          <w:kern w:val="0"/>
          <w:sz w:val="18"/>
          <w:szCs w:val="18"/>
          <w:lang w:eastAsia="zh-CN"/>
        </w:rPr>
        <w:t>过错</w:t>
      </w:r>
      <w:r>
        <w:rPr>
          <w:rFonts w:hint="eastAsia" w:ascii="黑体" w:hAnsi="黑体" w:eastAsia="黑体" w:cs="黑体"/>
          <w:kern w:val="0"/>
          <w:sz w:val="18"/>
          <w:szCs w:val="18"/>
        </w:rPr>
        <w:t>造成的系统故障</w:t>
      </w:r>
      <w:r>
        <w:rPr>
          <w:rFonts w:hint="eastAsia" w:ascii="黑体" w:hAnsi="黑体" w:eastAsia="黑体" w:cs="黑体"/>
          <w:kern w:val="0"/>
          <w:sz w:val="18"/>
          <w:szCs w:val="18"/>
          <w:lang w:eastAsia="zh-CN"/>
        </w:rPr>
        <w:t>责任</w:t>
      </w:r>
      <w:r>
        <w:rPr>
          <w:rFonts w:hint="eastAsia" w:ascii="黑体" w:hAnsi="黑体" w:eastAsia="黑体" w:cs="黑体"/>
          <w:kern w:val="0"/>
          <w:sz w:val="18"/>
          <w:szCs w:val="18"/>
        </w:rPr>
        <w:t>，产品管理人应在条件允许的情况下，采取必要的补救措施以减少不可抗力造成的损失。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2" w:name="_Toc1279774320"/>
      <w:bookmarkStart w:id="53" w:name="_Toc255958842"/>
      <w:r>
        <w:rPr>
          <w:rFonts w:hint="eastAsia" w:ascii="Times New Roman" w:hAnsi="Times New Roman" w:eastAsia="宋体" w:cs="Times New Roman"/>
          <w:b/>
          <w:color w:val="auto"/>
          <w:kern w:val="0"/>
          <w:sz w:val="30"/>
          <w:lang w:val="en-US" w:eastAsia="zh-CN" w:bidi="ar-SA"/>
        </w:rPr>
        <w:t>第四条</w:t>
      </w:r>
      <w:r>
        <w:rPr>
          <w:rFonts w:ascii="Times New Roman" w:hAnsi="Times New Roman" w:eastAsia="宋体" w:cs="Times New Roman"/>
          <w:b/>
          <w:color w:val="auto"/>
          <w:kern w:val="0"/>
          <w:sz w:val="30"/>
          <w:lang w:val="en-US" w:eastAsia="zh-CN" w:bidi="ar-SA"/>
        </w:rPr>
        <w:t xml:space="preserve">  法律适用和争议解决</w:t>
      </w:r>
      <w:bookmarkEnd w:id="52"/>
      <w:bookmarkEnd w:id="53"/>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s="Times New Roman"/>
          <w:color w:val="000000" w:themeColor="text1"/>
          <w:sz w:val="18"/>
          <w:szCs w:val="18"/>
          <w14:textFill>
            <w14:solidFill>
              <w14:schemeClr w14:val="tx1"/>
            </w14:solidFill>
          </w14:textFill>
        </w:rPr>
      </w:pPr>
      <w:r>
        <w:rPr>
          <w:rFonts w:ascii="黑体" w:hAnsi="黑体" w:eastAsia="黑体" w:cs="Times New Roman"/>
          <w:color w:val="000000" w:themeColor="text1"/>
          <w:sz w:val="18"/>
          <w:szCs w:val="18"/>
          <w14:textFill>
            <w14:solidFill>
              <w14:schemeClr w14:val="tx1"/>
            </w14:solidFill>
          </w14:textFill>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4" w:name="_Toc70344562"/>
      <w:bookmarkStart w:id="55" w:name="_Toc1912142621"/>
      <w:r>
        <w:rPr>
          <w:rFonts w:hint="eastAsia" w:ascii="Times New Roman" w:hAnsi="Times New Roman" w:eastAsia="宋体" w:cs="Times New Roman"/>
          <w:b/>
          <w:color w:val="auto"/>
          <w:kern w:val="0"/>
          <w:sz w:val="30"/>
          <w:lang w:val="en-US" w:eastAsia="zh-CN" w:bidi="ar-SA"/>
        </w:rPr>
        <w:t xml:space="preserve">第五条 </w:t>
      </w:r>
      <w:r>
        <w:rPr>
          <w:rFonts w:ascii="Times New Roman" w:hAnsi="Times New Roman" w:eastAsia="宋体" w:cs="Times New Roman"/>
          <w:b/>
          <w:color w:val="auto"/>
          <w:kern w:val="0"/>
          <w:sz w:val="30"/>
          <w:lang w:val="en-US" w:eastAsia="zh-CN" w:bidi="ar-SA"/>
        </w:rPr>
        <w:t xml:space="preserve"> 协议的签署和</w:t>
      </w:r>
      <w:r>
        <w:rPr>
          <w:rFonts w:hint="eastAsia" w:ascii="Times New Roman" w:hAnsi="Times New Roman" w:eastAsia="宋体" w:cs="Times New Roman"/>
          <w:b/>
          <w:color w:val="auto"/>
          <w:kern w:val="0"/>
          <w:sz w:val="30"/>
          <w:lang w:val="en-US" w:eastAsia="zh-CN" w:bidi="ar-SA"/>
        </w:rPr>
        <w:t>效力</w:t>
      </w:r>
      <w:bookmarkEnd w:id="54"/>
      <w:bookmarkEnd w:id="55"/>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（一）</w:t>
      </w:r>
      <w:r>
        <w:rPr>
          <w:rFonts w:hint="eastAsia" w:ascii="黑体" w:hAnsi="黑体" w:eastAsia="黑体" w:cs="仿宋_GB2312"/>
          <w:bCs/>
          <w:kern w:val="0"/>
          <w:sz w:val="18"/>
          <w:szCs w:val="18"/>
        </w:rPr>
        <w:t>★</w:t>
      </w:r>
      <w:r>
        <w:rPr>
          <w:rFonts w:hint="eastAsia" w:ascii="黑体" w:hAnsi="黑体" w:eastAsia="黑体" w:cs="Times New Roman"/>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1.</w:t>
      </w:r>
      <w:r>
        <w:rPr>
          <w:rFonts w:hint="eastAsia" w:ascii="宋体" w:hAnsi="宋体" w:cs="Times New Roman"/>
          <w:sz w:val="18"/>
          <w:szCs w:val="18"/>
        </w:rPr>
        <w:t>投资者若通过销售机构线下渠道购买本产品的</w:t>
      </w:r>
      <w:r>
        <w:rPr>
          <w:rFonts w:hint="eastAsia" w:ascii="黑体" w:hAnsi="黑体" w:eastAsia="黑体" w:cs="Times New Roman"/>
          <w:sz w:val="18"/>
          <w:szCs w:val="18"/>
        </w:rPr>
        <w:t>，本协议自投资者签名/盖章后则为签署。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2.</w:t>
      </w:r>
      <w:r>
        <w:rPr>
          <w:rFonts w:hint="eastAsia" w:ascii="宋体" w:hAnsi="宋体" w:cs="Times New Roman"/>
          <w:sz w:val="18"/>
          <w:szCs w:val="18"/>
        </w:rPr>
        <w:t>投资者若通过销售机构线上渠道购买本产品的，</w:t>
      </w:r>
      <w:r>
        <w:rPr>
          <w:rFonts w:hint="eastAsia" w:ascii="黑体" w:hAnsi="黑体" w:eastAsia="黑体" w:cs="Times New Roman"/>
          <w:sz w:val="18"/>
          <w:szCs w:val="18"/>
        </w:rPr>
        <w:t>本协议自投资者在系统中点击确认则视为签署。投资者认可线上点击确认具有与书面签署同等的法律效力。</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（二）</w:t>
      </w:r>
      <w:r>
        <w:rPr>
          <w:rFonts w:hint="eastAsia" w:ascii="黑体" w:hAnsi="黑体" w:eastAsia="黑体" w:cs="仿宋_GB2312"/>
          <w:bCs/>
          <w:kern w:val="0"/>
          <w:sz w:val="18"/>
          <w:szCs w:val="18"/>
        </w:rPr>
        <w:t>★</w:t>
      </w:r>
      <w:r>
        <w:rPr>
          <w:rFonts w:hint="eastAsia" w:ascii="黑体" w:hAnsi="黑体" w:eastAsia="黑体" w:cs="Times New Roman"/>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hint="eastAsia" w:ascii="黑体" w:hAnsi="黑体" w:eastAsia="黑体" w:cs="Times New Roman"/>
          <w:sz w:val="18"/>
          <w:szCs w:val="18"/>
        </w:rPr>
        <w:t>3.本协议书具备独立性</w:t>
      </w:r>
      <w:r>
        <w:rPr>
          <w:rFonts w:hint="eastAsia" w:ascii="宋体" w:hAnsi="宋体" w:cs="Times New Roman"/>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5.本协议的终止</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（1）</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产品管理人或销售机构发现或有合理理由怀疑投资者或其资金存在洗钱、欺诈、恐怖融资、逃税等嫌疑</w:t>
      </w:r>
      <w:r>
        <w:rPr>
          <w:rFonts w:hint="eastAsia" w:ascii="黑体" w:hAnsi="黑体" w:eastAsia="黑体" w:cs="仿宋_GB2312"/>
          <w:kern w:val="0"/>
          <w:sz w:val="18"/>
          <w:szCs w:val="18"/>
          <w:lang w:eastAsia="zh-CN"/>
        </w:rPr>
        <w:t>或</w:t>
      </w:r>
      <w:r>
        <w:rPr>
          <w:rFonts w:hint="eastAsia" w:ascii="黑体" w:hAnsi="黑体" w:eastAsia="黑体" w:cs="仿宋_GB2312"/>
          <w:kern w:val="0"/>
          <w:sz w:val="18"/>
          <w:szCs w:val="18"/>
        </w:rPr>
        <w:t>投资者违反本协议所做的声明和保证</w:t>
      </w:r>
      <w:r>
        <w:rPr>
          <w:rFonts w:hint="eastAsia" w:ascii="黑体" w:hAnsi="黑体" w:eastAsia="黑体" w:cs="仿宋_GB2312"/>
          <w:kern w:val="0"/>
          <w:sz w:val="18"/>
          <w:szCs w:val="18"/>
          <w:lang w:eastAsia="zh-CN"/>
        </w:rPr>
        <w:t>或存在其他</w:t>
      </w:r>
      <w:r>
        <w:rPr>
          <w:rFonts w:hint="eastAsia" w:ascii="黑体" w:hAnsi="黑体" w:eastAsia="黑体" w:cs="仿宋_GB2312"/>
          <w:kern w:val="0"/>
          <w:sz w:val="18"/>
          <w:szCs w:val="18"/>
        </w:rPr>
        <w:t>违约行为或交易资金被国家有权机关采取保全措施时，产品管理人有权提前终止本协议</w:t>
      </w:r>
      <w:r>
        <w:rPr>
          <w:rFonts w:hint="eastAsia" w:ascii="黑体" w:hAnsi="黑体" w:eastAsia="黑体" w:cs="仿宋_GB2312"/>
          <w:kern w:val="0"/>
          <w:sz w:val="18"/>
          <w:szCs w:val="18"/>
          <w:lang w:eastAsia="zh-CN"/>
        </w:rPr>
        <w:t>，且不因此而承担责任</w:t>
      </w:r>
      <w:r>
        <w:rPr>
          <w:rFonts w:hint="eastAsia" w:ascii="黑体" w:hAnsi="黑体" w:eastAsia="黑体" w:cs="仿宋_GB2312"/>
          <w:kern w:val="0"/>
          <w:sz w:val="18"/>
          <w:szCs w:val="18"/>
        </w:rPr>
        <w:t>；</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（2）产品管理人宣布产品不成立、或理财产品终止并完成清算分配后，本协议自动终止；</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（3）本协议及《产品说明书》等销售文件项下各方权利义务履行完毕之日，本协议自动终止。</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6" w:name="_Toc1387272497"/>
      <w:bookmarkStart w:id="57" w:name="_Toc969028667"/>
      <w:bookmarkStart w:id="58" w:name="_Toc77953869"/>
      <w:r>
        <w:rPr>
          <w:rFonts w:hint="eastAsia" w:ascii="Times New Roman" w:hAnsi="Times New Roman" w:eastAsia="宋体" w:cs="Times New Roman"/>
          <w:b/>
          <w:color w:val="auto"/>
          <w:kern w:val="0"/>
          <w:sz w:val="30"/>
          <w:lang w:val="en-US" w:eastAsia="zh-CN" w:bidi="ar-SA"/>
        </w:rPr>
        <w:t xml:space="preserve">第六条 </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消费者权益保护</w:t>
      </w:r>
      <w:bookmarkEnd w:id="56"/>
      <w:bookmarkEnd w:id="57"/>
      <w:bookmarkEnd w:id="58"/>
      <w:r>
        <w:rPr>
          <w:rFonts w:hint="eastAsia" w:ascii="Times New Roman" w:hAnsi="Times New Roman" w:eastAsia="宋体" w:cs="Times New Roman"/>
          <w:b/>
          <w:color w:val="auto"/>
          <w:kern w:val="0"/>
          <w:sz w:val="30"/>
          <w:lang w:val="en-US" w:eastAsia="zh-CN" w:bidi="ar-SA"/>
        </w:rPr>
        <w:t xml:space="preserve"> </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（一）投诉程序</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您对本产品有任何意见或异议，可通过相应的投诉方式向产品管理人或销售机构反馈，产品管理人或销售机构将由专人接听、接收、记录您的意见或建议，调查核实投诉事项，并按照监管规定结合投资者诉求及时告知客户投</w:t>
      </w:r>
      <w:r>
        <w:rPr>
          <w:rFonts w:hint="eastAsia" w:ascii="黑体" w:hAnsi="黑体" w:eastAsia="黑体" w:cs="Times New Roman"/>
          <w:sz w:val="18"/>
          <w:szCs w:val="18"/>
          <w:lang w:eastAsia="zh-CN"/>
        </w:rPr>
        <w:t>诉</w:t>
      </w:r>
      <w:r>
        <w:rPr>
          <w:rFonts w:hint="eastAsia" w:ascii="黑体" w:hAnsi="黑体" w:eastAsia="黑体" w:cs="Times New Roman"/>
          <w:sz w:val="18"/>
          <w:szCs w:val="18"/>
        </w:rPr>
        <w:t>处理决定。如对投诉处理结果有异议，可通过申请核查、调解、诉讼等途径解决纠纷。</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 xml:space="preserve">（二）产品管理人联络及投诉方式 </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门户网站：www.cibwm.com.cn</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客户服务与投诉热线：40015-95561（工作日9：00-17：00）</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客户投诉受理邮箱：xylcts@cibwm.com.cn</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 xml:space="preserve">销售机构的联络及投诉方式，具体以《（代理）销售协议书》《投资者权益须知》等销售文件的内容为准。 </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 xml:space="preserve">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0"/>
    <w:bookmarkEnd w:id="51"/>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w:t>
            </w:r>
            <w:r>
              <w:rPr>
                <w:rFonts w:hint="eastAsia" w:ascii="宋体" w:hAnsi="宋体" w:cs="Times New Roman"/>
                <w:bCs/>
                <w:sz w:val="18"/>
                <w:szCs w:val="18"/>
                <w:lang w:val="en-US" w:eastAsia="zh-CN"/>
              </w:rPr>
              <w:t>兴银理财稳利安盈封闭式2026年489期固收类理财产品</w:t>
            </w: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产品份额</w:t>
            </w:r>
            <w:r>
              <w:rPr>
                <w:rFonts w:ascii="宋体" w:hAnsi="宋体" w:cs="Times New Roman"/>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【】类</w:t>
            </w:r>
            <w:r>
              <w:rPr>
                <w:rFonts w:ascii="宋体" w:hAnsi="宋体" w:cs="宋体"/>
                <w:bCs/>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bCs/>
                <w:sz w:val="18"/>
                <w:szCs w:val="18"/>
              </w:rPr>
            </w:pPr>
            <w:r>
              <w:rPr>
                <w:rFonts w:ascii="宋体" w:hAnsi="宋体" w:cs="Times New Roman"/>
                <w:bCs/>
                <w:sz w:val="18"/>
                <w:szCs w:val="18"/>
              </w:rPr>
              <w:t>金额：</w:t>
            </w:r>
            <w:r>
              <w:rPr>
                <w:rFonts w:hint="eastAsia" w:ascii="宋体" w:hAnsi="宋体" w:cs="Times New Roman"/>
                <w:bCs/>
                <w:sz w:val="18"/>
                <w:szCs w:val="18"/>
              </w:rPr>
              <w:t>小写：</w:t>
            </w:r>
            <w:r>
              <w:rPr>
                <w:rFonts w:ascii="宋体" w:hAnsi="宋体" w:cs="Times New Roman"/>
                <w:bCs/>
                <w:sz w:val="18"/>
                <w:szCs w:val="18"/>
                <w:u w:val="single"/>
              </w:rPr>
              <w:t xml:space="preserve">　          </w:t>
            </w:r>
            <w:r>
              <w:rPr>
                <w:rFonts w:ascii="宋体" w:hAnsi="宋体" w:cs="Times New Roman"/>
                <w:bCs/>
                <w:sz w:val="18"/>
                <w:szCs w:val="18"/>
              </w:rPr>
              <w:t>，大写：</w:t>
            </w:r>
            <w:r>
              <w:rPr>
                <w:rFonts w:ascii="宋体" w:hAnsi="宋体" w:cs="Times New Roman"/>
                <w:bCs/>
                <w:sz w:val="18"/>
                <w:szCs w:val="18"/>
                <w:u w:val="single"/>
              </w:rPr>
              <w:t xml:space="preserve">　                    </w:t>
            </w:r>
            <w:r>
              <w:rPr>
                <w:rFonts w:hint="eastAsia" w:ascii="宋体" w:hAnsi="宋体" w:cs="Times New Roman"/>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cs="Times New Roman"/>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cs="Times New Roman"/>
                <w:bCs/>
                <w:sz w:val="18"/>
                <w:szCs w:val="18"/>
              </w:rPr>
            </w:pPr>
            <w:r>
              <w:rPr>
                <w:rFonts w:ascii="宋体" w:hAnsi="宋体" w:cs="Times New Roman"/>
                <w:bCs/>
                <w:sz w:val="18"/>
                <w:szCs w:val="18"/>
              </w:rPr>
              <w:t>封闭式产品不设置申购</w:t>
            </w:r>
            <w:r>
              <w:rPr>
                <w:rFonts w:hint="eastAsia" w:ascii="宋体" w:hAnsi="宋体" w:cs="Times New Roman"/>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cs="Times New Roman"/>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赎回</w:t>
            </w:r>
          </w:p>
        </w:tc>
        <w:tc>
          <w:tcPr>
            <w:tcW w:w="5987" w:type="dxa"/>
            <w:vAlign w:val="center"/>
          </w:tcPr>
          <w:p>
            <w:pPr>
              <w:autoSpaceDE w:val="0"/>
              <w:autoSpaceDN w:val="0"/>
              <w:adjustRightInd w:val="0"/>
              <w:snapToGrid w:val="0"/>
              <w:spacing w:line="360" w:lineRule="auto"/>
              <w:rPr>
                <w:rFonts w:ascii="宋体" w:hAnsi="宋体" w:cs="Times New Roman"/>
                <w:bCs/>
                <w:sz w:val="18"/>
                <w:szCs w:val="18"/>
              </w:rPr>
            </w:pPr>
            <w:r>
              <w:rPr>
                <w:rFonts w:ascii="宋体" w:hAnsi="宋体" w:cs="Times New Roman"/>
                <w:bCs/>
                <w:sz w:val="18"/>
                <w:szCs w:val="18"/>
              </w:rPr>
              <w:t>封闭式产品不设置</w:t>
            </w:r>
            <w:r>
              <w:rPr>
                <w:rFonts w:hint="eastAsia" w:ascii="宋体" w:hAnsi="宋体" w:cs="Times New Roman"/>
                <w:bCs/>
                <w:sz w:val="18"/>
                <w:szCs w:val="18"/>
              </w:rPr>
              <w:t>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8"/>
                <w:szCs w:val="18"/>
              </w:rPr>
              <w:t xml:space="preserve"> 】年</w:t>
            </w:r>
            <w:r>
              <w:rPr>
                <w:rFonts w:hint="eastAsia" w:cs="Times New Roman" w:asciiTheme="minorEastAsia" w:hAnsiTheme="minorEastAsia"/>
                <w:bCs/>
                <w:sz w:val="18"/>
                <w:szCs w:val="18"/>
              </w:rPr>
              <w:t>【</w:t>
            </w:r>
            <w:r>
              <w:rPr>
                <w:rFonts w:cs="Times New Roman" w:asciiTheme="minorEastAsia" w:hAnsiTheme="minorEastAsia"/>
                <w:bCs/>
                <w:sz w:val="18"/>
                <w:szCs w:val="18"/>
              </w:rPr>
              <w:t xml:space="preserve"> </w:t>
            </w:r>
            <w:r>
              <w:rPr>
                <w:rFonts w:hint="eastAsia" w:cs="Times New Roman" w:asciiTheme="minorEastAsia" w:hAnsiTheme="minorEastAsia"/>
                <w:bCs/>
                <w:sz w:val="18"/>
                <w:szCs w:val="18"/>
              </w:rPr>
              <w:t>】月【</w:t>
            </w:r>
            <w:r>
              <w:rPr>
                <w:rFonts w:cs="Times New Roman" w:asciiTheme="minorEastAsia" w:hAnsiTheme="minorEastAsia"/>
                <w:bCs/>
                <w:sz w:val="18"/>
                <w:szCs w:val="18"/>
              </w:rPr>
              <w:t xml:space="preserve"> </w:t>
            </w:r>
            <w:r>
              <w:rPr>
                <w:rFonts w:hint="eastAsia" w:cs="Times New Roman" w:asciiTheme="minorEastAsia" w:hAnsiTheme="minorEastAsia"/>
                <w:bCs/>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cs="Times New Roman"/>
                <w:sz w:val="18"/>
                <w:szCs w:val="18"/>
              </w:rPr>
            </w:pPr>
            <w:r>
              <w:rPr>
                <w:rFonts w:hint="eastAsia" w:ascii="黑体" w:hAnsi="黑体" w:eastAsia="黑体" w:cs="Times New Roman"/>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cs="Times New Roman"/>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ascii="黑体" w:hAnsi="黑体" w:eastAsia="黑体" w:cs="Times New Roman"/>
                <w:sz w:val="18"/>
                <w:szCs w:val="18"/>
              </w:rPr>
              <w:t>1</w:t>
            </w:r>
            <w:r>
              <w:rPr>
                <w:rFonts w:hint="eastAsia" w:ascii="黑体" w:hAnsi="黑体" w:eastAsia="黑体" w:cs="Times New Roman"/>
                <w:sz w:val="18"/>
                <w:szCs w:val="18"/>
              </w:rPr>
              <w:t>.</w:t>
            </w:r>
            <w:r>
              <w:rPr>
                <w:rFonts w:ascii="黑体" w:hAnsi="黑体" w:eastAsia="黑体" w:cs="Times New Roman"/>
                <w:sz w:val="18"/>
                <w:szCs w:val="18"/>
              </w:rPr>
              <w:t>在签署本《</w:t>
            </w:r>
            <w:r>
              <w:rPr>
                <w:rFonts w:hint="eastAsia" w:ascii="黑体" w:hAnsi="黑体" w:eastAsia="黑体" w:cs="Times New Roman"/>
                <w:sz w:val="18"/>
                <w:szCs w:val="18"/>
              </w:rPr>
              <w:t>投资</w:t>
            </w:r>
            <w:r>
              <w:rPr>
                <w:rFonts w:ascii="黑体" w:hAnsi="黑体" w:eastAsia="黑体" w:cs="Times New Roman"/>
                <w:sz w:val="18"/>
                <w:szCs w:val="18"/>
              </w:rPr>
              <w:t>协议书》以前，投资者已认真阅读理财产品销售文件（包括但不限于《</w:t>
            </w:r>
            <w:r>
              <w:rPr>
                <w:rFonts w:hint="eastAsia" w:ascii="黑体" w:hAnsi="黑体" w:eastAsia="黑体" w:cs="Times New Roman"/>
                <w:sz w:val="18"/>
                <w:szCs w:val="18"/>
              </w:rPr>
              <w:t>投资</w:t>
            </w:r>
            <w:r>
              <w:rPr>
                <w:rFonts w:ascii="黑体" w:hAnsi="黑体" w:eastAsia="黑体" w:cs="Times New Roman"/>
                <w:sz w:val="18"/>
                <w:szCs w:val="18"/>
              </w:rPr>
              <w:t>协议书》《产品说明书》</w:t>
            </w:r>
            <w:r>
              <w:rPr>
                <w:rFonts w:hint="eastAsia" w:ascii="黑体" w:hAnsi="黑体" w:eastAsia="黑体" w:cs="Times New Roman"/>
                <w:sz w:val="18"/>
                <w:szCs w:val="18"/>
              </w:rPr>
              <w:t>《（代理）销售</w:t>
            </w:r>
            <w:r>
              <w:rPr>
                <w:rFonts w:ascii="黑体" w:hAnsi="黑体" w:eastAsia="黑体" w:cs="Times New Roman"/>
                <w:sz w:val="18"/>
                <w:szCs w:val="18"/>
              </w:rPr>
              <w:t>协议书</w:t>
            </w:r>
            <w:r>
              <w:rPr>
                <w:rFonts w:hint="eastAsia" w:ascii="黑体" w:hAnsi="黑体" w:eastAsia="黑体" w:cs="Times New Roman"/>
                <w:sz w:val="18"/>
                <w:szCs w:val="18"/>
              </w:rPr>
              <w:t>》</w:t>
            </w:r>
            <w:r>
              <w:rPr>
                <w:rFonts w:ascii="黑体" w:hAnsi="黑体" w:eastAsia="黑体" w:cs="Times New Roman"/>
                <w:sz w:val="18"/>
                <w:szCs w:val="18"/>
              </w:rPr>
              <w:t>《风险揭示书》《投资者权益须知》等文件）的全部内容，</w:t>
            </w:r>
            <w:r>
              <w:rPr>
                <w:rFonts w:hint="eastAsia" w:ascii="黑体" w:hAnsi="黑体" w:eastAsia="黑体" w:cs="Times New Roman"/>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ascii="黑体" w:hAnsi="黑体" w:eastAsia="黑体" w:cs="Times New Roman"/>
                <w:sz w:val="18"/>
                <w:szCs w:val="18"/>
              </w:rPr>
              <w:t>2</w:t>
            </w:r>
            <w:r>
              <w:rPr>
                <w:rFonts w:hint="eastAsia" w:ascii="黑体" w:hAnsi="黑体" w:eastAsia="黑体" w:cs="Times New Roman"/>
                <w:sz w:val="18"/>
                <w:szCs w:val="18"/>
              </w:rPr>
              <w:t>.</w:t>
            </w:r>
            <w:r>
              <w:rPr>
                <w:rFonts w:ascii="黑体" w:hAnsi="黑体" w:eastAsia="黑体" w:cs="Times New Roman"/>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hint="eastAsia" w:ascii="黑体" w:hAnsi="黑体" w:eastAsia="黑体" w:cs="Times New Roman"/>
                <w:sz w:val="18"/>
                <w:szCs w:val="18"/>
              </w:rPr>
              <w:t>3.投资者</w:t>
            </w:r>
            <w:r>
              <w:rPr>
                <w:rFonts w:ascii="黑体" w:hAnsi="黑体" w:eastAsia="黑体" w:cs="Times New Roman"/>
                <w:sz w:val="18"/>
                <w:szCs w:val="18"/>
              </w:rPr>
              <w:t>已认真阅读并充分理解包括但不限于《</w:t>
            </w:r>
            <w:r>
              <w:rPr>
                <w:rFonts w:hint="eastAsia" w:ascii="黑体" w:hAnsi="黑体" w:eastAsia="黑体" w:cs="Times New Roman"/>
                <w:sz w:val="18"/>
                <w:szCs w:val="18"/>
              </w:rPr>
              <w:t>投资</w:t>
            </w:r>
            <w:r>
              <w:rPr>
                <w:rFonts w:ascii="黑体" w:hAnsi="黑体" w:eastAsia="黑体" w:cs="Times New Roman"/>
                <w:sz w:val="18"/>
                <w:szCs w:val="18"/>
              </w:rPr>
              <w:t>协议书》</w:t>
            </w:r>
            <w:r>
              <w:rPr>
                <w:rFonts w:hint="eastAsia" w:ascii="黑体" w:hAnsi="黑体" w:eastAsia="黑体" w:cs="Times New Roman"/>
                <w:sz w:val="18"/>
                <w:szCs w:val="18"/>
              </w:rPr>
              <w:t>等全套理财产品销售文件</w:t>
            </w:r>
            <w:r>
              <w:rPr>
                <w:rFonts w:ascii="黑体" w:hAnsi="黑体" w:eastAsia="黑体" w:cs="Times New Roman"/>
                <w:sz w:val="18"/>
                <w:szCs w:val="18"/>
              </w:rPr>
              <w:t>关于投资理财产品及其全部风险的有关内容，同意本次</w:t>
            </w:r>
            <w:r>
              <w:rPr>
                <w:rFonts w:hint="eastAsia" w:ascii="黑体" w:hAnsi="黑体" w:eastAsia="黑体" w:cs="Times New Roman"/>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rFonts w:ascii="Times New Roman" w:hAnsi="Times New Roman" w:cs="Times New Roman"/>
                <w:b/>
                <w:sz w:val="18"/>
                <w:szCs w:val="18"/>
              </w:rPr>
            </w:pPr>
            <w:r>
              <w:rPr>
                <w:rFonts w:hint="eastAsia" w:ascii="Times New Roman" w:hAnsi="Times New Roman" w:cs="Times New Roman"/>
                <w:b/>
                <w:sz w:val="18"/>
                <w:szCs w:val="18"/>
              </w:rPr>
              <w:t>投资者签署栏</w:t>
            </w:r>
          </w:p>
        </w:tc>
        <w:tc>
          <w:tcPr>
            <w:tcW w:w="851"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个人投资者适用</w:t>
            </w:r>
          </w:p>
        </w:tc>
        <w:tc>
          <w:tcPr>
            <w:tcW w:w="6998"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投资者（签名/线上确认）：</w:t>
            </w:r>
          </w:p>
          <w:p>
            <w:pPr>
              <w:spacing w:line="360" w:lineRule="auto"/>
              <w:rPr>
                <w:rFonts w:ascii="Times New Roman" w:hAnsi="Times New Roman" w:cs="Times New Roman"/>
                <w:bCs/>
                <w:sz w:val="18"/>
                <w:szCs w:val="18"/>
              </w:rPr>
            </w:pPr>
          </w:p>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rFonts w:ascii="Times New Roman" w:hAnsi="Times New Roman" w:cs="Times New Roman"/>
                <w:b/>
                <w:sz w:val="18"/>
                <w:szCs w:val="18"/>
              </w:rPr>
            </w:pPr>
          </w:p>
        </w:tc>
        <w:tc>
          <w:tcPr>
            <w:tcW w:w="851"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机构投资者适用</w:t>
            </w:r>
          </w:p>
        </w:tc>
        <w:tc>
          <w:tcPr>
            <w:tcW w:w="6998" w:type="dxa"/>
            <w:gridSpan w:val="2"/>
          </w:tcPr>
          <w:p>
            <w:pPr>
              <w:spacing w:line="360" w:lineRule="auto"/>
              <w:rPr>
                <w:rFonts w:ascii="Times New Roman" w:hAnsi="Times New Roman" w:cs="Arial"/>
                <w:bCs/>
                <w:sz w:val="18"/>
                <w:szCs w:val="18"/>
              </w:rPr>
            </w:pPr>
            <w:r>
              <w:rPr>
                <w:rFonts w:hint="eastAsia" w:ascii="Times New Roman" w:hAnsi="Times New Roman" w:cs="Times New Roman"/>
                <w:bCs/>
                <w:sz w:val="18"/>
                <w:szCs w:val="18"/>
              </w:rPr>
              <w:t>投资者</w:t>
            </w:r>
            <w:r>
              <w:rPr>
                <w:rFonts w:hint="eastAsia" w:ascii="Times New Roman" w:hAnsi="Times New Roman" w:cs="Arial"/>
                <w:bCs/>
                <w:sz w:val="18"/>
                <w:szCs w:val="18"/>
              </w:rPr>
              <w:t>（盖章/线上确认）：</w:t>
            </w:r>
          </w:p>
          <w:p>
            <w:pPr>
              <w:spacing w:line="360" w:lineRule="auto"/>
              <w:rPr>
                <w:rFonts w:ascii="Times New Roman" w:hAnsi="Times New Roman" w:cs="Arial"/>
                <w:bCs/>
                <w:sz w:val="18"/>
                <w:szCs w:val="18"/>
              </w:rPr>
            </w:pPr>
          </w:p>
          <w:p>
            <w:pPr>
              <w:spacing w:line="360" w:lineRule="auto"/>
              <w:rPr>
                <w:rFonts w:ascii="Times New Roman" w:hAnsi="Times New Roman" w:cs="Times New Roman"/>
                <w:bCs/>
                <w:sz w:val="18"/>
                <w:szCs w:val="18"/>
              </w:rPr>
            </w:pPr>
            <w:r>
              <w:rPr>
                <w:rFonts w:hint="eastAsia" w:ascii="Times New Roman" w:hAnsi="Times New Roman" w:cs="Arial"/>
                <w:bCs/>
                <w:sz w:val="18"/>
                <w:szCs w:val="18"/>
              </w:rPr>
              <w:t>投资者法定代表人或授权代理人（签名/盖章/线上确认）：</w:t>
            </w:r>
          </w:p>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日期：</w:t>
            </w:r>
          </w:p>
        </w:tc>
      </w:tr>
    </w:tbl>
    <w:p>
      <w:pPr>
        <w:spacing w:line="360" w:lineRule="auto"/>
        <w:jc w:val="left"/>
        <w:rPr>
          <w:rFonts w:ascii="Times New Roman" w:hAnsi="Times New Roman" w:cs="Times New Roman"/>
          <w:b/>
          <w:bCs/>
        </w:rPr>
      </w:pPr>
      <w:r>
        <w:rPr>
          <w:rFonts w:hint="eastAsia" w:ascii="宋体" w:hAnsi="宋体" w:cs="Times New Roman"/>
          <w:b/>
          <w:bCs/>
          <w:sz w:val="18"/>
          <w:szCs w:val="18"/>
        </w:rPr>
        <w:t>（本《投资协议书》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Times New Roman"/>
          <w:b/>
          <w:bCs/>
          <w:sz w:val="18"/>
          <w:szCs w:val="18"/>
        </w:rPr>
        <w:t>。）</w:t>
      </w:r>
    </w:p>
    <w:p>
      <w:pPr>
        <w:sectPr>
          <w:headerReference r:id="rId3" w:type="default"/>
          <w:footerReference r:id="rId4" w:type="default"/>
          <w:pgSz w:w="11906" w:h="16838"/>
          <w:pgMar w:top="1440" w:right="1800" w:bottom="1440" w:left="1800" w:header="567" w:footer="964" w:gutter="0"/>
          <w:pgNumType w:start="1"/>
          <w:cols w:space="720" w:num="1"/>
          <w:docGrid w:type="lines" w:linePitch="312" w:charSpace="0"/>
        </w:sectPr>
      </w:pPr>
    </w:p>
    <w:p>
      <w:pPr>
        <w:pStyle w:val="14"/>
        <w:spacing w:line="360" w:lineRule="auto"/>
        <w:rPr>
          <w:rFonts w:hAnsi="宋体"/>
          <w:sz w:val="18"/>
          <w:szCs w:val="18"/>
        </w:rPr>
      </w:pPr>
    </w:p>
    <w:p>
      <w:pPr>
        <w:widowControl/>
        <w:spacing w:line="360" w:lineRule="auto"/>
        <w:jc w:val="center"/>
        <w:rPr>
          <w:rStyle w:val="10"/>
          <w:rFonts w:ascii="宋体" w:hAnsi="宋体" w:eastAsia="宋体" w:cs="宋体"/>
          <w:sz w:val="30"/>
          <w:szCs w:val="30"/>
        </w:rPr>
      </w:pPr>
      <w:r>
        <w:rPr>
          <w:rFonts w:hint="eastAsia" w:ascii="宋体" w:hAnsi="宋体" w:eastAsia="宋体" w:cs="宋体"/>
          <w:b/>
          <w:sz w:val="30"/>
          <w:szCs w:val="30"/>
        </w:rPr>
        <w:t>理财非存款、产品有风险、投资须谨慎！</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r>
        <w:rPr>
          <w:rFonts w:ascii="黑体" w:hAnsi="黑体" w:eastAsia="黑体" w:cs="宋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Times New Roman"/>
          <w:sz w:val="44"/>
          <w:szCs w:val="44"/>
        </w:rPr>
        <w:t>【兴银理财稳利安盈封闭式2026年489期固收类理财产品】</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Times New Roman"/>
          <w:sz w:val="44"/>
          <w:szCs w:val="44"/>
        </w:rPr>
        <w:t>产品说明书</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黑体" w:hAnsi="黑体" w:eastAsia="黑体" w:cs="宋体"/>
          <w:bCs w:val="0"/>
          <w:sz w:val="28"/>
          <w:szCs w:val="28"/>
        </w:rPr>
      </w:pPr>
    </w:p>
    <w:p>
      <w:pPr>
        <w:adjustRightInd w:val="0"/>
        <w:spacing w:line="360" w:lineRule="auto"/>
        <w:jc w:val="center"/>
        <w:rPr>
          <w:rStyle w:val="10"/>
          <w:rFonts w:ascii="宋体" w:hAnsi="宋体" w:eastAsia="宋体" w:cs="Times New Roman"/>
          <w:sz w:val="32"/>
          <w:szCs w:val="32"/>
        </w:rPr>
      </w:pPr>
      <w:r>
        <w:rPr>
          <w:rStyle w:val="10"/>
          <w:rFonts w:hint="eastAsia" w:ascii="宋体" w:hAnsi="宋体" w:eastAsia="宋体" w:cs="Times New Roman"/>
          <w:sz w:val="32"/>
          <w:szCs w:val="32"/>
        </w:rPr>
        <w:t>理财产品管理人：兴银理财有限责任公司</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Times New Roman"/>
          <w:sz w:val="32"/>
          <w:szCs w:val="32"/>
        </w:rPr>
      </w:pPr>
      <w:r>
        <w:rPr>
          <w:rStyle w:val="10"/>
          <w:rFonts w:hint="eastAsia" w:ascii="宋体" w:hAnsi="宋体" w:eastAsia="宋体" w:cs="Times New Roman"/>
          <w:sz w:val="32"/>
          <w:szCs w:val="32"/>
        </w:rPr>
        <w:t>日期</w:t>
      </w:r>
      <w:r>
        <w:rPr>
          <w:rStyle w:val="10"/>
          <w:rFonts w:ascii="宋体" w:hAnsi="宋体" w:eastAsia="宋体" w:cs="Times New Roman"/>
          <w:sz w:val="32"/>
          <w:szCs w:val="32"/>
        </w:rPr>
        <w:t>：</w:t>
      </w:r>
      <w:r>
        <w:rPr>
          <w:rStyle w:val="10"/>
          <w:rFonts w:hint="eastAsia" w:ascii="宋体" w:hAnsi="宋体" w:eastAsia="宋体" w:cs="Times New Roman"/>
          <w:sz w:val="32"/>
          <w:szCs w:val="32"/>
        </w:rPr>
        <w:t>【</w:t>
      </w:r>
      <w:r>
        <w:rPr>
          <w:rStyle w:val="10"/>
          <w:rFonts w:hint="eastAsia" w:ascii="宋体" w:hAnsi="宋体" w:eastAsia="宋体" w:cs="Times New Roman"/>
          <w:sz w:val="28"/>
          <w:szCs w:val="28"/>
          <w:lang w:val="en-US" w:eastAsia="zh-CN"/>
        </w:rPr>
        <w:t>2026</w:t>
      </w:r>
      <w:r>
        <w:rPr>
          <w:rStyle w:val="10"/>
          <w:rFonts w:hint="eastAsia" w:ascii="宋体" w:hAnsi="宋体" w:eastAsia="宋体" w:cs="Times New Roman"/>
          <w:sz w:val="32"/>
          <w:szCs w:val="32"/>
        </w:rPr>
        <w:t>】年【</w:t>
      </w:r>
      <w:r>
        <w:rPr>
          <w:rStyle w:val="10"/>
          <w:rFonts w:hint="eastAsia" w:ascii="宋体" w:hAnsi="宋体" w:eastAsia="宋体" w:cs="Times New Roman"/>
          <w:sz w:val="28"/>
          <w:szCs w:val="28"/>
          <w:lang w:val="en-US" w:eastAsia="zh-CN"/>
        </w:rPr>
        <w:t>8</w:t>
      </w:r>
      <w:r>
        <w:rPr>
          <w:rStyle w:val="10"/>
          <w:rFonts w:hint="eastAsia" w:ascii="宋体" w:hAnsi="宋体" w:eastAsia="宋体" w:cs="Times New Roman"/>
          <w:sz w:val="32"/>
          <w:szCs w:val="32"/>
        </w:rPr>
        <w:t>】月</w:t>
      </w:r>
    </w:p>
    <w:p>
      <w:pPr>
        <w:adjustRightInd w:val="0"/>
        <w:spacing w:line="360" w:lineRule="auto"/>
        <w:jc w:val="center"/>
        <w:rPr>
          <w:rStyle w:val="10"/>
          <w:rFonts w:ascii="宋体" w:hAnsi="宋体" w:eastAsia="宋体" w:cs="宋体"/>
          <w:sz w:val="32"/>
          <w:szCs w:val="32"/>
        </w:rPr>
      </w:pPr>
    </w:p>
    <w:p>
      <w:pPr>
        <w:widowControl w:val="0"/>
        <w:autoSpaceDE w:val="0"/>
        <w:autoSpaceDN w:val="0"/>
        <w:adjustRightInd w:val="0"/>
        <w:spacing w:line="360" w:lineRule="auto"/>
        <w:rPr>
          <w:rFonts w:ascii="宋体" w:hAnsi="宋体" w:eastAsia="宋体" w:cs="宋体"/>
          <w:color w:val="000000"/>
          <w:sz w:val="28"/>
          <w:szCs w:val="28"/>
          <w:lang w:val="en-US" w:eastAsia="zh-CN" w:bidi="ar-SA"/>
        </w:rPr>
      </w:pPr>
      <w:r>
        <w:rPr>
          <w:rFonts w:ascii="宋体" w:hAnsi="宋体" w:eastAsia="宋体" w:cs="宋体"/>
          <w:color w:val="000000"/>
          <w:sz w:val="28"/>
          <w:szCs w:val="28"/>
          <w:lang w:val="en-US" w:eastAsia="zh-CN" w:bidi="ar-SA"/>
        </w:rPr>
        <w:br w:type="page"/>
      </w:r>
    </w:p>
    <w:sdt>
      <w:sdtPr>
        <w:rPr>
          <w:rFonts w:ascii="Calibri" w:hAnsi="Calibri" w:eastAsia="宋体" w:cs="宋体"/>
          <w:b w:val="0"/>
          <w:bCs w:val="0"/>
          <w:color w:val="auto"/>
          <w:kern w:val="2"/>
          <w:sz w:val="21"/>
          <w:szCs w:val="22"/>
          <w:lang w:val="zh-CN" w:eastAsia="zh-CN" w:bidi="ar-SA"/>
        </w:rPr>
        <w:id w:val="624888713"/>
        <w:docPartObj>
          <w:docPartGallery w:val="Table of Contents"/>
          <w:docPartUnique/>
        </w:docPartObj>
      </w:sdtPr>
      <w:sdtEndPr>
        <w:rPr>
          <w:rFonts w:ascii="Calibri" w:hAnsi="Calibri" w:eastAsia="宋体" w:cs="宋体"/>
          <w:b w:val="0"/>
          <w:bCs w:val="0"/>
          <w:color w:val="auto"/>
          <w:kern w:val="2"/>
          <w:sz w:val="21"/>
          <w:szCs w:val="22"/>
          <w:lang w:val="en-US" w:eastAsia="zh-CN" w:bidi="ar-SA"/>
        </w:rPr>
      </w:sdtEndPr>
      <w:sdtContent>
        <w:p>
          <w:pPr>
            <w:keepNext/>
            <w:keepLines/>
            <w:widowControl/>
            <w:spacing w:before="480" w:after="0" w:line="360" w:lineRule="auto"/>
            <w:jc w:val="center"/>
            <w:outlineLvl w:val="9"/>
            <w:rPr>
              <w:rFonts w:asciiTheme="majorHAnsi" w:hAnsiTheme="majorHAnsi" w:eastAsiaTheme="majorEastAsia" w:cstheme="majorBidi"/>
              <w:b/>
              <w:bCs/>
              <w:color w:val="2E75B6" w:themeColor="accent1" w:themeShade="BF"/>
              <w:kern w:val="0"/>
              <w:sz w:val="28"/>
              <w:szCs w:val="28"/>
              <w:lang w:val="en-US" w:eastAsia="zh-CN" w:bidi="ar-SA"/>
            </w:rPr>
          </w:pPr>
          <w:bookmarkStart w:id="59" w:name="_Toc78276587"/>
          <w:r>
            <w:rPr>
              <w:rFonts w:asciiTheme="majorHAnsi" w:hAnsiTheme="majorHAnsi" w:eastAsiaTheme="majorEastAsia" w:cstheme="majorBidi"/>
              <w:b/>
              <w:bCs/>
              <w:color w:val="2E75B6" w:themeColor="accent1" w:themeShade="BF"/>
              <w:kern w:val="0"/>
              <w:sz w:val="28"/>
              <w:szCs w:val="28"/>
              <w:lang w:val="zh-CN" w:eastAsia="zh-CN" w:bidi="ar-SA"/>
            </w:rPr>
            <w:t>目录</w:t>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TOC \o "1-3" \h \z \u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"_Toc176189753"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第一条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释义</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16</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"_Toc176189754" </w:instrText>
          </w:r>
          <w:r>
            <w:rPr>
              <w:rFonts w:ascii="Calibri" w:hAnsi="Calibri" w:eastAsia="宋体" w:cs="宋体"/>
              <w:kern w:val="0"/>
              <w:sz w:val="22"/>
              <w:szCs w:val="22"/>
              <w:lang w:val="en-US" w:eastAsia="zh-CN" w:bidi="ar-SA"/>
            </w:rPr>
            <w:fldChar w:fldCharType="separate"/>
          </w:r>
          <w:r>
            <w:rPr>
              <w:rStyle w:val="11"/>
              <w:rFonts w:hint="eastAsia" w:ascii="Times New Roman" w:hAnsi="宋体" w:eastAsia="宋体" w:cs="Times New Roman"/>
              <w:kern w:val="0"/>
              <w:sz w:val="22"/>
              <w:szCs w:val="22"/>
              <w:lang w:val="en-US" w:eastAsia="zh-CN" w:bidi="ar-SA"/>
            </w:rPr>
            <w:t>第二条</w:t>
          </w:r>
          <w:r>
            <w:rPr>
              <w:rStyle w:val="11"/>
              <w:rFonts w:ascii="Times New Roman" w:hAnsi="宋体" w:eastAsia="宋体" w:cs="Times New Roman"/>
              <w:kern w:val="0"/>
              <w:sz w:val="22"/>
              <w:szCs w:val="22"/>
              <w:lang w:val="en-US" w:eastAsia="zh-CN" w:bidi="ar-SA"/>
            </w:rPr>
            <w:t xml:space="preserve">  </w:t>
          </w:r>
          <w:r>
            <w:rPr>
              <w:rStyle w:val="11"/>
              <w:rFonts w:hint="eastAsia" w:ascii="Times New Roman" w:hAnsi="宋体" w:eastAsia="宋体" w:cs="Times New Roman"/>
              <w:kern w:val="0"/>
              <w:sz w:val="22"/>
              <w:szCs w:val="22"/>
              <w:lang w:val="en-US" w:eastAsia="zh-CN" w:bidi="ar-SA"/>
            </w:rPr>
            <w:t>理财产品基本情况</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"_Toc176189755"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第三条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理财产品的认购</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_Toc176189755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"_Toc176189756"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第四条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理财产品的申购与赎回</w:t>
          </w:r>
          <w:r>
            <w:rPr>
              <w:rFonts w:ascii="Calibri" w:hAnsi="Calibri" w:eastAsia="宋体" w:cs="宋体"/>
              <w:kern w:val="0"/>
              <w:sz w:val="22"/>
              <w:szCs w:val="22"/>
              <w:lang w:val="en-US" w:eastAsia="zh-CN" w:bidi="ar-SA"/>
            </w:rPr>
            <w:tab/>
          </w:r>
          <w:bookmarkStart w:id="216" w:name="_GoBack"/>
          <w:bookmarkEnd w:id="216"/>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_Toc176189756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"_Toc176189757"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第五条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理财产品的投资</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32</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"_Toc176189758"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第六条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理财产品的资产</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_Toc176189758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35</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"_Toc176189759"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第七条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理财产品项下资产的估值</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_Toc176189759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36</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"_Toc176189760"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第八条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理财产品的利益分配</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_Toc176189760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40</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"_Toc176189761"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第九条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理财产品的费用与税收</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_Toc176189761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"_Toc176189762"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理财产品的终止与清算</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44</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"_Toc176189763"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第十一条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理财产品的信息披露</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46</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"_Toc176189764"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第十二条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理财产品的风险揭示</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50</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spacing w:line="360" w:lineRule="auto"/>
            <w:rPr>
              <w:rFonts w:ascii="Calibri" w:hAnsi="Calibri" w:eastAsia="宋体" w:cs="宋体"/>
              <w:szCs w:val="22"/>
            </w:rPr>
          </w:pPr>
          <w:r>
            <w:rPr>
              <w:rFonts w:ascii="Calibri" w:hAnsi="Calibri" w:eastAsia="宋体" w:cs="宋体"/>
              <w:szCs w:val="22"/>
            </w:rPr>
            <w:fldChar w:fldCharType="end"/>
          </w:r>
        </w:p>
      </w:sdtContent>
    </w:sdt>
    <w:p>
      <w:pPr>
        <w:rPr>
          <w:rFonts w:ascii="Times New Roman" w:hAnsi="Calibri" w:eastAsia="宋体" w:cs="宋体"/>
          <w:sz w:val="30"/>
          <w:szCs w:val="22"/>
        </w:rPr>
      </w:pPr>
      <w:r>
        <w:rPr>
          <w:rFonts w:ascii="Times New Roman" w:hAnsi="Calibri" w:eastAsia="宋体" w:cs="宋体"/>
          <w:sz w:val="30"/>
          <w:szCs w:val="22"/>
        </w:rPr>
        <w:br w:type="page"/>
      </w:r>
    </w:p>
    <w:p>
      <w:pPr>
        <w:keepNext/>
        <w:keepLines/>
        <w:widowControl w:val="0"/>
        <w:spacing w:before="0" w:after="0" w:line="360" w:lineRule="auto"/>
        <w:jc w:val="left"/>
        <w:outlineLvl w:val="0"/>
        <w:rPr>
          <w:rFonts w:hint="eastAsia" w:ascii="黑体" w:hAnsi="黑体" w:eastAsia="黑体" w:cs="黑体"/>
          <w:b w:val="0"/>
          <w:bCs/>
          <w:color w:val="auto"/>
          <w:kern w:val="0"/>
          <w:sz w:val="24"/>
          <w:szCs w:val="24"/>
          <w:lang w:val="en-US" w:eastAsia="zh-CN" w:bidi="ar-SA"/>
        </w:rPr>
      </w:pPr>
      <w:bookmarkStart w:id="60" w:name="_Toc176189753"/>
      <w:r>
        <w:rPr>
          <w:rFonts w:hint="eastAsia" w:ascii="黑体" w:hAnsi="黑体" w:eastAsia="黑体" w:cs="黑体"/>
          <w:b/>
          <w:bCs/>
          <w:color w:val="auto"/>
          <w:kern w:val="44"/>
          <w:sz w:val="24"/>
          <w:szCs w:val="24"/>
          <w:lang w:val="en-US" w:eastAsia="zh-CN" w:bidi="ar-SA"/>
        </w:rPr>
        <w:t>★</w:t>
      </w:r>
      <w:r>
        <w:rPr>
          <w:rFonts w:hint="eastAsia" w:ascii="黑体" w:hAnsi="黑体" w:eastAsia="黑体" w:cs="黑体"/>
          <w:b w:val="0"/>
          <w:bCs/>
          <w:color w:val="auto"/>
          <w:kern w:val="0"/>
          <w:sz w:val="24"/>
          <w:szCs w:val="24"/>
          <w:lang w:val="en-US" w:eastAsia="zh-CN" w:bidi="ar-SA"/>
        </w:rPr>
        <w:t>理财产品名称：【兴银理财稳利安盈封闭式2026年489期固收类理财产品】；理财产品登记编码：【Z7002026001143】，投资者可依据理财产品登记编码在中国理财网(www.chinawealth.com.cn）查询产品信息。</w:t>
      </w:r>
    </w:p>
    <w:p>
      <w:pPr>
        <w:rPr>
          <w:rFonts w:hint="eastAsia" w:ascii="Calibri" w:hAnsi="Calibri" w:eastAsia="宋体" w:cs="宋体"/>
          <w:szCs w:val="22"/>
          <w:lang w:val="en-US" w:eastAsia="zh-CN"/>
        </w:rPr>
      </w:pP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 xml:space="preserve">一条 </w:t>
      </w:r>
      <w:r>
        <w:rPr>
          <w:rFonts w:ascii="Times New Roman" w:hAnsi="Calibri" w:eastAsia="宋体" w:cs="宋体"/>
          <w:b/>
          <w:bCs/>
          <w:kern w:val="44"/>
          <w:sz w:val="30"/>
          <w:szCs w:val="44"/>
          <w:lang w:val="en-US" w:eastAsia="zh-CN" w:bidi="ar-SA"/>
        </w:rPr>
        <w:t xml:space="preserve"> 释义</w:t>
      </w:r>
      <w:bookmarkEnd w:id="59"/>
      <w:bookmarkEnd w:id="60"/>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（一）在本产品说明书中，除非上下文另有明确约定，下列用词</w:t>
      </w:r>
      <w:r>
        <w:rPr>
          <w:rFonts w:cs="宋体" w:asciiTheme="majorEastAsia" w:hAnsiTheme="majorEastAsia" w:eastAsiaTheme="majorEastAsia"/>
          <w:bCs/>
          <w:color w:val="auto"/>
          <w:sz w:val="18"/>
          <w:szCs w:val="18"/>
          <w:lang w:val="en-US" w:eastAsia="zh-CN" w:bidi="ar-SA"/>
        </w:rPr>
        <w:t>或简称</w:t>
      </w:r>
      <w:r>
        <w:rPr>
          <w:rFonts w:hint="eastAsia" w:cs="宋体" w:asciiTheme="majorEastAsia" w:hAnsiTheme="majorEastAsia" w:eastAsiaTheme="majorEastAsia"/>
          <w:bCs/>
          <w:color w:val="auto"/>
          <w:sz w:val="18"/>
          <w:szCs w:val="18"/>
          <w:lang w:val="en-US" w:eastAsia="zh-CN" w:bidi="ar-SA"/>
        </w:rPr>
        <w:t>具有如下含义：</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1.</w:t>
      </w:r>
      <w:r>
        <w:rPr>
          <w:rFonts w:hint="eastAsia" w:cs="宋体" w:asciiTheme="majorEastAsia" w:hAnsiTheme="majorEastAsia" w:eastAsiaTheme="majorEastAsia"/>
          <w:b/>
          <w:bCs/>
          <w:color w:val="auto"/>
          <w:sz w:val="18"/>
          <w:szCs w:val="18"/>
          <w:lang w:val="en-US" w:eastAsia="zh-CN" w:bidi="ar-SA"/>
        </w:rPr>
        <w:t>参与主体用语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hint="eastAsia"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hint="eastAsia" w:ascii="黑体" w:hAnsi="黑体" w:eastAsia="黑体" w:cs="宋体"/>
          <w:bCs/>
          <w:color w:val="auto"/>
          <w:sz w:val="18"/>
          <w:szCs w:val="18"/>
          <w:lang w:val="en-US" w:eastAsia="zh-CN" w:bidi="ar-SA"/>
        </w:rPr>
        <w:t>管理人</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产品管理人/理财产品</w:t>
      </w:r>
      <w:r>
        <w:rPr>
          <w:rFonts w:ascii="黑体" w:hAnsi="黑体" w:eastAsia="黑体" w:cs="宋体"/>
          <w:bCs/>
          <w:color w:val="auto"/>
          <w:sz w:val="18"/>
          <w:szCs w:val="18"/>
          <w:lang w:val="en-US" w:eastAsia="zh-CN" w:bidi="ar-SA"/>
        </w:rPr>
        <w:t>管理人</w:t>
      </w:r>
      <w:r>
        <w:rPr>
          <w:rFonts w:hint="eastAsia" w:ascii="黑体" w:hAnsi="黑体" w:eastAsia="黑体" w:cs="宋体"/>
          <w:bCs/>
          <w:color w:val="auto"/>
          <w:sz w:val="18"/>
          <w:szCs w:val="18"/>
          <w:lang w:val="en-US" w:eastAsia="zh-CN" w:bidi="ar-SA"/>
        </w:rPr>
        <w:t>：指兴银理财有限责任公司（以下简称</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兴银理财</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hint="eastAsia" w:ascii="黑体" w:hAnsi="黑体" w:eastAsia="黑体" w:cs="宋体"/>
          <w:bCs/>
          <w:color w:val="auto"/>
          <w:sz w:val="18"/>
          <w:szCs w:val="18"/>
          <w:lang w:val="en-US" w:eastAsia="zh-CN" w:bidi="ar-SA"/>
        </w:rPr>
      </w:pPr>
      <w:r>
        <w:rPr>
          <w:rFonts w:hint="eastAsia" w:ascii="黑体" w:hAnsi="黑体" w:eastAsia="黑体" w:cs="宋体"/>
          <w:bCs/>
          <w:color w:val="auto"/>
          <w:sz w:val="18"/>
          <w:szCs w:val="18"/>
          <w:lang w:val="en-US" w:eastAsia="zh-CN" w:bidi="ar-SA"/>
        </w:rPr>
        <w:t>兴银理财是兴业银行股份有限公司全资控股的银行理财子公司，作为产品管理人其主要职责为按照理财产品销售文件约定，履行投资、资产管理、信息披露以及监管规定的其他职责。</w:t>
      </w:r>
    </w:p>
    <w:p>
      <w:pPr>
        <w:widowControl w:val="0"/>
        <w:numPr>
          <w:ilvl w:val="0"/>
          <w:numId w:val="1"/>
        </w:numPr>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托管人</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托管人/理财产品</w:t>
      </w:r>
      <w:r>
        <w:rPr>
          <w:rFonts w:cs="宋体" w:asciiTheme="majorEastAsia" w:hAnsiTheme="majorEastAsia" w:eastAsiaTheme="majorEastAsia"/>
          <w:bCs/>
          <w:color w:val="auto"/>
          <w:sz w:val="18"/>
          <w:szCs w:val="18"/>
          <w:lang w:val="en-US" w:eastAsia="zh-CN" w:bidi="ar-SA"/>
        </w:rPr>
        <w:t>托管人</w:t>
      </w:r>
      <w:r>
        <w:rPr>
          <w:rFonts w:hint="eastAsia" w:cs="宋体" w:asciiTheme="majorEastAsia" w:hAnsiTheme="majorEastAsia" w:eastAsiaTheme="majorEastAsia"/>
          <w:bCs/>
          <w:color w:val="auto"/>
          <w:sz w:val="18"/>
          <w:szCs w:val="18"/>
          <w:lang w:val="en-US" w:eastAsia="zh-CN" w:bidi="ar-SA"/>
        </w:rPr>
        <w:t>：指兴业银行股份有限公司（以下简称“兴业银行”）。兴业银行成立于1988年，于2005年开展资产托管业务，具备理财产品托管资格。托管人负责履行安全保管理财产品资金及其所投资的资产，办理清算、交割事宜，与管理人对账，监督理财产品投资运作等职责。</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产品托管人主要职责为根据法律法规规定和托管合同约定，为托管产品提供账户开立、财产保管、清算交割、会计核算、资产估值、信息披露、投资监督等服务。</w:t>
      </w:r>
    </w:p>
    <w:p>
      <w:pPr>
        <w:widowControl w:val="0"/>
        <w:numPr>
          <w:ilvl w:val="0"/>
          <w:numId w:val="2"/>
        </w:numPr>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ascii="黑体" w:hAnsi="黑体" w:eastAsia="黑体" w:cs="宋体"/>
          <w:bCs/>
          <w:color w:val="auto"/>
          <w:sz w:val="18"/>
          <w:szCs w:val="18"/>
          <w:lang w:val="en-US" w:eastAsia="zh-CN" w:bidi="ar-SA"/>
        </w:rPr>
        <w:t>★销售机构：</w:t>
      </w:r>
      <w:r>
        <w:rPr>
          <w:rFonts w:hint="eastAsia" w:cs="宋体" w:asciiTheme="majorEastAsia" w:hAnsiTheme="majorEastAsia" w:eastAsiaTheme="majorEastAsia"/>
          <w:bCs/>
          <w:color w:val="auto"/>
          <w:sz w:val="18"/>
          <w:szCs w:val="18"/>
          <w:lang w:val="en-US" w:eastAsia="zh-CN" w:bidi="ar-SA"/>
        </w:rPr>
        <w:t>指具备理财产品销售资格的机构。按是否销售本公司发行的理财产品，销售机构可分为直销机构和代销机构，其中：直销机构指销售本公司发行理财产品的理财公司，代销机构指接受理财公司委托销售理财产品的代理销售机构。</w:t>
      </w:r>
    </w:p>
    <w:p>
      <w:pPr>
        <w:widowControl w:val="0"/>
        <w:numPr>
          <w:ilvl w:val="0"/>
          <w:numId w:val="0"/>
        </w:numPr>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销售机构主要职责为向投资者宣传推介理财产品、为投资者办理理财产品认购/申购（如有）/赎回（如有）、投资者风险承受能力评和投资者适当性管理、协助管理人与投资者沟通及进行信息披露、客户维护以及监管规定的其他职责等。</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4）</w:t>
      </w:r>
      <w:r>
        <w:rPr>
          <w:rFonts w:hint="eastAsia" w:cs="宋体" w:asciiTheme="majorEastAsia" w:hAnsiTheme="majorEastAsia" w:eastAsiaTheme="majorEastAsia"/>
          <w:bCs/>
          <w:color w:val="000000"/>
          <w:sz w:val="18"/>
          <w:szCs w:val="18"/>
          <w:lang w:val="en-US" w:eastAsia="zh-CN" w:bidi="ar-SA"/>
        </w:rPr>
        <w:t>投资者：指符合相关法律法规、监管规定要求的，可以购买理财产品份额的自然人、法人或者依法成立的其他组织。</w:t>
      </w:r>
      <w:r>
        <w:rPr>
          <w:rFonts w:cs="宋体" w:asciiTheme="majorEastAsia" w:hAnsiTheme="majorEastAsia" w:eastAsiaTheme="majorEastAsia"/>
          <w:bCs/>
          <w:color w:val="000000"/>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（5）合格投资者：合格投资者是指具备相应风险识别能力和风险承受能力，投资于单只理财产品不低于一定金额且符合下列条件的自然人、法人或者依法成立的其他组织：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cs="宋体" w:asciiTheme="majorEastAsia" w:hAnsiTheme="majorEastAsia" w:eastAsiaTheme="majorEastAsia"/>
          <w:bCs/>
          <w:color w:val="000000"/>
          <w:sz w:val="18"/>
          <w:szCs w:val="18"/>
          <w:lang w:val="en-US" w:eastAsia="zh-CN" w:bidi="ar-SA"/>
        </w:rPr>
        <w:t>1</w:t>
      </w: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 xml:space="preserve"> </w:t>
      </w:r>
      <w:r>
        <w:rPr>
          <w:rFonts w:hint="eastAsia" w:cs="宋体" w:asciiTheme="majorEastAsia" w:hAnsiTheme="majorEastAsia" w:eastAsiaTheme="majorEastAsia"/>
          <w:bCs/>
          <w:color w:val="000000"/>
          <w:sz w:val="18"/>
          <w:szCs w:val="18"/>
          <w:lang w:val="en-US" w:eastAsia="zh-CN" w:bidi="ar-SA"/>
        </w:rPr>
        <w:t>具有</w:t>
      </w:r>
      <w:r>
        <w:rPr>
          <w:rFonts w:cs="宋体" w:asciiTheme="majorEastAsia" w:hAnsiTheme="majorEastAsia" w:eastAsiaTheme="majorEastAsia"/>
          <w:bCs/>
          <w:color w:val="000000"/>
          <w:sz w:val="18"/>
          <w:szCs w:val="18"/>
          <w:lang w:val="en-US" w:eastAsia="zh-CN" w:bidi="ar-SA"/>
        </w:rPr>
        <w:t>2年以上投资经历，且满足家庭金融净资产不低于300万元人民币，或者家庭金融资产不低于500万元人民币，或者近3年本人年均收入不低于40万元人民币；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2）最近</w:t>
      </w:r>
      <w:r>
        <w:rPr>
          <w:rFonts w:cs="宋体" w:asciiTheme="majorEastAsia" w:hAnsiTheme="majorEastAsia" w:eastAsiaTheme="majorEastAsia"/>
          <w:bCs/>
          <w:color w:val="000000"/>
          <w:sz w:val="18"/>
          <w:szCs w:val="18"/>
          <w:lang w:val="en-US" w:eastAsia="zh-CN" w:bidi="ar-SA"/>
        </w:rPr>
        <w:t>1年末净资产不低于1000万元人民币的法人或者依法成立的其他组织；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3）国务院银行业监督管理机构规定的其他情形。</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（6）专业投资者：根据监管规定，指符合下列条件之一的投资者：</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1）银行业金融机构、保险业金融机构、金融控股公司、证券基金期货经营机构、私募基金管理人；</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2）上述机构面向投资者发行的金融产品，信托公司管理的资产服务信托、公益慈善信托；</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3）社会保障基金、企业年金、职业年金等养老基金，慈善基金等社会公益基金，合格境外机构投资者（QFII）、人民币合格境外机构投资者（RQFII）。</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（7）普通投资者：专业投资者之外的投资者为普通投资者。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（8）全国银行业理财信息登记系统：指供商业银行及商业银行理财公司进行理财产品电子化报告和信息登记的电子信息系统。</w:t>
      </w:r>
    </w:p>
    <w:p>
      <w:pPr>
        <w:widowControl w:val="0"/>
        <w:autoSpaceDE w:val="0"/>
        <w:autoSpaceDN w:val="0"/>
        <w:adjustRightInd w:val="0"/>
        <w:spacing w:line="360" w:lineRule="auto"/>
        <w:ind w:firstLine="361"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2. </w:t>
      </w:r>
      <w:r>
        <w:rPr>
          <w:rFonts w:hint="eastAsia" w:cs="宋体" w:asciiTheme="majorEastAsia" w:hAnsiTheme="majorEastAsia" w:eastAsiaTheme="majorEastAsia"/>
          <w:b/>
          <w:bCs/>
          <w:color w:val="auto"/>
          <w:sz w:val="18"/>
          <w:szCs w:val="18"/>
          <w:lang w:val="en-US" w:eastAsia="zh-CN" w:bidi="ar-SA"/>
        </w:rPr>
        <w:t>法律文件用语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1）</w:t>
      </w:r>
      <w:r>
        <w:rPr>
          <w:rFonts w:hint="eastAsia" w:cs="宋体" w:asciiTheme="majorEastAsia" w:hAnsiTheme="majorEastAsia" w:eastAsiaTheme="majorEastAsia"/>
          <w:bCs/>
          <w:color w:val="000000"/>
          <w:sz w:val="18"/>
          <w:szCs w:val="18"/>
          <w:lang w:val="en-US" w:eastAsia="zh-CN" w:bidi="ar-SA"/>
        </w:rPr>
        <w:t>理财产品销售文件</w:t>
      </w:r>
      <w:r>
        <w:rPr>
          <w:rFonts w:cs="宋体" w:asciiTheme="majorEastAsia" w:hAnsiTheme="majorEastAsia" w:eastAsiaTheme="majorEastAsia"/>
          <w:bCs/>
          <w:color w:val="000000"/>
          <w:sz w:val="18"/>
          <w:szCs w:val="18"/>
          <w:lang w:val="en-US" w:eastAsia="zh-CN" w:bidi="ar-SA"/>
        </w:rPr>
        <w:t xml:space="preserve"> </w:t>
      </w:r>
      <w:r>
        <w:rPr>
          <w:rFonts w:hint="eastAsia" w:cs="宋体" w:asciiTheme="majorEastAsia" w:hAnsiTheme="majorEastAsia" w:eastAsiaTheme="majorEastAsia"/>
          <w:bCs/>
          <w:color w:val="000000"/>
          <w:sz w:val="18"/>
          <w:szCs w:val="18"/>
          <w:lang w:val="en-US" w:eastAsia="zh-CN" w:bidi="ar-SA"/>
        </w:rPr>
        <w:t>：指产品管理人向投资者提供的，用于描述产品特征，约定权利义务的文件。具体指《【兴银理财稳利安盈封闭式2026年489期固收类理财产品】销售文件》，包括《投资协议书》《产品说明书》《（代理）销售</w:t>
      </w:r>
      <w:r>
        <w:rPr>
          <w:rFonts w:cs="宋体" w:asciiTheme="majorEastAsia" w:hAnsiTheme="majorEastAsia" w:eastAsiaTheme="majorEastAsia"/>
          <w:bCs/>
          <w:color w:val="000000"/>
          <w:sz w:val="18"/>
          <w:szCs w:val="18"/>
          <w:lang w:val="en-US" w:eastAsia="zh-CN" w:bidi="ar-SA"/>
        </w:rPr>
        <w:t>协议书</w:t>
      </w:r>
      <w:r>
        <w:rPr>
          <w:rFonts w:hint="eastAsia" w:cs="宋体" w:asciiTheme="majorEastAsia" w:hAnsiTheme="majorEastAsia" w:eastAsiaTheme="majorEastAsia"/>
          <w:bCs/>
          <w:color w:val="000000"/>
          <w:sz w:val="18"/>
          <w:szCs w:val="18"/>
          <w:lang w:val="en-US" w:eastAsia="zh-CN" w:bidi="ar-SA"/>
        </w:rPr>
        <w:t>》《风险揭示书》《投资者权益须知》以及对该文件的有效修改或补充。上述文件共同构成一份完整且不可分割的理财产品销售文件。经</w:t>
      </w:r>
      <w:r>
        <w:rPr>
          <w:rFonts w:cs="宋体" w:asciiTheme="majorEastAsia" w:hAnsiTheme="majorEastAsia" w:eastAsiaTheme="majorEastAsia"/>
          <w:bCs/>
          <w:color w:val="000000"/>
          <w:sz w:val="18"/>
          <w:szCs w:val="18"/>
          <w:lang w:val="en-US" w:eastAsia="zh-CN" w:bidi="ar-SA"/>
        </w:rPr>
        <w:t>产品</w:t>
      </w:r>
      <w:r>
        <w:rPr>
          <w:rFonts w:hint="eastAsia" w:cs="宋体" w:asciiTheme="majorEastAsia" w:hAnsiTheme="majorEastAsia" w:eastAsiaTheme="majorEastAsia"/>
          <w:bCs/>
          <w:color w:val="000000"/>
          <w:sz w:val="18"/>
          <w:szCs w:val="18"/>
          <w:lang w:val="en-US" w:eastAsia="zh-CN" w:bidi="ar-SA"/>
        </w:rPr>
        <w:t>管理人</w:t>
      </w:r>
      <w:r>
        <w:rPr>
          <w:rFonts w:cs="宋体" w:asciiTheme="majorEastAsia" w:hAnsiTheme="majorEastAsia" w:eastAsiaTheme="majorEastAsia"/>
          <w:bCs/>
          <w:color w:val="000000"/>
          <w:sz w:val="18"/>
          <w:szCs w:val="18"/>
          <w:lang w:val="en-US" w:eastAsia="zh-CN" w:bidi="ar-SA"/>
        </w:rPr>
        <w:t>委托，代理销售机构可以编制</w:t>
      </w:r>
      <w:r>
        <w:rPr>
          <w:rFonts w:hint="eastAsia" w:cs="宋体" w:asciiTheme="majorEastAsia" w:hAnsiTheme="majorEastAsia" w:eastAsiaTheme="majorEastAsia"/>
          <w:bCs/>
          <w:color w:val="000000"/>
          <w:sz w:val="18"/>
          <w:szCs w:val="18"/>
          <w:lang w:val="en-US" w:eastAsia="zh-CN" w:bidi="ar-SA"/>
        </w:rPr>
        <w:t>《（代理）销售</w:t>
      </w:r>
      <w:r>
        <w:rPr>
          <w:rFonts w:cs="宋体" w:asciiTheme="majorEastAsia" w:hAnsiTheme="majorEastAsia" w:eastAsiaTheme="majorEastAsia"/>
          <w:bCs/>
          <w:color w:val="000000"/>
          <w:sz w:val="18"/>
          <w:szCs w:val="18"/>
          <w:lang w:val="en-US" w:eastAsia="zh-CN" w:bidi="ar-SA"/>
        </w:rPr>
        <w:t>协议书</w:t>
      </w:r>
      <w:r>
        <w:rPr>
          <w:rFonts w:hint="eastAsia" w:cs="宋体" w:asciiTheme="majorEastAsia" w:hAnsiTheme="majorEastAsia" w:eastAsiaTheme="majorEastAsia"/>
          <w:bCs/>
          <w:color w:val="000000"/>
          <w:sz w:val="18"/>
          <w:szCs w:val="18"/>
          <w:lang w:val="en-US" w:eastAsia="zh-CN" w:bidi="ar-SA"/>
        </w:rPr>
        <w:t>》《风险揭示书》《投资者权益须知》。</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2）</w:t>
      </w:r>
      <w:r>
        <w:rPr>
          <w:rFonts w:hint="eastAsia" w:cs="宋体" w:asciiTheme="majorEastAsia" w:hAnsiTheme="majorEastAsia" w:eastAsiaTheme="majorEastAsia"/>
          <w:bCs/>
          <w:color w:val="000000"/>
          <w:sz w:val="18"/>
          <w:szCs w:val="18"/>
          <w:lang w:val="en-US" w:eastAsia="zh-CN" w:bidi="ar-SA"/>
        </w:rPr>
        <w:t>《投资协议书》：指管理人统一编制的《【兴银理财稳利安盈封闭式2026年489期固收类理财产品】投资协议书》，以及对该文件的有效修改或补充。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3</w:t>
      </w:r>
      <w:r>
        <w:rPr>
          <w:rFonts w:hint="eastAsia" w:cs="宋体" w:asciiTheme="majorEastAsia" w:hAnsiTheme="majorEastAsia" w:eastAsiaTheme="majorEastAsia"/>
          <w:bCs/>
          <w:color w:val="000000"/>
          <w:sz w:val="18"/>
          <w:szCs w:val="18"/>
          <w:lang w:val="en-US" w:eastAsia="zh-CN" w:bidi="ar-SA"/>
        </w:rPr>
        <w:t>）《产品说明书》：指管理人统一编制的《【兴银理财稳利安盈封闭式2026年489期固收类理财产品】产品说明书》，以及对该文件的有效修改或补充。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（4）《（代理）销售协议书》：指管理人统一编制的《【兴银理财稳利安盈封闭式2026年489期固收类理财产品】（代理）销售协议书》或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w:t>
      </w:r>
      <w:r>
        <w:rPr>
          <w:rFonts w:cs="宋体" w:asciiTheme="majorEastAsia" w:hAnsiTheme="majorEastAsia" w:eastAsiaTheme="majorEastAsia"/>
          <w:bCs/>
          <w:color w:val="000000"/>
          <w:sz w:val="18"/>
          <w:szCs w:val="18"/>
          <w:lang w:val="en-US" w:eastAsia="zh-CN" w:bidi="ar-SA"/>
        </w:rPr>
        <w:t>编制</w:t>
      </w:r>
      <w:r>
        <w:rPr>
          <w:rFonts w:hint="eastAsia" w:cs="宋体" w:asciiTheme="majorEastAsia" w:hAnsiTheme="majorEastAsia" w:eastAsiaTheme="majorEastAsia"/>
          <w:bCs/>
          <w:color w:val="000000"/>
          <w:sz w:val="18"/>
          <w:szCs w:val="18"/>
          <w:lang w:val="en-US" w:eastAsia="zh-CN" w:bidi="ar-SA"/>
        </w:rPr>
        <w:t>的《【兴银理财稳利安盈封闭式2026年489期固收类理财产品】（代理）销售协议书》（文件名称以代理销售机构实际编制为准），以及对该文件的有效修改或补充。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5</w:t>
      </w:r>
      <w:r>
        <w:rPr>
          <w:rFonts w:hint="eastAsia" w:cs="宋体" w:asciiTheme="majorEastAsia" w:hAnsiTheme="majorEastAsia" w:eastAsiaTheme="majorEastAsia"/>
          <w:bCs/>
          <w:color w:val="000000"/>
          <w:sz w:val="18"/>
          <w:szCs w:val="18"/>
          <w:lang w:val="en-US" w:eastAsia="zh-CN" w:bidi="ar-SA"/>
        </w:rPr>
        <w:t>）《风险揭示书》：指管理人统一编制的《【兴银理财稳利安盈封闭式2026年489期固收类理财产品】风险揭示书》或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w:t>
      </w:r>
      <w:r>
        <w:rPr>
          <w:rFonts w:cs="宋体" w:asciiTheme="majorEastAsia" w:hAnsiTheme="majorEastAsia" w:eastAsiaTheme="majorEastAsia"/>
          <w:bCs/>
          <w:color w:val="000000"/>
          <w:sz w:val="18"/>
          <w:szCs w:val="18"/>
          <w:lang w:val="en-US" w:eastAsia="zh-CN" w:bidi="ar-SA"/>
        </w:rPr>
        <w:t>编制</w:t>
      </w:r>
      <w:r>
        <w:rPr>
          <w:rFonts w:hint="eastAsia" w:cs="宋体" w:asciiTheme="majorEastAsia" w:hAnsiTheme="majorEastAsia" w:eastAsiaTheme="majorEastAsia"/>
          <w:bCs/>
          <w:color w:val="000000"/>
          <w:sz w:val="18"/>
          <w:szCs w:val="18"/>
          <w:lang w:val="en-US" w:eastAsia="zh-CN" w:bidi="ar-SA"/>
        </w:rPr>
        <w:t>的《【兴银理财稳利安盈封闭式2026年489期固收类理财产品】风险揭示书》（文件名称以代理销售机构实际编制为准），以及对该文件的有效修改或补充。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6</w:t>
      </w:r>
      <w:r>
        <w:rPr>
          <w:rFonts w:hint="eastAsia" w:cs="宋体" w:asciiTheme="majorEastAsia" w:hAnsiTheme="majorEastAsia" w:eastAsiaTheme="majorEastAsia"/>
          <w:bCs/>
          <w:color w:val="000000"/>
          <w:sz w:val="18"/>
          <w:szCs w:val="18"/>
          <w:lang w:val="en-US" w:eastAsia="zh-CN" w:bidi="ar-SA"/>
        </w:rPr>
        <w:t>）《投资者权益须知》：指管理人统一编制的《【兴银理财稳利安盈封闭式2026年489期固收类理财产品】投资者权益须知》或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自行编制</w:t>
      </w:r>
      <w:r>
        <w:rPr>
          <w:rFonts w:cs="宋体" w:asciiTheme="majorEastAsia" w:hAnsiTheme="majorEastAsia" w:eastAsiaTheme="majorEastAsia"/>
          <w:bCs/>
          <w:color w:val="000000"/>
          <w:sz w:val="18"/>
          <w:szCs w:val="18"/>
          <w:lang w:val="en-US" w:eastAsia="zh-CN" w:bidi="ar-SA"/>
        </w:rPr>
        <w:t>的</w:t>
      </w:r>
      <w:r>
        <w:rPr>
          <w:rFonts w:hint="eastAsia" w:cs="宋体" w:asciiTheme="majorEastAsia" w:hAnsiTheme="majorEastAsia" w:eastAsiaTheme="majorEastAsia"/>
          <w:bCs/>
          <w:color w:val="000000"/>
          <w:sz w:val="18"/>
          <w:szCs w:val="18"/>
          <w:lang w:val="en-US" w:eastAsia="zh-CN" w:bidi="ar-SA"/>
        </w:rPr>
        <w:t>《【兴银理财稳利安盈封闭式2026年489期固收类理财产品】投资者权益须知》（文件名称以代理销售机构实际编制为准），以及对该文件的有效修改或补充。</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3. </w:t>
      </w:r>
      <w:r>
        <w:rPr>
          <w:rFonts w:hint="eastAsia" w:cs="宋体" w:asciiTheme="majorEastAsia" w:hAnsiTheme="majorEastAsia" w:eastAsiaTheme="majorEastAsia"/>
          <w:b/>
          <w:bCs/>
          <w:color w:val="auto"/>
          <w:sz w:val="18"/>
          <w:szCs w:val="18"/>
          <w:lang w:val="en-US" w:eastAsia="zh-CN" w:bidi="ar-SA"/>
        </w:rPr>
        <w:t>理财产品用语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1）理财产品登记编码：指本款理财产品</w:t>
      </w:r>
      <w:r>
        <w:rPr>
          <w:rFonts w:hint="eastAsia" w:cs="宋体" w:asciiTheme="majorEastAsia" w:hAnsiTheme="majorEastAsia" w:eastAsiaTheme="majorEastAsia"/>
          <w:bCs/>
          <w:color w:val="auto"/>
          <w:sz w:val="18"/>
          <w:szCs w:val="18"/>
          <w:lang w:val="en-US" w:eastAsia="zh-CN" w:bidi="ar-SA"/>
        </w:rPr>
        <w:t>在全国银行业理财信息登记系统</w:t>
      </w:r>
      <w:r>
        <w:rPr>
          <w:rFonts w:cs="宋体" w:asciiTheme="majorEastAsia" w:hAnsiTheme="majorEastAsia" w:eastAsiaTheme="majorEastAsia"/>
          <w:bCs/>
          <w:color w:val="auto"/>
          <w:sz w:val="18"/>
          <w:szCs w:val="18"/>
          <w:lang w:val="en-US" w:eastAsia="zh-CN" w:bidi="ar-SA"/>
        </w:rPr>
        <w:t>对理财产品进行信息登记后</w:t>
      </w:r>
      <w:r>
        <w:rPr>
          <w:rFonts w:hint="eastAsia" w:cs="宋体" w:asciiTheme="majorEastAsia" w:hAnsiTheme="majorEastAsia" w:eastAsiaTheme="majorEastAsia"/>
          <w:bCs/>
          <w:color w:val="auto"/>
          <w:sz w:val="18"/>
          <w:szCs w:val="18"/>
          <w:lang w:val="en-US" w:eastAsia="zh-CN" w:bidi="ar-SA"/>
        </w:rPr>
        <w:t>，由全国银行业理财信息登记系统发放的唯一性的理财产品编码。投资者可依据登记编码在中国理财网（w</w:t>
      </w:r>
      <w:r>
        <w:rPr>
          <w:rFonts w:cs="宋体" w:asciiTheme="majorEastAsia" w:hAnsiTheme="majorEastAsia" w:eastAsiaTheme="majorEastAsia"/>
          <w:bCs/>
          <w:color w:val="auto"/>
          <w:sz w:val="18"/>
          <w:szCs w:val="18"/>
          <w:lang w:val="en-US" w:eastAsia="zh-CN" w:bidi="ar-SA"/>
        </w:rPr>
        <w:t>ww.chinawealth.com.cn</w:t>
      </w:r>
      <w:r>
        <w:rPr>
          <w:rFonts w:hint="eastAsia" w:cs="宋体" w:asciiTheme="majorEastAsia" w:hAnsiTheme="majorEastAsia" w:eastAsiaTheme="majorEastAsia"/>
          <w:bCs/>
          <w:color w:val="auto"/>
          <w:sz w:val="18"/>
          <w:szCs w:val="18"/>
          <w:lang w:val="en-US" w:eastAsia="zh-CN" w:bidi="ar-SA"/>
        </w:rPr>
        <w:t>）查询产品信息。</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2）理财</w:t>
      </w:r>
      <w:r>
        <w:rPr>
          <w:rFonts w:hint="eastAsia" w:cs="宋体" w:asciiTheme="majorEastAsia" w:hAnsiTheme="majorEastAsia" w:eastAsiaTheme="majorEastAsia"/>
          <w:bCs/>
          <w:color w:val="auto"/>
          <w:sz w:val="18"/>
          <w:szCs w:val="18"/>
          <w:lang w:val="en-US" w:eastAsia="zh-CN" w:bidi="ar-SA"/>
        </w:rPr>
        <w:t>产品代码</w:t>
      </w:r>
      <w:r>
        <w:rPr>
          <w:rFonts w:cs="宋体" w:asciiTheme="majorEastAsia" w:hAnsiTheme="majorEastAsia" w:eastAsiaTheme="majorEastAsia"/>
          <w:bCs/>
          <w:color w:val="auto"/>
          <w:sz w:val="18"/>
          <w:szCs w:val="18"/>
          <w:lang w:val="en-US" w:eastAsia="zh-CN" w:bidi="ar-SA"/>
        </w:rPr>
        <w:t>/产品代码</w:t>
      </w:r>
      <w:r>
        <w:rPr>
          <w:rFonts w:hint="eastAsia" w:cs="宋体" w:asciiTheme="majorEastAsia" w:hAnsiTheme="majorEastAsia" w:eastAsiaTheme="majorEastAsia"/>
          <w:bCs/>
          <w:color w:val="auto"/>
          <w:sz w:val="18"/>
          <w:szCs w:val="18"/>
          <w:lang w:val="en-US" w:eastAsia="zh-CN" w:bidi="ar-SA"/>
        </w:rPr>
        <w:t>：指产品管理人在全国银行业理财信息登记系统中为理财产品设置的内部识别码。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（3）理财产品份额代码/份额代码</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指本款理财产品若设置不同</w:t>
      </w:r>
      <w:r>
        <w:rPr>
          <w:rFonts w:cs="宋体" w:asciiTheme="majorEastAsia" w:hAnsiTheme="majorEastAsia" w:eastAsiaTheme="majorEastAsia"/>
          <w:bCs/>
          <w:color w:val="auto"/>
          <w:sz w:val="18"/>
          <w:szCs w:val="18"/>
          <w:lang w:val="en-US" w:eastAsia="zh-CN" w:bidi="ar-SA"/>
        </w:rPr>
        <w:t>产品份额类别</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为</w:t>
      </w:r>
      <w:r>
        <w:rPr>
          <w:rFonts w:hint="eastAsia" w:cs="宋体" w:asciiTheme="majorEastAsia" w:hAnsiTheme="majorEastAsia" w:eastAsiaTheme="majorEastAsia"/>
          <w:bCs/>
          <w:color w:val="auto"/>
          <w:sz w:val="18"/>
          <w:szCs w:val="18"/>
          <w:lang w:val="en-US" w:eastAsia="zh-CN" w:bidi="ar-SA"/>
        </w:rPr>
        <w:t>在理财产品销售管理</w:t>
      </w:r>
      <w:r>
        <w:rPr>
          <w:rFonts w:cs="宋体" w:asciiTheme="majorEastAsia" w:hAnsiTheme="majorEastAsia" w:eastAsiaTheme="majorEastAsia"/>
          <w:bCs/>
          <w:color w:val="auto"/>
          <w:sz w:val="18"/>
          <w:szCs w:val="18"/>
          <w:lang w:val="en-US" w:eastAsia="zh-CN" w:bidi="ar-SA"/>
        </w:rPr>
        <w:t>过程中</w:t>
      </w:r>
      <w:r>
        <w:rPr>
          <w:rFonts w:hint="eastAsia" w:cs="宋体" w:asciiTheme="majorEastAsia" w:hAnsiTheme="majorEastAsia" w:eastAsiaTheme="majorEastAsia"/>
          <w:bCs/>
          <w:color w:val="auto"/>
          <w:sz w:val="18"/>
          <w:szCs w:val="18"/>
          <w:lang w:val="en-US" w:eastAsia="zh-CN" w:bidi="ar-SA"/>
        </w:rPr>
        <w:t>区分不同产品份额类别，管理人</w:t>
      </w:r>
      <w:r>
        <w:rPr>
          <w:rFonts w:cs="宋体" w:asciiTheme="majorEastAsia" w:hAnsiTheme="majorEastAsia" w:eastAsiaTheme="majorEastAsia"/>
          <w:bCs/>
          <w:color w:val="auto"/>
          <w:sz w:val="18"/>
          <w:szCs w:val="18"/>
          <w:lang w:val="en-US" w:eastAsia="zh-CN" w:bidi="ar-SA"/>
        </w:rPr>
        <w:t>在同一</w:t>
      </w:r>
      <w:r>
        <w:rPr>
          <w:rFonts w:hint="eastAsia" w:cs="宋体" w:asciiTheme="majorEastAsia" w:hAnsiTheme="majorEastAsia" w:eastAsiaTheme="majorEastAsia"/>
          <w:bCs/>
          <w:color w:val="auto"/>
          <w:sz w:val="18"/>
          <w:szCs w:val="18"/>
          <w:lang w:val="en-US" w:eastAsia="zh-CN" w:bidi="ar-SA"/>
        </w:rPr>
        <w:t>理财</w:t>
      </w:r>
      <w:r>
        <w:rPr>
          <w:rFonts w:cs="宋体" w:asciiTheme="majorEastAsia" w:hAnsiTheme="majorEastAsia" w:eastAsiaTheme="majorEastAsia"/>
          <w:bCs/>
          <w:color w:val="auto"/>
          <w:sz w:val="18"/>
          <w:szCs w:val="18"/>
          <w:lang w:val="en-US" w:eastAsia="zh-CN" w:bidi="ar-SA"/>
        </w:rPr>
        <w:t>产品代码项下</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为每类份额类别设置的唯一性</w:t>
      </w:r>
      <w:r>
        <w:rPr>
          <w:rFonts w:hint="eastAsia" w:cs="宋体" w:asciiTheme="majorEastAsia" w:hAnsiTheme="majorEastAsia" w:eastAsiaTheme="majorEastAsia"/>
          <w:bCs/>
          <w:color w:val="auto"/>
          <w:sz w:val="18"/>
          <w:szCs w:val="18"/>
          <w:lang w:val="en-US" w:eastAsia="zh-CN" w:bidi="ar-SA"/>
        </w:rPr>
        <w:t>内部识别码。若本款理财产品不设置差异化产品份额类别，理财产品代码即为理财产品份额代码。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（4）理财产品风险等级：理财产品风险等级为产品管理人和销售机构经过审慎评估后确定的产品风险等级。</w:t>
      </w:r>
      <w:r>
        <w:rPr>
          <w:rFonts w:hint="eastAsia" w:cs="宋体" w:asciiTheme="majorEastAsia" w:hAnsiTheme="majorEastAsia" w:eastAsiaTheme="majorEastAsia"/>
          <w:bCs/>
          <w:color w:val="000000"/>
          <w:sz w:val="18"/>
          <w:szCs w:val="18"/>
          <w:lang w:val="en-US" w:eastAsia="zh-CN" w:bidi="ar-SA"/>
        </w:rPr>
        <w:t>若</w:t>
      </w:r>
      <w:r>
        <w:rPr>
          <w:rFonts w:cs="宋体" w:asciiTheme="majorEastAsia" w:hAnsiTheme="majorEastAsia" w:eastAsiaTheme="majorEastAsia"/>
          <w:bCs/>
          <w:color w:val="000000"/>
          <w:sz w:val="18"/>
          <w:szCs w:val="18"/>
          <w:lang w:val="en-US" w:eastAsia="zh-CN" w:bidi="ar-SA"/>
        </w:rPr>
        <w:t>理财</w:t>
      </w:r>
      <w:r>
        <w:rPr>
          <w:rFonts w:hint="eastAsia" w:cs="宋体" w:asciiTheme="majorEastAsia" w:hAnsiTheme="majorEastAsia" w:eastAsiaTheme="majorEastAsia"/>
          <w:bCs/>
          <w:color w:val="000000"/>
          <w:sz w:val="18"/>
          <w:szCs w:val="18"/>
          <w:lang w:val="en-US" w:eastAsia="zh-CN" w:bidi="ar-SA"/>
        </w:rPr>
        <w:t>产品通过代理销售机构销售的，理财产品评级以代理销售机构最终披露的评级结果为准。产品管理人和代理销售机构对理财产品的风险等级评估结果不一致时，代理销售机构应采用对应较高风险的评级结果。</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（5）投资者风险承受能力评估：指销售机构对理财投资者的风险承受能力进行评价的过程。</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6</w:t>
      </w:r>
      <w:r>
        <w:rPr>
          <w:rFonts w:hint="eastAsia" w:cs="宋体" w:asciiTheme="majorEastAsia" w:hAnsiTheme="majorEastAsia" w:eastAsiaTheme="majorEastAsia"/>
          <w:bCs/>
          <w:color w:val="auto"/>
          <w:sz w:val="18"/>
          <w:szCs w:val="18"/>
          <w:lang w:val="en-US" w:eastAsia="zh-CN" w:bidi="ar-SA"/>
        </w:rPr>
        <w:t>）适合投资者：指适合购买</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产品的投资者类型。</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7</w:t>
      </w:r>
      <w:r>
        <w:rPr>
          <w:rFonts w:hint="eastAsia" w:cs="宋体" w:asciiTheme="majorEastAsia" w:hAnsiTheme="majorEastAsia" w:eastAsiaTheme="majorEastAsia"/>
          <w:bCs/>
          <w:color w:val="auto"/>
          <w:sz w:val="18"/>
          <w:szCs w:val="18"/>
          <w:lang w:val="en-US" w:eastAsia="zh-CN" w:bidi="ar-SA"/>
        </w:rPr>
        <w:t>）理财产品份额/产品份额/理财份额：指投资者持有本理财产品的单位数额。投资者基于其所持有的理财产品单位数额享有理财产品利益、承担理财产品风险。理财</w:t>
      </w:r>
      <w:r>
        <w:rPr>
          <w:rFonts w:cs="宋体" w:asciiTheme="majorEastAsia" w:hAnsiTheme="majorEastAsia" w:eastAsiaTheme="majorEastAsia"/>
          <w:bCs/>
          <w:color w:val="auto"/>
          <w:sz w:val="18"/>
          <w:szCs w:val="18"/>
          <w:lang w:val="en-US" w:eastAsia="zh-CN" w:bidi="ar-SA"/>
        </w:rPr>
        <w:t>产品份额四舍五入保留2位小数</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8</w:t>
      </w:r>
      <w:r>
        <w:rPr>
          <w:rFonts w:hint="eastAsia" w:cs="宋体" w:asciiTheme="majorEastAsia" w:hAnsiTheme="majorEastAsia" w:eastAsiaTheme="majorEastAsia"/>
          <w:bCs/>
          <w:color w:val="auto"/>
          <w:sz w:val="18"/>
          <w:szCs w:val="18"/>
          <w:lang w:val="en-US" w:eastAsia="zh-CN" w:bidi="ar-SA"/>
        </w:rPr>
        <w:t>）</w:t>
      </w:r>
      <w:r>
        <w:rPr>
          <w:rFonts w:hint="eastAsia" w:ascii="宋体" w:hAnsi="宋体" w:eastAsia="宋体" w:cs="宋体"/>
          <w:color w:val="auto"/>
          <w:sz w:val="18"/>
          <w:szCs w:val="18"/>
          <w:lang w:val="en-US" w:eastAsia="zh-CN" w:bidi="ar-SA"/>
        </w:rPr>
        <w:t>理财产品资产净值/理财资产净值/产品资产净值</w:t>
      </w:r>
      <w:r>
        <w:rPr>
          <w:rFonts w:hint="eastAsia" w:cs="宋体" w:asciiTheme="majorEastAsia" w:hAnsiTheme="majorEastAsia" w:eastAsiaTheme="majorEastAsia"/>
          <w:bCs/>
          <w:color w:val="auto"/>
          <w:sz w:val="18"/>
          <w:szCs w:val="18"/>
          <w:lang w:val="en-US" w:eastAsia="zh-CN" w:bidi="ar-SA"/>
        </w:rPr>
        <w:t>：理财产品资产净值</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产品资产总值</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产品负债总值。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理财产品资产总值是指理财产品拥有的各类有价证券、银行存款、应收款项及其他资产的价值总和。</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理财产品负债总值是指理财产品运作及融资时形成的负债价值总和，包括融资资金本息、应付各项费用（包括托管费、销售服务费、固定管理费、计入负债的业绩报酬、其他费用等）、应付税金及其他应付款项等。</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9</w:t>
      </w:r>
      <w:r>
        <w:rPr>
          <w:rFonts w:hint="eastAsia" w:cs="宋体" w:asciiTheme="majorEastAsia" w:hAnsiTheme="majorEastAsia" w:eastAsiaTheme="majorEastAsia"/>
          <w:bCs/>
          <w:color w:val="auto"/>
          <w:sz w:val="18"/>
          <w:szCs w:val="18"/>
          <w:lang w:val="en-US" w:eastAsia="zh-CN" w:bidi="ar-SA"/>
        </w:rPr>
        <w:t>）理财产品份额净值/理财份额净值/产品份额净值：指理财产品份额的单位净值，即每</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份理财产品份额以人民币计价的价格。理财产品份额净值</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理财资产净值</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总</w:t>
      </w:r>
      <w:r>
        <w:rPr>
          <w:rFonts w:cs="宋体" w:asciiTheme="majorEastAsia" w:hAnsiTheme="majorEastAsia" w:eastAsiaTheme="majorEastAsia"/>
          <w:bCs/>
          <w:color w:val="auto"/>
          <w:sz w:val="18"/>
          <w:szCs w:val="18"/>
          <w:lang w:val="en-US" w:eastAsia="zh-CN" w:bidi="ar-SA"/>
        </w:rPr>
        <w:t>份额</w:t>
      </w:r>
      <w:r>
        <w:rPr>
          <w:rFonts w:hint="eastAsia" w:cs="宋体" w:asciiTheme="majorEastAsia" w:hAnsiTheme="majorEastAsia" w:eastAsiaTheme="majorEastAsia"/>
          <w:bCs/>
          <w:color w:val="auto"/>
          <w:sz w:val="18"/>
          <w:szCs w:val="18"/>
          <w:lang w:val="en-US" w:eastAsia="zh-CN" w:bidi="ar-SA"/>
        </w:rPr>
        <w:t>。投资者按该份额净值进行理财产品申购、赎回和终止时分配。</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Cs/>
          <w:color w:val="auto"/>
          <w:sz w:val="18"/>
          <w:szCs w:val="18"/>
          <w:lang w:val="en-US" w:eastAsia="zh-CN" w:bidi="ar-SA"/>
        </w:rPr>
        <w:t>理财产品份额净值</w:t>
      </w:r>
      <w:r>
        <w:rPr>
          <w:rFonts w:hint="eastAsia" w:cs="宋体" w:asciiTheme="majorEastAsia" w:hAnsiTheme="majorEastAsia" w:eastAsiaTheme="majorEastAsia"/>
          <w:bCs/>
          <w:color w:val="auto"/>
          <w:sz w:val="18"/>
          <w:szCs w:val="18"/>
          <w:lang w:val="en-US" w:eastAsia="zh-CN" w:bidi="ar-SA"/>
        </w:rPr>
        <w:t>可以展示为</w:t>
      </w:r>
      <w:r>
        <w:rPr>
          <w:rFonts w:cs="宋体" w:asciiTheme="majorEastAsia" w:hAnsiTheme="majorEastAsia" w:eastAsiaTheme="majorEastAsia"/>
          <w:bCs/>
          <w:color w:val="auto"/>
          <w:sz w:val="18"/>
          <w:szCs w:val="18"/>
          <w:lang w:val="en-US" w:eastAsia="zh-CN" w:bidi="ar-SA"/>
        </w:rPr>
        <w:t>当前理财产品份额净值</w:t>
      </w:r>
      <w:r>
        <w:rPr>
          <w:rFonts w:hint="eastAsia" w:cs="宋体" w:asciiTheme="majorEastAsia" w:hAnsiTheme="majorEastAsia" w:eastAsiaTheme="majorEastAsia"/>
          <w:bCs/>
          <w:color w:val="auto"/>
          <w:sz w:val="18"/>
          <w:szCs w:val="18"/>
          <w:lang w:val="en-US" w:eastAsia="zh-CN" w:bidi="ar-SA"/>
        </w:rPr>
        <w:t>和累计理财产品份额净值。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当前理财产品份额净值，指</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当前</w:t>
      </w:r>
      <w:r>
        <w:rPr>
          <w:rFonts w:cs="宋体" w:asciiTheme="majorEastAsia" w:hAnsiTheme="majorEastAsia" w:eastAsiaTheme="majorEastAsia"/>
          <w:bCs/>
          <w:color w:val="auto"/>
          <w:sz w:val="18"/>
          <w:szCs w:val="18"/>
          <w:lang w:val="en-US" w:eastAsia="zh-CN" w:bidi="ar-SA"/>
        </w:rPr>
        <w:t>的</w:t>
      </w:r>
      <w:r>
        <w:rPr>
          <w:rFonts w:hint="eastAsia" w:cs="宋体" w:asciiTheme="majorEastAsia" w:hAnsiTheme="majorEastAsia" w:eastAsiaTheme="majorEastAsia"/>
          <w:bCs/>
          <w:color w:val="auto"/>
          <w:sz w:val="18"/>
          <w:szCs w:val="18"/>
          <w:lang w:val="en-US" w:eastAsia="zh-CN" w:bidi="ar-SA"/>
        </w:rPr>
        <w:t>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Cs/>
          <w:color w:val="auto"/>
          <w:sz w:val="18"/>
          <w:szCs w:val="18"/>
          <w:lang w:val="en-US" w:eastAsia="zh-CN" w:bidi="ar-SA"/>
        </w:rPr>
        <w:t>累计理财产品份额净值</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指产品当前份额净值及产品成立到现在</w:t>
      </w:r>
      <w:r>
        <w:rPr>
          <w:rFonts w:hint="eastAsia" w:cs="宋体" w:asciiTheme="majorEastAsia" w:hAnsiTheme="majorEastAsia" w:eastAsiaTheme="majorEastAsia"/>
          <w:bCs/>
          <w:color w:val="auto"/>
          <w:sz w:val="18"/>
          <w:szCs w:val="18"/>
          <w:lang w:val="en-US" w:eastAsia="zh-CN" w:bidi="ar-SA"/>
        </w:rPr>
        <w:t>单位</w:t>
      </w:r>
      <w:r>
        <w:rPr>
          <w:rFonts w:cs="宋体" w:asciiTheme="majorEastAsia" w:hAnsiTheme="majorEastAsia" w:eastAsiaTheme="majorEastAsia"/>
          <w:bCs/>
          <w:color w:val="auto"/>
          <w:sz w:val="18"/>
          <w:szCs w:val="18"/>
          <w:lang w:val="en-US" w:eastAsia="zh-CN" w:bidi="ar-SA"/>
        </w:rPr>
        <w:t>理财产品</w:t>
      </w:r>
      <w:r>
        <w:rPr>
          <w:rFonts w:hint="eastAsia" w:cs="宋体" w:asciiTheme="majorEastAsia" w:hAnsiTheme="majorEastAsia" w:eastAsiaTheme="majorEastAsia"/>
          <w:bCs/>
          <w:color w:val="auto"/>
          <w:sz w:val="18"/>
          <w:szCs w:val="18"/>
          <w:lang w:val="en-US" w:eastAsia="zh-CN" w:bidi="ar-SA"/>
        </w:rPr>
        <w:t>份额</w:t>
      </w:r>
      <w:r>
        <w:rPr>
          <w:rFonts w:cs="宋体" w:asciiTheme="majorEastAsia" w:hAnsiTheme="majorEastAsia" w:eastAsiaTheme="majorEastAsia"/>
          <w:bCs/>
          <w:color w:val="auto"/>
          <w:sz w:val="18"/>
          <w:szCs w:val="18"/>
          <w:lang w:val="en-US" w:eastAsia="zh-CN" w:bidi="ar-SA"/>
        </w:rPr>
        <w:t>分红之和</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（注：若无特别说明，理财产品份额净值通常指当前理财产品份额净值）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0）理财产品估值：指计算评估理财产品资产和理财产品负债的价值，以确定理财产品份额净值的过程。</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1）</w:t>
      </w:r>
      <w:r>
        <w:rPr>
          <w:rFonts w:hint="eastAsia" w:ascii="黑体" w:hAnsi="黑体" w:eastAsia="黑体" w:cs="宋体"/>
          <w:bCs/>
          <w:color w:val="auto"/>
          <w:sz w:val="18"/>
          <w:szCs w:val="18"/>
          <w:lang w:val="en-US" w:eastAsia="zh-CN" w:bidi="ar-SA"/>
        </w:rPr>
        <w:t>★业绩比较基准：</w:t>
      </w:r>
      <w:r>
        <w:rPr>
          <w:rFonts w:hint="eastAsia" w:cs="宋体" w:asciiTheme="majorEastAsia" w:hAnsiTheme="majorEastAsia" w:eastAsiaTheme="majorEastAsia"/>
          <w:bCs/>
          <w:color w:val="auto"/>
          <w:sz w:val="18"/>
          <w:szCs w:val="18"/>
          <w:lang w:val="en-US" w:eastAsia="zh-CN" w:bidi="ar-SA"/>
        </w:rPr>
        <w:t>指管理人综合考虑市场环境、产品性质、投资策略、过往表现等因素，对理财产品设置的投资目标和相关解释说明。</w:t>
      </w:r>
      <w:r>
        <w:rPr>
          <w:rFonts w:hint="eastAsia" w:ascii="黑体" w:hAnsi="黑体" w:eastAsia="黑体" w:cs="宋体"/>
          <w:bCs/>
          <w:color w:val="auto"/>
          <w:sz w:val="18"/>
          <w:szCs w:val="18"/>
          <w:lang w:val="en-US" w:eastAsia="zh-CN" w:bidi="ar-SA"/>
        </w:rPr>
        <w:t>业绩比较基准不是预期收益率，不代表产品的未来表现和实际收益，</w:t>
      </w:r>
      <w:r>
        <w:rPr>
          <w:rFonts w:hint="eastAsia" w:ascii="黑体" w:hAnsi="黑体" w:eastAsia="黑体" w:cs="宋体"/>
          <w:color w:val="000000"/>
          <w:sz w:val="18"/>
          <w:szCs w:val="24"/>
          <w:lang w:val="en-US" w:eastAsia="zh-CN" w:bidi="ar-SA"/>
        </w:rPr>
        <w:t>不</w:t>
      </w:r>
      <w:r>
        <w:rPr>
          <w:rFonts w:hint="eastAsia" w:ascii="黑体" w:hAnsi="黑体" w:eastAsia="黑体" w:cs="宋体"/>
          <w:bCs/>
          <w:color w:val="000000"/>
          <w:sz w:val="18"/>
          <w:szCs w:val="18"/>
          <w:lang w:val="en-US" w:eastAsia="zh-CN" w:bidi="ar-SA"/>
        </w:rPr>
        <w:t>构成对</w:t>
      </w:r>
      <w:r>
        <w:rPr>
          <w:rFonts w:hint="eastAsia" w:ascii="黑体" w:hAnsi="黑体" w:eastAsia="黑体" w:cs="宋体"/>
          <w:color w:val="000000"/>
          <w:sz w:val="18"/>
          <w:szCs w:val="24"/>
          <w:lang w:val="en-US" w:eastAsia="zh-CN" w:bidi="ar-SA"/>
        </w:rPr>
        <w:t>产品收益的</w:t>
      </w:r>
      <w:r>
        <w:rPr>
          <w:rFonts w:hint="eastAsia" w:ascii="黑体" w:hAnsi="黑体" w:eastAsia="黑体" w:cs="宋体"/>
          <w:bCs/>
          <w:color w:val="000000"/>
          <w:sz w:val="18"/>
          <w:szCs w:val="18"/>
          <w:lang w:val="en-US" w:eastAsia="zh-CN" w:bidi="ar-SA"/>
        </w:rPr>
        <w:t>承诺</w:t>
      </w:r>
      <w:r>
        <w:rPr>
          <w:rFonts w:hint="eastAsia" w:ascii="黑体" w:hAnsi="黑体" w:eastAsia="黑体" w:cs="宋体"/>
          <w:color w:val="000000"/>
          <w:sz w:val="18"/>
          <w:szCs w:val="24"/>
          <w:lang w:val="en-US" w:eastAsia="zh-CN" w:bidi="ar-SA"/>
        </w:rPr>
        <w:t>，</w:t>
      </w:r>
      <w:r>
        <w:rPr>
          <w:rFonts w:hint="eastAsia" w:ascii="黑体" w:hAnsi="黑体" w:eastAsia="黑体" w:cs="宋体"/>
          <w:bCs/>
          <w:color w:val="auto"/>
          <w:sz w:val="18"/>
          <w:szCs w:val="18"/>
          <w:lang w:val="en-US" w:eastAsia="zh-CN" w:bidi="ar-SA"/>
        </w:rPr>
        <w:t>投资须谨慎。</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2）</w:t>
      </w:r>
      <w:r>
        <w:rPr>
          <w:rFonts w:hint="eastAsia" w:ascii="黑体" w:hAnsi="黑体" w:eastAsia="黑体" w:cs="宋体"/>
          <w:bCs/>
          <w:color w:val="auto"/>
          <w:sz w:val="18"/>
          <w:szCs w:val="18"/>
          <w:lang w:val="en-US" w:eastAsia="zh-CN" w:bidi="ar-SA"/>
        </w:rPr>
        <w:t>★业绩报酬计提基准：</w:t>
      </w:r>
      <w:r>
        <w:rPr>
          <w:rFonts w:hint="eastAsia" w:cs="宋体" w:asciiTheme="majorEastAsia" w:hAnsiTheme="majorEastAsia" w:eastAsiaTheme="majorEastAsia"/>
          <w:bCs/>
          <w:color w:val="auto"/>
          <w:sz w:val="18"/>
          <w:szCs w:val="18"/>
          <w:lang w:val="en-US" w:eastAsia="zh-CN" w:bidi="ar-SA"/>
        </w:rPr>
        <w:t>指管理人计算超额业绩报酬的参照</w:t>
      </w:r>
      <w:r>
        <w:rPr>
          <w:rFonts w:cs="宋体" w:asciiTheme="majorEastAsia" w:hAnsiTheme="majorEastAsia" w:eastAsiaTheme="majorEastAsia"/>
          <w:bCs/>
          <w:color w:val="auto"/>
          <w:sz w:val="18"/>
          <w:szCs w:val="18"/>
          <w:lang w:val="en-US" w:eastAsia="zh-CN" w:bidi="ar-SA"/>
        </w:rPr>
        <w:t>标准</w:t>
      </w:r>
      <w:r>
        <w:rPr>
          <w:rFonts w:hint="eastAsia" w:cs="宋体" w:asciiTheme="majorEastAsia" w:hAnsiTheme="majorEastAsia" w:eastAsiaTheme="majorEastAsia"/>
          <w:bCs/>
          <w:color w:val="auto"/>
          <w:sz w:val="18"/>
          <w:szCs w:val="18"/>
          <w:lang w:val="en-US" w:eastAsia="zh-CN" w:bidi="ar-SA"/>
        </w:rPr>
        <w:t>。</w:t>
      </w:r>
      <w:r>
        <w:rPr>
          <w:rFonts w:hint="eastAsia" w:ascii="黑体" w:hAnsi="黑体" w:eastAsia="黑体" w:cs="宋体"/>
          <w:bCs/>
          <w:color w:val="auto"/>
          <w:sz w:val="18"/>
          <w:szCs w:val="18"/>
          <w:lang w:val="en-US" w:eastAsia="zh-CN" w:bidi="ar-SA"/>
        </w:rPr>
        <w:t>业绩报酬计提基准不是预期收益率，不代表产品的未来表现和实际收益，不构成对产品收益的承诺，投资须谨慎。</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3）理财产品利益/理财利益：指投资者因持有理财产品份额，按照销售文件约定取得或有权取得的理财产品管理人分配的理财产品资产。</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4</w:t>
      </w:r>
      <w:r>
        <w:rPr>
          <w:rFonts w:cs="宋体" w:asciiTheme="majorEastAsia" w:hAnsiTheme="majorEastAsia" w:eastAsiaTheme="majorEastAsia"/>
          <w:bCs/>
          <w:color w:val="auto"/>
          <w:sz w:val="18"/>
          <w:szCs w:val="18"/>
          <w:lang w:val="en-US" w:eastAsia="zh-CN" w:bidi="ar-SA"/>
        </w:rPr>
        <w:t xml:space="preserve">）利益分配：指产品管理人向投资者进行理财产品利益分配。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5</w:t>
      </w:r>
      <w:r>
        <w:rPr>
          <w:rFonts w:cs="宋体" w:asciiTheme="majorEastAsia" w:hAnsiTheme="majorEastAsia" w:eastAsiaTheme="majorEastAsia"/>
          <w:bCs/>
          <w:color w:val="auto"/>
          <w:sz w:val="18"/>
          <w:szCs w:val="18"/>
          <w:lang w:val="en-US" w:eastAsia="zh-CN" w:bidi="ar-SA"/>
        </w:rPr>
        <w:t xml:space="preserve">）期间分配：指在理财产品终止日（不含当日）前的理财产品利益分配。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6</w:t>
      </w:r>
      <w:r>
        <w:rPr>
          <w:rFonts w:cs="宋体" w:asciiTheme="majorEastAsia" w:hAnsiTheme="majorEastAsia" w:eastAsiaTheme="majorEastAsia"/>
          <w:bCs/>
          <w:color w:val="auto"/>
          <w:sz w:val="18"/>
          <w:szCs w:val="18"/>
          <w:lang w:val="en-US" w:eastAsia="zh-CN" w:bidi="ar-SA"/>
        </w:rPr>
        <w:t>）终止分配：指在理财产品终止日当日及之后的理财产品利益分配。</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7）认购：指投资者根据本销售文件约定在认购期</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募集期内申请购买理财产品份额的行为。</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18</w:t>
      </w:r>
      <w:r>
        <w:rPr>
          <w:rFonts w:hint="eastAsia" w:cs="宋体" w:asciiTheme="majorEastAsia" w:hAnsiTheme="majorEastAsia" w:eastAsiaTheme="majorEastAsia"/>
          <w:bCs/>
          <w:color w:val="auto"/>
          <w:sz w:val="18"/>
          <w:szCs w:val="18"/>
          <w:lang w:val="en-US" w:eastAsia="zh-CN" w:bidi="ar-SA"/>
        </w:rPr>
        <w:t>）申购：</w:t>
      </w:r>
      <w:r>
        <w:rPr>
          <w:rFonts w:hint="eastAsia" w:cs="宋体" w:asciiTheme="minorEastAsia" w:hAnsiTheme="minorEastAsia" w:eastAsiaTheme="minorEastAsia"/>
          <w:color w:val="auto"/>
          <w:sz w:val="18"/>
          <w:szCs w:val="18"/>
          <w:lang w:val="en-US" w:eastAsia="zh-CN" w:bidi="ar-SA"/>
        </w:rPr>
        <w:t>指开放式理财产品成立后，投资者申请购买理财产品份额的行为。</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首次申购，指未进行认购的投资者，在理财产品成立后申请购买理财产品份额的行为。</w:t>
      </w:r>
      <w:r>
        <w:rPr>
          <w:rFonts w:cs="宋体" w:asciiTheme="minorEastAsia" w:hAnsiTheme="minorEastAsia" w:eastAsiaTheme="minorEastAsia"/>
          <w:color w:val="auto"/>
          <w:sz w:val="18"/>
          <w:szCs w:val="18"/>
          <w:lang w:val="en-US" w:eastAsia="zh-CN" w:bidi="ar-SA"/>
        </w:rPr>
        <w:t>投资者全额赎回不再持有理财产品份额后再次申购</w:t>
      </w:r>
      <w:r>
        <w:rPr>
          <w:rFonts w:hint="eastAsia" w:cs="宋体" w:asciiTheme="minorEastAsia" w:hAnsiTheme="minorEastAsia" w:eastAsiaTheme="minorEastAsia"/>
          <w:color w:val="auto"/>
          <w:sz w:val="18"/>
          <w:szCs w:val="18"/>
          <w:lang w:val="en-US" w:eastAsia="zh-CN" w:bidi="ar-SA"/>
        </w:rPr>
        <w:t>的</w:t>
      </w:r>
      <w:r>
        <w:rPr>
          <w:rFonts w:cs="宋体" w:asciiTheme="minorEastAsia" w:hAnsiTheme="minorEastAsia" w:eastAsiaTheme="minorEastAsia"/>
          <w:color w:val="auto"/>
          <w:sz w:val="18"/>
          <w:szCs w:val="18"/>
          <w:lang w:val="en-US" w:eastAsia="zh-CN" w:bidi="ar-SA"/>
        </w:rPr>
        <w:t>，视同首次申购处理。</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追加申购，指已经完成认购或首次申购的投资者，在理财产品成立后申请购买理财产品份额的行为。</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19</w:t>
      </w:r>
      <w:r>
        <w:rPr>
          <w:rFonts w:hint="eastAsia" w:cs="宋体" w:asciiTheme="majorEastAsia" w:hAnsiTheme="majorEastAsia" w:eastAsiaTheme="majorEastAsia"/>
          <w:bCs/>
          <w:color w:val="auto"/>
          <w:sz w:val="18"/>
          <w:szCs w:val="18"/>
          <w:lang w:val="en-US" w:eastAsia="zh-CN" w:bidi="ar-SA"/>
        </w:rPr>
        <w:t>）赎回：</w:t>
      </w:r>
      <w:r>
        <w:rPr>
          <w:rFonts w:hint="eastAsia" w:cs="宋体" w:asciiTheme="minorEastAsia" w:hAnsiTheme="minorEastAsia" w:eastAsiaTheme="minorEastAsia"/>
          <w:color w:val="auto"/>
          <w:sz w:val="18"/>
          <w:szCs w:val="18"/>
          <w:lang w:val="en-US" w:eastAsia="zh-CN" w:bidi="ar-SA"/>
        </w:rPr>
        <w:t>指开放式理财产品成立后，投资者申请赎回理财产品份额的行为，即投资者申请将理财产品份额兑换为现金。</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4. </w:t>
      </w:r>
      <w:r>
        <w:rPr>
          <w:rFonts w:hint="eastAsia" w:cs="宋体" w:asciiTheme="majorEastAsia" w:hAnsiTheme="majorEastAsia" w:eastAsiaTheme="majorEastAsia"/>
          <w:b/>
          <w:bCs/>
          <w:color w:val="auto"/>
          <w:sz w:val="18"/>
          <w:szCs w:val="18"/>
          <w:lang w:val="en-US" w:eastAsia="zh-CN" w:bidi="ar-SA"/>
        </w:rPr>
        <w:t>期间与日期</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1）日</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指自然日</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（2）交易日：指银行间市场、证券交易所市场的共同正常开盘交易日。</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3）</w:t>
      </w:r>
      <w:r>
        <w:rPr>
          <w:rFonts w:hint="eastAsia" w:cs="宋体" w:asciiTheme="majorEastAsia" w:hAnsiTheme="majorEastAsia" w:eastAsiaTheme="majorEastAsia"/>
          <w:bCs/>
          <w:color w:val="auto"/>
          <w:sz w:val="18"/>
          <w:szCs w:val="18"/>
          <w:lang w:val="en-US" w:eastAsia="zh-CN" w:bidi="ar-SA"/>
        </w:rPr>
        <w:t>工作日：指除中国法定节假日和公休日外的其他日。</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4</w:t>
      </w:r>
      <w:r>
        <w:rPr>
          <w:rFonts w:hint="eastAsia" w:ascii="宋体" w:hAnsi="Calibri" w:eastAsia="宋体" w:cs="宋体"/>
          <w:color w:val="auto"/>
          <w:sz w:val="18"/>
          <w:szCs w:val="18"/>
          <w:lang w:val="en-US" w:eastAsia="zh-CN" w:bidi="ar-SA"/>
        </w:rPr>
        <w:t>）成立日：指</w:t>
      </w:r>
      <w:r>
        <w:rPr>
          <w:rFonts w:ascii="宋体" w:hAnsi="Calibri" w:eastAsia="宋体" w:cs="宋体"/>
          <w:color w:val="auto"/>
          <w:sz w:val="18"/>
          <w:szCs w:val="18"/>
          <w:lang w:val="en-US" w:eastAsia="zh-CN" w:bidi="ar-SA"/>
        </w:rPr>
        <w:t>理财</w:t>
      </w:r>
      <w:r>
        <w:rPr>
          <w:rFonts w:hint="eastAsia" w:ascii="宋体" w:hAnsi="Calibri" w:eastAsia="宋体" w:cs="宋体"/>
          <w:color w:val="auto"/>
          <w:sz w:val="18"/>
          <w:szCs w:val="18"/>
          <w:lang w:val="en-US" w:eastAsia="zh-CN" w:bidi="ar-SA"/>
        </w:rPr>
        <w:t>产品开始运作的日期。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5</w:t>
      </w:r>
      <w:r>
        <w:rPr>
          <w:rFonts w:hint="eastAsia" w:ascii="宋体" w:hAnsi="Calibri" w:eastAsia="宋体" w:cs="宋体"/>
          <w:color w:val="auto"/>
          <w:sz w:val="18"/>
          <w:szCs w:val="18"/>
          <w:lang w:val="en-US" w:eastAsia="zh-CN" w:bidi="ar-SA"/>
        </w:rPr>
        <w:t>）终止日：指</w:t>
      </w:r>
      <w:r>
        <w:rPr>
          <w:rFonts w:ascii="宋体" w:hAnsi="Calibri" w:eastAsia="宋体" w:cs="宋体"/>
          <w:color w:val="auto"/>
          <w:sz w:val="18"/>
          <w:szCs w:val="18"/>
          <w:lang w:val="en-US" w:eastAsia="zh-CN" w:bidi="ar-SA"/>
        </w:rPr>
        <w:t>理财</w:t>
      </w:r>
      <w:r>
        <w:rPr>
          <w:rFonts w:hint="eastAsia" w:ascii="宋体" w:hAnsi="Calibri" w:eastAsia="宋体" w:cs="宋体"/>
          <w:color w:val="auto"/>
          <w:sz w:val="18"/>
          <w:szCs w:val="18"/>
          <w:lang w:val="en-US" w:eastAsia="zh-CN" w:bidi="ar-SA"/>
        </w:rPr>
        <w:t>产品终止的日期。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6</w:t>
      </w:r>
      <w:r>
        <w:rPr>
          <w:rFonts w:hint="eastAsia" w:ascii="宋体" w:hAnsi="Calibri" w:eastAsia="宋体" w:cs="宋体"/>
          <w:color w:val="auto"/>
          <w:sz w:val="18"/>
          <w:szCs w:val="18"/>
          <w:lang w:val="en-US" w:eastAsia="zh-CN" w:bidi="ar-SA"/>
        </w:rPr>
        <w:t>）估值日：指产品管理人对理财产品项下资产进行估值的日期。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7</w:t>
      </w:r>
      <w:r>
        <w:rPr>
          <w:rFonts w:hint="eastAsia" w:ascii="宋体" w:hAnsi="Calibri" w:eastAsia="宋体" w:cs="宋体"/>
          <w:color w:val="auto"/>
          <w:sz w:val="18"/>
          <w:szCs w:val="18"/>
          <w:lang w:val="en-US" w:eastAsia="zh-CN" w:bidi="ar-SA"/>
        </w:rPr>
        <w:t>）分配基准日：指本产品管理人以该</w:t>
      </w:r>
      <w:r>
        <w:rPr>
          <w:rFonts w:ascii="宋体" w:hAnsi="宋体" w:eastAsia="宋体" w:cs="宋体"/>
          <w:color w:val="auto"/>
          <w:sz w:val="18"/>
          <w:szCs w:val="18"/>
          <w:lang w:val="en-US" w:eastAsia="zh-CN" w:bidi="ar-SA"/>
        </w:rPr>
        <w:t>日</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终</w:t>
      </w:r>
      <w:r>
        <w:rPr>
          <w:rFonts w:hint="eastAsia" w:ascii="宋体" w:hAnsi="宋体" w:eastAsia="宋体" w:cs="宋体"/>
          <w:color w:val="auto"/>
          <w:sz w:val="18"/>
          <w:szCs w:val="18"/>
          <w:lang w:val="en-US" w:eastAsia="zh-CN" w:bidi="ar-SA"/>
        </w:rPr>
        <w:t>产品份额净值</w:t>
      </w:r>
      <w:r>
        <w:rPr>
          <w:rFonts w:ascii="宋体" w:hAnsi="宋体" w:eastAsia="宋体" w:cs="宋体"/>
          <w:color w:val="auto"/>
          <w:sz w:val="18"/>
          <w:szCs w:val="18"/>
          <w:lang w:val="en-US" w:eastAsia="zh-CN" w:bidi="ar-SA"/>
        </w:rPr>
        <w:t>计算</w:t>
      </w:r>
      <w:r>
        <w:rPr>
          <w:rFonts w:hint="eastAsia" w:ascii="宋体" w:hAnsi="宋体" w:eastAsia="宋体" w:cs="宋体"/>
          <w:color w:val="auto"/>
          <w:sz w:val="18"/>
          <w:szCs w:val="18"/>
          <w:lang w:val="en-US" w:eastAsia="zh-CN" w:bidi="ar-SA"/>
        </w:rPr>
        <w:t>并确定可供分配的</w:t>
      </w:r>
      <w:r>
        <w:rPr>
          <w:rFonts w:ascii="宋体" w:hAnsi="宋体" w:eastAsia="宋体" w:cs="宋体"/>
          <w:color w:val="auto"/>
          <w:sz w:val="18"/>
          <w:szCs w:val="18"/>
          <w:lang w:val="en-US" w:eastAsia="zh-CN" w:bidi="ar-SA"/>
        </w:rPr>
        <w:t>投资</w:t>
      </w:r>
      <w:r>
        <w:rPr>
          <w:rFonts w:hint="eastAsia" w:ascii="宋体" w:hAnsi="宋体" w:eastAsia="宋体" w:cs="宋体"/>
          <w:color w:val="auto"/>
          <w:sz w:val="18"/>
          <w:szCs w:val="18"/>
          <w:lang w:val="en-US" w:eastAsia="zh-CN" w:bidi="ar-SA"/>
        </w:rPr>
        <w:t>期间</w:t>
      </w:r>
      <w:r>
        <w:rPr>
          <w:rFonts w:ascii="宋体" w:hAnsi="宋体" w:eastAsia="宋体" w:cs="宋体"/>
          <w:color w:val="auto"/>
          <w:sz w:val="18"/>
          <w:szCs w:val="18"/>
          <w:lang w:val="en-US" w:eastAsia="zh-CN" w:bidi="ar-SA"/>
        </w:rPr>
        <w:t>理财利益</w:t>
      </w:r>
      <w:r>
        <w:rPr>
          <w:rFonts w:hint="eastAsia" w:ascii="宋体" w:hAnsi="宋体" w:eastAsia="宋体" w:cs="宋体"/>
          <w:color w:val="auto"/>
          <w:sz w:val="18"/>
          <w:szCs w:val="18"/>
          <w:lang w:val="en-US" w:eastAsia="zh-CN" w:bidi="ar-SA"/>
        </w:rPr>
        <w:t>的日期。</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）分配日：指</w:t>
      </w:r>
      <w:r>
        <w:rPr>
          <w:rFonts w:cs="宋体" w:asciiTheme="majorEastAsia" w:hAnsiTheme="majorEastAsia" w:eastAsiaTheme="majorEastAsia"/>
          <w:bCs/>
          <w:color w:val="auto"/>
          <w:sz w:val="18"/>
          <w:szCs w:val="18"/>
          <w:lang w:val="en-US" w:eastAsia="zh-CN" w:bidi="ar-SA"/>
        </w:rPr>
        <w:t>产品管理人向投资者进行理财产品利益分配</w:t>
      </w:r>
      <w:r>
        <w:rPr>
          <w:rFonts w:hint="eastAsia" w:ascii="宋体" w:hAnsi="宋体" w:eastAsia="宋体" w:cs="宋体"/>
          <w:bCs/>
          <w:color w:val="auto"/>
          <w:sz w:val="18"/>
          <w:szCs w:val="18"/>
          <w:lang w:val="en-US" w:eastAsia="zh-CN" w:bidi="ar-SA"/>
        </w:rPr>
        <w:t>的日期。</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9</w:t>
      </w:r>
      <w:r>
        <w:rPr>
          <w:rFonts w:hint="eastAsia" w:cs="宋体" w:asciiTheme="majorEastAsia" w:hAnsiTheme="majorEastAsia" w:eastAsiaTheme="majorEastAsia"/>
          <w:bCs/>
          <w:color w:val="auto"/>
          <w:sz w:val="18"/>
          <w:szCs w:val="18"/>
          <w:lang w:val="en-US" w:eastAsia="zh-CN" w:bidi="ar-SA"/>
        </w:rPr>
        <w:t>）募集期：指理财产品成立前，理财产品管理人接受理财产品认购的时间。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（10）持有期：指自产品成立日/申购确认日起，投资者持有该产品份额的期间。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（11）产品存续期：指自理财产品成立日起，至理财产品终止日的期间。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2）清算期：指自本理财产品终止日至投资者理财利益到账日之间的期间。</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5. </w:t>
      </w:r>
      <w:r>
        <w:rPr>
          <w:rFonts w:hint="eastAsia" w:cs="宋体" w:asciiTheme="majorEastAsia" w:hAnsiTheme="majorEastAsia" w:eastAsiaTheme="majorEastAsia"/>
          <w:b/>
          <w:bCs/>
          <w:color w:val="auto"/>
          <w:sz w:val="18"/>
          <w:szCs w:val="18"/>
          <w:lang w:val="en-US" w:eastAsia="zh-CN" w:bidi="ar-SA"/>
        </w:rPr>
        <w:t>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ascii="宋体" w:hAnsi="宋体" w:eastAsia="宋体" w:cs="宋体"/>
          <w:color w:val="000000"/>
          <w:sz w:val="18"/>
          <w:szCs w:val="18"/>
          <w:lang w:val="en-US" w:eastAsia="zh-CN" w:bidi="ar-SA"/>
        </w:rPr>
        <w:t>认购费：</w:t>
      </w:r>
      <w:r>
        <w:rPr>
          <w:rFonts w:hint="eastAsia" w:ascii="宋体" w:hAnsi="宋体" w:eastAsia="宋体" w:cs="宋体"/>
          <w:color w:val="000000"/>
          <w:sz w:val="18"/>
          <w:szCs w:val="18"/>
          <w:lang w:val="en-US" w:eastAsia="zh-CN" w:bidi="ar-SA"/>
        </w:rPr>
        <w:t>指</w:t>
      </w:r>
      <w:r>
        <w:rPr>
          <w:rFonts w:ascii="宋体" w:hAnsi="宋体" w:eastAsia="宋体" w:cs="宋体"/>
          <w:color w:val="000000"/>
          <w:sz w:val="18"/>
          <w:szCs w:val="18"/>
          <w:lang w:val="en-US" w:eastAsia="zh-CN" w:bidi="ar-SA"/>
        </w:rPr>
        <w:t>投资者认购产品时</w:t>
      </w:r>
      <w:r>
        <w:rPr>
          <w:rFonts w:hint="eastAsia" w:ascii="宋体" w:hAnsi="宋体" w:eastAsia="宋体" w:cs="宋体"/>
          <w:color w:val="000000"/>
          <w:sz w:val="18"/>
          <w:szCs w:val="18"/>
          <w:lang w:val="en-US" w:eastAsia="zh-CN" w:bidi="ar-SA"/>
        </w:rPr>
        <w:t>需缴纳的费用。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cs="宋体" w:asciiTheme="minorEastAsia" w:hAnsiTheme="minorEastAsia" w:eastAsiaTheme="minorEastAsia"/>
          <w:color w:val="000000"/>
          <w:sz w:val="18"/>
          <w:szCs w:val="18"/>
          <w:lang w:val="en-US" w:eastAsia="zh-CN" w:bidi="ar-SA"/>
        </w:rPr>
        <w:t>（</w:t>
      </w:r>
      <w:r>
        <w:rPr>
          <w:rFonts w:cs="宋体" w:asciiTheme="minorEastAsia" w:hAnsiTheme="minorEastAsia" w:eastAsiaTheme="minorEastAsia"/>
          <w:color w:val="000000"/>
          <w:sz w:val="18"/>
          <w:szCs w:val="18"/>
          <w:lang w:val="en-US" w:eastAsia="zh-CN" w:bidi="ar-SA"/>
        </w:rPr>
        <w:t>2）</w:t>
      </w:r>
      <w:r>
        <w:rPr>
          <w:rFonts w:hint="eastAsia" w:cs="仿宋_GB2312" w:asciiTheme="minorEastAsia" w:hAnsiTheme="minorEastAsia" w:eastAsiaTheme="minorEastAsia"/>
          <w:bCs/>
          <w:color w:val="auto"/>
          <w:sz w:val="18"/>
          <w:szCs w:val="18"/>
          <w:lang w:val="en-US" w:eastAsia="zh-CN" w:bidi="ar-SA"/>
        </w:rPr>
        <w:t>★</w:t>
      </w:r>
      <w:r>
        <w:rPr>
          <w:rFonts w:hint="eastAsia" w:cs="宋体" w:asciiTheme="minorEastAsia" w:hAnsiTheme="minorEastAsia" w:eastAsiaTheme="minorEastAsia"/>
          <w:color w:val="000000"/>
          <w:sz w:val="18"/>
          <w:szCs w:val="18"/>
          <w:lang w:val="en-US" w:eastAsia="zh-CN" w:bidi="ar-SA"/>
        </w:rPr>
        <w:t>销售服务费：指</w:t>
      </w:r>
      <w:r>
        <w:rPr>
          <w:rFonts w:hint="eastAsia" w:ascii="宋体" w:hAnsi="宋体" w:eastAsia="宋体" w:cs="宋体"/>
          <w:color w:val="000000"/>
          <w:sz w:val="18"/>
          <w:szCs w:val="18"/>
          <w:lang w:val="en-US" w:eastAsia="zh-CN" w:bidi="ar-SA"/>
        </w:rPr>
        <w:t>因理财产品销售行为产生的费用。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投资管理费：指因理财产品投资管理产生的费用。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产品托管费：指因理财产品进行托管产生的费用。</w:t>
      </w:r>
    </w:p>
    <w:p>
      <w:pPr>
        <w:widowControl w:val="0"/>
        <w:autoSpaceDE w:val="0"/>
        <w:autoSpaceDN w:val="0"/>
        <w:adjustRightInd w:val="0"/>
        <w:spacing w:line="360" w:lineRule="auto"/>
        <w:ind w:firstLine="360" w:firstLineChars="200"/>
        <w:rPr>
          <w:rFonts w:hint="eastAsia"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（5）★信息技术服务费：指因银行业理财登记托管中心有限公司提供数据交换服务所收取的费用。</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ascii="宋体" w:hAnsi="宋体" w:eastAsia="宋体" w:cs="宋体"/>
          <w:color w:val="000000"/>
          <w:sz w:val="18"/>
          <w:szCs w:val="18"/>
          <w:lang w:val="en-US" w:eastAsia="zh-CN" w:bidi="ar-SA"/>
        </w:rPr>
        <w:t>（6）</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超额业绩报酬/业绩报酬：指产品管理人依照理财产品销售</w:t>
      </w:r>
      <w:r>
        <w:rPr>
          <w:rFonts w:ascii="宋体" w:hAnsi="宋体" w:eastAsia="宋体" w:cs="宋体"/>
          <w:color w:val="000000"/>
          <w:sz w:val="18"/>
          <w:szCs w:val="18"/>
          <w:lang w:val="en-US" w:eastAsia="zh-CN" w:bidi="ar-SA"/>
        </w:rPr>
        <w:t>文件</w:t>
      </w:r>
      <w:r>
        <w:rPr>
          <w:rFonts w:hint="eastAsia" w:ascii="宋体" w:hAnsi="宋体" w:eastAsia="宋体" w:cs="宋体"/>
          <w:color w:val="000000"/>
          <w:sz w:val="18"/>
          <w:szCs w:val="18"/>
          <w:lang w:val="en-US" w:eastAsia="zh-CN" w:bidi="ar-SA"/>
        </w:rPr>
        <w:t>约定规则收取的浮动性质的管理费用。</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6. </w:t>
      </w:r>
      <w:r>
        <w:rPr>
          <w:rFonts w:hint="eastAsia" w:cs="宋体" w:asciiTheme="majorEastAsia" w:hAnsiTheme="majorEastAsia" w:eastAsiaTheme="majorEastAsia"/>
          <w:b/>
          <w:bCs/>
          <w:color w:val="auto"/>
          <w:sz w:val="18"/>
          <w:szCs w:val="18"/>
          <w:lang w:val="en-US" w:eastAsia="zh-CN" w:bidi="ar-SA"/>
        </w:rPr>
        <w:t>其他</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元：指人民币元。</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color w:val="000000"/>
          <w:sz w:val="28"/>
          <w:szCs w:val="2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2</w:t>
      </w:r>
      <w:r>
        <w:rPr>
          <w:rFonts w:hint="eastAsia" w:cs="宋体" w:asciiTheme="majorEastAsia" w:hAnsiTheme="majorEastAsia" w:eastAsiaTheme="majorEastAsia"/>
          <w:bCs/>
          <w:color w:val="000000"/>
          <w:sz w:val="18"/>
          <w:szCs w:val="18"/>
          <w:lang w:val="en-US" w:eastAsia="zh-CN" w:bidi="ar-SA"/>
        </w:rPr>
        <w:t>）适用法律：指在理财销售文件签署日和履行过程中，适用中华人民共和国法律（为本销售文件之目的，在此不包括香港、澳门特别行政区和台湾地区的法律），包括中国任何立法机构、政府部门、银行业</w:t>
      </w:r>
      <w:r>
        <w:rPr>
          <w:rFonts w:cs="宋体" w:asciiTheme="majorEastAsia" w:hAnsiTheme="majorEastAsia" w:eastAsiaTheme="majorEastAsia"/>
          <w:bCs/>
          <w:color w:val="000000"/>
          <w:sz w:val="18"/>
          <w:szCs w:val="18"/>
          <w:lang w:val="en-US" w:eastAsia="zh-CN" w:bidi="ar-SA"/>
        </w:rPr>
        <w:t>理财登记托管中心、</w:t>
      </w:r>
      <w:r>
        <w:rPr>
          <w:rFonts w:hint="eastAsia" w:cs="宋体" w:asciiTheme="majorEastAsia" w:hAnsiTheme="majorEastAsia" w:eastAsiaTheme="majorEastAsia"/>
          <w:bCs/>
          <w:color w:val="000000"/>
          <w:sz w:val="18"/>
          <w:szCs w:val="18"/>
          <w:lang w:val="en-US" w:eastAsia="zh-CN" w:bidi="ar-SA"/>
        </w:rPr>
        <w:t>银行间交易商协会、证券交易所、证券登记结算机构、相关</w:t>
      </w:r>
      <w:r>
        <w:rPr>
          <w:rFonts w:cs="宋体" w:asciiTheme="majorEastAsia" w:hAnsiTheme="majorEastAsia" w:eastAsiaTheme="majorEastAsia"/>
          <w:bCs/>
          <w:color w:val="000000"/>
          <w:sz w:val="18"/>
          <w:szCs w:val="18"/>
          <w:lang w:val="en-US" w:eastAsia="zh-CN" w:bidi="ar-SA"/>
        </w:rPr>
        <w:t>行</w:t>
      </w:r>
      <w:r>
        <w:rPr>
          <w:rFonts w:hint="eastAsia" w:cs="宋体" w:asciiTheme="majorEastAsia" w:hAnsiTheme="majorEastAsia" w:eastAsiaTheme="majorEastAsia"/>
          <w:bCs/>
          <w:color w:val="000000"/>
          <w:sz w:val="18"/>
          <w:szCs w:val="18"/>
          <w:lang w:val="en-US" w:eastAsia="zh-CN" w:bidi="ar-SA"/>
        </w:rPr>
        <w:t>业协会依法颁布的，适用于本理财产品相关事宜的法律、行政法规、地方法规、部委规章、地方政府规章、规范性文件、规则、通知、须知、业务指南、指引或操作规程，及其有效的修改、更新或补充。</w:t>
      </w:r>
      <w:r>
        <w:rPr>
          <w:rFonts w:ascii="宋体" w:hAnsi="宋体" w:eastAsia="宋体" w:cs="宋体"/>
          <w:color w:val="000000"/>
          <w:sz w:val="28"/>
          <w:szCs w:val="28"/>
          <w:lang w:val="en-US" w:eastAsia="zh-CN" w:bidi="ar-SA"/>
        </w:rPr>
        <w:br w:type="page"/>
      </w:r>
    </w:p>
    <w:p>
      <w:pPr>
        <w:keepNext/>
        <w:keepLines/>
        <w:widowControl w:val="0"/>
        <w:spacing w:before="0" w:after="0" w:line="360" w:lineRule="auto"/>
        <w:jc w:val="center"/>
        <w:outlineLvl w:val="0"/>
        <w:rPr>
          <w:rFonts w:ascii="Calibri" w:hAnsi="宋体" w:eastAsia="宋体" w:cs="宋体"/>
          <w:b/>
          <w:bCs/>
          <w:kern w:val="44"/>
          <w:sz w:val="28"/>
          <w:szCs w:val="28"/>
          <w:lang w:val="en-US" w:eastAsia="zh-CN" w:bidi="ar-SA"/>
        </w:rPr>
      </w:pPr>
      <w:bookmarkStart w:id="61" w:name="_Toc176189754"/>
      <w:bookmarkStart w:id="62" w:name="_Toc79154665"/>
      <w:r>
        <w:rPr>
          <w:rFonts w:hint="eastAsia" w:ascii="Calibri" w:hAnsi="宋体" w:eastAsia="宋体" w:cs="宋体"/>
          <w:b/>
          <w:bCs/>
          <w:kern w:val="44"/>
          <w:sz w:val="28"/>
          <w:szCs w:val="28"/>
          <w:lang w:val="en-US" w:eastAsia="zh-CN" w:bidi="ar-SA"/>
        </w:rPr>
        <w:t>第二条  理财产品基本情况</w:t>
      </w:r>
      <w:bookmarkEnd w:id="61"/>
      <w:bookmarkEnd w:id="62"/>
      <w:r>
        <w:rPr>
          <w:rFonts w:hint="eastAsia" w:ascii="Calibri" w:hAnsi="宋体" w:eastAsia="宋体" w:cs="宋体"/>
          <w:b/>
          <w:bCs/>
          <w:kern w:val="44"/>
          <w:sz w:val="28"/>
          <w:szCs w:val="28"/>
          <w:lang w:val="en-US" w:eastAsia="zh-CN" w:bidi="ar-SA"/>
        </w:rPr>
        <w:t xml:space="preserve"> </w:t>
      </w:r>
    </w:p>
    <w:tbl>
      <w:tblPr>
        <w:tblStyle w:val="7"/>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70"/>
        <w:gridCol w:w="767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理财产品名称</w:t>
            </w:r>
          </w:p>
        </w:tc>
        <w:tc>
          <w:tcPr>
            <w:tcW w:w="7674" w:type="dxa"/>
            <w:shd w:val="solid" w:color="FFFFFF" w:fill="FFFFFF"/>
          </w:tcPr>
          <w:p>
            <w:pPr>
              <w:spacing w:line="360" w:lineRule="auto"/>
              <w:jc w:val="left"/>
              <w:rPr>
                <w:rFonts w:ascii="宋体" w:hAnsi="宋体" w:eastAsia="宋体" w:cs="宋体"/>
                <w:bCs/>
                <w:sz w:val="18"/>
                <w:szCs w:val="18"/>
              </w:rPr>
            </w:pPr>
            <w:r>
              <w:rPr>
                <w:rFonts w:hint="eastAsia" w:cs="宋体" w:asciiTheme="majorEastAsia" w:hAnsiTheme="majorEastAsia" w:eastAsiaTheme="majorEastAsia"/>
                <w:bCs/>
                <w:kern w:val="0"/>
                <w:sz w:val="18"/>
                <w:szCs w:val="18"/>
              </w:rPr>
              <w:t>【</w:t>
            </w:r>
            <w:r>
              <w:rPr>
                <w:rFonts w:hint="eastAsia" w:cs="宋体" w:asciiTheme="majorEastAsia" w:hAnsiTheme="majorEastAsia" w:eastAsiaTheme="majorEastAsia"/>
                <w:bCs/>
                <w:sz w:val="18"/>
                <w:szCs w:val="18"/>
                <w:lang w:val="en-US" w:eastAsia="zh-CN"/>
              </w:rPr>
              <w:t>兴银理财稳利安盈封闭式2026年489期固收类理财产品</w:t>
            </w:r>
            <w:r>
              <w:rPr>
                <w:rFonts w:hint="eastAsia" w:cs="宋体" w:asciiTheme="majorEastAsia" w:hAnsiTheme="majorEastAsia" w:eastAsiaTheme="majorEastAsia"/>
                <w:bCs/>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产品销售名称</w:t>
            </w:r>
          </w:p>
        </w:tc>
        <w:tc>
          <w:tcPr>
            <w:tcW w:w="7674" w:type="dxa"/>
            <w:shd w:val="solid" w:color="FFFFFF" w:fill="FFFFFF"/>
          </w:tcPr>
          <w:p>
            <w:pPr>
              <w:widowControl/>
              <w:spacing w:line="360" w:lineRule="auto"/>
              <w:jc w:val="left"/>
              <w:rPr>
                <w:rFonts w:ascii="宋体" w:hAnsi="宋体" w:eastAsia="宋体" w:cs="宋体"/>
                <w:kern w:val="0"/>
                <w:sz w:val="22"/>
                <w:szCs w:val="22"/>
              </w:rPr>
            </w:pPr>
            <w:r>
              <w:rPr>
                <w:rFonts w:ascii="宋体" w:hAnsi="宋体" w:eastAsia="宋体" w:cs="宋体"/>
                <w:sz w:val="18"/>
                <w:szCs w:val="22"/>
              </w:rPr>
              <w:t>【稳利安盈2026年489期A】 (适用【A】类份额)</w:t>
            </w:r>
            <w:r>
              <w:rPr>
                <w:rFonts w:ascii="宋体" w:hAnsi="宋体" w:eastAsia="宋体" w:cs="宋体"/>
                <w:sz w:val="18"/>
                <w:szCs w:val="22"/>
              </w:rPr>
              <w:br w:type="textWrapping"/>
            </w:r>
            <w:r>
              <w:rPr>
                <w:rFonts w:ascii="宋体" w:hAnsi="宋体" w:eastAsia="宋体" w:cs="宋体"/>
                <w:sz w:val="18"/>
                <w:szCs w:val="22"/>
              </w:rPr>
              <w:t>【稳利安盈2026年489期B】 (适用【B】类份额)</w:t>
            </w:r>
            <w:r>
              <w:rPr>
                <w:rFonts w:ascii="宋体" w:hAnsi="宋体" w:eastAsia="宋体" w:cs="宋体"/>
                <w:sz w:val="18"/>
                <w:szCs w:val="22"/>
              </w:rPr>
              <w:br w:type="textWrapping"/>
            </w:r>
            <w:r>
              <w:rPr>
                <w:rFonts w:ascii="宋体" w:hAnsi="宋体" w:eastAsia="宋体" w:cs="宋体"/>
                <w:sz w:val="18"/>
                <w:szCs w:val="22"/>
              </w:rPr>
              <w:t>【稳利安盈2026年489期C】 (适用【C】类份额)</w:t>
            </w:r>
            <w:r>
              <w:rPr>
                <w:rFonts w:ascii="宋体" w:hAnsi="宋体" w:eastAsia="宋体" w:cs="宋体"/>
                <w:sz w:val="18"/>
                <w:szCs w:val="22"/>
              </w:rPr>
              <w:br w:type="textWrapping"/>
            </w:r>
            <w:r>
              <w:rPr>
                <w:rFonts w:ascii="宋体" w:hAnsi="宋体" w:eastAsia="宋体" w:cs="宋体"/>
                <w:sz w:val="18"/>
                <w:szCs w:val="22"/>
              </w:rPr>
              <w:t>【稳利安盈2026年489期D】 (适用【D】类份额)</w:t>
            </w:r>
            <w:r>
              <w:rPr>
                <w:rFonts w:ascii="宋体" w:hAnsi="宋体" w:eastAsia="宋体" w:cs="宋体"/>
                <w:sz w:val="18"/>
                <w:szCs w:val="22"/>
              </w:rPr>
              <w:br w:type="textWrapping"/>
            </w:r>
            <w:r>
              <w:rPr>
                <w:rFonts w:ascii="宋体" w:hAnsi="宋体" w:eastAsia="宋体" w:cs="宋体"/>
                <w:sz w:val="18"/>
                <w:szCs w:val="22"/>
              </w:rPr>
              <w:t>【稳利安盈2026年489期E】 (适用【E】类份额)</w:t>
            </w:r>
            <w:r>
              <w:rPr>
                <w:rFonts w:ascii="宋体" w:hAnsi="宋体" w:eastAsia="宋体" w:cs="宋体"/>
                <w:sz w:val="18"/>
                <w:szCs w:val="22"/>
              </w:rPr>
              <w:br w:type="textWrapping"/>
            </w:r>
            <w:r>
              <w:rPr>
                <w:rFonts w:ascii="宋体" w:hAnsi="宋体" w:eastAsia="宋体" w:cs="宋体"/>
                <w:sz w:val="18"/>
                <w:szCs w:val="22"/>
              </w:rPr>
              <w:t>【稳利安盈2026年489期F】 (适用【F】类份额)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产品登记编码</w:t>
            </w:r>
          </w:p>
        </w:tc>
        <w:tc>
          <w:tcPr>
            <w:tcW w:w="7674" w:type="dxa"/>
            <w:shd w:val="solid" w:color="FFFFFF" w:fill="FFFFFF"/>
          </w:tcPr>
          <w:p>
            <w:pPr>
              <w:spacing w:line="360" w:lineRule="auto"/>
              <w:jc w:val="left"/>
              <w:rPr>
                <w:rFonts w:ascii="宋体" w:hAnsi="宋体" w:eastAsia="宋体" w:cs="宋体"/>
                <w:b/>
                <w:sz w:val="18"/>
                <w:szCs w:val="18"/>
              </w:rPr>
            </w:pPr>
            <w:r>
              <w:rPr>
                <w:rFonts w:hint="eastAsia" w:eastAsia="宋体" w:cs="宋体" w:asciiTheme="minorEastAsia" w:hAnsiTheme="minorEastAsia"/>
                <w:sz w:val="18"/>
                <w:szCs w:val="18"/>
              </w:rPr>
              <w:t>【Z7002026001143】</w:t>
            </w:r>
            <w:r>
              <w:rPr>
                <w:rFonts w:hint="eastAsia" w:cs="宋体" w:asciiTheme="majorEastAsia" w:hAnsiTheme="majorEastAsia" w:eastAsiaTheme="majorEastAsia"/>
                <w:sz w:val="18"/>
                <w:szCs w:val="18"/>
              </w:rPr>
              <w:t>投资者可依据理财产品登记编码在中国理财网</w:t>
            </w:r>
            <w:r>
              <w:rPr>
                <w:rFonts w:cs="宋体" w:asciiTheme="majorEastAsia" w:hAnsiTheme="majorEastAsia" w:eastAsiaTheme="majorEastAsia"/>
                <w:sz w:val="18"/>
                <w:szCs w:val="18"/>
              </w:rPr>
              <w:t>(</w:t>
            </w:r>
            <w:r>
              <w:rPr>
                <w:rFonts w:ascii="Calibri" w:hAnsi="Calibri" w:eastAsia="宋体" w:cs="宋体"/>
                <w:szCs w:val="22"/>
              </w:rPr>
              <w:fldChar w:fldCharType="begin"/>
            </w:r>
            <w:r>
              <w:rPr>
                <w:rFonts w:ascii="Calibri" w:hAnsi="Calibri" w:eastAsia="宋体" w:cs="宋体"/>
                <w:szCs w:val="22"/>
              </w:rPr>
              <w:instrText xml:space="preserve"> HYPERLINK "http://www.chinawealth.com.cn" </w:instrText>
            </w:r>
            <w:r>
              <w:rPr>
                <w:rFonts w:ascii="Calibri" w:hAnsi="Calibri" w:eastAsia="宋体" w:cs="宋体"/>
                <w:szCs w:val="22"/>
              </w:rPr>
              <w:fldChar w:fldCharType="separate"/>
            </w:r>
            <w:r>
              <w:rPr>
                <w:rFonts w:cs="宋体" w:asciiTheme="majorEastAsia" w:hAnsiTheme="majorEastAsia" w:eastAsiaTheme="majorEastAsia"/>
                <w:sz w:val="18"/>
                <w:szCs w:val="18"/>
              </w:rPr>
              <w:t>www.chinawealth.com.cn</w:t>
            </w:r>
            <w:r>
              <w:rPr>
                <w:rFonts w:cs="宋体" w:asciiTheme="majorEastAsia" w:hAnsiTheme="majorEastAsia" w:eastAsiaTheme="majorEastAsia"/>
                <w:sz w:val="18"/>
                <w:szCs w:val="18"/>
              </w:rPr>
              <w:fldChar w:fldCharType="end"/>
            </w:r>
            <w:r>
              <w:rPr>
                <w:rFonts w:cs="宋体" w:asciiTheme="majorEastAsia" w:hAnsiTheme="majorEastAsia" w:eastAsiaTheme="majorEastAsia"/>
                <w:sz w:val="18"/>
                <w:szCs w:val="18"/>
              </w:rPr>
              <w:t>）</w:t>
            </w:r>
            <w:r>
              <w:rPr>
                <w:rFonts w:hint="eastAsia" w:cs="宋体"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产品代码</w:t>
            </w:r>
          </w:p>
        </w:tc>
        <w:tc>
          <w:tcPr>
            <w:tcW w:w="7674" w:type="dxa"/>
            <w:shd w:val="solid" w:color="FFFFFF" w:fill="FFFFFF"/>
            <w:vAlign w:val="center"/>
          </w:tcPr>
          <w:p>
            <w:pPr>
              <w:spacing w:line="360" w:lineRule="auto"/>
              <w:jc w:val="left"/>
              <w:rPr>
                <w:rFonts w:ascii="宋体" w:hAnsi="宋体" w:eastAsia="宋体" w:cs="宋体"/>
                <w:bCs/>
                <w:sz w:val="18"/>
                <w:szCs w:val="18"/>
              </w:rPr>
            </w:pPr>
            <w:r>
              <w:rPr>
                <w:rFonts w:ascii="宋体" w:hAnsi="宋体" w:eastAsia="宋体" w:cs="宋体"/>
                <w:bCs/>
                <w:sz w:val="18"/>
                <w:szCs w:val="18"/>
              </w:rPr>
              <w:t>【</w:t>
            </w:r>
            <w:r>
              <w:rPr>
                <w:rFonts w:hint="eastAsia" w:ascii="宋体" w:hAnsi="宋体" w:eastAsia="宋体" w:cs="宋体"/>
                <w:bCs/>
                <w:sz w:val="18"/>
                <w:szCs w:val="18"/>
              </w:rPr>
              <w:t>9A264890】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hint="eastAsia" w:ascii="Calibri" w:hAnsi="宋体" w:eastAsia="宋体" w:cs="宋体"/>
                <w:b/>
                <w:sz w:val="18"/>
                <w:szCs w:val="18"/>
                <w:lang w:eastAsia="zh-CN"/>
              </w:rPr>
            </w:pPr>
            <w:r>
              <w:rPr>
                <w:rFonts w:hint="eastAsia" w:ascii="Calibri" w:hAnsi="宋体" w:eastAsia="宋体" w:cs="宋体"/>
                <w:b/>
                <w:sz w:val="18"/>
                <w:szCs w:val="18"/>
              </w:rPr>
              <w:t>★</w:t>
            </w:r>
            <w:r>
              <w:rPr>
                <w:rFonts w:hint="eastAsia" w:ascii="Calibri" w:hAnsi="宋体" w:eastAsia="宋体" w:cs="宋体"/>
                <w:b/>
                <w:sz w:val="18"/>
                <w:szCs w:val="18"/>
                <w:lang w:eastAsia="zh-CN"/>
              </w:rPr>
              <w:t>份额代码</w:t>
            </w:r>
          </w:p>
        </w:tc>
        <w:tc>
          <w:tcPr>
            <w:tcW w:w="7674" w:type="dxa"/>
            <w:shd w:val="solid" w:color="FFFFFF" w:fill="FFFFFF"/>
          </w:tcPr>
          <w:p>
            <w:pPr>
              <w:spacing w:line="360" w:lineRule="auto"/>
              <w:jc w:val="left"/>
              <w:rPr>
                <w:rFonts w:ascii="Calibri" w:hAnsi="宋体" w:eastAsia="宋体" w:cs="宋体"/>
                <w:sz w:val="18"/>
                <w:szCs w:val="18"/>
              </w:rPr>
            </w:pPr>
            <w:r>
              <w:rPr>
                <w:rFonts w:ascii="宋体" w:hAnsi="宋体" w:eastAsia="宋体" w:cs="宋体"/>
                <w:sz w:val="18"/>
                <w:szCs w:val="22"/>
              </w:rPr>
              <w:t>【9A26489A】 (适用【A】类份额)</w:t>
            </w:r>
            <w:r>
              <w:rPr>
                <w:rFonts w:ascii="宋体" w:hAnsi="宋体" w:eastAsia="宋体" w:cs="宋体"/>
                <w:sz w:val="18"/>
                <w:szCs w:val="22"/>
              </w:rPr>
              <w:br w:type="textWrapping"/>
            </w:r>
            <w:r>
              <w:rPr>
                <w:rFonts w:ascii="宋体" w:hAnsi="宋体" w:eastAsia="宋体" w:cs="宋体"/>
                <w:sz w:val="18"/>
                <w:szCs w:val="22"/>
              </w:rPr>
              <w:t>【9A26489B】 (适用【B】类份额)</w:t>
            </w:r>
            <w:r>
              <w:rPr>
                <w:rFonts w:ascii="宋体" w:hAnsi="宋体" w:eastAsia="宋体" w:cs="宋体"/>
                <w:sz w:val="18"/>
                <w:szCs w:val="22"/>
              </w:rPr>
              <w:br w:type="textWrapping"/>
            </w:r>
            <w:r>
              <w:rPr>
                <w:rFonts w:ascii="宋体" w:hAnsi="宋体" w:eastAsia="宋体" w:cs="宋体"/>
                <w:sz w:val="18"/>
                <w:szCs w:val="22"/>
              </w:rPr>
              <w:t>【9A26489C】 (适用【C】类份额)</w:t>
            </w:r>
            <w:r>
              <w:rPr>
                <w:rFonts w:ascii="宋体" w:hAnsi="宋体" w:eastAsia="宋体" w:cs="宋体"/>
                <w:sz w:val="18"/>
                <w:szCs w:val="22"/>
              </w:rPr>
              <w:br w:type="textWrapping"/>
            </w:r>
            <w:r>
              <w:rPr>
                <w:rFonts w:ascii="宋体" w:hAnsi="宋体" w:eastAsia="宋体" w:cs="宋体"/>
                <w:sz w:val="18"/>
                <w:szCs w:val="22"/>
              </w:rPr>
              <w:t>【9A26489D】 (适用【D】类份额)</w:t>
            </w:r>
            <w:r>
              <w:rPr>
                <w:rFonts w:ascii="宋体" w:hAnsi="宋体" w:eastAsia="宋体" w:cs="宋体"/>
                <w:sz w:val="18"/>
                <w:szCs w:val="22"/>
              </w:rPr>
              <w:br w:type="textWrapping"/>
            </w:r>
            <w:r>
              <w:rPr>
                <w:rFonts w:ascii="宋体" w:hAnsi="宋体" w:eastAsia="宋体" w:cs="宋体"/>
                <w:sz w:val="18"/>
                <w:szCs w:val="22"/>
              </w:rPr>
              <w:t>【9A26489E】 (适用【E】类份额)</w:t>
            </w:r>
            <w:r>
              <w:rPr>
                <w:rFonts w:ascii="宋体" w:hAnsi="宋体" w:eastAsia="宋体" w:cs="宋体"/>
                <w:sz w:val="18"/>
                <w:szCs w:val="22"/>
              </w:rPr>
              <w:br w:type="textWrapping"/>
            </w:r>
            <w:r>
              <w:rPr>
                <w:rFonts w:ascii="宋体" w:hAnsi="宋体" w:eastAsia="宋体" w:cs="宋体"/>
                <w:sz w:val="18"/>
                <w:szCs w:val="22"/>
              </w:rPr>
              <w:t>【9A26489F】 (适用【F】类份额)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ascii="Calibri" w:hAnsi="宋体" w:eastAsia="宋体" w:cs="宋体"/>
                <w:b/>
                <w:sz w:val="18"/>
                <w:szCs w:val="18"/>
              </w:rPr>
              <w:t>产品</w:t>
            </w:r>
            <w:r>
              <w:rPr>
                <w:rFonts w:ascii="Calibri" w:hAnsi="宋体" w:eastAsia="宋体" w:cs="宋体"/>
                <w:b/>
                <w:sz w:val="18"/>
                <w:szCs w:val="18"/>
              </w:rPr>
              <w:t>份额类别</w:t>
            </w:r>
          </w:p>
        </w:tc>
        <w:tc>
          <w:tcPr>
            <w:tcW w:w="7674" w:type="dxa"/>
            <w:shd w:val="solid" w:color="FFFFFF" w:fill="FFFFFF"/>
            <w:vAlign w:val="center"/>
          </w:tcPr>
          <w:p>
            <w:pPr>
              <w:spacing w:line="360" w:lineRule="auto"/>
              <w:rPr>
                <w:rFonts w:ascii="宋体" w:hAnsi="宋体" w:eastAsia="宋体" w:cs="宋体"/>
                <w:bCs/>
                <w:sz w:val="18"/>
                <w:szCs w:val="18"/>
              </w:rPr>
            </w:pPr>
            <w:r>
              <w:rPr>
                <w:rFonts w:ascii="宋体" w:hAnsi="宋体" w:eastAsia="宋体" w:cs="宋体"/>
                <w:bCs/>
                <w:sz w:val="18"/>
                <w:szCs w:val="18"/>
              </w:rPr>
              <w:t>1</w:t>
            </w:r>
            <w:r>
              <w:rPr>
                <w:rFonts w:hint="eastAsia" w:ascii="宋体" w:hAnsi="宋体" w:eastAsia="宋体" w:cs="宋体"/>
                <w:bCs/>
                <w:sz w:val="18"/>
                <w:szCs w:val="18"/>
              </w:rPr>
              <w:t>.本产品根据投资者购买理财产品的金额、</w:t>
            </w:r>
            <w:r>
              <w:rPr>
                <w:rFonts w:ascii="宋体" w:hAnsi="宋体" w:eastAsia="宋体" w:cs="宋体"/>
                <w:bCs/>
                <w:sz w:val="18"/>
                <w:szCs w:val="18"/>
              </w:rPr>
              <w:t>投资者</w:t>
            </w:r>
            <w:r>
              <w:rPr>
                <w:rFonts w:hint="eastAsia" w:ascii="宋体" w:hAnsi="宋体" w:eastAsia="宋体" w:cs="宋体"/>
                <w:bCs/>
                <w:sz w:val="18"/>
                <w:szCs w:val="18"/>
              </w:rPr>
              <w:t>类型、</w:t>
            </w:r>
            <w:r>
              <w:rPr>
                <w:rFonts w:ascii="宋体" w:hAnsi="宋体" w:eastAsia="宋体" w:cs="宋体"/>
                <w:bCs/>
                <w:sz w:val="18"/>
                <w:szCs w:val="18"/>
              </w:rPr>
              <w:t>销售渠道</w:t>
            </w:r>
            <w:r>
              <w:rPr>
                <w:rFonts w:hint="eastAsia" w:ascii="宋体" w:hAnsi="宋体" w:eastAsia="宋体" w:cs="宋体"/>
                <w:bCs/>
                <w:sz w:val="18"/>
                <w:szCs w:val="18"/>
              </w:rPr>
              <w:t>等因素，对投资者所持有的理财产品份额设置不同的理财产品份额类别。</w:t>
            </w:r>
          </w:p>
          <w:p>
            <w:pPr>
              <w:spacing w:line="360" w:lineRule="auto"/>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.本产品设置不同的理财产品份额，每类理财产品份额以下内容</w:t>
            </w:r>
            <w:r>
              <w:rPr>
                <w:rFonts w:ascii="宋体" w:hAnsi="宋体" w:eastAsia="宋体" w:cs="宋体"/>
                <w:bCs/>
                <w:sz w:val="18"/>
                <w:szCs w:val="18"/>
              </w:rPr>
              <w:t>可能</w:t>
            </w:r>
            <w:r>
              <w:rPr>
                <w:rFonts w:hint="eastAsia" w:ascii="宋体" w:hAnsi="宋体" w:eastAsia="宋体" w:cs="宋体"/>
                <w:bCs/>
                <w:sz w:val="18"/>
                <w:szCs w:val="18"/>
              </w:rPr>
              <w:t>单独设置：</w:t>
            </w:r>
          </w:p>
          <w:p>
            <w:pPr>
              <w:spacing w:line="360" w:lineRule="auto"/>
              <w:rPr>
                <w:rFonts w:ascii="宋体" w:hAnsi="宋体" w:eastAsia="宋体" w:cs="宋体"/>
                <w:bCs/>
                <w:sz w:val="18"/>
                <w:szCs w:val="18"/>
              </w:rPr>
            </w:pPr>
            <w:r>
              <w:rPr>
                <w:rFonts w:hint="eastAsia" w:ascii="宋体" w:hAnsi="宋体" w:eastAsia="宋体" w:cs="宋体"/>
                <w:bCs/>
                <w:sz w:val="18"/>
                <w:szCs w:val="18"/>
              </w:rPr>
              <w:t>（1）销售名称</w:t>
            </w:r>
          </w:p>
          <w:p>
            <w:pPr>
              <w:spacing w:line="360" w:lineRule="auto"/>
              <w:rPr>
                <w:rFonts w:ascii="宋体" w:hAnsi="宋体" w:eastAsia="宋体" w:cs="宋体"/>
                <w:bCs/>
                <w:sz w:val="18"/>
                <w:szCs w:val="18"/>
              </w:rPr>
            </w:pPr>
            <w:r>
              <w:rPr>
                <w:rFonts w:hint="eastAsia" w:ascii="宋体" w:hAnsi="宋体" w:eastAsia="宋体" w:cs="宋体"/>
                <w:bCs/>
                <w:sz w:val="18"/>
                <w:szCs w:val="18"/>
              </w:rPr>
              <w:t>（2）收费方式</w:t>
            </w:r>
          </w:p>
          <w:p>
            <w:pPr>
              <w:spacing w:line="360" w:lineRule="auto"/>
              <w:rPr>
                <w:rFonts w:ascii="宋体" w:hAnsi="宋体" w:eastAsia="宋体" w:cs="宋体"/>
                <w:bCs/>
                <w:sz w:val="18"/>
                <w:szCs w:val="18"/>
              </w:rPr>
            </w:pPr>
            <w:r>
              <w:rPr>
                <w:rFonts w:hint="eastAsia" w:ascii="宋体" w:hAnsi="宋体" w:eastAsia="宋体" w:cs="宋体"/>
                <w:bCs/>
                <w:sz w:val="18"/>
                <w:szCs w:val="18"/>
              </w:rPr>
              <w:t>（3）销售服务费</w:t>
            </w:r>
          </w:p>
          <w:p>
            <w:pPr>
              <w:spacing w:line="360" w:lineRule="auto"/>
              <w:rPr>
                <w:rFonts w:hint="eastAsia" w:ascii="宋体" w:hAnsi="宋体" w:eastAsia="宋体" w:cs="宋体"/>
                <w:bCs/>
                <w:sz w:val="18"/>
                <w:szCs w:val="18"/>
                <w:lang w:eastAsia="zh-CN"/>
              </w:rPr>
            </w:pPr>
            <w:r>
              <w:rPr>
                <w:rFonts w:hint="eastAsia" w:ascii="宋体" w:hAnsi="宋体" w:eastAsia="宋体" w:cs="宋体"/>
                <w:bCs/>
                <w:sz w:val="18"/>
                <w:szCs w:val="18"/>
              </w:rPr>
              <w:t>（4）</w:t>
            </w:r>
            <w:r>
              <w:rPr>
                <w:rFonts w:hint="eastAsia" w:ascii="宋体" w:hAnsi="宋体" w:eastAsia="宋体" w:cs="宋体"/>
                <w:bCs/>
                <w:sz w:val="18"/>
                <w:szCs w:val="18"/>
                <w:lang w:eastAsia="zh-CN"/>
              </w:rPr>
              <w:t>份额代码</w:t>
            </w:r>
          </w:p>
          <w:p>
            <w:pPr>
              <w:spacing w:line="360" w:lineRule="auto"/>
              <w:rPr>
                <w:rFonts w:ascii="宋体" w:hAnsi="宋体" w:eastAsia="宋体" w:cs="宋体"/>
                <w:bCs/>
                <w:sz w:val="18"/>
                <w:szCs w:val="18"/>
              </w:rPr>
            </w:pPr>
            <w:r>
              <w:rPr>
                <w:rFonts w:hint="eastAsia" w:ascii="宋体" w:hAnsi="宋体" w:eastAsia="宋体" w:cs="宋体"/>
                <w:bCs/>
                <w:sz w:val="18"/>
                <w:szCs w:val="18"/>
              </w:rPr>
              <w:t>（5）销售对象</w:t>
            </w:r>
          </w:p>
          <w:p>
            <w:pPr>
              <w:spacing w:line="360" w:lineRule="auto"/>
              <w:rPr>
                <w:rFonts w:ascii="宋体" w:hAnsi="宋体" w:eastAsia="宋体" w:cs="宋体"/>
                <w:bCs/>
                <w:sz w:val="18"/>
                <w:szCs w:val="18"/>
              </w:rPr>
            </w:pPr>
            <w:r>
              <w:rPr>
                <w:rFonts w:hint="eastAsia" w:ascii="宋体" w:hAnsi="宋体" w:eastAsia="宋体" w:cs="宋体"/>
                <w:bCs/>
                <w:sz w:val="18"/>
                <w:szCs w:val="18"/>
              </w:rPr>
              <w:t>（6）销售起点金额（认购、申购的起点金额）</w:t>
            </w:r>
          </w:p>
          <w:p>
            <w:pPr>
              <w:spacing w:line="360" w:lineRule="auto"/>
              <w:rPr>
                <w:rFonts w:ascii="宋体" w:hAnsi="宋体" w:eastAsia="宋体" w:cs="宋体"/>
                <w:bCs/>
                <w:sz w:val="18"/>
                <w:szCs w:val="18"/>
              </w:rPr>
            </w:pPr>
            <w:r>
              <w:rPr>
                <w:rFonts w:hint="eastAsia" w:ascii="宋体" w:hAnsi="宋体" w:eastAsia="宋体" w:cs="宋体"/>
                <w:bCs/>
                <w:sz w:val="18"/>
                <w:szCs w:val="18"/>
              </w:rPr>
              <w:t>（7）投资者认购、申购和赎回的数量限制</w:t>
            </w:r>
          </w:p>
          <w:p>
            <w:pPr>
              <w:spacing w:line="360" w:lineRule="auto"/>
              <w:rPr>
                <w:rFonts w:ascii="宋体" w:hAnsi="宋体" w:eastAsia="宋体" w:cs="宋体"/>
                <w:bCs/>
                <w:sz w:val="18"/>
                <w:szCs w:val="18"/>
              </w:rPr>
            </w:pPr>
            <w:r>
              <w:rPr>
                <w:rFonts w:hint="eastAsia" w:ascii="宋体" w:hAnsi="宋体" w:eastAsia="宋体" w:cs="宋体"/>
                <w:bCs/>
                <w:sz w:val="18"/>
                <w:szCs w:val="18"/>
              </w:rPr>
              <w:t>（8）投资者</w:t>
            </w:r>
            <w:r>
              <w:rPr>
                <w:rFonts w:hint="eastAsia" w:eastAsia="宋体" w:cs="宋体" w:asciiTheme="minorEastAsia" w:hAnsiTheme="minorEastAsia"/>
                <w:bCs/>
                <w:sz w:val="18"/>
                <w:szCs w:val="18"/>
              </w:rPr>
              <w:t>持有本产品的最高限额、最低限额</w:t>
            </w:r>
          </w:p>
          <w:p>
            <w:pPr>
              <w:spacing w:line="360" w:lineRule="auto"/>
              <w:rPr>
                <w:rFonts w:ascii="宋体" w:hAnsi="宋体" w:eastAsia="宋体" w:cs="宋体"/>
                <w:bCs/>
                <w:sz w:val="18"/>
                <w:szCs w:val="18"/>
              </w:rPr>
            </w:pPr>
            <w:r>
              <w:rPr>
                <w:rFonts w:hint="eastAsia" w:ascii="宋体" w:hAnsi="宋体" w:eastAsia="宋体" w:cs="宋体"/>
                <w:bCs/>
                <w:sz w:val="18"/>
                <w:szCs w:val="18"/>
              </w:rPr>
              <w:t>（9）分别计算和公告产品份额净值</w:t>
            </w:r>
          </w:p>
          <w:p>
            <w:pPr>
              <w:spacing w:line="360" w:lineRule="auto"/>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.投资者可根据实际情况自行选择认购的产品份额类别。</w:t>
            </w:r>
          </w:p>
          <w:p>
            <w:pPr>
              <w:spacing w:line="360" w:lineRule="auto"/>
              <w:rPr>
                <w:rFonts w:ascii="宋体" w:hAnsi="宋体" w:eastAsia="宋体" w:cs="宋体"/>
                <w:b/>
                <w:bCs/>
                <w:sz w:val="18"/>
                <w:szCs w:val="18"/>
              </w:rPr>
            </w:pPr>
            <w:r>
              <w:rPr>
                <w:rFonts w:hint="eastAsia" w:ascii="黑体" w:hAnsi="黑体" w:eastAsia="黑体" w:cs="宋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产品基本类型</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ascii="黑体" w:hAnsi="黑体" w:eastAsia="黑体" w:cs="黑体"/>
                <w:sz w:val="18"/>
                <w:szCs w:val="18"/>
              </w:rPr>
              <w:t>公募</w:t>
            </w:r>
            <w:r>
              <w:rPr>
                <w:rFonts w:hint="eastAsia" w:ascii="黑体" w:hAnsi="黑体" w:eastAsia="黑体" w:cs="黑体"/>
                <w:bCs/>
                <w:sz w:val="18"/>
                <w:szCs w:val="18"/>
              </w:rPr>
              <w:t>、封闭式、固定收益类、非保本浮动收益、净值型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产品募集方式</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cs="宋体"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产品运作方式</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产品投资性质</w:t>
            </w:r>
          </w:p>
        </w:tc>
        <w:tc>
          <w:tcPr>
            <w:tcW w:w="7674" w:type="dxa"/>
            <w:shd w:val="solid" w:color="FFFFFF" w:fill="FFFFFF"/>
            <w:vAlign w:val="center"/>
          </w:tcPr>
          <w:p>
            <w:pPr>
              <w:adjustRightInd w:val="0"/>
              <w:snapToGrid w:val="0"/>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固定收益类</w:t>
            </w:r>
          </w:p>
          <w:p>
            <w:pPr>
              <w:adjustRightInd w:val="0"/>
              <w:snapToGrid w:val="0"/>
              <w:spacing w:line="360" w:lineRule="auto"/>
              <w:rPr>
                <w:rFonts w:ascii="黑体" w:hAnsi="黑体" w:eastAsia="黑体" w:cs="宋体"/>
                <w:bCs/>
                <w:sz w:val="18"/>
                <w:szCs w:val="18"/>
              </w:rPr>
            </w:pPr>
            <w:r>
              <w:rPr>
                <w:rFonts w:hint="eastAsia" w:ascii="黑体" w:hAnsi="黑体" w:eastAsia="黑体" w:cs="宋体"/>
                <w:sz w:val="18"/>
                <w:szCs w:val="18"/>
              </w:rPr>
              <w:t>固定</w:t>
            </w:r>
            <w:r>
              <w:rPr>
                <w:rFonts w:ascii="黑体" w:hAnsi="黑体" w:eastAsia="黑体" w:cs="宋体"/>
                <w:sz w:val="18"/>
                <w:szCs w:val="18"/>
              </w:rPr>
              <w:t>收益</w:t>
            </w:r>
            <w:r>
              <w:rPr>
                <w:rFonts w:hint="eastAsia" w:ascii="黑体" w:hAnsi="黑体" w:eastAsia="黑体" w:cs="宋体"/>
                <w:sz w:val="18"/>
                <w:szCs w:val="18"/>
              </w:rPr>
              <w:t>类</w:t>
            </w:r>
            <w:r>
              <w:rPr>
                <w:rFonts w:ascii="黑体" w:hAnsi="黑体" w:eastAsia="黑体" w:cs="宋体"/>
                <w:sz w:val="18"/>
                <w:szCs w:val="18"/>
              </w:rPr>
              <w:t>产品是指根据监管</w:t>
            </w:r>
            <w:r>
              <w:rPr>
                <w:rFonts w:hint="eastAsia" w:ascii="黑体" w:hAnsi="黑体" w:eastAsia="黑体" w:cs="宋体"/>
                <w:sz w:val="18"/>
                <w:szCs w:val="18"/>
              </w:rPr>
              <w:t>相关规定</w:t>
            </w:r>
            <w:r>
              <w:rPr>
                <w:rFonts w:ascii="黑体" w:hAnsi="黑体" w:eastAsia="黑体" w:cs="宋体"/>
                <w:sz w:val="18"/>
                <w:szCs w:val="18"/>
              </w:rPr>
              <w:t>，投资于债权类资产的</w:t>
            </w:r>
            <w:r>
              <w:rPr>
                <w:rFonts w:hint="eastAsia" w:ascii="黑体" w:hAnsi="黑体" w:eastAsia="黑体" w:cs="宋体"/>
                <w:sz w:val="18"/>
                <w:szCs w:val="18"/>
              </w:rPr>
              <w:t>比例</w:t>
            </w:r>
            <w:r>
              <w:rPr>
                <w:rFonts w:ascii="黑体" w:hAnsi="黑体" w:eastAsia="黑体" w:cs="宋体"/>
                <w:sz w:val="18"/>
                <w:szCs w:val="18"/>
              </w:rPr>
              <w:t>不低于80%的产品</w:t>
            </w:r>
            <w:r>
              <w:rPr>
                <w:rFonts w:hint="eastAsia" w:ascii="黑体" w:hAnsi="黑体" w:eastAsia="黑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w:t>
            </w:r>
            <w:r>
              <w:rPr>
                <w:rFonts w:cs="宋体" w:asciiTheme="majorEastAsia" w:hAnsiTheme="majorEastAsia" w:eastAsiaTheme="majorEastAsia"/>
                <w:b/>
                <w:sz w:val="18"/>
                <w:szCs w:val="18"/>
              </w:rPr>
              <w:t>收益特征</w:t>
            </w:r>
          </w:p>
        </w:tc>
        <w:tc>
          <w:tcPr>
            <w:tcW w:w="7674" w:type="dxa"/>
            <w:shd w:val="solid" w:color="FFFFFF" w:fill="FFFFFF"/>
            <w:vAlign w:val="center"/>
          </w:tcPr>
          <w:p>
            <w:pPr>
              <w:adjustRightInd w:val="0"/>
              <w:snapToGrid w:val="0"/>
              <w:spacing w:line="360" w:lineRule="auto"/>
              <w:rPr>
                <w:rFonts w:ascii="黑体" w:hAnsi="黑体" w:eastAsia="黑体" w:cs="宋体"/>
                <w:sz w:val="18"/>
                <w:szCs w:val="18"/>
              </w:rPr>
            </w:pPr>
            <w:r>
              <w:rPr>
                <w:rFonts w:hint="eastAsia" w:ascii="黑体" w:hAnsi="黑体" w:eastAsia="黑体" w:cs="宋体"/>
                <w:sz w:val="18"/>
                <w:szCs w:val="18"/>
              </w:rPr>
              <w:t>非保本浮动收益</w:t>
            </w:r>
          </w:p>
          <w:p>
            <w:pPr>
              <w:adjustRightInd w:val="0"/>
              <w:snapToGrid w:val="0"/>
              <w:spacing w:line="360" w:lineRule="auto"/>
              <w:rPr>
                <w:rFonts w:ascii="黑体" w:hAnsi="黑体" w:eastAsia="黑体" w:cs="宋体"/>
                <w:sz w:val="18"/>
                <w:szCs w:val="18"/>
              </w:rPr>
            </w:pPr>
            <w:r>
              <w:rPr>
                <w:rFonts w:hint="eastAsia" w:ascii="黑体" w:hAnsi="黑体" w:eastAsia="黑体" w:cs="宋体"/>
                <w:sz w:val="18"/>
                <w:szCs w:val="18"/>
              </w:rPr>
              <w:t>本产品不保证本金且不保证收益。本产品的收益随投资收益浮动，投资者可能会因市场变动而蒙受损失。</w:t>
            </w:r>
          </w:p>
          <w:p>
            <w:pPr>
              <w:adjustRightInd w:val="0"/>
              <w:snapToGrid w:val="0"/>
              <w:spacing w:line="360" w:lineRule="auto"/>
              <w:rPr>
                <w:rFonts w:cs="宋体" w:asciiTheme="majorEastAsia" w:hAnsiTheme="majorEastAsia" w:eastAsiaTheme="majorEastAsia"/>
                <w:color w:val="000000" w:themeColor="text1"/>
                <w:sz w:val="18"/>
                <w:szCs w:val="18"/>
                <w14:textFill>
                  <w14:solidFill>
                    <w14:schemeClr w14:val="tx1"/>
                  </w14:solidFill>
                </w14:textFill>
              </w:rPr>
            </w:pPr>
            <w:r>
              <w:rPr>
                <w:rFonts w:hint="eastAsia" w:ascii="黑体" w:hAnsi="黑体" w:eastAsia="黑体" w:cs="宋体"/>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理财币种</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cs="宋体"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产品风险评级</w:t>
            </w:r>
          </w:p>
        </w:tc>
        <w:tc>
          <w:tcPr>
            <w:tcW w:w="7674" w:type="dxa"/>
            <w:shd w:val="solid" w:color="FFFFFF" w:fill="FFFFFF"/>
          </w:tcPr>
          <w:p>
            <w:pPr>
              <w:spacing w:line="360" w:lineRule="auto"/>
              <w:rPr>
                <w:rFonts w:hint="eastAsia" w:ascii="黑体" w:hAnsi="黑体" w:eastAsia="黑体" w:cs="黑体"/>
                <w:bCs/>
                <w:sz w:val="18"/>
                <w:szCs w:val="18"/>
              </w:rPr>
            </w:pPr>
            <w:r>
              <w:rPr>
                <w:rFonts w:hint="eastAsia" w:ascii="黑体" w:hAnsi="黑体" w:eastAsia="黑体" w:cs="黑体"/>
                <w:bCs/>
                <w:sz w:val="18"/>
                <w:szCs w:val="18"/>
              </w:rPr>
              <w:t>本产品属于【</w:t>
            </w:r>
            <w:r>
              <w:rPr>
                <w:rFonts w:hint="eastAsia" w:cs="宋体" w:asciiTheme="majorEastAsia" w:hAnsiTheme="majorEastAsia" w:eastAsiaTheme="majorEastAsia"/>
                <w:bCs/>
                <w:sz w:val="18"/>
                <w:szCs w:val="18"/>
              </w:rPr>
              <w:t>■ R1、□ R2、□ R3、□ R4、□ R5</w:t>
            </w:r>
            <w:r>
              <w:rPr>
                <w:rFonts w:hint="eastAsia" w:ascii="黑体" w:hAnsi="黑体" w:eastAsia="黑体" w:cs="黑体"/>
                <w:bCs/>
                <w:sz w:val="18"/>
                <w:szCs w:val="18"/>
              </w:rPr>
              <w:t>】理财产品。</w:t>
            </w:r>
          </w:p>
          <w:p>
            <w:pPr>
              <w:spacing w:line="360" w:lineRule="auto"/>
              <w:rPr>
                <w:rFonts w:ascii="黑体" w:hAnsi="黑体" w:eastAsia="黑体" w:cs="宋体"/>
                <w:sz w:val="18"/>
                <w:szCs w:val="18"/>
              </w:rPr>
            </w:pPr>
            <w:r>
              <w:rPr>
                <w:rFonts w:hint="eastAsia" w:ascii="黑体" w:hAnsi="黑体" w:eastAsia="黑体" w:cs="宋体"/>
                <w:sz w:val="18"/>
                <w:szCs w:val="18"/>
              </w:rPr>
              <w:t>本评级为理财产品管理人内部评级，仅供参考。</w:t>
            </w:r>
          </w:p>
          <w:p>
            <w:pPr>
              <w:spacing w:line="360" w:lineRule="auto"/>
              <w:rPr>
                <w:rFonts w:ascii="宋体" w:hAnsi="宋体" w:eastAsia="宋体" w:cs="宋体"/>
                <w:b/>
                <w:bCs/>
                <w:sz w:val="18"/>
                <w:szCs w:val="18"/>
              </w:rPr>
            </w:pPr>
            <w:r>
              <w:rPr>
                <w:rFonts w:hint="eastAsia" w:ascii="黑体" w:hAnsi="黑体" w:eastAsia="黑体" w:cs="宋体"/>
                <w:bCs/>
                <w:sz w:val="18"/>
                <w:szCs w:val="18"/>
              </w:rPr>
              <w:t>注</w:t>
            </w:r>
            <w:r>
              <w:rPr>
                <w:rFonts w:ascii="黑体" w:hAnsi="黑体" w:eastAsia="黑体" w:cs="宋体"/>
                <w:bCs/>
                <w:sz w:val="18"/>
                <w:szCs w:val="18"/>
              </w:rPr>
              <w:t>：</w:t>
            </w:r>
            <w:r>
              <w:rPr>
                <w:rFonts w:hint="eastAsia" w:ascii="黑体" w:hAnsi="黑体" w:eastAsia="黑体" w:cs="宋体"/>
                <w:bCs/>
                <w:sz w:val="18"/>
                <w:szCs w:val="18"/>
              </w:rPr>
              <w:t>若本</w:t>
            </w:r>
            <w:r>
              <w:rPr>
                <w:rFonts w:ascii="黑体" w:hAnsi="黑体" w:eastAsia="黑体" w:cs="宋体"/>
                <w:bCs/>
                <w:sz w:val="18"/>
                <w:szCs w:val="18"/>
              </w:rPr>
              <w:t>产品通过代理销售机构销售的，</w:t>
            </w:r>
            <w:r>
              <w:rPr>
                <w:rFonts w:hint="eastAsia" w:ascii="黑体" w:hAnsi="黑体" w:eastAsia="黑体" w:cs="宋体"/>
                <w:bCs/>
                <w:sz w:val="18"/>
                <w:szCs w:val="18"/>
              </w:rPr>
              <w:t>理财产品</w:t>
            </w:r>
            <w:r>
              <w:rPr>
                <w:rFonts w:ascii="黑体" w:hAnsi="黑体" w:eastAsia="黑体" w:cs="宋体"/>
                <w:bCs/>
                <w:sz w:val="18"/>
                <w:szCs w:val="18"/>
              </w:rPr>
              <w:t>评级</w:t>
            </w:r>
            <w:r>
              <w:rPr>
                <w:rFonts w:hint="eastAsia" w:ascii="黑体" w:hAnsi="黑体" w:eastAsia="黑体" w:cs="宋体"/>
                <w:bCs/>
                <w:sz w:val="18"/>
                <w:szCs w:val="18"/>
              </w:rPr>
              <w:t>以</w:t>
            </w:r>
            <w:r>
              <w:rPr>
                <w:rFonts w:ascii="黑体" w:hAnsi="黑体" w:eastAsia="黑体" w:cs="宋体"/>
                <w:bCs/>
                <w:sz w:val="18"/>
                <w:szCs w:val="18"/>
              </w:rPr>
              <w:t>代理销售机构最终披露的评级结果为准。</w:t>
            </w:r>
            <w:r>
              <w:rPr>
                <w:rFonts w:hint="eastAsia" w:ascii="黑体" w:hAnsi="黑体" w:eastAsia="黑体" w:cs="宋体"/>
                <w:bCs/>
                <w:sz w:val="18"/>
                <w:szCs w:val="18"/>
              </w:rPr>
              <w:t>本产品存续期内，产品风险评级可能会根据实际情况进行调整。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销售对象</w:t>
            </w:r>
          </w:p>
        </w:tc>
        <w:tc>
          <w:tcPr>
            <w:tcW w:w="7674" w:type="dxa"/>
            <w:shd w:val="solid" w:color="FFFFFF" w:fill="FFFFFF"/>
            <w:vAlign w:val="bottom"/>
          </w:tcPr>
          <w:p>
            <w:pPr>
              <w:spacing w:line="360" w:lineRule="auto"/>
              <w:rPr>
                <w:rFonts w:cs="宋体" w:asciiTheme="majorEastAsia" w:hAnsiTheme="majorEastAsia" w:eastAsiaTheme="majorEastAsia"/>
                <w:bCs/>
                <w:color w:val="000000" w:themeColor="text1"/>
                <w:sz w:val="18"/>
                <w:szCs w:val="18"/>
                <w14:textFill>
                  <w14:solidFill>
                    <w14:schemeClr w14:val="tx1"/>
                  </w14:solidFill>
                </w14:textFill>
              </w:rPr>
            </w:pPr>
            <w:r>
              <w:rPr>
                <w:rFonts w:cs="宋体" w:asciiTheme="majorEastAsia" w:hAnsiTheme="majorEastAsia" w:eastAsiaTheme="majorEastAsia"/>
                <w:bCs/>
                <w:color w:val="000000" w:themeColor="text1"/>
                <w:sz w:val="18"/>
                <w:szCs w:val="18"/>
                <w14:textFill>
                  <w14:solidFill>
                    <w14:schemeClr w14:val="tx1"/>
                  </w14:solidFill>
                </w14:textFill>
              </w:rPr>
              <w:t>本产品适合以下类型投资者：</w:t>
            </w:r>
            <w:r>
              <w:rPr>
                <w:rFonts w:ascii="宋体" w:hAnsi="宋体" w:eastAsia="宋体" w:cs="宋体"/>
                <w:sz w:val="18"/>
                <w:szCs w:val="22"/>
              </w:rPr>
              <w:t>(适用【A</w:t>
            </w:r>
            <w:r>
              <w:rPr>
                <w:rFonts w:hint="eastAsia" w:ascii="宋体" w:hAnsi="宋体" w:eastAsia="宋体" w:cs="宋体"/>
                <w:sz w:val="18"/>
                <w:szCs w:val="22"/>
                <w:lang w:val="en-US" w:eastAsia="zh-CN"/>
              </w:rPr>
              <w:t>/B/C/D/E/F</w:t>
            </w:r>
            <w:r>
              <w:rPr>
                <w:rFonts w:ascii="宋体" w:hAnsi="宋体" w:eastAsia="宋体" w:cs="宋体"/>
                <w:sz w:val="18"/>
                <w:szCs w:val="22"/>
              </w:rPr>
              <w:t>】类份额)</w:t>
            </w:r>
          </w:p>
          <w:p>
            <w:pPr>
              <w:spacing w:line="360" w:lineRule="auto"/>
              <w:rPr>
                <w:rFonts w:hint="eastAsia" w:cs="宋体" w:asciiTheme="majorEastAsia" w:hAnsiTheme="majorEastAsia" w:eastAsiaTheme="majorEastAsia"/>
                <w:bCs/>
                <w:color w:val="000000" w:themeColor="text1"/>
                <w:sz w:val="18"/>
                <w:szCs w:val="18"/>
                <w14:textFill>
                  <w14:solidFill>
                    <w14:schemeClr w14:val="tx1"/>
                  </w14:solidFill>
                </w14:textFill>
              </w:rPr>
            </w:pPr>
            <w:r>
              <w:rPr>
                <w:rFonts w:hint="eastAsia" w:cs="宋体"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color w:val="000000" w:themeColor="text1"/>
                <w:sz w:val="18"/>
                <w:szCs w:val="18"/>
                <w14:textFill>
                  <w14:solidFill>
                    <w14:schemeClr w14:val="tx1"/>
                  </w14:solidFill>
                </w14:textFill>
              </w:rPr>
              <w:t>■机构投资者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销售场景</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本产品可在销售机构线上渠道和线下渠道等场景进行销售。</w:t>
            </w:r>
          </w:p>
          <w:p>
            <w:pPr>
              <w:spacing w:line="360" w:lineRule="auto"/>
              <w:rPr>
                <w:rFonts w:cs="宋体"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cs="黑体"/>
                <w:sz w:val="18"/>
                <w:szCs w:val="18"/>
              </w:rPr>
              <w:t>注：当销售机构销售产品风险评级为R4及以上的理财产品时，可在销售机构的营业网点进行，也可依据</w:t>
            </w:r>
            <w:r>
              <w:rPr>
                <w:rFonts w:hint="eastAsia" w:ascii="黑体" w:hAnsi="黑体" w:eastAsia="黑体" w:cs="宋体"/>
                <w:sz w:val="18"/>
                <w:szCs w:val="18"/>
                <w:lang w:eastAsia="zh-CN"/>
              </w:rPr>
              <w:t>监管规定及</w:t>
            </w:r>
            <w:r>
              <w:rPr>
                <w:rFonts w:hint="eastAsia" w:ascii="黑体" w:hAnsi="黑体" w:eastAsia="黑体" w:cs="黑体"/>
                <w:sz w:val="18"/>
                <w:szCs w:val="18"/>
              </w:rPr>
              <w:t>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sz w:val="18"/>
                <w:szCs w:val="18"/>
              </w:rPr>
              <w:t>销售机构</w:t>
            </w:r>
          </w:p>
        </w:tc>
        <w:tc>
          <w:tcPr>
            <w:tcW w:w="7674" w:type="dxa"/>
            <w:shd w:val="solid" w:color="FFFFFF" w:fill="FFFFFF"/>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□直销适用</w:t>
            </w:r>
          </w:p>
          <w:p>
            <w:pPr>
              <w:spacing w:line="360" w:lineRule="auto"/>
              <w:rPr>
                <w:rFonts w:hint="eastAsia" w:ascii="宋体" w:hAnsi="宋体" w:eastAsia="宋体" w:cs="宋体"/>
                <w:sz w:val="18"/>
                <w:szCs w:val="18"/>
              </w:rPr>
            </w:pPr>
            <w:r>
              <w:rPr>
                <w:rFonts w:hint="eastAsia" w:ascii="宋体" w:hAnsi="宋体" w:eastAsia="宋体" w:cs="宋体"/>
                <w:sz w:val="18"/>
                <w:szCs w:val="18"/>
              </w:rPr>
              <w:t>本产品由产品管理人销售。</w:t>
            </w:r>
          </w:p>
          <w:p>
            <w:pPr>
              <w:spacing w:line="360" w:lineRule="auto"/>
              <w:rPr>
                <w:rFonts w:hint="eastAsia" w:ascii="宋体" w:hAnsi="宋体" w:eastAsia="宋体" w:cs="宋体"/>
                <w:sz w:val="18"/>
                <w:szCs w:val="18"/>
              </w:rPr>
            </w:pPr>
            <w:r>
              <w:rPr>
                <w:rFonts w:hint="eastAsia" w:ascii="宋体" w:hAnsi="宋体" w:eastAsia="宋体" w:cs="宋体"/>
                <w:sz w:val="18"/>
                <w:szCs w:val="18"/>
              </w:rPr>
              <w:t>■代销适用</w:t>
            </w:r>
          </w:p>
          <w:p>
            <w:pPr>
              <w:spacing w:line="360" w:lineRule="auto"/>
              <w:rPr>
                <w:rFonts w:hint="eastAsia" w:ascii="宋体" w:hAnsi="宋体" w:eastAsia="宋体" w:cs="宋体"/>
                <w:sz w:val="18"/>
                <w:szCs w:val="18"/>
              </w:rPr>
            </w:pPr>
            <w:r>
              <w:rPr>
                <w:rFonts w:hint="eastAsia" w:ascii="宋体" w:hAnsi="宋体" w:eastAsia="宋体" w:cs="宋体"/>
                <w:sz w:val="18"/>
                <w:szCs w:val="18"/>
              </w:rPr>
              <w:t>本产品由代理销售机构销售。</w:t>
            </w:r>
          </w:p>
          <w:p>
            <w:pPr>
              <w:spacing w:line="360" w:lineRule="auto"/>
              <w:rPr>
                <w:rFonts w:hint="eastAsia" w:ascii="宋体" w:hAnsi="宋体" w:eastAsia="宋体" w:cs="宋体"/>
                <w:sz w:val="18"/>
                <w:szCs w:val="18"/>
              </w:rPr>
            </w:pPr>
            <w:r>
              <w:rPr>
                <w:rFonts w:hint="eastAsia" w:ascii="宋体" w:hAnsi="宋体" w:eastAsia="宋体" w:cs="宋体"/>
                <w:sz w:val="18"/>
                <w:szCs w:val="18"/>
              </w:rPr>
              <w:t>销售机构信息详见本产品说明书附表1：销售机构基本情况。</w:t>
            </w:r>
          </w:p>
          <w:p>
            <w:pPr>
              <w:spacing w:line="360" w:lineRule="auto"/>
              <w:rPr>
                <w:rFonts w:hint="eastAsia" w:ascii="宋体" w:hAnsi="宋体" w:eastAsia="宋体" w:cs="宋体"/>
                <w:sz w:val="18"/>
                <w:szCs w:val="18"/>
              </w:rPr>
            </w:pPr>
            <w:r>
              <w:rPr>
                <w:rFonts w:hint="eastAsia" w:ascii="宋体" w:hAnsi="宋体" w:eastAsia="宋体" w:cs="宋体"/>
                <w:sz w:val="18"/>
                <w:szCs w:val="18"/>
              </w:rPr>
              <w:t>后续如有新增或变更，以产品管理人的信息披露为准。</w:t>
            </w:r>
          </w:p>
          <w:p>
            <w:pPr>
              <w:spacing w:line="360" w:lineRule="auto"/>
              <w:rPr>
                <w:rFonts w:cs="宋体" w:asciiTheme="majorEastAsia" w:hAnsiTheme="majorEastAsia" w:eastAsiaTheme="majorEastAsia"/>
                <w:bCs/>
                <w:sz w:val="18"/>
                <w:szCs w:val="18"/>
              </w:rPr>
            </w:pPr>
            <w:r>
              <w:rPr>
                <w:rFonts w:hint="eastAsia" w:ascii="宋体" w:hAnsi="宋体" w:eastAsia="宋体" w:cs="宋体"/>
                <w:sz w:val="18"/>
                <w:szCs w:val="18"/>
              </w:rPr>
              <w:t>■本理财产品的部分销售机构为理财产品管理人的关联方，相关销售机构与管理人之间的关联关系明细详见附表2：销售机构关联关系情况。上述关联关系可能产生不利影响和投资风险，进而可能影响投资者的利益，投资者购买本产品视为理解并认可相关关联关系可能涉及的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w:t>
            </w:r>
            <w:r>
              <w:rPr>
                <w:rFonts w:cs="宋体" w:asciiTheme="majorEastAsia" w:hAnsiTheme="majorEastAsia" w:eastAsiaTheme="majorEastAsia"/>
                <w:b/>
                <w:bCs/>
                <w:sz w:val="18"/>
                <w:szCs w:val="18"/>
              </w:rPr>
              <w:t>管理人</w:t>
            </w:r>
          </w:p>
        </w:tc>
        <w:tc>
          <w:tcPr>
            <w:tcW w:w="7674" w:type="dxa"/>
            <w:shd w:val="solid" w:color="FFFFFF" w:fill="FFFFFF"/>
            <w:vAlign w:val="center"/>
          </w:tcPr>
          <w:p>
            <w:pPr>
              <w:spacing w:line="360" w:lineRule="auto"/>
              <w:rPr>
                <w:rFonts w:hint="eastAsia" w:ascii="黑体" w:hAnsi="黑体" w:eastAsia="黑体" w:cs="黑体"/>
                <w:bCs/>
                <w:sz w:val="18"/>
                <w:szCs w:val="18"/>
              </w:rPr>
            </w:pPr>
            <w:r>
              <w:rPr>
                <w:rFonts w:hint="eastAsia" w:ascii="黑体" w:hAnsi="黑体" w:eastAsia="黑体" w:cs="黑体"/>
                <w:bCs/>
                <w:sz w:val="18"/>
                <w:szCs w:val="18"/>
              </w:rPr>
              <w:t>企业名称：【兴银理财有限责任公司】</w:t>
            </w:r>
          </w:p>
          <w:p>
            <w:pPr>
              <w:spacing w:line="360" w:lineRule="auto"/>
              <w:rPr>
                <w:rFonts w:hint="eastAsia" w:ascii="黑体" w:hAnsi="黑体" w:eastAsia="黑体" w:cs="黑体"/>
                <w:bCs/>
                <w:sz w:val="18"/>
                <w:szCs w:val="18"/>
              </w:rPr>
            </w:pPr>
            <w:r>
              <w:rPr>
                <w:rFonts w:hint="eastAsia" w:ascii="黑体" w:hAnsi="黑体" w:eastAsia="黑体" w:cs="黑体"/>
                <w:bCs/>
                <w:sz w:val="18"/>
                <w:szCs w:val="18"/>
              </w:rPr>
              <w:t>住所：【福建省福州市鼓楼区湖东路 154 号中山大厦 A 座 6 层、11 层、12 层、15 层】</w:t>
            </w:r>
          </w:p>
          <w:p>
            <w:pPr>
              <w:spacing w:line="360" w:lineRule="auto"/>
              <w:rPr>
                <w:rFonts w:cs="宋体" w:asciiTheme="majorEastAsia" w:hAnsiTheme="majorEastAsia" w:eastAsiaTheme="majorEastAsia"/>
                <w:bCs/>
                <w:sz w:val="18"/>
                <w:szCs w:val="18"/>
              </w:rPr>
            </w:pPr>
            <w:r>
              <w:rPr>
                <w:rFonts w:hint="eastAsia" w:ascii="黑体" w:hAnsi="黑体" w:eastAsia="黑体" w:cs="黑体"/>
                <w:bCs/>
                <w:sz w:val="18"/>
                <w:szCs w:val="18"/>
              </w:rPr>
              <w:t>联系方式：【门户网站：www.cibwm.com.cn；客户服务热线：40015-95561】</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理财产品托管人</w:t>
            </w:r>
          </w:p>
        </w:tc>
        <w:tc>
          <w:tcPr>
            <w:tcW w:w="7674" w:type="dxa"/>
            <w:shd w:val="solid" w:color="FFFFFF" w:fill="FFFFFF"/>
            <w:vAlign w:val="center"/>
          </w:tcPr>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企业名称：【兴业银行股份有限公司】</w:t>
            </w:r>
          </w:p>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住所：【福建省福州市台江区江滨中大道398号兴业银行大厦】</w:t>
            </w:r>
          </w:p>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联系方式：【门户网站：www.cib.com.cn；客户服务热线：95561】</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 本理财产品的托管机构【兴业银行股份有限公司】为理财产品管理人的关联方。上述关联关系可能产生不利影响和投资风险，进而可能影响投资者的利益，投资者购买本产品视为理解并认可相关关联关系可能涉及的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产品规模</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1.本产品计划初始</w:t>
            </w:r>
            <w:r>
              <w:rPr>
                <w:rFonts w:cs="宋体" w:asciiTheme="majorEastAsia" w:hAnsiTheme="majorEastAsia" w:eastAsiaTheme="majorEastAsia"/>
                <w:bCs/>
                <w:sz w:val="18"/>
                <w:szCs w:val="18"/>
              </w:rPr>
              <w:t>募集</w:t>
            </w:r>
            <w:r>
              <w:rPr>
                <w:rFonts w:hint="eastAsia" w:cs="宋体" w:asciiTheme="majorEastAsia" w:hAnsiTheme="majorEastAsia" w:eastAsiaTheme="majorEastAsia"/>
                <w:bCs/>
                <w:sz w:val="18"/>
                <w:szCs w:val="18"/>
              </w:rPr>
              <w:t>规模为【5】亿元，最小成立规模为【1.2】亿元。</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2.产品管理人</w:t>
            </w:r>
            <w:r>
              <w:rPr>
                <w:rFonts w:cs="宋体" w:asciiTheme="majorEastAsia" w:hAnsiTheme="majorEastAsia" w:eastAsiaTheme="majorEastAsia"/>
                <w:bCs/>
                <w:sz w:val="18"/>
                <w:szCs w:val="18"/>
              </w:rPr>
              <w:t>有权根据实际需要对产品规模进行调整，产品最终规模以</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实际募集/管理的</w:t>
            </w:r>
            <w:r>
              <w:rPr>
                <w:rFonts w:hint="eastAsia" w:cs="宋体" w:asciiTheme="majorEastAsia" w:hAnsiTheme="majorEastAsia" w:eastAsiaTheme="majorEastAsia"/>
                <w:bCs/>
                <w:sz w:val="18"/>
                <w:szCs w:val="18"/>
              </w:rPr>
              <w:t>金</w:t>
            </w:r>
            <w:r>
              <w:rPr>
                <w:rFonts w:cs="宋体"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cs="宋体" w:asciiTheme="majorEastAsia" w:hAnsiTheme="majorEastAsia" w:eastAsiaTheme="majorEastAsia"/>
                <w:b/>
                <w:sz w:val="18"/>
                <w:szCs w:val="18"/>
              </w:rPr>
              <w:t>产品期限</w:t>
            </w:r>
          </w:p>
        </w:tc>
        <w:tc>
          <w:tcPr>
            <w:tcW w:w="7674" w:type="dxa"/>
            <w:shd w:val="solid" w:color="FFFFFF" w:fill="FFFFFF"/>
            <w:vAlign w:val="center"/>
          </w:tcPr>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■有固定期限:【132天】</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□无固定期限</w:t>
            </w:r>
          </w:p>
          <w:p>
            <w:pPr>
              <w:spacing w:line="360" w:lineRule="auto"/>
              <w:rPr>
                <w:rFonts w:cs="宋体" w:asciiTheme="majorEastAsia" w:hAnsiTheme="majorEastAsia" w:eastAsiaTheme="majorEastAsia"/>
                <w:bCs/>
                <w:sz w:val="18"/>
                <w:szCs w:val="18"/>
              </w:rPr>
            </w:pPr>
            <w:r>
              <w:rPr>
                <w:rFonts w:hint="eastAsia" w:ascii="黑体" w:hAnsi="黑体" w:eastAsia="黑体" w:cs="宋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eastAsia="宋体" w:cs="宋体" w:asciiTheme="minorEastAsia" w:hAnsiTheme="minorEastAsia"/>
                <w:b/>
                <w:sz w:val="18"/>
                <w:szCs w:val="18"/>
              </w:rPr>
              <w:t>认购期/募集期</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本产品认购期/募集期为</w:t>
            </w:r>
            <w:r>
              <w:rPr>
                <w:rFonts w:hint="eastAsia" w:eastAsia="宋体" w:cs="宋体" w:asciiTheme="minorEastAsia" w:hAnsiTheme="minorEastAsia"/>
                <w:bCs/>
                <w:sz w:val="18"/>
                <w:szCs w:val="18"/>
              </w:rPr>
              <w:t>：</w:t>
            </w:r>
            <w:r>
              <w:rPr>
                <w:rFonts w:hint="eastAsia" w:eastAsia="宋体" w:cs="Times New Roman" w:asciiTheme="minorEastAsia" w:hAnsiTheme="minorEastAsia"/>
                <w:sz w:val="18"/>
                <w:szCs w:val="18"/>
              </w:rPr>
              <w:t>【2026年08月27日】【09:00】至【2026年09月02日】【17:00】</w:t>
            </w:r>
            <w:r>
              <w:rPr>
                <w:rFonts w:cs="宋体" w:asciiTheme="majorEastAsia" w:hAnsiTheme="majorEastAsia" w:eastAsiaTheme="majorEastAsia"/>
                <w:sz w:val="18"/>
                <w:szCs w:val="18"/>
              </w:rPr>
              <w:t>。</w:t>
            </w:r>
          </w:p>
          <w:p>
            <w:pPr>
              <w:spacing w:line="360" w:lineRule="auto"/>
              <w:rPr>
                <w:rFonts w:ascii="宋体" w:hAnsi="宋体" w:eastAsia="宋体" w:cs="宋体"/>
                <w:bCs/>
                <w:sz w:val="18"/>
                <w:szCs w:val="18"/>
              </w:rPr>
            </w:pPr>
            <w:r>
              <w:rPr>
                <w:rFonts w:ascii="宋体" w:hAnsi="宋体" w:eastAsia="宋体" w:cs="宋体"/>
                <w:bCs/>
                <w:sz w:val="18"/>
                <w:szCs w:val="18"/>
              </w:rPr>
              <w:t>2</w:t>
            </w:r>
            <w:r>
              <w:rPr>
                <w:rFonts w:hint="eastAsia" w:eastAsia="宋体" w:cs="宋体" w:asciiTheme="minorEastAsia" w:hAnsiTheme="minorEastAsia"/>
                <w:bCs/>
                <w:sz w:val="18"/>
                <w:szCs w:val="18"/>
              </w:rPr>
              <w:t>.</w:t>
            </w:r>
            <w:r>
              <w:rPr>
                <w:rFonts w:hint="eastAsia" w:ascii="宋体" w:hAnsi="宋体" w:eastAsia="宋体" w:cs="宋体"/>
                <w:bCs/>
                <w:sz w:val="18"/>
                <w:szCs w:val="18"/>
              </w:rPr>
              <w:t>投资者在认购期/募集</w:t>
            </w:r>
            <w:r>
              <w:rPr>
                <w:rFonts w:hint="eastAsia" w:ascii="宋体" w:hAnsi="宋体" w:eastAsia="宋体" w:cs="宋体"/>
                <w:sz w:val="18"/>
                <w:szCs w:val="22"/>
              </w:rPr>
              <w:t>期内认购</w:t>
            </w:r>
            <w:r>
              <w:rPr>
                <w:rFonts w:hint="eastAsia" w:ascii="宋体" w:hAnsi="宋体" w:eastAsia="宋体" w:cs="宋体"/>
                <w:bCs/>
                <w:sz w:val="18"/>
                <w:szCs w:val="18"/>
              </w:rPr>
              <w:t>本</w:t>
            </w:r>
            <w:r>
              <w:rPr>
                <w:rFonts w:hint="eastAsia" w:ascii="宋体" w:hAnsi="宋体" w:eastAsia="宋体" w:cs="宋体"/>
                <w:sz w:val="18"/>
                <w:szCs w:val="22"/>
              </w:rPr>
              <w:t>理财</w:t>
            </w:r>
            <w:r>
              <w:rPr>
                <w:rFonts w:hint="eastAsia" w:ascii="宋体" w:hAnsi="宋体" w:eastAsia="宋体" w:cs="宋体"/>
                <w:bCs/>
                <w:sz w:val="18"/>
                <w:szCs w:val="18"/>
              </w:rPr>
              <w:t>产品后，</w:t>
            </w:r>
            <w:r>
              <w:rPr>
                <w:rFonts w:hint="eastAsia" w:ascii="宋体" w:hAnsi="宋体" w:eastAsia="宋体" w:cs="宋体"/>
                <w:sz w:val="18"/>
                <w:szCs w:val="22"/>
              </w:rPr>
              <w:t>理财</w:t>
            </w:r>
            <w:r>
              <w:rPr>
                <w:rFonts w:hint="eastAsia" w:ascii="宋体" w:hAnsi="宋体" w:eastAsia="宋体" w:cs="宋体"/>
                <w:bCs/>
                <w:sz w:val="18"/>
                <w:szCs w:val="18"/>
              </w:rPr>
              <w:t>资金将在成立日开始进行投资。</w:t>
            </w:r>
          </w:p>
          <w:p>
            <w:pPr>
              <w:spacing w:line="360" w:lineRule="auto"/>
              <w:rPr>
                <w:rFonts w:ascii="宋体" w:hAnsi="宋体" w:eastAsia="宋体" w:cs="宋体"/>
                <w:sz w:val="18"/>
                <w:szCs w:val="22"/>
              </w:rPr>
            </w:pPr>
            <w:r>
              <w:rPr>
                <w:rFonts w:ascii="宋体" w:hAnsi="宋体" w:eastAsia="宋体" w:cs="宋体"/>
                <w:bCs/>
                <w:sz w:val="18"/>
                <w:szCs w:val="18"/>
              </w:rPr>
              <w:t>3</w:t>
            </w:r>
            <w:r>
              <w:rPr>
                <w:rFonts w:hint="eastAsia" w:eastAsia="宋体" w:cs="宋体" w:asciiTheme="minorEastAsia" w:hAnsiTheme="minorEastAsia"/>
                <w:bCs/>
                <w:sz w:val="18"/>
                <w:szCs w:val="18"/>
              </w:rPr>
              <w:t>.</w:t>
            </w:r>
            <w:r>
              <w:rPr>
                <w:rFonts w:hint="eastAsia" w:ascii="宋体" w:hAnsi="宋体" w:eastAsia="宋体" w:cs="宋体"/>
                <w:bCs/>
                <w:sz w:val="18"/>
                <w:szCs w:val="18"/>
              </w:rPr>
              <w:t>投资者认购资金实际扣划至管理人募集账户后，认购资金在认购期/募集期内产生的利息（如有）归投资者所有；投资者认购资金实际扣划至管理人募集账户前的计息规则，具体以销售机构实际情况为准</w:t>
            </w:r>
            <w:r>
              <w:rPr>
                <w:rFonts w:hint="eastAsia" w:ascii="宋体" w:hAnsi="宋体" w:eastAsia="宋体" w:cs="宋体"/>
                <w:sz w:val="18"/>
                <w:szCs w:val="22"/>
              </w:rPr>
              <w:t>。</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宋体" w:asciiTheme="majorEastAsia" w:hAnsiTheme="majorEastAsia" w:eastAsiaTheme="majorEastAsia"/>
                <w:bCs/>
                <w:sz w:val="18"/>
                <w:szCs w:val="18"/>
              </w:rPr>
            </w:pPr>
            <w:r>
              <w:rPr>
                <w:rFonts w:hint="eastAsia" w:ascii="黑体" w:hAnsi="黑体" w:eastAsia="黑体" w:cs="黑体"/>
                <w:bCs/>
                <w:color w:val="000000" w:themeColor="text1"/>
                <w:sz w:val="18"/>
                <w:szCs w:val="18"/>
                <w14:textFill>
                  <w14:solidFill>
                    <w14:schemeClr w14:val="tx1"/>
                  </w14:solidFill>
                </w14:textFill>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投资冷静期</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eastAsia="宋体" w:cs="宋体" w:asciiTheme="minorEastAsia" w:hAnsiTheme="minorEastAsia"/>
                <w:b/>
                <w:bCs/>
                <w:sz w:val="18"/>
                <w:szCs w:val="18"/>
              </w:rPr>
              <w:t>成立日</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.本产品的计划成立日为</w:t>
            </w:r>
            <w:r>
              <w:rPr>
                <w:rFonts w:eastAsia="宋体" w:cs="宋体" w:asciiTheme="minorEastAsia" w:hAnsiTheme="minorEastAsia"/>
                <w:bCs/>
                <w:sz w:val="18"/>
                <w:szCs w:val="18"/>
              </w:rPr>
              <w:t>：</w:t>
            </w:r>
            <w:r>
              <w:rPr>
                <w:rFonts w:hint="eastAsia" w:eastAsia="宋体" w:cs="Times New Roman" w:asciiTheme="minorEastAsia" w:hAnsiTheme="minorEastAsia"/>
                <w:sz w:val="18"/>
                <w:szCs w:val="18"/>
              </w:rPr>
              <w:t>【2026年09月03日】（遇节假日顺延）</w:t>
            </w:r>
            <w:r>
              <w:rPr>
                <w:rFonts w:hint="eastAsia" w:eastAsia="宋体" w:cs="宋体" w:asciiTheme="minorEastAsia" w:hAnsiTheme="minorEastAsia"/>
                <w:bCs/>
                <w:sz w:val="18"/>
                <w:szCs w:val="18"/>
              </w:rPr>
              <w:t>。</w:t>
            </w:r>
          </w:p>
          <w:p>
            <w:pPr>
              <w:spacing w:line="360" w:lineRule="auto"/>
              <w:rPr>
                <w:rFonts w:cs="宋体" w:asciiTheme="majorEastAsia" w:hAnsiTheme="majorEastAsia" w:eastAsiaTheme="majorEastAsia"/>
                <w:bCs/>
                <w:sz w:val="18"/>
                <w:szCs w:val="18"/>
              </w:rPr>
            </w:pPr>
            <w:r>
              <w:rPr>
                <w:rFonts w:eastAsia="宋体" w:cs="宋体" w:asciiTheme="minorEastAsia" w:hAnsiTheme="minorEastAsia"/>
                <w:bCs/>
                <w:sz w:val="18"/>
                <w:szCs w:val="18"/>
              </w:rPr>
              <w:t>2</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产品管理人有权根据实际募集情况提前或延后产品成立日期，并相应调整其他产品要素</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将依约</w:t>
            </w:r>
            <w:r>
              <w:rPr>
                <w:rFonts w:hint="eastAsia" w:eastAsia="宋体" w:cs="宋体"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eastAsia="宋体" w:cs="宋体" w:asciiTheme="minorEastAsia" w:hAnsiTheme="minorEastAsia"/>
                <w:b/>
                <w:bCs/>
                <w:sz w:val="18"/>
                <w:szCs w:val="18"/>
              </w:rPr>
              <w:t>终止日</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.本产品的计划终止日为</w:t>
            </w:r>
            <w:r>
              <w:rPr>
                <w:rFonts w:eastAsia="宋体" w:cs="宋体" w:asciiTheme="minorEastAsia" w:hAnsiTheme="minorEastAsia"/>
                <w:bCs/>
                <w:sz w:val="18"/>
                <w:szCs w:val="18"/>
              </w:rPr>
              <w:t>：</w:t>
            </w:r>
            <w:r>
              <w:rPr>
                <w:rFonts w:hint="eastAsia" w:eastAsia="宋体" w:cs="Times New Roman" w:asciiTheme="minorEastAsia" w:hAnsiTheme="minorEastAsia"/>
                <w:sz w:val="18"/>
                <w:szCs w:val="18"/>
              </w:rPr>
              <w:t>【2027年01月13日】（遇节假日顺延）</w:t>
            </w:r>
            <w:r>
              <w:rPr>
                <w:rFonts w:hint="eastAsia" w:eastAsia="宋体" w:cs="宋体" w:asciiTheme="minorEastAsia" w:hAnsiTheme="minorEastAsia"/>
                <w:bCs/>
                <w:sz w:val="18"/>
                <w:szCs w:val="18"/>
              </w:rPr>
              <w:t>。</w:t>
            </w:r>
          </w:p>
          <w:p>
            <w:pPr>
              <w:spacing w:line="360" w:lineRule="auto"/>
              <w:rPr>
                <w:rFonts w:eastAsia="宋体" w:cs="Times New Roman" w:asciiTheme="minorEastAsia" w:hAnsiTheme="minorEastAsia"/>
                <w:sz w:val="18"/>
                <w:szCs w:val="18"/>
              </w:rPr>
            </w:pPr>
            <w:r>
              <w:rPr>
                <w:rFonts w:hint="eastAsia" w:ascii="宋体" w:hAnsi="宋体" w:eastAsia="宋体" w:cs="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ascii="宋体" w:hAnsi="宋体" w:eastAsia="宋体" w:cs="宋体"/>
                <w:b/>
                <w:bCs/>
                <w:kern w:val="0"/>
                <w:sz w:val="18"/>
                <w:szCs w:val="18"/>
              </w:rPr>
              <w:t>销售起点金额</w:t>
            </w:r>
            <w:r>
              <w:rPr>
                <w:rFonts w:hint="eastAsia" w:cs="宋体" w:asciiTheme="majorEastAsia" w:hAnsiTheme="majorEastAsia" w:eastAsiaTheme="majorEastAsia"/>
                <w:b/>
                <w:bCs/>
                <w:sz w:val="18"/>
                <w:szCs w:val="18"/>
              </w:rPr>
              <w:t>及</w:t>
            </w:r>
            <w:r>
              <w:rPr>
                <w:rFonts w:cs="宋体" w:asciiTheme="majorEastAsia" w:hAnsiTheme="majorEastAsia" w:eastAsiaTheme="majorEastAsia"/>
                <w:b/>
                <w:bCs/>
                <w:sz w:val="18"/>
                <w:szCs w:val="18"/>
              </w:rPr>
              <w:t>递增金额</w:t>
            </w:r>
          </w:p>
        </w:tc>
        <w:tc>
          <w:tcPr>
            <w:tcW w:w="7674" w:type="dxa"/>
            <w:shd w:val="solid" w:color="FFFFFF" w:fill="FFFFFF"/>
            <w:vAlign w:val="center"/>
          </w:tcPr>
          <w:p>
            <w:pPr>
              <w:spacing w:line="360" w:lineRule="auto"/>
              <w:rPr>
                <w:rFonts w:hint="eastAsia" w:cs="宋体" w:asciiTheme="majorEastAsia" w:hAnsiTheme="majorEastAsia" w:eastAsiaTheme="majorEastAsia"/>
                <w:sz w:val="18"/>
                <w:szCs w:val="18"/>
              </w:rPr>
            </w:pPr>
            <w:r>
              <w:rPr>
                <w:rFonts w:ascii="宋体" w:hAnsi="宋体" w:eastAsia="宋体" w:cs="宋体"/>
                <w:sz w:val="18"/>
                <w:szCs w:val="22"/>
              </w:rPr>
              <w:t>每笔购买起点金额为【1】元; 超出起点金额的部分以【0.01】元的整数倍递增。（适用【A】类份额)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超出起点金额的部分以【0.01】元的整数倍递增。（适用【B】类份额)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超出起点金额的部分以【0.01】元的整数倍递增。（适用【C】类份额)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超出起点金额的部分以【0.01】元的整数倍递增。（适用【D】类份额)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超出起点金额的部分以【0.01】元的整数倍递增。（适用【E】类份额)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超出起点金额的部分以【0.01】元的整数倍递增。（适用【F】类份额)</w:t>
            </w:r>
          </w:p>
          <w:p>
            <w:pPr>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注</w:t>
            </w:r>
            <w:r>
              <w:rPr>
                <w:rFonts w:ascii="黑体" w:hAnsi="黑体" w:eastAsia="黑体" w:cs="宋体"/>
                <w:color w:val="000000" w:themeColor="text1"/>
                <w:sz w:val="18"/>
                <w:szCs w:val="18"/>
                <w14:textFill>
                  <w14:solidFill>
                    <w14:schemeClr w14:val="tx1"/>
                  </w14:solidFill>
                </w14:textFill>
              </w:rPr>
              <w:t>：</w:t>
            </w:r>
            <w:r>
              <w:rPr>
                <w:rFonts w:hint="eastAsia" w:ascii="黑体" w:hAnsi="黑体" w:eastAsia="黑体" w:cs="宋体"/>
                <w:color w:val="000000" w:themeColor="text1"/>
                <w:sz w:val="18"/>
                <w:szCs w:val="18"/>
                <w14:textFill>
                  <w14:solidFill>
                    <w14:schemeClr w14:val="tx1"/>
                  </w14:solidFill>
                </w14:textFill>
              </w:rPr>
              <w:t>关于代理销售机构的实际销售</w:t>
            </w:r>
            <w:r>
              <w:rPr>
                <w:rFonts w:ascii="黑体" w:hAnsi="黑体" w:eastAsia="黑体" w:cs="宋体"/>
                <w:color w:val="000000" w:themeColor="text1"/>
                <w:sz w:val="18"/>
                <w:szCs w:val="18"/>
                <w14:textFill>
                  <w14:solidFill>
                    <w14:schemeClr w14:val="tx1"/>
                  </w14:solidFill>
                </w14:textFill>
              </w:rPr>
              <w:t>起点金额</w:t>
            </w:r>
            <w:r>
              <w:rPr>
                <w:rFonts w:hint="eastAsia" w:ascii="黑体" w:hAnsi="黑体" w:eastAsia="黑体" w:cs="宋体"/>
                <w:color w:val="000000" w:themeColor="text1"/>
                <w:sz w:val="18"/>
                <w:szCs w:val="18"/>
                <w14:textFill>
                  <w14:solidFill>
                    <w14:schemeClr w14:val="tx1"/>
                  </w14:solidFill>
                </w14:textFill>
              </w:rPr>
              <w:t>的提示</w:t>
            </w:r>
          </w:p>
          <w:p>
            <w:pPr>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cs="宋体"/>
                <w:color w:val="000000" w:themeColor="text1"/>
                <w:sz w:val="18"/>
                <w:szCs w:val="18"/>
                <w14:textFill>
                  <w14:solidFill>
                    <w14:schemeClr w14:val="tx1"/>
                  </w14:solidFill>
                </w14:textFill>
              </w:rPr>
              <w:t>以</w:t>
            </w:r>
            <w:r>
              <w:rPr>
                <w:rFonts w:hint="eastAsia" w:ascii="黑体" w:hAnsi="黑体" w:eastAsia="黑体" w:cs="宋体"/>
                <w:color w:val="000000" w:themeColor="text1"/>
                <w:sz w:val="18"/>
                <w:szCs w:val="18"/>
                <w14:textFill>
                  <w14:solidFill>
                    <w14:schemeClr w14:val="tx1"/>
                  </w14:solidFill>
                </w14:textFill>
              </w:rPr>
              <w:t>代理销售机构展示</w:t>
            </w:r>
            <w:r>
              <w:rPr>
                <w:rFonts w:ascii="黑体" w:hAnsi="黑体" w:eastAsia="黑体" w:cs="宋体"/>
                <w:color w:val="000000" w:themeColor="text1"/>
                <w:sz w:val="18"/>
                <w:szCs w:val="18"/>
                <w14:textFill>
                  <w14:solidFill>
                    <w14:schemeClr w14:val="tx1"/>
                  </w14:solidFill>
                </w14:textFill>
              </w:rPr>
              <w:t>为准</w:t>
            </w:r>
            <w:r>
              <w:rPr>
                <w:rFonts w:hint="eastAsia" w:ascii="黑体" w:hAnsi="黑体" w:eastAsia="黑体" w:cs="宋体"/>
                <w:color w:val="000000" w:themeColor="text1"/>
                <w:sz w:val="18"/>
                <w:szCs w:val="18"/>
                <w14:textFill>
                  <w14:solidFill>
                    <w14:schemeClr w14:val="tx1"/>
                  </w14:solidFill>
                </w14:textFill>
              </w:rPr>
              <w:t>。</w:t>
            </w:r>
          </w:p>
          <w:p>
            <w:pPr>
              <w:spacing w:line="360" w:lineRule="auto"/>
              <w:jc w:val="left"/>
              <w:rPr>
                <w:rFonts w:eastAsia="宋体" w:cs="Times New Roman" w:asciiTheme="minorEastAsia" w:hAnsiTheme="minorEastAsia"/>
                <w:sz w:val="18"/>
                <w:szCs w:val="18"/>
              </w:rPr>
            </w:pPr>
            <w:r>
              <w:rPr>
                <w:rFonts w:hint="eastAsia" w:ascii="黑体" w:hAnsi="黑体" w:eastAsia="黑体" w:cs="宋体"/>
                <w:color w:val="000000" w:themeColor="text1"/>
                <w:sz w:val="18"/>
                <w:szCs w:val="18"/>
                <w14:textFill>
                  <w14:solidFill>
                    <w14:schemeClr w14:val="tx1"/>
                  </w14:solidFill>
                </w14:textFill>
              </w:rPr>
              <w:t>②代理销售机构的实际销售起点金额，</w:t>
            </w:r>
            <w:r>
              <w:rPr>
                <w:rFonts w:ascii="黑体" w:hAnsi="黑体" w:eastAsia="黑体" w:cs="宋体"/>
                <w:color w:val="000000" w:themeColor="text1"/>
                <w:sz w:val="18"/>
                <w:szCs w:val="18"/>
                <w14:textFill>
                  <w14:solidFill>
                    <w14:schemeClr w14:val="tx1"/>
                  </w14:solidFill>
                </w14:textFill>
              </w:rPr>
              <w:t>不得低于</w:t>
            </w:r>
            <w:r>
              <w:rPr>
                <w:rFonts w:hint="eastAsia" w:ascii="黑体" w:hAnsi="黑体" w:eastAsia="黑体" w:cs="宋体"/>
                <w:color w:val="000000" w:themeColor="text1"/>
                <w:sz w:val="18"/>
                <w:szCs w:val="18"/>
                <w14:textFill>
                  <w14:solidFill>
                    <w14:schemeClr w14:val="tx1"/>
                  </w14:solidFill>
                </w14:textFill>
              </w:rPr>
              <w:t>销售</w:t>
            </w:r>
            <w:r>
              <w:rPr>
                <w:rFonts w:ascii="黑体" w:hAnsi="黑体" w:eastAsia="黑体" w:cs="宋体"/>
                <w:color w:val="000000" w:themeColor="text1"/>
                <w:sz w:val="18"/>
                <w:szCs w:val="18"/>
                <w14:textFill>
                  <w14:solidFill>
                    <w14:schemeClr w14:val="tx1"/>
                  </w14:solidFill>
                </w14:textFill>
              </w:rPr>
              <w:t>文件约定的</w:t>
            </w:r>
            <w:r>
              <w:rPr>
                <w:rFonts w:hint="eastAsia" w:ascii="黑体" w:hAnsi="黑体" w:eastAsia="黑体" w:cs="宋体"/>
                <w:color w:val="000000" w:themeColor="text1"/>
                <w:sz w:val="18"/>
                <w:szCs w:val="18"/>
                <w14:textFill>
                  <w14:solidFill>
                    <w14:schemeClr w14:val="tx1"/>
                  </w14:solidFill>
                </w14:textFill>
              </w:rPr>
              <w:t>销售</w:t>
            </w:r>
            <w:r>
              <w:rPr>
                <w:rFonts w:ascii="黑体" w:hAnsi="黑体" w:eastAsia="黑体" w:cs="宋体"/>
                <w:color w:val="000000" w:themeColor="text1"/>
                <w:sz w:val="18"/>
                <w:szCs w:val="18"/>
                <w14:textFill>
                  <w14:solidFill>
                    <w14:schemeClr w14:val="tx1"/>
                  </w14:solidFill>
                </w14:textFill>
              </w:rPr>
              <w:t>起点金额</w:t>
            </w:r>
            <w:r>
              <w:rPr>
                <w:rFonts w:hint="eastAsia" w:ascii="黑体" w:hAnsi="黑体" w:eastAsia="黑体" w:cs="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b/>
                <w:sz w:val="18"/>
                <w:szCs w:val="18"/>
              </w:rPr>
              <w:t>★认购的数量限制</w:t>
            </w:r>
          </w:p>
        </w:tc>
        <w:tc>
          <w:tcPr>
            <w:tcW w:w="7674" w:type="dxa"/>
            <w:shd w:val="solid" w:color="FFFFFF" w:fill="FFFFFF"/>
            <w:vAlign w:val="center"/>
          </w:tcPr>
          <w:p>
            <w:pPr>
              <w:widowControl w:val="0"/>
              <w:autoSpaceDE w:val="0"/>
              <w:autoSpaceDN w:val="0"/>
              <w:adjustRightInd w:val="0"/>
              <w:spacing w:line="360" w:lineRule="auto"/>
              <w:rPr>
                <w:rFonts w:hint="eastAsia" w:cs="宋体" w:asciiTheme="minorEastAsia" w:hAnsiTheme="minorEastAsia" w:eastAsiaTheme="minorEastAsia"/>
                <w:color w:val="auto"/>
                <w:sz w:val="18"/>
                <w:szCs w:val="18"/>
                <w:lang w:val="en-US" w:eastAsia="zh-CN" w:bidi="ar-SA"/>
              </w:rPr>
            </w:pPr>
            <w:r>
              <w:rPr>
                <w:rFonts w:ascii="宋体" w:hAnsi="宋体" w:eastAsia="宋体" w:cs="宋体"/>
                <w:color w:val="000000"/>
                <w:sz w:val="18"/>
                <w:szCs w:val="24"/>
                <w:lang w:val="en-US" w:eastAsia="zh-CN" w:bidi="ar-SA"/>
              </w:rPr>
              <w:t>认购的数量限制</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（1）单一投资者认购上限为【/】元。（适用【A】类份额)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单一投资者认购上限为【/】元。（适用【B】类份额)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单一投资者认购上限为【/】元。（适用【C】类份额)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单一投资者认购上限为【/】元。（适用【D】类份额)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单一投资者认购上限为【/】元。（适用【E】类份额)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单一投资者认购上限为【/】元。（适用【F】类份额)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（2）产品存续期间，单一投资者最高持有份额上限为【/】份，符合产品管理人流动性管理的稳定资金除外。（适用【A】类份额)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产品存续期间，单一投资者最高持有份额上限为【/】份，符合产品管理人流动性管理的稳定资金除外。（适用【B】类份额)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产品存续期间，单一投资者最高持有份额上限为【/】份，符合产品管理人流动性管理的稳定资金除外。（适用【C】类份额)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产品存续期间，单一投资者最高持有份额上限为【/】份，符合产品管理人流动性管理的稳定资金除外。（适用【D】类份额)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产品存续期间，单一投资者最高持有份额上限为【/】份，符合产品管理人流动性管理的稳定资金除外。（适用【E】类份额)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产品存续期间，单一投资者最高持有份额上限为【/】份，符合产品管理人流动性管理的稳定资金除外。（适用【F】类份额)</w:t>
            </w:r>
          </w:p>
          <w:p>
            <w:pPr>
              <w:widowControl w:val="0"/>
              <w:autoSpaceDE w:val="0"/>
              <w:autoSpaceDN w:val="0"/>
              <w:adjustRightInd w:val="0"/>
              <w:spacing w:line="360" w:lineRule="auto"/>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 xml:space="preserve">如需突破上限，请与产品管理人或销售机构客户经理联系。 </w:t>
            </w:r>
          </w:p>
          <w:p>
            <w:pPr>
              <w:spacing w:line="360" w:lineRule="auto"/>
              <w:rPr>
                <w:rFonts w:cs="宋体" w:asciiTheme="minorEastAsia" w:hAnsiTheme="minorEastAsia" w:eastAsiaTheme="minorEastAsia"/>
                <w:sz w:val="18"/>
                <w:szCs w:val="18"/>
              </w:rPr>
            </w:pPr>
            <w:r>
              <w:rPr>
                <w:rFonts w:ascii="黑体" w:hAnsi="黑体" w:eastAsia="黑体" w:cs="黑体"/>
                <w:sz w:val="18"/>
                <w:szCs w:val="22"/>
              </w:rPr>
              <w:t>注：本产品单一投资者持有份额不得超过产品总份额50%。</w:t>
            </w:r>
            <w:r>
              <w:rPr>
                <w:rFonts w:ascii="黑体" w:hAnsi="黑体" w:eastAsia="黑体" w:cs="黑体"/>
                <w:sz w:val="18"/>
                <w:szCs w:val="22"/>
              </w:rPr>
              <w:br w:type="textWrapping"/>
            </w:r>
            <w:r>
              <w:rPr>
                <w:rFonts w:ascii="黑体" w:hAnsi="黑体" w:eastAsia="黑体" w:cs="黑体"/>
                <w:sz w:val="18"/>
                <w:szCs w:val="22"/>
              </w:rPr>
              <w:t>（1）投资者认购或申购确认后可能导致其持有份额超过产品总份额50%的，管理人有权拒绝或暂停认购、申购。</w:t>
            </w:r>
            <w:r>
              <w:rPr>
                <w:rFonts w:ascii="黑体" w:hAnsi="黑体" w:eastAsia="黑体" w:cs="黑体"/>
                <w:sz w:val="18"/>
                <w:szCs w:val="22"/>
              </w:rPr>
              <w:br w:type="textWrapping"/>
            </w:r>
            <w:r>
              <w:rPr>
                <w:rFonts w:ascii="黑体" w:hAnsi="黑体" w:eastAsia="黑体" w:cs="黑体"/>
                <w:sz w:val="18"/>
                <w:szCs w:val="22"/>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w:t>
            </w:r>
            <w:r>
              <w:rPr>
                <w:rFonts w:cs="宋体" w:asciiTheme="majorEastAsia" w:hAnsiTheme="majorEastAsia" w:eastAsiaTheme="majorEastAsia"/>
                <w:b/>
                <w:bCs/>
                <w:sz w:val="18"/>
                <w:szCs w:val="18"/>
              </w:rPr>
              <w:t>份额发售面值</w:t>
            </w:r>
          </w:p>
        </w:tc>
        <w:tc>
          <w:tcPr>
            <w:tcW w:w="7674" w:type="dxa"/>
            <w:shd w:val="solid" w:color="FFFFFF" w:fill="FFFFFF"/>
            <w:vAlign w:val="center"/>
          </w:tcPr>
          <w:p>
            <w:pPr>
              <w:spacing w:line="360" w:lineRule="auto"/>
              <w:rPr>
                <w:rFonts w:cs="宋体"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宋体" w:hAnsi="宋体" w:eastAsia="宋体" w:cs="宋体"/>
                <w:b/>
                <w:bCs/>
                <w:kern w:val="0"/>
                <w:sz w:val="18"/>
                <w:szCs w:val="18"/>
              </w:rPr>
              <w:t>理财产品份额净值</w:t>
            </w:r>
          </w:p>
        </w:tc>
        <w:tc>
          <w:tcPr>
            <w:tcW w:w="7674" w:type="dxa"/>
            <w:shd w:val="solid" w:color="FFFFFF" w:fill="FFFFFF"/>
            <w:vAlign w:val="center"/>
          </w:tcPr>
          <w:p>
            <w:pPr>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w:t>
            </w:r>
            <w:r>
              <w:rPr>
                <w:rFonts w:cs="宋体" w:asciiTheme="majorEastAsia" w:hAnsiTheme="majorEastAsia" w:eastAsiaTheme="majorEastAsia"/>
                <w:color w:val="000000" w:themeColor="text1"/>
                <w:sz w:val="18"/>
                <w:szCs w:val="18"/>
                <w14:textFill>
                  <w14:solidFill>
                    <w14:schemeClr w14:val="tx1"/>
                  </w14:solidFill>
                </w14:textFill>
              </w:rPr>
              <w:t>.</w:t>
            </w:r>
            <w:r>
              <w:rPr>
                <w:rFonts w:cs="宋体" w:asciiTheme="majorEastAsia" w:hAnsiTheme="majorEastAsia" w:eastAsiaTheme="majorEastAsia"/>
                <w:bCs/>
                <w:sz w:val="18"/>
                <w:szCs w:val="18"/>
              </w:rPr>
              <w:t>若产品投资资产运作出现损失的，产品份额净值下降，投资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分配所得可能小于投资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初始投资资金。投资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分配所得以实际到账金额为准。</w:t>
            </w:r>
          </w:p>
          <w:p>
            <w:pPr>
              <w:spacing w:line="360" w:lineRule="auto"/>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2．产品实际</w:t>
            </w:r>
            <w:r>
              <w:rPr>
                <w:rFonts w:hint="eastAsia" w:cs="宋体" w:asciiTheme="majorEastAsia" w:hAnsiTheme="majorEastAsia" w:eastAsiaTheme="majorEastAsia"/>
                <w:bCs/>
                <w:sz w:val="18"/>
                <w:szCs w:val="18"/>
              </w:rPr>
              <w:t>终止</w:t>
            </w:r>
            <w:r>
              <w:rPr>
                <w:rFonts w:cs="宋体" w:asciiTheme="majorEastAsia" w:hAnsiTheme="majorEastAsia" w:eastAsiaTheme="majorEastAsia"/>
                <w:bCs/>
                <w:sz w:val="18"/>
                <w:szCs w:val="18"/>
              </w:rPr>
              <w:t>日之前的估值日公布的产品份额净值已扣除</w:t>
            </w:r>
            <w:r>
              <w:rPr>
                <w:rFonts w:hint="eastAsia" w:cs="宋体" w:asciiTheme="majorEastAsia" w:hAnsiTheme="majorEastAsia" w:eastAsiaTheme="majorEastAsia"/>
                <w:bCs/>
                <w:sz w:val="18"/>
                <w:szCs w:val="18"/>
              </w:rPr>
              <w:t>理财产品</w:t>
            </w:r>
            <w:r>
              <w:rPr>
                <w:rFonts w:cs="宋体" w:asciiTheme="majorEastAsia" w:hAnsiTheme="majorEastAsia" w:eastAsiaTheme="majorEastAsia"/>
                <w:bCs/>
                <w:sz w:val="18"/>
                <w:szCs w:val="18"/>
              </w:rPr>
              <w:t>的费用和税收。</w:t>
            </w:r>
          </w:p>
          <w:p>
            <w:pPr>
              <w:spacing w:line="360" w:lineRule="auto"/>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3．产品管理人依约定公布产品份额净值</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以</w:t>
            </w:r>
            <w:r>
              <w:rPr>
                <w:rFonts w:hint="eastAsia" w:cs="宋体" w:asciiTheme="majorEastAsia" w:hAnsiTheme="majorEastAsia" w:eastAsiaTheme="majorEastAsia"/>
                <w:bCs/>
                <w:sz w:val="18"/>
                <w:szCs w:val="18"/>
              </w:rPr>
              <w:t>产品终止日</w:t>
            </w:r>
            <w:r>
              <w:rPr>
                <w:rFonts w:cs="宋体" w:asciiTheme="majorEastAsia" w:hAnsiTheme="majorEastAsia" w:eastAsiaTheme="majorEastAsia"/>
                <w:bCs/>
                <w:sz w:val="18"/>
                <w:szCs w:val="18"/>
              </w:rPr>
              <w:t>产品份额净值为基础进行利益分配。</w:t>
            </w:r>
          </w:p>
          <w:p>
            <w:pPr>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lang w:val="en-US" w:eastAsia="zh-CN"/>
              </w:rPr>
              <w:t>4.理财产品份额净值四舍五入保留5位小数。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Calibri" w:eastAsia="宋体" w:cs="宋体"/>
                <w:sz w:val="18"/>
                <w:szCs w:val="18"/>
              </w:rPr>
              <w:t>★</w:t>
            </w:r>
            <w:r>
              <w:rPr>
                <w:rFonts w:hint="eastAsia" w:cs="宋体" w:asciiTheme="majorEastAsia" w:hAnsiTheme="majorEastAsia" w:eastAsiaTheme="majorEastAsia"/>
                <w:b/>
                <w:bCs/>
                <w:sz w:val="18"/>
                <w:szCs w:val="18"/>
              </w:rPr>
              <w:t>业绩比较基准</w:t>
            </w:r>
          </w:p>
        </w:tc>
        <w:tc>
          <w:tcPr>
            <w:tcW w:w="7674" w:type="dxa"/>
            <w:shd w:val="solid" w:color="FFFFFF" w:fill="FFFFFF"/>
            <w:vAlign w:val="center"/>
          </w:tcPr>
          <w:p>
            <w:pPr>
              <w:spacing w:line="360" w:lineRule="auto"/>
              <w:rPr>
                <w:rFonts w:hint="eastAsia" w:cs="宋体" w:asciiTheme="minorEastAsia" w:hAnsiTheme="minorEastAsia" w:eastAsiaTheme="minorEastAsia"/>
                <w:color w:val="auto"/>
                <w:kern w:val="0"/>
                <w:sz w:val="18"/>
                <w:szCs w:val="18"/>
                <w:lang w:val="en-US" w:eastAsia="zh-CN" w:bidi="ar-SA"/>
              </w:rPr>
            </w:pPr>
            <w:r>
              <w:rPr>
                <w:rFonts w:ascii="宋体" w:hAnsi="宋体" w:eastAsia="宋体" w:cs="宋体"/>
                <w:sz w:val="18"/>
                <w:szCs w:val="22"/>
              </w:rPr>
              <w:t>1.业绩比较基准的设置</w:t>
            </w:r>
            <w:r>
              <w:rPr>
                <w:rFonts w:ascii="宋体" w:hAnsi="宋体" w:eastAsia="宋体" w:cs="宋体"/>
                <w:sz w:val="18"/>
                <w:szCs w:val="22"/>
              </w:rPr>
              <w:br w:type="textWrapping"/>
            </w:r>
            <w:r>
              <w:rPr>
                <w:rFonts w:ascii="宋体" w:hAnsi="宋体" w:eastAsia="宋体" w:cs="宋体"/>
                <w:sz w:val="18"/>
                <w:szCs w:val="22"/>
              </w:rPr>
              <w:t>■ 产品管理人设置业绩比较基准。</w:t>
            </w:r>
            <w:r>
              <w:rPr>
                <w:rFonts w:ascii="宋体" w:hAnsi="宋体" w:eastAsia="宋体" w:cs="宋体"/>
                <w:sz w:val="18"/>
                <w:szCs w:val="22"/>
              </w:rPr>
              <w:br w:type="textWrapping"/>
            </w:r>
            <w:r>
              <w:rPr>
                <w:rFonts w:ascii="宋体" w:hAnsi="宋体" w:eastAsia="宋体" w:cs="宋体"/>
                <w:sz w:val="18"/>
                <w:szCs w:val="22"/>
              </w:rPr>
              <w:t>（1）业绩比较基准的说明：【产品投资债权类资产不低于80%，根据当前市场环境下大类资产合理配置比例及大类资产收益情况，考虑杠杆和费率等因素，并结合产品投资策略，设定业绩比较基准。】。</w:t>
            </w:r>
            <w:r>
              <w:rPr>
                <w:rFonts w:ascii="宋体" w:hAnsi="宋体" w:eastAsia="宋体" w:cs="宋体"/>
                <w:sz w:val="18"/>
                <w:szCs w:val="22"/>
              </w:rPr>
              <w:br w:type="textWrapping"/>
            </w:r>
            <w:r>
              <w:rPr>
                <w:rFonts w:ascii="宋体" w:hAnsi="宋体" w:eastAsia="宋体" w:cs="宋体"/>
                <w:sz w:val="18"/>
                <w:szCs w:val="22"/>
              </w:rPr>
              <w:t>（2）业绩比较基准的设定：管理人对本产品设定业绩比较基准：</w:t>
            </w:r>
            <w:r>
              <w:rPr>
                <w:rFonts w:ascii="宋体" w:hAnsi="宋体" w:eastAsia="宋体" w:cs="宋体"/>
                <w:sz w:val="18"/>
                <w:szCs w:val="22"/>
              </w:rPr>
              <w:br w:type="textWrapping"/>
            </w:r>
            <w:r>
              <w:rPr>
                <w:rFonts w:ascii="宋体" w:hAnsi="宋体" w:eastAsia="宋体" w:cs="宋体"/>
                <w:sz w:val="18"/>
                <w:szCs w:val="22"/>
              </w:rPr>
              <w:t>年化【1.83%】。（适用【A】类份额)</w:t>
            </w:r>
            <w:r>
              <w:rPr>
                <w:rFonts w:ascii="宋体" w:hAnsi="宋体" w:eastAsia="宋体" w:cs="宋体"/>
                <w:sz w:val="18"/>
                <w:szCs w:val="22"/>
              </w:rPr>
              <w:br w:type="textWrapping"/>
            </w:r>
            <w:r>
              <w:rPr>
                <w:rFonts w:ascii="宋体" w:hAnsi="宋体" w:eastAsia="宋体" w:cs="宋体"/>
                <w:sz w:val="18"/>
                <w:szCs w:val="22"/>
              </w:rPr>
              <w:t>年化【1.9%】。（适用【B】类份额)</w:t>
            </w:r>
            <w:r>
              <w:rPr>
                <w:rFonts w:ascii="宋体" w:hAnsi="宋体" w:eastAsia="宋体" w:cs="宋体"/>
                <w:sz w:val="18"/>
                <w:szCs w:val="22"/>
              </w:rPr>
              <w:br w:type="textWrapping"/>
            </w:r>
            <w:r>
              <w:rPr>
                <w:rFonts w:ascii="宋体" w:hAnsi="宋体" w:eastAsia="宋体" w:cs="宋体"/>
                <w:sz w:val="18"/>
                <w:szCs w:val="22"/>
              </w:rPr>
              <w:t>年化【1.85%】。（适用【C】类份额)</w:t>
            </w:r>
            <w:r>
              <w:rPr>
                <w:rFonts w:ascii="宋体" w:hAnsi="宋体" w:eastAsia="宋体" w:cs="宋体"/>
                <w:sz w:val="18"/>
                <w:szCs w:val="22"/>
              </w:rPr>
              <w:br w:type="textWrapping"/>
            </w:r>
            <w:r>
              <w:rPr>
                <w:rFonts w:ascii="宋体" w:hAnsi="宋体" w:eastAsia="宋体" w:cs="宋体"/>
                <w:sz w:val="18"/>
                <w:szCs w:val="22"/>
              </w:rPr>
              <w:t>年化【1.8%】。（适用【D】类份额)</w:t>
            </w:r>
            <w:r>
              <w:rPr>
                <w:rFonts w:ascii="宋体" w:hAnsi="宋体" w:eastAsia="宋体" w:cs="宋体"/>
                <w:sz w:val="18"/>
                <w:szCs w:val="22"/>
              </w:rPr>
              <w:br w:type="textWrapping"/>
            </w:r>
            <w:r>
              <w:rPr>
                <w:rFonts w:ascii="宋体" w:hAnsi="宋体" w:eastAsia="宋体" w:cs="宋体"/>
                <w:sz w:val="18"/>
                <w:szCs w:val="22"/>
              </w:rPr>
              <w:t>年化【1.7%】。（适用【E】类份额)</w:t>
            </w:r>
            <w:r>
              <w:rPr>
                <w:rFonts w:ascii="宋体" w:hAnsi="宋体" w:eastAsia="宋体" w:cs="宋体"/>
                <w:sz w:val="18"/>
                <w:szCs w:val="22"/>
              </w:rPr>
              <w:br w:type="textWrapping"/>
            </w:r>
            <w:r>
              <w:rPr>
                <w:rFonts w:ascii="宋体" w:hAnsi="宋体" w:eastAsia="宋体" w:cs="宋体"/>
                <w:sz w:val="18"/>
                <w:szCs w:val="22"/>
              </w:rPr>
              <w:t>年化【1.6%】。（适用【F】类份额)</w:t>
            </w:r>
            <w:r>
              <w:rPr>
                <w:rFonts w:ascii="宋体" w:hAnsi="宋体" w:eastAsia="宋体" w:cs="宋体"/>
                <w:sz w:val="18"/>
                <w:szCs w:val="22"/>
              </w:rPr>
              <w:br w:type="textWrapping"/>
            </w:r>
            <w:r>
              <w:rPr>
                <w:rFonts w:ascii="宋体" w:hAnsi="宋体" w:eastAsia="宋体" w:cs="宋体"/>
                <w:sz w:val="18"/>
                <w:szCs w:val="22"/>
              </w:rPr>
              <w:t>□ 产品管理人不设置业绩比较基准。</w:t>
            </w:r>
          </w:p>
          <w:p>
            <w:pPr>
              <w:spacing w:line="360" w:lineRule="auto"/>
              <w:jc w:val="left"/>
              <w:rPr>
                <w:rFonts w:hint="eastAsia" w:cs="宋体" w:asciiTheme="majorEastAsia" w:hAnsiTheme="majorEastAsia" w:eastAsiaTheme="majorEastAsia"/>
                <w:b w:val="0"/>
                <w:bCs w:val="0"/>
                <w:sz w:val="18"/>
                <w:szCs w:val="18"/>
              </w:rPr>
            </w:pPr>
            <w:r>
              <w:rPr>
                <w:rFonts w:hint="eastAsia" w:cs="宋体" w:asciiTheme="majorEastAsia" w:hAnsiTheme="majorEastAsia" w:eastAsiaTheme="majorEastAsia"/>
                <w:b w:val="0"/>
                <w:bCs w:val="0"/>
                <w:sz w:val="18"/>
                <w:szCs w:val="18"/>
              </w:rPr>
              <w:t>2.业绩比较基准的提示：</w:t>
            </w:r>
          </w:p>
          <w:p>
            <w:pPr>
              <w:spacing w:line="360" w:lineRule="auto"/>
              <w:jc w:val="left"/>
              <w:rPr>
                <w:rFonts w:hint="eastAsia" w:ascii="黑体" w:hAnsi="黑体" w:eastAsia="黑体" w:cs="黑体"/>
                <w:b w:val="0"/>
                <w:bCs w:val="0"/>
                <w:sz w:val="18"/>
                <w:szCs w:val="18"/>
              </w:rPr>
            </w:pPr>
            <w:r>
              <w:rPr>
                <w:rFonts w:hint="eastAsia" w:ascii="黑体" w:hAnsi="黑体" w:eastAsia="黑体" w:cs="黑体"/>
                <w:b w:val="0"/>
                <w:bCs w:val="0"/>
                <w:sz w:val="18"/>
                <w:szCs w:val="18"/>
              </w:rPr>
              <w:t>（1）★业绩比较基准不是预期收益率，不代表产品的未来表现和实际收益，不构成对产品收益的承诺，投资须谨慎。</w:t>
            </w:r>
          </w:p>
          <w:p>
            <w:pPr>
              <w:spacing w:line="360" w:lineRule="auto"/>
              <w:jc w:val="left"/>
              <w:rPr>
                <w:rFonts w:cs="宋体" w:asciiTheme="majorEastAsia" w:hAnsiTheme="majorEastAsia" w:eastAsiaTheme="majorEastAsia"/>
                <w:b/>
                <w:bCs/>
                <w:sz w:val="18"/>
                <w:szCs w:val="18"/>
              </w:rPr>
            </w:pPr>
            <w:r>
              <w:rPr>
                <w:rFonts w:hint="eastAsia" w:ascii="黑体" w:hAnsi="黑体" w:eastAsia="黑体" w:cs="黑体"/>
                <w:b w:val="0"/>
                <w:bCs w:val="0"/>
                <w:sz w:val="18"/>
                <w:szCs w:val="18"/>
              </w:rPr>
              <w:t>（2）</w:t>
            </w:r>
            <w:r>
              <w:rPr>
                <w:rFonts w:hint="eastAsia" w:ascii="黑体" w:hAnsi="黑体" w:eastAsia="黑体" w:cs="黑体"/>
                <w:bCs/>
                <w:sz w:val="18"/>
                <w:szCs w:val="18"/>
              </w:rPr>
              <w:t>产品管理人在符合届时有效的监管规定下可变更业绩比较基准并按照本产品说明书“理财产品的信息披露”条款约定及时公告。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ascii="Calibri" w:hAnsi="Calibri" w:eastAsia="宋体" w:cs="宋体"/>
                <w:sz w:val="18"/>
                <w:szCs w:val="18"/>
              </w:rPr>
            </w:pPr>
            <w:r>
              <w:rPr>
                <w:rFonts w:hint="eastAsia" w:ascii="Calibri" w:hAnsi="Calibri" w:eastAsia="宋体" w:cs="宋体"/>
                <w:sz w:val="18"/>
                <w:szCs w:val="18"/>
              </w:rPr>
              <w:t>★</w:t>
            </w:r>
            <w:r>
              <w:rPr>
                <w:rFonts w:hint="eastAsia" w:ascii="Calibri" w:hAnsi="Calibri" w:eastAsia="宋体" w:cs="宋体"/>
                <w:b/>
                <w:sz w:val="18"/>
                <w:szCs w:val="18"/>
              </w:rPr>
              <w:t>业绩报酬计提</w:t>
            </w:r>
            <w:r>
              <w:rPr>
                <w:rFonts w:ascii="宋体" w:hAnsi="宋体" w:eastAsia="宋体" w:cs="宋体"/>
                <w:b/>
                <w:sz w:val="18"/>
                <w:szCs w:val="18"/>
              </w:rPr>
              <w:t>基准</w:t>
            </w:r>
          </w:p>
        </w:tc>
        <w:tc>
          <w:tcPr>
            <w:tcW w:w="7674" w:type="dxa"/>
            <w:shd w:val="solid" w:color="FFFFFF" w:fill="FFFFFF"/>
            <w:vAlign w:val="center"/>
          </w:tcPr>
          <w:p>
            <w:pPr>
              <w:spacing w:line="360" w:lineRule="auto"/>
              <w:jc w:val="left"/>
              <w:rPr>
                <w:rFonts w:ascii="宋体" w:hAnsi="宋体" w:eastAsia="宋体" w:cs="宋体"/>
                <w:bCs/>
                <w:sz w:val="18"/>
                <w:szCs w:val="18"/>
              </w:rPr>
            </w:pPr>
            <w:r>
              <w:rPr>
                <w:rFonts w:ascii="宋体" w:hAnsi="宋体" w:eastAsia="宋体" w:cs="宋体"/>
                <w:sz w:val="18"/>
                <w:szCs w:val="22"/>
              </w:rPr>
              <w:t>1.业绩报酬计提基准的设置</w:t>
            </w:r>
            <w:r>
              <w:rPr>
                <w:rFonts w:ascii="宋体" w:hAnsi="宋体" w:eastAsia="宋体" w:cs="宋体"/>
                <w:sz w:val="18"/>
                <w:szCs w:val="22"/>
              </w:rPr>
              <w:br w:type="textWrapping"/>
            </w:r>
            <w:r>
              <w:rPr>
                <w:rFonts w:ascii="宋体" w:hAnsi="宋体" w:eastAsia="宋体" w:cs="宋体"/>
                <w:sz w:val="18"/>
                <w:szCs w:val="22"/>
              </w:rPr>
              <w:t>■ 产品管理人设置业绩报酬计提基准。</w:t>
            </w:r>
            <w:r>
              <w:rPr>
                <w:rFonts w:ascii="宋体" w:hAnsi="宋体" w:eastAsia="宋体" w:cs="宋体"/>
                <w:sz w:val="18"/>
                <w:szCs w:val="22"/>
              </w:rPr>
              <w:br w:type="textWrapping"/>
            </w:r>
            <w:r>
              <w:rPr>
                <w:rFonts w:ascii="宋体" w:hAnsi="宋体" w:eastAsia="宋体" w:cs="宋体"/>
                <w:sz w:val="18"/>
                <w:szCs w:val="22"/>
              </w:rPr>
              <w:t>业绩报酬计提基准的设定：管理人对本产品设定业绩报酬计提基准：</w:t>
            </w:r>
            <w:r>
              <w:rPr>
                <w:rFonts w:ascii="宋体" w:hAnsi="宋体" w:eastAsia="宋体" w:cs="宋体"/>
                <w:sz w:val="18"/>
                <w:szCs w:val="22"/>
              </w:rPr>
              <w:br w:type="textWrapping"/>
            </w:r>
            <w:r>
              <w:rPr>
                <w:rFonts w:ascii="宋体" w:hAnsi="宋体" w:eastAsia="宋体" w:cs="宋体"/>
                <w:sz w:val="18"/>
                <w:szCs w:val="22"/>
              </w:rPr>
              <w:t>年化【1.83%】。（适用【A】类份额)</w:t>
            </w:r>
            <w:r>
              <w:rPr>
                <w:rFonts w:ascii="宋体" w:hAnsi="宋体" w:eastAsia="宋体" w:cs="宋体"/>
                <w:sz w:val="18"/>
                <w:szCs w:val="22"/>
              </w:rPr>
              <w:br w:type="textWrapping"/>
            </w:r>
            <w:r>
              <w:rPr>
                <w:rFonts w:ascii="宋体" w:hAnsi="宋体" w:eastAsia="宋体" w:cs="宋体"/>
                <w:sz w:val="18"/>
                <w:szCs w:val="22"/>
              </w:rPr>
              <w:t>年化【1.9%】。（适用【B】类份额)</w:t>
            </w:r>
            <w:r>
              <w:rPr>
                <w:rFonts w:ascii="宋体" w:hAnsi="宋体" w:eastAsia="宋体" w:cs="宋体"/>
                <w:sz w:val="18"/>
                <w:szCs w:val="22"/>
              </w:rPr>
              <w:br w:type="textWrapping"/>
            </w:r>
            <w:r>
              <w:rPr>
                <w:rFonts w:ascii="宋体" w:hAnsi="宋体" w:eastAsia="宋体" w:cs="宋体"/>
                <w:sz w:val="18"/>
                <w:szCs w:val="22"/>
              </w:rPr>
              <w:t>年化【1.85%】。（适用【C】类份额)</w:t>
            </w:r>
            <w:r>
              <w:rPr>
                <w:rFonts w:ascii="宋体" w:hAnsi="宋体" w:eastAsia="宋体" w:cs="宋体"/>
                <w:sz w:val="18"/>
                <w:szCs w:val="22"/>
              </w:rPr>
              <w:br w:type="textWrapping"/>
            </w:r>
            <w:r>
              <w:rPr>
                <w:rFonts w:ascii="宋体" w:hAnsi="宋体" w:eastAsia="宋体" w:cs="宋体"/>
                <w:sz w:val="18"/>
                <w:szCs w:val="22"/>
              </w:rPr>
              <w:t>年化【1.8%】。（适用【D】类份额)</w:t>
            </w:r>
            <w:r>
              <w:rPr>
                <w:rFonts w:ascii="宋体" w:hAnsi="宋体" w:eastAsia="宋体" w:cs="宋体"/>
                <w:sz w:val="18"/>
                <w:szCs w:val="22"/>
              </w:rPr>
              <w:br w:type="textWrapping"/>
            </w:r>
            <w:r>
              <w:rPr>
                <w:rFonts w:ascii="宋体" w:hAnsi="宋体" w:eastAsia="宋体" w:cs="宋体"/>
                <w:sz w:val="18"/>
                <w:szCs w:val="22"/>
              </w:rPr>
              <w:t>年化【1.7%】。（适用【E】类份额)</w:t>
            </w:r>
            <w:r>
              <w:rPr>
                <w:rFonts w:ascii="宋体" w:hAnsi="宋体" w:eastAsia="宋体" w:cs="宋体"/>
                <w:sz w:val="18"/>
                <w:szCs w:val="22"/>
              </w:rPr>
              <w:br w:type="textWrapping"/>
            </w:r>
            <w:r>
              <w:rPr>
                <w:rFonts w:ascii="宋体" w:hAnsi="宋体" w:eastAsia="宋体" w:cs="宋体"/>
                <w:sz w:val="18"/>
                <w:szCs w:val="22"/>
              </w:rPr>
              <w:t>年化【1.6%】。（适用【F】类份额)</w:t>
            </w:r>
            <w:r>
              <w:rPr>
                <w:rFonts w:ascii="宋体" w:hAnsi="宋体" w:eastAsia="宋体" w:cs="宋体"/>
                <w:sz w:val="18"/>
                <w:szCs w:val="22"/>
              </w:rPr>
              <w:br w:type="textWrapping"/>
            </w:r>
            <w:r>
              <w:rPr>
                <w:rFonts w:ascii="宋体" w:hAnsi="宋体" w:eastAsia="宋体" w:cs="宋体"/>
                <w:sz w:val="18"/>
                <w:szCs w:val="22"/>
              </w:rPr>
              <w:t>□ 产品管理人不设置业绩报酬计提基准。</w:t>
            </w:r>
          </w:p>
          <w:p>
            <w:pPr>
              <w:spacing w:line="360" w:lineRule="auto"/>
              <w:jc w:val="left"/>
              <w:rPr>
                <w:rFonts w:ascii="宋体" w:hAnsi="宋体" w:eastAsia="宋体" w:cs="宋体"/>
                <w:bCs/>
                <w:sz w:val="18"/>
                <w:szCs w:val="18"/>
              </w:rPr>
            </w:pPr>
            <w:r>
              <w:rPr>
                <w:rFonts w:ascii="宋体" w:hAnsi="宋体" w:eastAsia="宋体" w:cs="宋体"/>
                <w:bCs/>
                <w:sz w:val="18"/>
                <w:szCs w:val="18"/>
              </w:rPr>
              <w:t>2.业绩报酬计提基准的提示</w:t>
            </w:r>
            <w:r>
              <w:rPr>
                <w:rFonts w:hint="eastAsia" w:ascii="宋体" w:hAnsi="宋体" w:eastAsia="宋体" w:cs="宋体"/>
                <w:bCs/>
                <w:sz w:val="18"/>
                <w:szCs w:val="18"/>
              </w:rPr>
              <w:t>：</w:t>
            </w:r>
          </w:p>
          <w:p>
            <w:pPr>
              <w:autoSpaceDE w:val="0"/>
              <w:autoSpaceDN w:val="0"/>
              <w:adjustRightInd w:val="0"/>
              <w:spacing w:line="360" w:lineRule="auto"/>
              <w:jc w:val="left"/>
              <w:rPr>
                <w:rFonts w:ascii="黑体" w:hAnsi="黑体" w:eastAsia="黑体" w:cs="宋体"/>
                <w:sz w:val="18"/>
                <w:szCs w:val="22"/>
              </w:rPr>
            </w:pPr>
            <w:r>
              <w:rPr>
                <w:rFonts w:hint="eastAsia" w:ascii="黑体" w:hAnsi="黑体" w:eastAsia="黑体" w:cs="宋体"/>
                <w:sz w:val="18"/>
                <w:szCs w:val="22"/>
              </w:rPr>
              <w:t>（</w:t>
            </w:r>
            <w:r>
              <w:rPr>
                <w:rFonts w:ascii="黑体" w:hAnsi="黑体" w:eastAsia="黑体" w:cs="宋体"/>
                <w:sz w:val="18"/>
                <w:szCs w:val="22"/>
              </w:rPr>
              <w:t>1）</w:t>
            </w:r>
            <w:r>
              <w:rPr>
                <w:rFonts w:hint="eastAsia" w:ascii="黑体" w:hAnsi="黑体" w:eastAsia="黑体" w:cs="宋体"/>
                <w:sz w:val="18"/>
                <w:szCs w:val="18"/>
              </w:rPr>
              <w:t>★</w:t>
            </w:r>
            <w:r>
              <w:rPr>
                <w:rFonts w:hint="eastAsia" w:ascii="黑体" w:hAnsi="黑体" w:eastAsia="黑体" w:cs="宋体"/>
                <w:sz w:val="18"/>
                <w:szCs w:val="22"/>
              </w:rPr>
              <w:t>业绩报酬计提基准仅作为管理人计算超额业绩报酬的参照标准</w:t>
            </w:r>
            <w:r>
              <w:rPr>
                <w:rFonts w:hint="eastAsia" w:ascii="黑体" w:hAnsi="黑体" w:eastAsia="黑体" w:cs="宋体"/>
                <w:bCs/>
                <w:sz w:val="18"/>
                <w:szCs w:val="18"/>
              </w:rPr>
              <w:t>。业绩报酬计提基准不是预期收益率</w:t>
            </w:r>
            <w:r>
              <w:rPr>
                <w:rFonts w:hint="eastAsia" w:ascii="黑体" w:hAnsi="黑体" w:eastAsia="黑体" w:cs="宋体"/>
                <w:sz w:val="18"/>
                <w:szCs w:val="22"/>
              </w:rPr>
              <w:t>，不代表产品</w:t>
            </w:r>
            <w:r>
              <w:rPr>
                <w:rFonts w:hint="eastAsia" w:ascii="黑体" w:hAnsi="黑体" w:eastAsia="黑体" w:cs="宋体"/>
                <w:bCs/>
                <w:sz w:val="18"/>
                <w:szCs w:val="18"/>
              </w:rPr>
              <w:t>的</w:t>
            </w:r>
            <w:r>
              <w:rPr>
                <w:rFonts w:hint="eastAsia" w:ascii="黑体" w:hAnsi="黑体" w:eastAsia="黑体" w:cs="宋体"/>
                <w:sz w:val="18"/>
                <w:szCs w:val="22"/>
              </w:rPr>
              <w:t>未来表现</w:t>
            </w:r>
            <w:r>
              <w:rPr>
                <w:rFonts w:hint="eastAsia" w:ascii="黑体" w:hAnsi="黑体" w:eastAsia="黑体" w:cs="宋体"/>
                <w:bCs/>
                <w:sz w:val="18"/>
                <w:szCs w:val="18"/>
              </w:rPr>
              <w:t>和</w:t>
            </w:r>
            <w:r>
              <w:rPr>
                <w:rFonts w:hint="eastAsia" w:ascii="黑体" w:hAnsi="黑体" w:eastAsia="黑体" w:cs="宋体"/>
                <w:sz w:val="18"/>
                <w:szCs w:val="22"/>
              </w:rPr>
              <w:t>实际收益，不</w:t>
            </w:r>
            <w:r>
              <w:rPr>
                <w:rFonts w:hint="eastAsia" w:ascii="黑体" w:hAnsi="黑体" w:eastAsia="黑体" w:cs="宋体"/>
                <w:bCs/>
                <w:sz w:val="18"/>
                <w:szCs w:val="18"/>
              </w:rPr>
              <w:t>构成对</w:t>
            </w:r>
            <w:r>
              <w:rPr>
                <w:rFonts w:hint="eastAsia" w:ascii="黑体" w:hAnsi="黑体" w:eastAsia="黑体" w:cs="宋体"/>
                <w:sz w:val="18"/>
                <w:szCs w:val="22"/>
              </w:rPr>
              <w:t>产品收益的</w:t>
            </w:r>
            <w:r>
              <w:rPr>
                <w:rFonts w:hint="eastAsia" w:ascii="黑体" w:hAnsi="黑体" w:eastAsia="黑体" w:cs="宋体"/>
                <w:bCs/>
                <w:sz w:val="18"/>
                <w:szCs w:val="18"/>
              </w:rPr>
              <w:t>承诺</w:t>
            </w:r>
            <w:r>
              <w:rPr>
                <w:rFonts w:hint="eastAsia" w:ascii="黑体" w:hAnsi="黑体" w:eastAsia="黑体" w:cs="宋体"/>
                <w:sz w:val="18"/>
                <w:szCs w:val="22"/>
              </w:rPr>
              <w:t>，投资须谨慎。</w:t>
            </w:r>
          </w:p>
          <w:p>
            <w:pPr>
              <w:spacing w:line="360" w:lineRule="auto"/>
              <w:jc w:val="left"/>
              <w:rPr>
                <w:rFonts w:ascii="宋体" w:hAnsi="宋体" w:eastAsia="宋体" w:cs="宋体"/>
                <w:b/>
                <w:bCs/>
                <w:sz w:val="18"/>
                <w:szCs w:val="18"/>
              </w:rPr>
            </w:pPr>
            <w:r>
              <w:rPr>
                <w:rFonts w:hint="eastAsia" w:ascii="黑体" w:hAnsi="黑体" w:eastAsia="黑体" w:cs="黑体"/>
                <w:bCs/>
                <w:sz w:val="18"/>
                <w:szCs w:val="18"/>
              </w:rPr>
              <w:t>（2）产品管理人有权根据相关法律和国家政策规定等变更业绩报酬计提基准并按照本产品说明书“理财产品的信息披露”条款约定及时公告。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ascii="Calibri" w:hAnsi="Calibri" w:eastAsia="宋体" w:cs="宋体"/>
                <w:sz w:val="18"/>
                <w:szCs w:val="18"/>
              </w:rPr>
            </w:pPr>
            <w:r>
              <w:rPr>
                <w:rFonts w:hint="eastAsia" w:ascii="Calibri" w:hAnsi="宋体" w:eastAsia="宋体" w:cs="宋体"/>
                <w:b/>
                <w:sz w:val="18"/>
                <w:szCs w:val="18"/>
              </w:rPr>
              <w:t>★</w:t>
            </w:r>
            <w:r>
              <w:rPr>
                <w:rFonts w:hint="eastAsia" w:ascii="Calibri" w:hAnsi="Calibri" w:eastAsia="宋体" w:cs="宋体"/>
                <w:b/>
                <w:sz w:val="18"/>
                <w:szCs w:val="18"/>
              </w:rPr>
              <w:t>理财产品利益分配</w:t>
            </w:r>
          </w:p>
        </w:tc>
        <w:tc>
          <w:tcPr>
            <w:tcW w:w="7674" w:type="dxa"/>
            <w:shd w:val="solid" w:color="FFFFFF" w:fill="FFFFFF"/>
            <w:vAlign w:val="center"/>
          </w:tcPr>
          <w:p>
            <w:pPr>
              <w:spacing w:line="360" w:lineRule="auto"/>
              <w:jc w:val="left"/>
              <w:rPr>
                <w:rFonts w:ascii="Calibri" w:hAnsi="宋体" w:eastAsia="宋体" w:cs="宋体"/>
                <w:bCs/>
                <w:sz w:val="18"/>
                <w:szCs w:val="18"/>
              </w:rPr>
            </w:pPr>
            <w:r>
              <w:rPr>
                <w:rFonts w:hint="eastAsia" w:ascii="Calibri" w:hAnsi="宋体" w:eastAsia="宋体" w:cs="宋体"/>
                <w:bCs/>
                <w:sz w:val="18"/>
                <w:szCs w:val="18"/>
              </w:rPr>
              <w:t>1</w:t>
            </w:r>
            <w:r>
              <w:rPr>
                <w:rFonts w:ascii="Calibri" w:hAnsi="宋体" w:eastAsia="宋体" w:cs="宋体"/>
                <w:bCs/>
                <w:sz w:val="18"/>
                <w:szCs w:val="18"/>
              </w:rPr>
              <w:t>.</w:t>
            </w:r>
            <w:r>
              <w:rPr>
                <w:rFonts w:hint="eastAsia" w:ascii="Calibri" w:hAnsi="宋体" w:eastAsia="宋体" w:cs="宋体"/>
                <w:bCs/>
                <w:sz w:val="18"/>
                <w:szCs w:val="18"/>
              </w:rPr>
              <w:t>理财产品存续期间，产品管理人有权视理财产品收益情况进行主动分配，相应分配基准日、分配方案由管理人及时披露。</w:t>
            </w:r>
          </w:p>
          <w:p>
            <w:pPr>
              <w:spacing w:line="360" w:lineRule="auto"/>
              <w:jc w:val="left"/>
              <w:rPr>
                <w:rFonts w:ascii="Calibri" w:hAnsi="宋体" w:eastAsia="宋体" w:cs="宋体"/>
                <w:bCs/>
                <w:sz w:val="18"/>
                <w:szCs w:val="18"/>
              </w:rPr>
            </w:pPr>
            <w:r>
              <w:rPr>
                <w:rFonts w:hint="eastAsia" w:ascii="Calibri" w:hAnsi="宋体" w:eastAsia="宋体" w:cs="宋体"/>
                <w:bCs/>
                <w:sz w:val="18"/>
                <w:szCs w:val="18"/>
              </w:rPr>
              <w:t>2</w:t>
            </w:r>
            <w:r>
              <w:rPr>
                <w:rFonts w:ascii="Calibri" w:hAnsi="宋体" w:eastAsia="宋体" w:cs="宋体"/>
                <w:bCs/>
                <w:sz w:val="18"/>
                <w:szCs w:val="18"/>
              </w:rPr>
              <w:t>.具体理财产品利益分配</w:t>
            </w:r>
            <w:r>
              <w:rPr>
                <w:rFonts w:hint="eastAsia" w:ascii="Calibri" w:hAnsi="宋体" w:eastAsia="宋体" w:cs="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理财产品费用</w:t>
            </w:r>
          </w:p>
        </w:tc>
        <w:tc>
          <w:tcPr>
            <w:tcW w:w="7674" w:type="dxa"/>
            <w:shd w:val="solid" w:color="FFFFFF" w:fill="FFFFFF"/>
            <w:vAlign w:val="center"/>
          </w:tcPr>
          <w:p>
            <w:pPr>
              <w:spacing w:line="360" w:lineRule="auto"/>
              <w:rPr>
                <w:rFonts w:hint="default" w:ascii="Calibri" w:hAnsi="Calibri" w:eastAsia="宋体" w:cs="宋体"/>
                <w:szCs w:val="22"/>
                <w:lang w:val="en-US" w:eastAsia="zh-CN"/>
              </w:rPr>
            </w:pPr>
            <w:r>
              <w:rPr>
                <w:rFonts w:ascii="黑体" w:hAnsi="黑体" w:eastAsia="黑体" w:cs="黑体"/>
                <w:sz w:val="18"/>
                <w:szCs w:val="22"/>
              </w:rPr>
              <w:t>1.理财产品的费率标准</w:t>
            </w:r>
            <w:r>
              <w:rPr>
                <w:rFonts w:ascii="黑体" w:hAnsi="黑体" w:eastAsia="黑体" w:cs="黑体"/>
                <w:sz w:val="18"/>
                <w:szCs w:val="22"/>
              </w:rPr>
              <w:br w:type="textWrapping"/>
            </w:r>
            <w:r>
              <w:rPr>
                <w:rFonts w:ascii="黑体" w:hAnsi="黑体" w:eastAsia="黑体" w:cs="黑体"/>
                <w:sz w:val="18"/>
                <w:szCs w:val="22"/>
              </w:rPr>
              <w:t>（1）认购费：</w:t>
            </w:r>
            <w:r>
              <w:rPr>
                <w:rFonts w:ascii="黑体" w:hAnsi="黑体" w:eastAsia="黑体" w:cs="黑体"/>
                <w:sz w:val="18"/>
                <w:szCs w:val="22"/>
              </w:rPr>
              <w:br w:type="textWrapping"/>
            </w:r>
            <w:r>
              <w:rPr>
                <w:rFonts w:ascii="黑体" w:hAnsi="黑体" w:eastAsia="黑体" w:cs="黑体"/>
                <w:sz w:val="18"/>
                <w:szCs w:val="22"/>
              </w:rPr>
              <w:t>【/】。（适用【A】类份额）</w:t>
            </w:r>
            <w:r>
              <w:rPr>
                <w:rFonts w:ascii="黑体" w:hAnsi="黑体" w:eastAsia="黑体" w:cs="黑体"/>
                <w:sz w:val="18"/>
                <w:szCs w:val="22"/>
              </w:rPr>
              <w:br w:type="textWrapping"/>
            </w:r>
            <w:r>
              <w:rPr>
                <w:rFonts w:ascii="黑体" w:hAnsi="黑体" w:eastAsia="黑体" w:cs="黑体"/>
                <w:sz w:val="18"/>
                <w:szCs w:val="22"/>
              </w:rPr>
              <w:t>【/】。（适用【B】类份额）</w:t>
            </w:r>
            <w:r>
              <w:rPr>
                <w:rFonts w:ascii="黑体" w:hAnsi="黑体" w:eastAsia="黑体" w:cs="黑体"/>
                <w:sz w:val="18"/>
                <w:szCs w:val="22"/>
              </w:rPr>
              <w:br w:type="textWrapping"/>
            </w:r>
            <w:r>
              <w:rPr>
                <w:rFonts w:ascii="黑体" w:hAnsi="黑体" w:eastAsia="黑体" w:cs="黑体"/>
                <w:sz w:val="18"/>
                <w:szCs w:val="22"/>
              </w:rPr>
              <w:t>【/】。（适用【C】类份额）</w:t>
            </w:r>
            <w:r>
              <w:rPr>
                <w:rFonts w:ascii="黑体" w:hAnsi="黑体" w:eastAsia="黑体" w:cs="黑体"/>
                <w:sz w:val="18"/>
                <w:szCs w:val="22"/>
              </w:rPr>
              <w:br w:type="textWrapping"/>
            </w:r>
            <w:r>
              <w:rPr>
                <w:rFonts w:ascii="黑体" w:hAnsi="黑体" w:eastAsia="黑体" w:cs="黑体"/>
                <w:sz w:val="18"/>
                <w:szCs w:val="22"/>
              </w:rPr>
              <w:t>【/】。（适用【D】类份额）</w:t>
            </w:r>
            <w:r>
              <w:rPr>
                <w:rFonts w:ascii="黑体" w:hAnsi="黑体" w:eastAsia="黑体" w:cs="黑体"/>
                <w:sz w:val="18"/>
                <w:szCs w:val="22"/>
              </w:rPr>
              <w:br w:type="textWrapping"/>
            </w:r>
            <w:r>
              <w:rPr>
                <w:rFonts w:ascii="黑体" w:hAnsi="黑体" w:eastAsia="黑体" w:cs="黑体"/>
                <w:sz w:val="18"/>
                <w:szCs w:val="22"/>
              </w:rPr>
              <w:t>【/】。（适用【E】类份额）</w:t>
            </w:r>
            <w:r>
              <w:rPr>
                <w:rFonts w:ascii="黑体" w:hAnsi="黑体" w:eastAsia="黑体" w:cs="黑体"/>
                <w:sz w:val="18"/>
                <w:szCs w:val="22"/>
              </w:rPr>
              <w:br w:type="textWrapping"/>
            </w:r>
            <w:r>
              <w:rPr>
                <w:rFonts w:ascii="黑体" w:hAnsi="黑体" w:eastAsia="黑体" w:cs="黑体"/>
                <w:sz w:val="18"/>
                <w:szCs w:val="22"/>
              </w:rPr>
              <w:t>【/】。（适用【F】类份额）</w:t>
            </w:r>
            <w:r>
              <w:rPr>
                <w:rFonts w:ascii="黑体" w:hAnsi="黑体" w:eastAsia="黑体" w:cs="黑体"/>
                <w:sz w:val="18"/>
                <w:szCs w:val="22"/>
              </w:rPr>
              <w:br w:type="textWrapping"/>
            </w:r>
            <w:r>
              <w:rPr>
                <w:rFonts w:ascii="黑体" w:hAnsi="黑体" w:eastAsia="黑体" w:cs="黑体"/>
                <w:sz w:val="18"/>
                <w:szCs w:val="22"/>
              </w:rPr>
              <w:t>（2）销售服务费：</w:t>
            </w:r>
            <w:r>
              <w:rPr>
                <w:rFonts w:ascii="黑体" w:hAnsi="黑体" w:eastAsia="黑体" w:cs="黑体"/>
                <w:sz w:val="18"/>
                <w:szCs w:val="22"/>
              </w:rPr>
              <w:br w:type="textWrapping"/>
            </w:r>
            <w:r>
              <w:rPr>
                <w:rFonts w:ascii="黑体" w:hAnsi="黑体" w:eastAsia="黑体" w:cs="黑体"/>
                <w:sz w:val="18"/>
                <w:szCs w:val="22"/>
              </w:rPr>
              <w:t>年化费率【0.07%】。（适用【A】类份额）</w:t>
            </w:r>
            <w:r>
              <w:rPr>
                <w:rFonts w:ascii="黑体" w:hAnsi="黑体" w:eastAsia="黑体" w:cs="黑体"/>
                <w:sz w:val="18"/>
                <w:szCs w:val="22"/>
              </w:rPr>
              <w:br w:type="textWrapping"/>
            </w:r>
            <w:r>
              <w:rPr>
                <w:rFonts w:ascii="黑体" w:hAnsi="黑体" w:eastAsia="黑体" w:cs="黑体"/>
                <w:sz w:val="18"/>
                <w:szCs w:val="22"/>
              </w:rPr>
              <w:t>年化费率【0%】。（适用【B】类份额）</w:t>
            </w:r>
            <w:r>
              <w:rPr>
                <w:rFonts w:ascii="黑体" w:hAnsi="黑体" w:eastAsia="黑体" w:cs="黑体"/>
                <w:sz w:val="18"/>
                <w:szCs w:val="22"/>
              </w:rPr>
              <w:br w:type="textWrapping"/>
            </w:r>
            <w:r>
              <w:rPr>
                <w:rFonts w:ascii="黑体" w:hAnsi="黑体" w:eastAsia="黑体" w:cs="黑体"/>
                <w:sz w:val="18"/>
                <w:szCs w:val="22"/>
              </w:rPr>
              <w:t>年化费率【0.05%】。（适用【C】类份额）</w:t>
            </w:r>
            <w:r>
              <w:rPr>
                <w:rFonts w:ascii="黑体" w:hAnsi="黑体" w:eastAsia="黑体" w:cs="黑体"/>
                <w:sz w:val="18"/>
                <w:szCs w:val="22"/>
              </w:rPr>
              <w:br w:type="textWrapping"/>
            </w:r>
            <w:r>
              <w:rPr>
                <w:rFonts w:ascii="黑体" w:hAnsi="黑体" w:eastAsia="黑体" w:cs="黑体"/>
                <w:sz w:val="18"/>
                <w:szCs w:val="22"/>
              </w:rPr>
              <w:t>年化费率【0.1%】。（适用【D】类份额）</w:t>
            </w:r>
            <w:r>
              <w:rPr>
                <w:rFonts w:ascii="黑体" w:hAnsi="黑体" w:eastAsia="黑体" w:cs="黑体"/>
                <w:sz w:val="18"/>
                <w:szCs w:val="22"/>
              </w:rPr>
              <w:br w:type="textWrapping"/>
            </w:r>
            <w:r>
              <w:rPr>
                <w:rFonts w:ascii="黑体" w:hAnsi="黑体" w:eastAsia="黑体" w:cs="黑体"/>
                <w:sz w:val="18"/>
                <w:szCs w:val="22"/>
              </w:rPr>
              <w:t>年化费率【0.2%】。（适用【E】类份额）</w:t>
            </w:r>
            <w:r>
              <w:rPr>
                <w:rFonts w:ascii="黑体" w:hAnsi="黑体" w:eastAsia="黑体" w:cs="黑体"/>
                <w:sz w:val="18"/>
                <w:szCs w:val="22"/>
              </w:rPr>
              <w:br w:type="textWrapping"/>
            </w:r>
            <w:r>
              <w:rPr>
                <w:rFonts w:ascii="黑体" w:hAnsi="黑体" w:eastAsia="黑体" w:cs="黑体"/>
                <w:sz w:val="18"/>
                <w:szCs w:val="22"/>
              </w:rPr>
              <w:t>年化费率【0.3%】。（适用【F】类份额）</w:t>
            </w:r>
            <w:r>
              <w:rPr>
                <w:rFonts w:ascii="黑体" w:hAnsi="黑体" w:eastAsia="黑体" w:cs="黑体"/>
                <w:sz w:val="18"/>
                <w:szCs w:val="22"/>
              </w:rPr>
              <w:br w:type="textWrapping"/>
            </w:r>
            <w:r>
              <w:rPr>
                <w:rFonts w:ascii="黑体" w:hAnsi="黑体" w:eastAsia="黑体" w:cs="黑体"/>
                <w:sz w:val="18"/>
                <w:szCs w:val="22"/>
              </w:rPr>
              <w:t>（3）投资管理费：年化费率【0.03%】</w:t>
            </w:r>
            <w:r>
              <w:rPr>
                <w:rFonts w:ascii="黑体" w:hAnsi="黑体" w:eastAsia="黑体" w:cs="黑体"/>
                <w:sz w:val="18"/>
                <w:szCs w:val="22"/>
              </w:rPr>
              <w:br w:type="textWrapping"/>
            </w:r>
            <w:r>
              <w:rPr>
                <w:rFonts w:ascii="黑体" w:hAnsi="黑体" w:eastAsia="黑体" w:cs="黑体"/>
                <w:sz w:val="18"/>
                <w:szCs w:val="22"/>
              </w:rPr>
              <w:t>（4）产品托管费：年化费率【0.01%】</w:t>
            </w:r>
          </w:p>
          <w:p>
            <w:pPr>
              <w:numPr>
                <w:ilvl w:val="0"/>
                <w:numId w:val="0"/>
              </w:numPr>
              <w:spacing w:line="360" w:lineRule="auto"/>
              <w:rPr>
                <w:rFonts w:hint="default" w:ascii="Calibri" w:hAnsi="Calibri" w:eastAsia="宋体" w:cs="宋体"/>
                <w:szCs w:val="22"/>
                <w:lang w:val="en-US" w:eastAsia="zh-CN"/>
              </w:rPr>
            </w:pPr>
            <w:r>
              <w:rPr>
                <w:rFonts w:hint="eastAsia" w:ascii="黑体" w:hAnsi="黑体" w:eastAsia="黑体" w:cs="黑体"/>
                <w:sz w:val="18"/>
                <w:szCs w:val="22"/>
                <w:lang w:eastAsia="zh-CN"/>
              </w:rPr>
              <w:t>（</w:t>
            </w:r>
            <w:r>
              <w:rPr>
                <w:rFonts w:hint="eastAsia" w:ascii="黑体" w:hAnsi="黑体" w:eastAsia="黑体" w:cs="黑体"/>
                <w:sz w:val="18"/>
                <w:szCs w:val="22"/>
                <w:lang w:val="en-US" w:eastAsia="zh-CN"/>
              </w:rPr>
              <w:t>5</w:t>
            </w:r>
            <w:r>
              <w:rPr>
                <w:rFonts w:hint="eastAsia" w:ascii="黑体" w:hAnsi="黑体" w:eastAsia="黑体" w:cs="黑体"/>
                <w:sz w:val="18"/>
                <w:szCs w:val="22"/>
                <w:lang w:eastAsia="zh-CN"/>
              </w:rPr>
              <w:t>）</w:t>
            </w:r>
            <w:r>
              <w:rPr>
                <w:rFonts w:hint="eastAsia" w:ascii="黑体" w:hAnsi="黑体" w:eastAsia="黑体" w:cs="黑体"/>
                <w:sz w:val="18"/>
                <w:szCs w:val="22"/>
                <w:lang w:val="en-US" w:eastAsia="zh-CN"/>
              </w:rPr>
              <w:t>信息技术服务费：年化费率【0.002%】</w:t>
            </w:r>
            <w:r>
              <w:rPr>
                <w:rFonts w:ascii="黑体" w:hAnsi="黑体" w:eastAsia="黑体" w:cs="黑体"/>
                <w:sz w:val="18"/>
                <w:szCs w:val="22"/>
              </w:rPr>
              <w:br w:type="textWrapping"/>
            </w:r>
            <w:r>
              <w:rPr>
                <w:rFonts w:ascii="黑体" w:hAnsi="黑体" w:eastAsia="黑体" w:cs="黑体"/>
                <w:sz w:val="18"/>
                <w:szCs w:val="22"/>
              </w:rPr>
              <w:t>（</w:t>
            </w:r>
            <w:r>
              <w:rPr>
                <w:rFonts w:hint="eastAsia" w:ascii="黑体" w:hAnsi="黑体" w:eastAsia="黑体" w:cs="黑体"/>
                <w:sz w:val="18"/>
                <w:szCs w:val="22"/>
                <w:lang w:val="en-US" w:eastAsia="zh-CN"/>
              </w:rPr>
              <w:t>6</w:t>
            </w:r>
            <w:r>
              <w:rPr>
                <w:rFonts w:ascii="黑体" w:hAnsi="黑体" w:eastAsia="黑体" w:cs="黑体"/>
                <w:sz w:val="18"/>
                <w:szCs w:val="22"/>
              </w:rPr>
              <w:t>）超额业绩报酬：</w:t>
            </w:r>
            <w:r>
              <w:rPr>
                <w:rFonts w:ascii="黑体" w:hAnsi="黑体" w:eastAsia="黑体" w:cs="黑体"/>
                <w:sz w:val="18"/>
                <w:szCs w:val="22"/>
              </w:rPr>
              <w:br w:type="textWrapping"/>
            </w:r>
            <w:r>
              <w:rPr>
                <w:rFonts w:hint="eastAsia" w:ascii="黑体" w:hAnsi="黑体" w:eastAsia="黑体" w:cs="黑体"/>
                <w:sz w:val="18"/>
                <w:szCs w:val="22"/>
              </w:rPr>
              <w:t>在超额业绩报酬计提日时，若理财资产扣除销售服务费、产品托管费、投资管理费和信息技术服务费等相关费用和税收后，超额业绩报酬计提日产品份额净值折算的当前年化收益率超过当前业绩报酬计提基准，则产品管理人收取超出部分的【</w:t>
            </w:r>
            <w:r>
              <w:rPr>
                <w:rFonts w:hint="eastAsia" w:ascii="黑体" w:hAnsi="黑体" w:eastAsia="黑体" w:cs="黑体"/>
                <w:sz w:val="18"/>
                <w:szCs w:val="22"/>
                <w:lang w:val="en-US" w:eastAsia="zh-CN"/>
              </w:rPr>
              <w:t>50</w:t>
            </w:r>
            <w:r>
              <w:rPr>
                <w:rFonts w:hint="eastAsia" w:ascii="黑体" w:hAnsi="黑体" w:eastAsia="黑体" w:cs="黑体"/>
                <w:sz w:val="18"/>
                <w:szCs w:val="22"/>
              </w:rPr>
              <w:t>】</w:t>
            </w:r>
            <w:r>
              <w:rPr>
                <w:rFonts w:hint="eastAsia" w:ascii="黑体" w:hAnsi="黑体" w:eastAsia="黑体" w:cs="黑体"/>
                <w:sz w:val="18"/>
                <w:szCs w:val="22"/>
                <w:lang w:val="en-US" w:eastAsia="zh-CN"/>
              </w:rPr>
              <w:t>%</w:t>
            </w:r>
            <w:r>
              <w:rPr>
                <w:rFonts w:hint="eastAsia" w:ascii="黑体" w:hAnsi="黑体" w:eastAsia="黑体" w:cs="黑体"/>
                <w:sz w:val="18"/>
                <w:szCs w:val="22"/>
              </w:rPr>
              <w:t>作为超额业绩报酬。</w:t>
            </w:r>
          </w:p>
          <w:p>
            <w:pPr>
              <w:spacing w:line="360" w:lineRule="auto"/>
              <w:rPr>
                <w:rFonts w:hint="eastAsia" w:ascii="黑体" w:hAnsi="黑体" w:eastAsia="黑体" w:cs="宋体"/>
                <w:bCs/>
                <w:sz w:val="18"/>
                <w:szCs w:val="18"/>
              </w:rPr>
            </w:pPr>
            <w:r>
              <w:rPr>
                <w:rFonts w:hint="eastAsia" w:ascii="黑体" w:hAnsi="黑体" w:eastAsia="黑体" w:cs="宋体"/>
                <w:bCs/>
                <w:sz w:val="18"/>
                <w:szCs w:val="18"/>
              </w:rPr>
              <w:t>2.以上费用金额均按照四舍五入方法，保留到小数点后2位。</w:t>
            </w:r>
          </w:p>
          <w:p>
            <w:pPr>
              <w:spacing w:line="360" w:lineRule="auto"/>
              <w:rPr>
                <w:rFonts w:ascii="黑体" w:hAnsi="黑体" w:eastAsia="黑体" w:cs="宋体"/>
                <w:bCs/>
                <w:sz w:val="18"/>
                <w:szCs w:val="18"/>
              </w:rPr>
            </w:pPr>
            <w:r>
              <w:rPr>
                <w:rFonts w:hint="eastAsia" w:ascii="黑体" w:hAnsi="黑体" w:eastAsia="黑体" w:cs="宋体"/>
                <w:bCs/>
                <w:sz w:val="18"/>
                <w:szCs w:val="18"/>
              </w:rPr>
              <w:t>3.产品管理人有权根据相关法律和国家政策规定，对理财产品费用的收费项目、收费条件、收费标准和收费方式等进行调整。产品管理人对费用的调整将依本产品说明书的“理财产品的信息披露”条款约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宋体" w:hAnsi="宋体" w:eastAsia="宋体" w:cs="宋体"/>
                <w:b/>
                <w:bCs/>
                <w:kern w:val="0"/>
                <w:sz w:val="18"/>
                <w:szCs w:val="18"/>
              </w:rPr>
              <w:t>税收</w:t>
            </w:r>
          </w:p>
        </w:tc>
        <w:tc>
          <w:tcPr>
            <w:tcW w:w="7674" w:type="dxa"/>
            <w:shd w:val="solid" w:color="FFFFFF" w:fill="FFFFFF"/>
            <w:vAlign w:val="center"/>
          </w:tcPr>
          <w:p>
            <w:pPr>
              <w:spacing w:line="360" w:lineRule="auto"/>
              <w:rPr>
                <w:rFonts w:ascii="宋体" w:hAnsi="宋体" w:eastAsia="宋体" w:cs="宋体"/>
                <w:bCs/>
                <w:color w:val="000000" w:themeColor="text1"/>
                <w:sz w:val="18"/>
                <w:szCs w:val="18"/>
                <w14:textFill>
                  <w14:solidFill>
                    <w14:schemeClr w14:val="tx1"/>
                  </w14:solidFill>
                </w14:textFill>
              </w:rPr>
            </w:pPr>
            <w:r>
              <w:rPr>
                <w:rFonts w:hint="eastAsia" w:ascii="Calibri" w:hAnsi="宋体" w:eastAsia="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cs="宋体" w:asciiTheme="majorEastAsia" w:hAnsiTheme="majorEastAsia" w:eastAsiaTheme="majorEastAsia"/>
                <w:b/>
                <w:sz w:val="18"/>
                <w:szCs w:val="18"/>
              </w:rPr>
              <w:t>理财产品份额的转让</w:t>
            </w:r>
          </w:p>
        </w:tc>
        <w:tc>
          <w:tcPr>
            <w:tcW w:w="7674" w:type="dxa"/>
            <w:shd w:val="solid" w:color="FFFFFF" w:fill="FFFFFF"/>
            <w:vAlign w:val="center"/>
          </w:tcPr>
          <w:p>
            <w:pPr>
              <w:spacing w:line="360" w:lineRule="auto"/>
              <w:jc w:val="left"/>
              <w:rPr>
                <w:rFonts w:ascii="宋体" w:hAnsi="宋体" w:eastAsia="宋体" w:cs="宋体"/>
                <w:sz w:val="18"/>
                <w:szCs w:val="18"/>
              </w:rPr>
            </w:pPr>
            <w:r>
              <w:rPr>
                <w:rFonts w:hint="eastAsia" w:ascii="宋体" w:hAnsi="宋体" w:eastAsia="宋体" w:cs="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cs="宋体" w:asciiTheme="majorEastAsia" w:hAnsiTheme="majorEastAsia" w:eastAsiaTheme="majorEastAsia"/>
                <w:b/>
                <w:sz w:val="18"/>
                <w:szCs w:val="18"/>
              </w:rPr>
              <w:t>理财产品份额的质押</w:t>
            </w:r>
          </w:p>
        </w:tc>
        <w:tc>
          <w:tcPr>
            <w:tcW w:w="7674" w:type="dxa"/>
            <w:shd w:val="solid" w:color="FFFFFF" w:fill="FFFFFF"/>
            <w:vAlign w:val="center"/>
          </w:tcPr>
          <w:p>
            <w:pPr>
              <w:spacing w:line="360" w:lineRule="auto"/>
              <w:jc w:val="left"/>
              <w:rPr>
                <w:rFonts w:ascii="宋体" w:hAnsi="宋体" w:eastAsia="宋体" w:cs="宋体"/>
                <w:sz w:val="18"/>
                <w:szCs w:val="18"/>
              </w:rPr>
            </w:pPr>
            <w:r>
              <w:rPr>
                <w:rFonts w:hint="eastAsia" w:ascii="宋体" w:hAnsi="宋体" w:eastAsia="宋体" w:cs="宋体"/>
                <w:sz w:val="18"/>
                <w:szCs w:val="18"/>
              </w:rPr>
              <w:t>理财产品份额的质押将依照理财产品销售文件及销售机构的业务政策执行。</w:t>
            </w:r>
          </w:p>
        </w:tc>
      </w:tr>
    </w:tbl>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spacing w:line="360" w:lineRule="auto"/>
        <w:jc w:val="left"/>
        <w:rPr>
          <w:rFonts w:ascii="宋体" w:hAnsi="宋体" w:eastAsia="宋体" w:cs="宋体"/>
          <w:color w:val="000000"/>
          <w:kern w:val="0"/>
          <w:sz w:val="18"/>
          <w:szCs w:val="18"/>
        </w:rPr>
      </w:pPr>
      <w:r>
        <w:rPr>
          <w:rFonts w:ascii="Calibri" w:hAnsi="宋体" w:eastAsia="宋体" w:cs="宋体"/>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63" w:name="_Toc79154666"/>
      <w:bookmarkStart w:id="64" w:name="_Toc176189755"/>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三条</w:t>
      </w:r>
      <w:r>
        <w:rPr>
          <w:rFonts w:ascii="Times New Roman" w:hAnsi="Calibri" w:eastAsia="宋体" w:cs="宋体"/>
          <w:b/>
          <w:bCs/>
          <w:kern w:val="44"/>
          <w:sz w:val="30"/>
          <w:szCs w:val="44"/>
          <w:lang w:val="en-US" w:eastAsia="zh-CN" w:bidi="ar-SA"/>
        </w:rPr>
        <w:t xml:space="preserve">  </w:t>
      </w:r>
      <w:bookmarkStart w:id="65" w:name="_Toc79392573"/>
      <w:r>
        <w:rPr>
          <w:rFonts w:hint="eastAsia" w:ascii="Times New Roman" w:hAnsi="Calibri" w:eastAsia="宋体" w:cs="宋体"/>
          <w:b/>
          <w:bCs/>
          <w:kern w:val="44"/>
          <w:sz w:val="30"/>
          <w:szCs w:val="44"/>
          <w:lang w:val="en-US" w:eastAsia="zh-CN" w:bidi="ar-SA"/>
        </w:rPr>
        <w:t>理财产品的认购</w:t>
      </w:r>
      <w:bookmarkEnd w:id="63"/>
      <w:bookmarkEnd w:id="64"/>
    </w:p>
    <w:p>
      <w:pPr>
        <w:spacing w:line="360" w:lineRule="auto"/>
        <w:ind w:firstLine="361" w:firstLineChars="200"/>
        <w:rPr>
          <w:rFonts w:eastAsia="宋体" w:cs="宋体" w:asciiTheme="minorEastAsia" w:hAnsiTheme="minorEastAsia"/>
          <w:b/>
          <w:bCs/>
          <w:sz w:val="18"/>
          <w:szCs w:val="18"/>
        </w:rPr>
      </w:pPr>
      <w:bookmarkStart w:id="66" w:name="_Hlt88031774"/>
      <w:bookmarkEnd w:id="66"/>
      <w:bookmarkStart w:id="67" w:name="_Hlt88031741"/>
      <w:r>
        <w:rPr>
          <w:rFonts w:hint="eastAsia" w:eastAsia="宋体" w:cs="宋体" w:asciiTheme="minorEastAsia" w:hAnsiTheme="minorEastAsia"/>
          <w:b/>
          <w:bCs/>
          <w:sz w:val="18"/>
          <w:szCs w:val="18"/>
        </w:rPr>
        <w:t>（一）理财产品的认购</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1.</w:t>
      </w:r>
      <w:r>
        <w:rPr>
          <w:rFonts w:hint="eastAsia" w:eastAsia="宋体" w:cs="宋体" w:asciiTheme="minorEastAsia" w:hAnsiTheme="minorEastAsia"/>
          <w:b/>
          <w:bCs/>
          <w:sz w:val="18"/>
          <w:szCs w:val="18"/>
        </w:rPr>
        <w:t>认购的时间</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本产品认购期/募集期详见《产品说明书》“第二条 理财产品基本情况”。</w:t>
      </w:r>
      <w:r>
        <w:rPr>
          <w:rFonts w:cs="宋体" w:asciiTheme="minorEastAsia" w:hAnsiTheme="minorEastAsia" w:eastAsiaTheme="minorEastAsia"/>
          <w:color w:val="auto"/>
          <w:sz w:val="18"/>
          <w:szCs w:val="18"/>
          <w:lang w:val="en-US" w:eastAsia="zh-CN" w:bidi="ar-SA"/>
        </w:rPr>
        <w:t>产品管理人有权根据实际募集情况提前或延后产品成立日期，并</w:t>
      </w:r>
      <w:r>
        <w:rPr>
          <w:rFonts w:hint="eastAsia" w:cs="宋体" w:asciiTheme="minorEastAsia" w:hAnsiTheme="minorEastAsia" w:eastAsiaTheme="minorEastAsia"/>
          <w:color w:val="auto"/>
          <w:sz w:val="18"/>
          <w:szCs w:val="18"/>
          <w:lang w:val="en-US" w:eastAsia="zh-CN" w:bidi="ar-SA"/>
        </w:rPr>
        <w:t>相应调整其他产品要素，</w:t>
      </w:r>
      <w:r>
        <w:rPr>
          <w:rFonts w:cs="宋体" w:asciiTheme="minorEastAsia" w:hAnsiTheme="minorEastAsia" w:eastAsiaTheme="minorEastAsia"/>
          <w:color w:val="auto"/>
          <w:sz w:val="18"/>
          <w:szCs w:val="18"/>
          <w:lang w:val="en-US" w:eastAsia="zh-CN" w:bidi="ar-SA"/>
        </w:rPr>
        <w:t>将依约</w:t>
      </w:r>
      <w:r>
        <w:rPr>
          <w:rFonts w:hint="eastAsia" w:cs="宋体" w:asciiTheme="minorEastAsia" w:hAnsiTheme="minorEastAsia" w:eastAsiaTheme="minorEastAsia"/>
          <w:color w:val="auto"/>
          <w:sz w:val="18"/>
          <w:szCs w:val="18"/>
          <w:lang w:val="en-US" w:eastAsia="zh-CN" w:bidi="ar-SA"/>
        </w:rPr>
        <w:t>定进行公告。</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2.认购</w:t>
      </w:r>
      <w:r>
        <w:rPr>
          <w:rFonts w:hint="eastAsia" w:eastAsia="宋体" w:cs="宋体" w:asciiTheme="minorEastAsia" w:hAnsiTheme="minorEastAsia"/>
          <w:b/>
          <w:bCs/>
          <w:sz w:val="18"/>
          <w:szCs w:val="18"/>
        </w:rPr>
        <w:t>的方式</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产品成立之前</w:t>
      </w:r>
      <w:r>
        <w:rPr>
          <w:rFonts w:hint="eastAsia" w:cs="宋体" w:asciiTheme="minorEastAsia" w:hAnsiTheme="minorEastAsia" w:eastAsiaTheme="minorEastAsia"/>
          <w:color w:val="auto"/>
          <w:sz w:val="18"/>
          <w:szCs w:val="18"/>
          <w:lang w:val="en-US" w:eastAsia="zh-CN" w:bidi="ar-SA"/>
        </w:rPr>
        <w:t>，</w:t>
      </w:r>
      <w:r>
        <w:rPr>
          <w:rFonts w:cs="宋体" w:asciiTheme="minorEastAsia" w:hAnsiTheme="minorEastAsia" w:eastAsiaTheme="minorEastAsia"/>
          <w:color w:val="auto"/>
          <w:sz w:val="18"/>
          <w:szCs w:val="18"/>
          <w:lang w:val="en-US" w:eastAsia="zh-CN" w:bidi="ar-SA"/>
        </w:rPr>
        <w:t>投资者可通过</w:t>
      </w:r>
      <w:r>
        <w:rPr>
          <w:rFonts w:hint="eastAsia" w:cs="宋体" w:asciiTheme="minorEastAsia" w:hAnsiTheme="minorEastAsia" w:eastAsiaTheme="minorEastAsia"/>
          <w:color w:val="auto"/>
          <w:sz w:val="18"/>
          <w:szCs w:val="18"/>
          <w:lang w:val="en-US" w:eastAsia="zh-CN" w:bidi="ar-SA"/>
        </w:rPr>
        <w:t>销售机构销售</w:t>
      </w:r>
      <w:r>
        <w:rPr>
          <w:rFonts w:cs="宋体" w:asciiTheme="minorEastAsia" w:hAnsiTheme="minorEastAsia" w:eastAsiaTheme="minorEastAsia"/>
          <w:color w:val="auto"/>
          <w:sz w:val="18"/>
          <w:szCs w:val="18"/>
          <w:lang w:val="en-US" w:eastAsia="zh-CN" w:bidi="ar-SA"/>
        </w:rPr>
        <w:t>渠道</w:t>
      </w:r>
      <w:r>
        <w:rPr>
          <w:rFonts w:hint="eastAsia" w:cs="宋体" w:asciiTheme="minorEastAsia" w:hAnsiTheme="minorEastAsia" w:eastAsiaTheme="minorEastAsia"/>
          <w:color w:val="auto"/>
          <w:sz w:val="18"/>
          <w:szCs w:val="18"/>
          <w:lang w:val="en-US" w:eastAsia="zh-CN" w:bidi="ar-SA"/>
        </w:rPr>
        <w:t>认购</w:t>
      </w:r>
      <w:r>
        <w:rPr>
          <w:rFonts w:cs="宋体" w:asciiTheme="minorEastAsia" w:hAnsiTheme="minorEastAsia" w:eastAsiaTheme="minorEastAsia"/>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投资者通过</w:t>
      </w:r>
      <w:r>
        <w:rPr>
          <w:rFonts w:hint="eastAsia" w:cs="宋体" w:asciiTheme="minorEastAsia" w:hAnsiTheme="minorEastAsia" w:eastAsiaTheme="minorEastAsia"/>
          <w:color w:val="auto"/>
          <w:sz w:val="18"/>
          <w:szCs w:val="18"/>
          <w:lang w:val="en-US" w:eastAsia="zh-CN" w:bidi="ar-SA"/>
        </w:rPr>
        <w:t>销售机构线下渠道认购的，应签署有关理财产品销售文件。</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投资者通过</w:t>
      </w:r>
      <w:r>
        <w:rPr>
          <w:rFonts w:hint="eastAsia" w:cs="宋体" w:asciiTheme="minorEastAsia" w:hAnsiTheme="minorEastAsia" w:eastAsiaTheme="minorEastAsia"/>
          <w:color w:val="auto"/>
          <w:sz w:val="18"/>
          <w:szCs w:val="18"/>
          <w:lang w:val="en-US" w:eastAsia="zh-CN" w:bidi="ar-SA"/>
        </w:rPr>
        <w:t>销售机构线上渠道认购的，</w:t>
      </w:r>
      <w:r>
        <w:rPr>
          <w:rFonts w:hint="eastAsia" w:eastAsia="宋体" w:cs="宋体" w:asciiTheme="minorEastAsia" w:hAnsiTheme="minorEastAsia"/>
          <w:bCs/>
          <w:color w:val="auto"/>
          <w:sz w:val="18"/>
          <w:szCs w:val="18"/>
          <w:lang w:val="en-US" w:eastAsia="zh-CN" w:bidi="ar-SA"/>
        </w:rPr>
        <w:t>应根据</w:t>
      </w:r>
      <w:r>
        <w:rPr>
          <w:rFonts w:hint="eastAsia" w:cs="宋体" w:asciiTheme="minorEastAsia" w:hAnsiTheme="minorEastAsia" w:eastAsiaTheme="minorEastAsia"/>
          <w:color w:val="auto"/>
          <w:sz w:val="18"/>
          <w:szCs w:val="18"/>
          <w:lang w:val="en-US" w:eastAsia="zh-CN" w:bidi="ar-SA"/>
        </w:rPr>
        <w:t>销售机构</w:t>
      </w:r>
      <w:r>
        <w:rPr>
          <w:rFonts w:hint="eastAsia" w:eastAsia="宋体" w:cs="宋体" w:asciiTheme="minorEastAsia" w:hAnsiTheme="minorEastAsia"/>
          <w:bCs/>
          <w:color w:val="auto"/>
          <w:sz w:val="18"/>
          <w:szCs w:val="18"/>
          <w:lang w:val="en-US" w:eastAsia="zh-CN" w:bidi="ar-SA"/>
        </w:rPr>
        <w:t>线上渠道的具体要求执行。</w:t>
      </w:r>
    </w:p>
    <w:p>
      <w:pPr>
        <w:widowControl w:val="0"/>
        <w:autoSpaceDE w:val="0"/>
        <w:autoSpaceDN w:val="0"/>
        <w:adjustRightInd w:val="0"/>
        <w:spacing w:line="360" w:lineRule="auto"/>
        <w:ind w:firstLine="361" w:firstLineChars="200"/>
        <w:rPr>
          <w:rFonts w:eastAsia="宋体" w:cs="宋体" w:asciiTheme="minorEastAsia" w:hAnsiTheme="minorEastAsia"/>
          <w:b/>
          <w:bCs/>
          <w:color w:val="auto"/>
          <w:sz w:val="18"/>
          <w:szCs w:val="18"/>
          <w:lang w:val="en-US" w:eastAsia="zh-CN" w:bidi="ar-SA"/>
        </w:rPr>
      </w:pPr>
      <w:r>
        <w:rPr>
          <w:rFonts w:eastAsia="宋体" w:cs="宋体" w:asciiTheme="minorEastAsia" w:hAnsiTheme="minorEastAsia"/>
          <w:b/>
          <w:bCs/>
          <w:color w:val="auto"/>
          <w:sz w:val="18"/>
          <w:szCs w:val="18"/>
          <w:lang w:val="en-US" w:eastAsia="zh-CN" w:bidi="ar-SA"/>
        </w:rPr>
        <w:t>3.</w:t>
      </w:r>
      <w:r>
        <w:rPr>
          <w:rFonts w:hint="eastAsia" w:eastAsia="宋体" w:cs="宋体" w:asciiTheme="minorEastAsia" w:hAnsiTheme="minorEastAsia"/>
          <w:b/>
          <w:bCs/>
          <w:color w:val="auto"/>
          <w:sz w:val="18"/>
          <w:szCs w:val="18"/>
          <w:lang w:val="en-US" w:eastAsia="zh-CN" w:bidi="ar-SA"/>
        </w:rPr>
        <w:t>认购的确认</w:t>
      </w:r>
    </w:p>
    <w:tbl>
      <w:tblPr>
        <w:tblStyle w:val="8"/>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认购确认方式</w:t>
            </w:r>
          </w:p>
        </w:tc>
        <w:tc>
          <w:tcPr>
            <w:tcW w:w="1610" w:type="dxa"/>
            <w:vAlign w:val="center"/>
          </w:tcPr>
          <w:p>
            <w:pPr>
              <w:spacing w:line="360" w:lineRule="auto"/>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cs="宋体"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cs="宋体" w:asciiTheme="minorEastAsia" w:hAnsiTheme="minorEastAsia" w:eastAsiaTheme="minorEastAsia"/>
                <w:bCs/>
                <w:sz w:val="18"/>
                <w:szCs w:val="18"/>
              </w:rPr>
            </w:pPr>
            <w:r>
              <w:rPr>
                <w:rFonts w:hint="eastAsia" w:eastAsia="宋体"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cs="宋体" w:asciiTheme="minorEastAsia" w:hAnsiTheme="minorEastAsia" w:eastAsiaTheme="minorEastAsia"/>
                <w:bCs/>
                <w:sz w:val="18"/>
                <w:szCs w:val="18"/>
              </w:rPr>
            </w:pPr>
            <w:r>
              <w:rPr>
                <w:rFonts w:hint="eastAsia" w:eastAsia="宋体" w:cs="Times New Roman" w:asciiTheme="minorEastAsia" w:hAnsiTheme="minorEastAsia"/>
                <w:bCs/>
                <w:kern w:val="0"/>
                <w:sz w:val="18"/>
                <w:szCs w:val="18"/>
              </w:rPr>
              <w:t>产品成立日</w:t>
            </w:r>
          </w:p>
        </w:tc>
      </w:tr>
    </w:tbl>
    <w:p>
      <w:pPr>
        <w:spacing w:line="360" w:lineRule="auto"/>
        <w:ind w:firstLine="360" w:firstLineChars="200"/>
        <w:rPr>
          <w:rFonts w:eastAsia="宋体" w:cs="宋体" w:asciiTheme="minorEastAsia" w:hAnsiTheme="minorEastAsia"/>
          <w:bCs/>
          <w:kern w:val="0"/>
          <w:sz w:val="18"/>
          <w:szCs w:val="18"/>
        </w:rPr>
      </w:pPr>
      <w:r>
        <w:rPr>
          <w:rFonts w:hint="eastAsia" w:eastAsia="宋体" w:cs="宋体" w:asciiTheme="minorEastAsia" w:hAnsiTheme="minorEastAsia"/>
          <w:bCs/>
          <w:sz w:val="18"/>
          <w:szCs w:val="18"/>
        </w:rPr>
        <w:t>认购期/募集期内投资者可</w:t>
      </w:r>
      <w:r>
        <w:rPr>
          <w:rFonts w:hint="eastAsia" w:eastAsia="宋体" w:cs="宋体" w:asciiTheme="minorEastAsia" w:hAnsiTheme="minorEastAsia"/>
          <w:bCs/>
          <w:kern w:val="0"/>
          <w:sz w:val="18"/>
          <w:szCs w:val="18"/>
        </w:rPr>
        <w:t>提交认购申请</w:t>
      </w:r>
      <w:r>
        <w:rPr>
          <w:rFonts w:hint="eastAsia" w:eastAsia="宋体" w:cs="宋体" w:asciiTheme="minorEastAsia" w:hAnsiTheme="minorEastAsia"/>
          <w:bCs/>
          <w:sz w:val="18"/>
          <w:szCs w:val="18"/>
        </w:rPr>
        <w:t>。</w:t>
      </w:r>
      <w:r>
        <w:rPr>
          <w:rFonts w:hint="eastAsia" w:eastAsia="宋体" w:cs="宋体" w:asciiTheme="minorEastAsia" w:hAnsiTheme="minorEastAsia"/>
          <w:bCs/>
          <w:kern w:val="0"/>
          <w:sz w:val="18"/>
          <w:szCs w:val="18"/>
        </w:rPr>
        <w:t>提交认购申请并不代表认购成功，产品管理人将在认购确认日确认投资者是否认购成功，是否成功以管理人的确认结果为准。</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4</w:t>
      </w:r>
      <w:r>
        <w:rPr>
          <w:rFonts w:hint="eastAsia" w:eastAsia="宋体" w:cs="宋体" w:asciiTheme="minorEastAsia" w:hAnsiTheme="minorEastAsia"/>
          <w:b/>
          <w:bCs/>
          <w:sz w:val="18"/>
          <w:szCs w:val="18"/>
        </w:rPr>
        <w:t>.</w:t>
      </w:r>
      <w:r>
        <w:rPr>
          <w:rFonts w:eastAsia="宋体" w:cs="宋体" w:asciiTheme="minorEastAsia" w:hAnsiTheme="minorEastAsia"/>
          <w:b/>
          <w:bCs/>
          <w:sz w:val="18"/>
          <w:szCs w:val="18"/>
        </w:rPr>
        <w:t>认购的价格</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本产品的认购价格为每份理财份额人民币</w:t>
      </w:r>
      <w:r>
        <w:rPr>
          <w:rFonts w:cs="宋体" w:asciiTheme="minorEastAsia" w:hAnsiTheme="minorEastAsia" w:eastAsiaTheme="minorEastAsia"/>
          <w:color w:val="auto"/>
          <w:sz w:val="18"/>
          <w:szCs w:val="18"/>
          <w:lang w:val="en-US" w:eastAsia="zh-CN" w:bidi="ar-SA"/>
        </w:rPr>
        <w:t>1.00</w:t>
      </w:r>
      <w:r>
        <w:rPr>
          <w:rFonts w:hint="eastAsia" w:cs="宋体" w:asciiTheme="minorEastAsia" w:hAnsiTheme="minorEastAsia" w:eastAsiaTheme="minorEastAsia"/>
          <w:color w:val="auto"/>
          <w:sz w:val="18"/>
          <w:szCs w:val="18"/>
          <w:lang w:val="en-US" w:eastAsia="zh-CN" w:bidi="ar-SA"/>
        </w:rPr>
        <w:t>元。</w:t>
      </w:r>
    </w:p>
    <w:p>
      <w:pPr>
        <w:widowControl w:val="0"/>
        <w:autoSpaceDE w:val="0"/>
        <w:autoSpaceDN w:val="0"/>
        <w:adjustRightInd w:val="0"/>
        <w:spacing w:line="360" w:lineRule="auto"/>
        <w:ind w:firstLine="361" w:firstLineChars="200"/>
        <w:rPr>
          <w:rFonts w:cs="宋体" w:asciiTheme="minorEastAsia" w:hAnsiTheme="minorEastAsia" w:eastAsiaTheme="minorEastAsia"/>
          <w:b/>
          <w:color w:val="auto"/>
          <w:sz w:val="18"/>
          <w:szCs w:val="18"/>
          <w:lang w:val="en-US" w:eastAsia="zh-CN" w:bidi="ar-SA"/>
        </w:rPr>
      </w:pPr>
      <w:r>
        <w:rPr>
          <w:rFonts w:cs="宋体" w:asciiTheme="minorEastAsia" w:hAnsiTheme="minorEastAsia" w:eastAsiaTheme="minorEastAsia"/>
          <w:b/>
          <w:color w:val="auto"/>
          <w:sz w:val="18"/>
          <w:szCs w:val="18"/>
          <w:lang w:val="en-US" w:eastAsia="zh-CN" w:bidi="ar-SA"/>
        </w:rPr>
        <w:t>5</w:t>
      </w:r>
      <w:r>
        <w:rPr>
          <w:rFonts w:hint="eastAsia" w:cs="宋体" w:asciiTheme="minorEastAsia" w:hAnsiTheme="minorEastAsia" w:eastAsiaTheme="minorEastAsia"/>
          <w:b/>
          <w:color w:val="auto"/>
          <w:sz w:val="18"/>
          <w:szCs w:val="18"/>
          <w:lang w:val="en-US" w:eastAsia="zh-CN" w:bidi="ar-SA"/>
        </w:rPr>
        <w:t>.认购的费用</w:t>
      </w:r>
    </w:p>
    <w:p>
      <w:pPr>
        <w:spacing w:line="360" w:lineRule="auto"/>
        <w:ind w:firstLine="360" w:firstLineChars="200"/>
        <w:rPr>
          <w:rFonts w:ascii="Calibri" w:hAnsi="Calibri" w:eastAsia="宋体" w:cs="宋体"/>
          <w:bCs/>
          <w:sz w:val="18"/>
          <w:szCs w:val="18"/>
        </w:rPr>
      </w:pPr>
      <w:r>
        <w:rPr>
          <w:rFonts w:hint="eastAsia" w:eastAsia="宋体" w:cs="宋体" w:asciiTheme="minorEastAsia" w:hAnsiTheme="minorEastAsia"/>
          <w:sz w:val="18"/>
          <w:szCs w:val="18"/>
        </w:rPr>
        <w:t>详见</w:t>
      </w:r>
      <w:r>
        <w:rPr>
          <w:rFonts w:hint="eastAsia" w:cs="宋体" w:asciiTheme="minorEastAsia" w:hAnsiTheme="minorEastAsia" w:eastAsiaTheme="minorEastAsia"/>
          <w:sz w:val="18"/>
          <w:szCs w:val="18"/>
        </w:rPr>
        <w:t>《产品说明书》“第二条 理财产品基本情况”</w:t>
      </w:r>
      <w:r>
        <w:rPr>
          <w:rFonts w:hint="eastAsia" w:ascii="Calibri" w:hAnsi="Calibri" w:eastAsia="宋体" w:cs="宋体"/>
          <w:bCs/>
          <w:sz w:val="18"/>
          <w:szCs w:val="18"/>
        </w:rPr>
        <w:t>。</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6.认购份额的计算</w:t>
      </w:r>
      <w:r>
        <w:rPr>
          <w:rFonts w:hint="eastAsia" w:eastAsia="宋体" w:cs="宋体" w:asciiTheme="minorEastAsia" w:hAnsiTheme="minorEastAsia"/>
          <w:b/>
          <w:bCs/>
          <w:sz w:val="18"/>
          <w:szCs w:val="18"/>
        </w:rPr>
        <w:t xml:space="preserve"> </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本产品的认购金额包括认购费用和净认购金额。认购份额的计算公式为：</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净认购金额</w:t>
      </w:r>
      <w:r>
        <w:rPr>
          <w:rFonts w:eastAsia="宋体" w:cs="宋体" w:asciiTheme="minorEastAsia" w:hAnsiTheme="minorEastAsia"/>
          <w:color w:val="auto"/>
          <w:sz w:val="18"/>
          <w:szCs w:val="18"/>
          <w:lang w:val="en-US" w:eastAsia="zh-CN" w:bidi="ar-SA"/>
        </w:rPr>
        <w:t>=认购金额/（1+认购费率）</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认购费用</w:t>
      </w:r>
      <w:r>
        <w:rPr>
          <w:rFonts w:eastAsia="宋体" w:cs="宋体" w:asciiTheme="minorEastAsia" w:hAnsiTheme="minorEastAsia"/>
          <w:color w:val="auto"/>
          <w:sz w:val="18"/>
          <w:szCs w:val="18"/>
          <w:lang w:val="en-US" w:eastAsia="zh-CN" w:bidi="ar-SA"/>
        </w:rPr>
        <w:t>=认购金额－净认购金额</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认购份额</w:t>
      </w:r>
      <w:r>
        <w:rPr>
          <w:rFonts w:eastAsia="宋体" w:cs="宋体" w:asciiTheme="minorEastAsia" w:hAnsiTheme="minorEastAsia"/>
          <w:color w:val="auto"/>
          <w:sz w:val="18"/>
          <w:szCs w:val="18"/>
          <w:lang w:val="en-US" w:eastAsia="zh-CN" w:bidi="ar-SA"/>
        </w:rPr>
        <w:t>=净认购金额/产品份额面值</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hint="eastAsia" w:eastAsia="宋体" w:cs="宋体" w:asciiTheme="minorEastAsia" w:hAnsiTheme="minorEastAsia"/>
          <w:bCs/>
          <w:color w:val="auto"/>
          <w:sz w:val="18"/>
          <w:szCs w:val="18"/>
          <w:lang w:val="en-US" w:eastAsia="zh-CN" w:bidi="ar-SA"/>
        </w:rPr>
        <w:t>上述计算结果均按四舍五入方法，保留到小数点后</w:t>
      </w:r>
      <w:r>
        <w:rPr>
          <w:rFonts w:eastAsia="宋体" w:cs="宋体" w:asciiTheme="minorEastAsia" w:hAnsiTheme="minorEastAsia"/>
          <w:bCs/>
          <w:color w:val="auto"/>
          <w:sz w:val="18"/>
          <w:szCs w:val="18"/>
          <w:lang w:val="en-US" w:eastAsia="zh-CN" w:bidi="ar-SA"/>
        </w:rPr>
        <w:t>2</w:t>
      </w:r>
      <w:r>
        <w:rPr>
          <w:rFonts w:hint="eastAsia" w:eastAsia="宋体" w:cs="宋体" w:asciiTheme="minorEastAsia" w:hAnsiTheme="minorEastAsia"/>
          <w:bCs/>
          <w:color w:val="auto"/>
          <w:sz w:val="18"/>
          <w:szCs w:val="18"/>
          <w:lang w:val="en-US" w:eastAsia="zh-CN" w:bidi="ar-SA"/>
        </w:rPr>
        <w:t>位，由此产生的收益或损失由理财产品承担。</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cs="宋体" w:asciiTheme="majorEastAsia" w:hAnsiTheme="majorEastAsia" w:eastAsiaTheme="majorEastAsia"/>
          <w:b/>
          <w:color w:val="auto"/>
          <w:sz w:val="18"/>
          <w:szCs w:val="18"/>
          <w:lang w:val="en-US" w:eastAsia="zh-CN" w:bidi="ar-SA"/>
        </w:rPr>
        <w:t>7</w:t>
      </w:r>
      <w:r>
        <w:rPr>
          <w:rFonts w:hint="eastAsia" w:cs="宋体" w:asciiTheme="majorEastAsia" w:hAnsiTheme="majorEastAsia" w:eastAsiaTheme="majorEastAsia"/>
          <w:b/>
          <w:color w:val="auto"/>
          <w:sz w:val="18"/>
          <w:szCs w:val="18"/>
          <w:lang w:val="en-US" w:eastAsia="zh-CN" w:bidi="ar-SA"/>
        </w:rPr>
        <w:t>.认购的起点和递增金额</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详见《产品说明书》“第二条 理财产品基本情况”。</w:t>
      </w:r>
    </w:p>
    <w:p>
      <w:pPr>
        <w:widowControl w:val="0"/>
        <w:autoSpaceDE w:val="0"/>
        <w:autoSpaceDN w:val="0"/>
        <w:adjustRightInd w:val="0"/>
        <w:spacing w:line="360" w:lineRule="auto"/>
        <w:ind w:firstLine="361" w:firstLineChars="200"/>
        <w:rPr>
          <w:rFonts w:cs="宋体" w:asciiTheme="minorEastAsia" w:hAnsiTheme="minorEastAsia" w:eastAsiaTheme="minorEastAsia"/>
          <w:b/>
          <w:color w:val="auto"/>
          <w:sz w:val="18"/>
          <w:szCs w:val="18"/>
          <w:lang w:val="en-US" w:eastAsia="zh-CN" w:bidi="ar-SA"/>
        </w:rPr>
      </w:pPr>
      <w:r>
        <w:rPr>
          <w:rFonts w:cs="宋体" w:asciiTheme="minorEastAsia" w:hAnsiTheme="minorEastAsia" w:eastAsiaTheme="minorEastAsia"/>
          <w:b/>
          <w:color w:val="auto"/>
          <w:sz w:val="18"/>
          <w:szCs w:val="18"/>
          <w:lang w:val="en-US" w:eastAsia="zh-CN" w:bidi="ar-SA"/>
        </w:rPr>
        <w:t>8.认购的数量限制</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详见《产品说明书》“第二条 理财产品基本情况”。</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9.募集期认购资金利息的处理</w:t>
      </w:r>
    </w:p>
    <w:p>
      <w:pPr>
        <w:widowControl w:val="0"/>
        <w:autoSpaceDE w:val="0"/>
        <w:autoSpaceDN w:val="0"/>
        <w:adjustRightInd w:val="0"/>
        <w:spacing w:line="360" w:lineRule="auto"/>
        <w:ind w:firstLine="360" w:firstLineChars="200"/>
        <w:rPr>
          <w:rFonts w:hint="eastAsia" w:cs="宋体" w:asciiTheme="minorEastAsia" w:hAnsiTheme="minorEastAsia" w:eastAsiaTheme="minorEastAsia"/>
          <w:b w:val="0"/>
          <w:bCs/>
          <w:color w:val="auto"/>
          <w:sz w:val="18"/>
          <w:szCs w:val="18"/>
          <w:lang w:val="en-US" w:eastAsia="zh-CN" w:bidi="ar-SA"/>
        </w:rPr>
      </w:pPr>
      <w:r>
        <w:rPr>
          <w:rFonts w:hint="eastAsia" w:cs="宋体" w:asciiTheme="minorEastAsia" w:hAnsiTheme="minorEastAsia" w:eastAsiaTheme="minorEastAsia"/>
          <w:b w:val="0"/>
          <w:bCs/>
          <w:color w:val="auto"/>
          <w:sz w:val="18"/>
          <w:szCs w:val="18"/>
          <w:lang w:val="en-US" w:eastAsia="zh-CN" w:bidi="ar-SA"/>
        </w:rPr>
        <w:t>投资者认购资金实际扣划至管理人募集账户后，认购资金在认购期/募集期内产生的利息（如有）归投资者所有；投资者认购资金实际扣划至管理人募集账户前的计息规则，具体以销售机构实际情况为准。</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inorEastAsia" w:hAnsiTheme="minorEastAsia" w:eastAsiaTheme="minorEastAsia"/>
          <w:b/>
          <w:color w:val="auto"/>
          <w:sz w:val="18"/>
          <w:szCs w:val="18"/>
          <w:lang w:val="en-US" w:eastAsia="zh-CN" w:bidi="ar-SA"/>
        </w:rPr>
        <w:t>（二）认购</w:t>
      </w:r>
      <w:r>
        <w:rPr>
          <w:rFonts w:hint="eastAsia" w:cs="宋体" w:asciiTheme="majorEastAsia" w:hAnsiTheme="majorEastAsia" w:eastAsiaTheme="majorEastAsia"/>
          <w:b/>
          <w:color w:val="auto"/>
          <w:sz w:val="18"/>
          <w:szCs w:val="18"/>
          <w:lang w:val="en-US" w:eastAsia="zh-CN" w:bidi="ar-SA"/>
        </w:rPr>
        <w:t>的原则</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1.</w:t>
      </w:r>
      <w:r>
        <w:rPr>
          <w:rFonts w:cs="宋体" w:asciiTheme="majorEastAsia" w:hAnsiTheme="majorEastAsia" w:eastAsiaTheme="majorEastAsia"/>
          <w:color w:val="auto"/>
          <w:sz w:val="18"/>
          <w:szCs w:val="18"/>
          <w:lang w:val="en-US" w:eastAsia="zh-CN" w:bidi="ar-SA"/>
        </w:rPr>
        <w:t>“</w:t>
      </w:r>
      <w:r>
        <w:rPr>
          <w:rFonts w:hint="eastAsia" w:cs="宋体" w:asciiTheme="majorEastAsia" w:hAnsiTheme="majorEastAsia" w:eastAsiaTheme="majorEastAsia"/>
          <w:color w:val="auto"/>
          <w:sz w:val="18"/>
          <w:szCs w:val="18"/>
          <w:lang w:val="en-US" w:eastAsia="zh-CN" w:bidi="ar-SA"/>
        </w:rPr>
        <w:t>金额认购</w:t>
      </w:r>
      <w:r>
        <w:rPr>
          <w:rFonts w:cs="宋体" w:asciiTheme="majorEastAsia" w:hAnsiTheme="majorEastAsia" w:eastAsiaTheme="majorEastAsia"/>
          <w:color w:val="auto"/>
          <w:sz w:val="18"/>
          <w:szCs w:val="18"/>
          <w:lang w:val="en-US" w:eastAsia="zh-CN" w:bidi="ar-SA"/>
        </w:rPr>
        <w:t>”</w:t>
      </w:r>
      <w:r>
        <w:rPr>
          <w:rFonts w:hint="eastAsia" w:cs="宋体" w:asciiTheme="majorEastAsia" w:hAnsiTheme="majorEastAsia" w:eastAsiaTheme="majorEastAsia"/>
          <w:color w:val="auto"/>
          <w:sz w:val="18"/>
          <w:szCs w:val="18"/>
          <w:lang w:val="en-US" w:eastAsia="zh-CN" w:bidi="ar-SA"/>
        </w:rPr>
        <w:t>原则，即认购以金额申请。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.认购</w:t>
      </w:r>
      <w:r>
        <w:rPr>
          <w:rFonts w:cs="宋体" w:asciiTheme="majorEastAsia" w:hAnsiTheme="majorEastAsia" w:eastAsiaTheme="majorEastAsia"/>
          <w:color w:val="auto"/>
          <w:sz w:val="18"/>
          <w:szCs w:val="18"/>
          <w:lang w:val="en-US" w:eastAsia="zh-CN" w:bidi="ar-SA"/>
        </w:rPr>
        <w:t>申请可以在对应认购期截止前撤销，最终申</w:t>
      </w:r>
      <w:r>
        <w:rPr>
          <w:rFonts w:hint="eastAsia" w:cs="宋体" w:asciiTheme="majorEastAsia" w:hAnsiTheme="majorEastAsia" w:eastAsiaTheme="majorEastAsia"/>
          <w:color w:val="auto"/>
          <w:sz w:val="18"/>
          <w:szCs w:val="18"/>
          <w:lang w:val="en-US" w:eastAsia="zh-CN" w:bidi="ar-SA"/>
        </w:rPr>
        <w:t>请</w:t>
      </w:r>
      <w:r>
        <w:rPr>
          <w:rFonts w:cs="宋体" w:asciiTheme="majorEastAsia" w:hAnsiTheme="majorEastAsia" w:eastAsiaTheme="majorEastAsia"/>
          <w:color w:val="auto"/>
          <w:sz w:val="18"/>
          <w:szCs w:val="18"/>
          <w:lang w:val="en-US" w:eastAsia="zh-CN" w:bidi="ar-SA"/>
        </w:rPr>
        <w:t>确认情况以投资者在</w:t>
      </w:r>
      <w:r>
        <w:rPr>
          <w:rFonts w:hint="eastAsia" w:cs="宋体" w:asciiTheme="majorEastAsia" w:hAnsiTheme="majorEastAsia" w:eastAsiaTheme="majorEastAsia"/>
          <w:color w:val="auto"/>
          <w:sz w:val="18"/>
          <w:szCs w:val="18"/>
          <w:lang w:val="en-US" w:eastAsia="zh-CN" w:bidi="ar-SA"/>
        </w:rPr>
        <w:t>销售机构线下渠道</w:t>
      </w:r>
      <w:r>
        <w:rPr>
          <w:rFonts w:cs="宋体" w:asciiTheme="majorEastAsia" w:hAnsiTheme="majorEastAsia" w:eastAsiaTheme="majorEastAsia"/>
          <w:color w:val="auto"/>
          <w:sz w:val="18"/>
          <w:szCs w:val="18"/>
          <w:lang w:val="en-US" w:eastAsia="zh-CN" w:bidi="ar-SA"/>
        </w:rPr>
        <w:t>或线上渠道确认的结果为准。</w:t>
      </w:r>
    </w:p>
    <w:p>
      <w:pPr>
        <w:spacing w:line="360" w:lineRule="auto"/>
        <w:ind w:firstLine="271" w:firstLineChars="150"/>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（三）拒绝或暂停认购的情形</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发生下列情况时，产品管理人可拒绝或暂停接受投资者的认购</w:t>
      </w:r>
      <w:r>
        <w:rPr>
          <w:rFonts w:cs="宋体" w:asciiTheme="majorEastAsia" w:hAnsiTheme="majorEastAsia" w:eastAsiaTheme="majorEastAsia"/>
          <w:color w:val="auto"/>
          <w:sz w:val="18"/>
          <w:szCs w:val="18"/>
          <w:lang w:val="en-US" w:eastAsia="zh-CN" w:bidi="ar-SA"/>
        </w:rPr>
        <w:t>申请：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.因不可抗力导致理财产品无法正常运作。</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.产品管理人和产品托管人的技术保障等异常情况导致理财销售系统或会计系统无法正常运行。</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3</w:t>
      </w:r>
      <w:r>
        <w:rPr>
          <w:rFonts w:hint="eastAsia" w:cs="宋体" w:asciiTheme="majorEastAsia" w:hAnsiTheme="majorEastAsia" w:eastAsiaTheme="majorEastAsia"/>
          <w:color w:val="auto"/>
          <w:sz w:val="18"/>
          <w:szCs w:val="18"/>
          <w:lang w:val="en-US" w:eastAsia="zh-CN" w:bidi="ar-SA"/>
        </w:rPr>
        <w:t>.法律法规规定或监管机构认定的其他情形。</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如果投资者的认购申请被拒绝，被拒绝的认购款项将退还给投资者。在暂停认购的情况消除时，产品管理人应及时恢复认购业务的办理。</w:t>
      </w:r>
    </w:p>
    <w:p>
      <w:pPr>
        <w:widowControl w:val="0"/>
        <w:autoSpaceDE w:val="0"/>
        <w:autoSpaceDN w:val="0"/>
        <w:adjustRightInd w:val="0"/>
        <w:spacing w:line="360" w:lineRule="auto"/>
        <w:ind w:left="210" w:leftChars="100" w:firstLine="181" w:firstLineChars="1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（四）日期遇非工作日的调整</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前述日期（包括但不限于认购期及</w:t>
      </w:r>
      <w:r>
        <w:rPr>
          <w:rFonts w:cs="宋体" w:asciiTheme="majorEastAsia" w:hAnsiTheme="majorEastAsia" w:eastAsiaTheme="majorEastAsia"/>
          <w:color w:val="auto"/>
          <w:sz w:val="18"/>
          <w:szCs w:val="18"/>
          <w:lang w:val="en-US" w:eastAsia="zh-CN" w:bidi="ar-SA"/>
        </w:rPr>
        <w:t>认购确认日</w:t>
      </w:r>
      <w:r>
        <w:rPr>
          <w:rFonts w:hint="eastAsia" w:cs="宋体" w:asciiTheme="majorEastAsia" w:hAnsiTheme="majorEastAsia" w:eastAsiaTheme="majorEastAsia"/>
          <w:color w:val="auto"/>
          <w:sz w:val="18"/>
          <w:szCs w:val="18"/>
          <w:lang w:val="en-US" w:eastAsia="zh-CN" w:bidi="ar-SA"/>
        </w:rPr>
        <w:t>等）如遇非工作日则产品管理人可做相应调整。产品管理人对上述日期保留变更的权利，调整后的日期以产品管理人发布的公告中所载明的日期为准。</w:t>
      </w:r>
    </w:p>
    <w:p>
      <w:pPr>
        <w:widowControl w:val="0"/>
        <w:autoSpaceDE w:val="0"/>
        <w:autoSpaceDN w:val="0"/>
        <w:adjustRightInd w:val="0"/>
        <w:spacing w:line="360" w:lineRule="auto"/>
        <w:ind w:firstLine="361" w:firstLineChars="200"/>
        <w:rPr>
          <w:rFonts w:eastAsia="宋体" w:cs="宋体" w:asciiTheme="minorEastAsia" w:hAnsiTheme="minorEastAsia"/>
          <w:b/>
          <w:bCs/>
          <w:color w:val="auto"/>
          <w:sz w:val="18"/>
          <w:szCs w:val="18"/>
          <w:lang w:val="en-US" w:eastAsia="zh-CN" w:bidi="ar-SA"/>
        </w:rPr>
      </w:pPr>
      <w:r>
        <w:rPr>
          <w:rFonts w:hint="eastAsia" w:eastAsia="宋体" w:cs="宋体" w:asciiTheme="minorEastAsia" w:hAnsiTheme="minorEastAsia"/>
          <w:b/>
          <w:bCs/>
          <w:color w:val="auto"/>
          <w:sz w:val="18"/>
          <w:szCs w:val="18"/>
          <w:lang w:val="en-US" w:eastAsia="zh-CN" w:bidi="ar-SA"/>
        </w:rPr>
        <w:t>（五）投资者持有理财份额的限额和理财产品总规模限额</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hint="eastAsia" w:eastAsia="宋体" w:cs="宋体" w:asciiTheme="minorEastAsia" w:hAnsiTheme="minorEastAsia"/>
          <w:bCs/>
          <w:color w:val="auto"/>
          <w:sz w:val="18"/>
          <w:szCs w:val="18"/>
          <w:lang w:val="en-US" w:eastAsia="zh-CN" w:bidi="ar-SA"/>
        </w:rPr>
        <w:t>产品管理人有权决定理财份额持有人持有本产品的最高限额、最低限额和本产品的总规模限额。</w:t>
      </w:r>
    </w:p>
    <w:p>
      <w:pPr>
        <w:widowControl/>
        <w:spacing w:line="360" w:lineRule="auto"/>
        <w:jc w:val="left"/>
        <w:rPr>
          <w:rFonts w:eastAsia="宋体" w:cs="宋体" w:asciiTheme="minorEastAsia" w:hAnsiTheme="minorEastAsia"/>
          <w:bCs/>
          <w:sz w:val="18"/>
          <w:szCs w:val="18"/>
        </w:rPr>
      </w:pPr>
      <w:r>
        <w:rPr>
          <w:rFonts w:eastAsia="宋体" w:cs="宋体" w:asciiTheme="minorEastAsia" w:hAnsiTheme="minorEastAsia"/>
          <w:bCs/>
          <w:sz w:val="18"/>
          <w:szCs w:val="18"/>
        </w:rPr>
        <w:br w:type="page"/>
      </w:r>
    </w:p>
    <w:bookmarkEnd w:id="65"/>
    <w:bookmarkEnd w:id="67"/>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68" w:name="_Toc4771"/>
      <w:bookmarkStart w:id="69" w:name="_Toc176189756"/>
      <w:bookmarkStart w:id="70" w:name="_Toc29948"/>
      <w:bookmarkStart w:id="71" w:name="_Toc16265"/>
      <w:bookmarkStart w:id="72" w:name="_Toc79154668"/>
      <w:bookmarkStart w:id="73" w:name="_Toc6714"/>
      <w:bookmarkStart w:id="74" w:name="_Toc90742321"/>
      <w:bookmarkStart w:id="75" w:name="_Toc15203"/>
      <w:bookmarkStart w:id="76" w:name="_Toc90742390"/>
      <w:bookmarkStart w:id="77" w:name="_Toc22074"/>
      <w:bookmarkStart w:id="78" w:name="_Toc3266"/>
      <w:bookmarkStart w:id="79" w:name="_Toc29784"/>
      <w:bookmarkStart w:id="80" w:name="_Toc74065741"/>
      <w:bookmarkStart w:id="81" w:name="_Toc7151"/>
      <w:bookmarkStart w:id="82" w:name="_Toc90742688"/>
      <w:bookmarkStart w:id="83" w:name="_Toc27226"/>
      <w:bookmarkStart w:id="84" w:name="_Toc27189"/>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四条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理财产品的申购与赎回</w:t>
      </w:r>
      <w:bookmarkEnd w:id="68"/>
      <w:bookmarkEnd w:id="69"/>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本产品为封闭式产品，不设置申购与赎回。</w:t>
      </w:r>
    </w:p>
    <w:p>
      <w:pPr>
        <w:widowControl/>
        <w:spacing w:line="360" w:lineRule="auto"/>
        <w:jc w:val="left"/>
        <w:rPr>
          <w:rFonts w:cs="宋体" w:asciiTheme="majorEastAsia" w:hAnsiTheme="majorEastAsia" w:eastAsiaTheme="majorEastAsia"/>
          <w:kern w:val="0"/>
          <w:sz w:val="18"/>
          <w:szCs w:val="18"/>
        </w:rPr>
      </w:pPr>
      <w:r>
        <w:rPr>
          <w:rFonts w:cs="宋体" w:asciiTheme="majorEastAsia" w:hAnsiTheme="majorEastAsia" w:eastAsiaTheme="majorEastAsia"/>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5" w:name="_Toc176189757"/>
      <w:r>
        <w:rPr>
          <w:rFonts w:ascii="Times New Roman" w:hAnsi="Calibri" w:eastAsia="宋体" w:cs="宋体"/>
          <w:b/>
          <w:bCs/>
          <w:kern w:val="44"/>
          <w:sz w:val="30"/>
          <w:szCs w:val="44"/>
          <w:lang w:val="en-US" w:eastAsia="zh-CN" w:bidi="ar-SA"/>
        </w:rPr>
        <w:t>第五</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理财产品的投资</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（一）投资目标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【在严格控制组合风险的前提下，通过不断优化组合，力争实现超越业绩比较基准的收益。】</w:t>
      </w:r>
    </w:p>
    <w:p>
      <w:pPr>
        <w:widowControl w:val="0"/>
        <w:autoSpaceDE w:val="0"/>
        <w:autoSpaceDN w:val="0"/>
        <w:adjustRightInd w:val="0"/>
        <w:spacing w:line="360" w:lineRule="auto"/>
        <w:ind w:firstLine="361"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（二）投资范围和比例</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1.投资</w:t>
      </w:r>
      <w:r>
        <w:rPr>
          <w:rFonts w:cs="宋体"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本产品主要投资范围包括但不限于（实际投资范围可根据法律法规及监管规定进行调整）：</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000000"/>
          <w:sz w:val="18"/>
          <w:szCs w:val="18"/>
          <w:lang w:val="en-US" w:eastAsia="zh-CN" w:bidi="ar-SA"/>
        </w:rPr>
      </w:pPr>
      <w:r>
        <w:rPr>
          <w:rFonts w:ascii="宋体" w:hAnsi="宋体" w:eastAsia="宋体" w:cs="宋体"/>
          <w:color w:val="000000"/>
          <w:sz w:val="18"/>
          <w:szCs w:val="24"/>
          <w:lang w:val="en-US" w:eastAsia="zh-CN" w:bidi="ar-SA"/>
        </w:rPr>
        <w:t>【（1）银行存款、债券逆回购、货币基金等货币市场工具及其它银行间和交易所资金融通工具；</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2）国债、金融债、地方政府债、央行票据、同业存单、短期融资券、超短期融资券、中期票据、企业债、公司债、非公开定向债务融资工具、资产支持证券、次级债等银行间和交易所市场债券及债务融资工具以及其他固定收益类投资工具等。</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（3）符合监管要求的债权类资产；</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4）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（5）其他风险不高于前述资产的资产。】</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2.投资组合比例</w:t>
      </w:r>
    </w:p>
    <w:p>
      <w:pPr>
        <w:autoSpaceDE w:val="0"/>
        <w:autoSpaceDN w:val="0"/>
        <w:adjustRightInd w:val="0"/>
        <w:spacing w:line="360" w:lineRule="auto"/>
        <w:ind w:firstLine="360" w:firstLineChars="200"/>
        <w:jc w:val="left"/>
        <w:rPr>
          <w:rFonts w:hint="eastAsia" w:cs="宋体" w:asciiTheme="majorEastAsia" w:hAnsiTheme="majorEastAsia" w:eastAsiaTheme="majorEastAsia"/>
          <w:bCs/>
          <w:kern w:val="0"/>
          <w:sz w:val="18"/>
          <w:szCs w:val="18"/>
        </w:rPr>
      </w:pPr>
      <w:r>
        <w:rPr>
          <w:rFonts w:ascii="宋体" w:hAnsi="宋体" w:eastAsia="宋体" w:cs="宋体"/>
          <w:sz w:val="18"/>
          <w:szCs w:val="22"/>
        </w:rPr>
        <w:t>【（1）本产品投资于债权类资产的比例不低于产品总资产的80%。</w:t>
      </w:r>
      <w:r>
        <w:rPr>
          <w:rFonts w:ascii="宋体" w:hAnsi="宋体" w:eastAsia="宋体" w:cs="宋体"/>
          <w:sz w:val="18"/>
          <w:szCs w:val="22"/>
        </w:rPr>
        <w:br w:type="textWrapping"/>
      </w:r>
      <w:r>
        <w:rPr>
          <w:rFonts w:ascii="宋体" w:hAnsi="宋体" w:eastAsia="宋体" w:cs="宋体"/>
          <w:sz w:val="18"/>
          <w:szCs w:val="22"/>
        </w:rPr>
        <w:t>（2）符合监管要求的非标准化债权类资产低于产品净资产的50%。】</w:t>
      </w:r>
    </w:p>
    <w:p>
      <w:pPr>
        <w:autoSpaceDE w:val="0"/>
        <w:autoSpaceDN w:val="0"/>
        <w:adjustRightInd w:val="0"/>
        <w:spacing w:line="360" w:lineRule="auto"/>
        <w:ind w:firstLine="360" w:firstLineChars="200"/>
        <w:jc w:val="left"/>
        <w:rPr>
          <w:rFonts w:hint="eastAsia"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非因管理人主观因素导致突破前款规定比例限制的，产品管理人在流动性受限资产可出售、可转让或者恢复交易的15个交易日内调整至符合要求，监管机构规定的特殊情形除外。</w:t>
      </w:r>
    </w:p>
    <w:p>
      <w:pPr>
        <w:autoSpaceDE w:val="0"/>
        <w:autoSpaceDN w:val="0"/>
        <w:adjustRightInd w:val="0"/>
        <w:spacing w:line="360" w:lineRule="auto"/>
        <w:ind w:firstLine="361" w:firstLineChars="200"/>
        <w:jc w:val="left"/>
        <w:rPr>
          <w:rFonts w:cs="宋体" w:asciiTheme="majorEastAsia" w:hAnsiTheme="majorEastAsia" w:eastAsiaTheme="majorEastAsia"/>
          <w:b/>
          <w:bCs w:val="0"/>
          <w:kern w:val="0"/>
          <w:sz w:val="18"/>
          <w:szCs w:val="18"/>
        </w:rPr>
      </w:pPr>
      <w:r>
        <w:rPr>
          <w:rFonts w:hint="eastAsia" w:cs="宋体" w:asciiTheme="majorEastAsia" w:hAnsiTheme="majorEastAsia" w:eastAsiaTheme="majorEastAsia"/>
          <w:b/>
          <w:bCs w:val="0"/>
          <w:kern w:val="0"/>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本产品存续期间，</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将</w:t>
      </w:r>
      <w:r>
        <w:rPr>
          <w:rFonts w:hint="eastAsia" w:cs="宋体"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4</w:t>
      </w:r>
      <w:r>
        <w:rPr>
          <w:rFonts w:hint="eastAsia" w:cs="宋体" w:asciiTheme="majorEastAsia" w:hAnsiTheme="majorEastAsia" w:eastAsiaTheme="majorEastAsia"/>
          <w:bCs/>
          <w:sz w:val="18"/>
          <w:szCs w:val="18"/>
        </w:rPr>
        <w:t>.如果法律法规对本</w:t>
      </w:r>
      <w:r>
        <w:rPr>
          <w:rFonts w:cs="宋体" w:asciiTheme="majorEastAsia" w:hAnsiTheme="majorEastAsia" w:eastAsiaTheme="majorEastAsia"/>
          <w:bCs/>
          <w:sz w:val="18"/>
          <w:szCs w:val="18"/>
        </w:rPr>
        <w:t>销售文件</w:t>
      </w:r>
      <w:r>
        <w:rPr>
          <w:rFonts w:hint="eastAsia" w:cs="宋体" w:asciiTheme="majorEastAsia" w:hAnsiTheme="majorEastAsia" w:eastAsiaTheme="majorEastAsia"/>
          <w:bCs/>
          <w:sz w:val="18"/>
          <w:szCs w:val="18"/>
        </w:rPr>
        <w:t>约定投资组合比例限制进行变更的，以变更后的规定为准。</w:t>
      </w:r>
    </w:p>
    <w:p>
      <w:pPr>
        <w:spacing w:line="360" w:lineRule="auto"/>
        <w:ind w:firstLine="361" w:firstLineChars="200"/>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产品管理人应当自产品成立日起【</w:t>
      </w:r>
      <w:r>
        <w:rPr>
          <w:rFonts w:ascii="黑体" w:hAnsi="黑体" w:eastAsia="黑体" w:cs="宋体"/>
          <w:bCs/>
          <w:sz w:val="18"/>
          <w:szCs w:val="18"/>
        </w:rPr>
        <w:t>3】</w:t>
      </w:r>
      <w:r>
        <w:rPr>
          <w:rFonts w:hint="eastAsia" w:ascii="黑体" w:hAnsi="黑体" w:eastAsia="黑体" w:cs="宋体"/>
          <w:bCs/>
          <w:sz w:val="18"/>
          <w:szCs w:val="18"/>
        </w:rPr>
        <w:t>个月内</w:t>
      </w:r>
      <w:r>
        <w:rPr>
          <w:rFonts w:hint="eastAsia" w:cs="宋体" w:asciiTheme="majorEastAsia" w:hAnsiTheme="majorEastAsia" w:eastAsiaTheme="majorEastAsia"/>
          <w:bCs/>
          <w:sz w:val="18"/>
          <w:szCs w:val="18"/>
        </w:rPr>
        <w:t>使产品的投资组合比例符合本销售文件的有关约定，</w:t>
      </w:r>
      <w:r>
        <w:rPr>
          <w:rFonts w:cs="宋体" w:asciiTheme="majorEastAsia" w:hAnsiTheme="majorEastAsia" w:eastAsiaTheme="majorEastAsia"/>
          <w:bCs/>
          <w:sz w:val="18"/>
          <w:szCs w:val="18"/>
        </w:rPr>
        <w:t>上述</w:t>
      </w:r>
      <w:r>
        <w:rPr>
          <w:rFonts w:hint="eastAsia" w:cs="宋体" w:asciiTheme="majorEastAsia" w:hAnsiTheme="majorEastAsia" w:eastAsiaTheme="majorEastAsia"/>
          <w:bCs/>
          <w:sz w:val="18"/>
          <w:szCs w:val="18"/>
        </w:rPr>
        <w:t>期间</w:t>
      </w:r>
      <w:r>
        <w:rPr>
          <w:rFonts w:cs="宋体" w:asciiTheme="majorEastAsia" w:hAnsiTheme="majorEastAsia" w:eastAsiaTheme="majorEastAsia"/>
          <w:bCs/>
          <w:sz w:val="18"/>
          <w:szCs w:val="18"/>
        </w:rPr>
        <w:t>内</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本产品的投资</w:t>
      </w:r>
      <w:r>
        <w:rPr>
          <w:rFonts w:hint="eastAsia" w:cs="宋体" w:asciiTheme="majorEastAsia" w:hAnsiTheme="majorEastAsia" w:eastAsiaTheme="majorEastAsia"/>
          <w:bCs/>
          <w:sz w:val="18"/>
          <w:szCs w:val="18"/>
        </w:rPr>
        <w:t>范围、投资</w:t>
      </w:r>
      <w:r>
        <w:rPr>
          <w:rFonts w:cs="宋体" w:asciiTheme="majorEastAsia" w:hAnsiTheme="majorEastAsia" w:eastAsiaTheme="majorEastAsia"/>
          <w:bCs/>
          <w:sz w:val="18"/>
          <w:szCs w:val="18"/>
        </w:rPr>
        <w:t>策略</w:t>
      </w:r>
      <w:r>
        <w:rPr>
          <w:rFonts w:hint="eastAsia" w:cs="宋体" w:asciiTheme="majorEastAsia" w:hAnsiTheme="majorEastAsia" w:eastAsiaTheme="majorEastAsia"/>
          <w:bCs/>
          <w:sz w:val="18"/>
          <w:szCs w:val="18"/>
        </w:rPr>
        <w:t>应当符合本</w:t>
      </w:r>
      <w:r>
        <w:rPr>
          <w:rFonts w:cs="宋体" w:asciiTheme="majorEastAsia" w:hAnsiTheme="majorEastAsia" w:eastAsiaTheme="majorEastAsia"/>
          <w:bCs/>
          <w:sz w:val="18"/>
          <w:szCs w:val="18"/>
        </w:rPr>
        <w:t>销售文件的</w:t>
      </w:r>
      <w:r>
        <w:rPr>
          <w:rFonts w:hint="eastAsia" w:cs="宋体" w:asciiTheme="majorEastAsia" w:hAnsiTheme="majorEastAsia" w:eastAsiaTheme="majorEastAsia"/>
          <w:bCs/>
          <w:sz w:val="18"/>
          <w:szCs w:val="18"/>
        </w:rPr>
        <w:t>约定</w:t>
      </w:r>
      <w:r>
        <w:rPr>
          <w:rFonts w:cs="宋体" w:asciiTheme="majorEastAsia" w:hAnsiTheme="majorEastAsia" w:eastAsiaTheme="majorEastAsia"/>
          <w:bCs/>
          <w:sz w:val="18"/>
          <w:szCs w:val="18"/>
        </w:rPr>
        <w:t>。</w:t>
      </w:r>
      <w:r>
        <w:rPr>
          <w:rFonts w:hint="eastAsia" w:cs="宋体"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3）</w:t>
      </w:r>
      <w:r>
        <w:rPr>
          <w:rFonts w:hint="eastAsia" w:ascii="Calibri" w:hAnsi="宋体" w:eastAsia="宋体" w:cs="宋体"/>
          <w:sz w:val="18"/>
          <w:szCs w:val="18"/>
        </w:rPr>
        <w:t>★</w:t>
      </w:r>
      <w:r>
        <w:rPr>
          <w:rFonts w:hint="eastAsia" w:ascii="黑体" w:hAnsi="黑体" w:eastAsia="黑体" w:cs="宋体"/>
          <w:bCs/>
          <w:sz w:val="18"/>
          <w:szCs w:val="18"/>
        </w:rPr>
        <w:t>产品管理人应当根据市场情况调整投资范围、投资资产种类或投资比例，并进行相应公告。高风险类型的理财产品超出比例范围投资较低风险资产的，</w:t>
      </w:r>
      <w:r>
        <w:rPr>
          <w:rFonts w:ascii="黑体" w:hAnsi="黑体" w:eastAsia="黑体" w:cs="宋体"/>
          <w:bCs/>
          <w:sz w:val="18"/>
          <w:szCs w:val="18"/>
        </w:rPr>
        <w:t>无需投资者</w:t>
      </w:r>
      <w:r>
        <w:rPr>
          <w:rFonts w:hint="eastAsia" w:ascii="黑体" w:hAnsi="黑体" w:eastAsia="黑体" w:cs="宋体"/>
          <w:bCs/>
          <w:sz w:val="18"/>
          <w:szCs w:val="18"/>
        </w:rPr>
        <w:t>书面</w:t>
      </w:r>
      <w:r>
        <w:rPr>
          <w:rFonts w:ascii="黑体" w:hAnsi="黑体" w:eastAsia="黑体" w:cs="宋体"/>
          <w:bCs/>
          <w:sz w:val="18"/>
          <w:szCs w:val="18"/>
        </w:rPr>
        <w:t>同意</w:t>
      </w:r>
      <w:r>
        <w:rPr>
          <w:rFonts w:hint="eastAsia" w:ascii="黑体" w:hAnsi="黑体" w:eastAsia="黑体" w:cs="宋体"/>
          <w:bCs/>
          <w:sz w:val="18"/>
          <w:szCs w:val="18"/>
        </w:rPr>
        <w:t>。</w:t>
      </w:r>
    </w:p>
    <w:p>
      <w:pPr>
        <w:widowControl w:val="0"/>
        <w:autoSpaceDE w:val="0"/>
        <w:autoSpaceDN w:val="0"/>
        <w:adjustRightInd w:val="0"/>
        <w:spacing w:line="360" w:lineRule="auto"/>
        <w:ind w:firstLine="360" w:firstLineChars="200"/>
        <w:jc w:val="both"/>
        <w:rPr>
          <w:rFonts w:cs="宋体" w:asciiTheme="majorEastAsia" w:hAnsiTheme="majorEastAsia" w:eastAsiaTheme="majorEastAsia"/>
          <w:bCs/>
          <w:color w:val="000000"/>
          <w:sz w:val="18"/>
          <w:szCs w:val="18"/>
          <w:lang w:val="en-US" w:eastAsia="zh-CN" w:bidi="ar-SA"/>
        </w:rPr>
      </w:pPr>
      <w:r>
        <w:rPr>
          <w:rFonts w:hint="eastAsia" w:ascii="黑体" w:hAnsi="黑体" w:eastAsia="黑体" w:cs="宋体"/>
          <w:bCs/>
          <w:color w:val="000000"/>
          <w:sz w:val="18"/>
          <w:szCs w:val="18"/>
          <w:lang w:val="en-US" w:eastAsia="zh-CN" w:bidi="ar-SA"/>
        </w:rPr>
        <w:t>（</w:t>
      </w:r>
      <w:r>
        <w:rPr>
          <w:rFonts w:ascii="黑体" w:hAnsi="黑体" w:eastAsia="黑体" w:cs="宋体"/>
          <w:bCs/>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按照法律法规、</w:t>
      </w:r>
      <w:r>
        <w:rPr>
          <w:rFonts w:hint="eastAsia" w:ascii="黑体" w:hAnsi="黑体" w:eastAsia="黑体" w:cs="宋体"/>
          <w:bCs/>
          <w:color w:val="000000"/>
          <w:sz w:val="18"/>
          <w:szCs w:val="18"/>
          <w:lang w:val="en-US" w:eastAsia="zh-CN" w:bidi="ar-SA"/>
        </w:rPr>
        <w:t>理财产品</w:t>
      </w:r>
      <w:r>
        <w:rPr>
          <w:rFonts w:ascii="黑体" w:hAnsi="黑体" w:eastAsia="黑体" w:cs="宋体"/>
          <w:bCs/>
          <w:color w:val="000000"/>
          <w:sz w:val="18"/>
          <w:szCs w:val="18"/>
          <w:lang w:val="en-US" w:eastAsia="zh-CN" w:bidi="ar-SA"/>
        </w:rPr>
        <w:t>销售文件及其他相关约定，诚实信用、谨慎勤勉地实施投资管理行为，以专业技能管理理财</w:t>
      </w:r>
      <w:r>
        <w:rPr>
          <w:rFonts w:hint="eastAsia" w:ascii="黑体" w:hAnsi="黑体" w:eastAsia="黑体" w:cs="宋体"/>
          <w:bCs/>
          <w:color w:val="000000"/>
          <w:sz w:val="18"/>
          <w:szCs w:val="18"/>
          <w:lang w:val="en-US" w:eastAsia="zh-CN" w:bidi="ar-SA"/>
        </w:rPr>
        <w:t>产品</w:t>
      </w:r>
      <w:r>
        <w:rPr>
          <w:rFonts w:ascii="黑体" w:hAnsi="黑体" w:eastAsia="黑体" w:cs="宋体"/>
          <w:bCs/>
          <w:color w:val="000000"/>
          <w:sz w:val="18"/>
          <w:szCs w:val="18"/>
          <w:lang w:val="en-US" w:eastAsia="zh-CN" w:bidi="ar-SA"/>
        </w:rPr>
        <w:t>资产，依法维护理财产品全体投资者的利益。</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不对本产品的收益情况作出承诺或保证，亦不会承诺或保证最低收益或本金安全。</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按照本销售文件及其他相关</w:t>
      </w:r>
      <w:r>
        <w:rPr>
          <w:rFonts w:hint="eastAsia" w:ascii="黑体" w:hAnsi="黑体" w:eastAsia="黑体" w:cs="宋体"/>
          <w:bCs/>
          <w:color w:val="000000"/>
          <w:sz w:val="18"/>
          <w:szCs w:val="18"/>
          <w:lang w:val="en-US" w:eastAsia="zh-CN" w:bidi="ar-SA"/>
        </w:rPr>
        <w:t>文件</w:t>
      </w:r>
      <w:r>
        <w:rPr>
          <w:rFonts w:ascii="黑体" w:hAnsi="黑体" w:eastAsia="黑体" w:cs="宋体"/>
          <w:bCs/>
          <w:color w:val="000000"/>
          <w:sz w:val="18"/>
          <w:szCs w:val="18"/>
          <w:lang w:val="en-US" w:eastAsia="zh-CN" w:bidi="ar-SA"/>
        </w:rPr>
        <w:t>的规定进行投资运作，由此所产生的损失，</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不承担</w:t>
      </w:r>
      <w:r>
        <w:rPr>
          <w:rFonts w:hint="eastAsia" w:ascii="黑体" w:hAnsi="黑体" w:eastAsia="黑体" w:cs="宋体"/>
          <w:bCs/>
          <w:color w:val="000000"/>
          <w:sz w:val="18"/>
          <w:szCs w:val="18"/>
          <w:lang w:val="en-US" w:eastAsia="zh-CN" w:bidi="ar-SA"/>
        </w:rPr>
        <w:t>责任</w:t>
      </w:r>
      <w:r>
        <w:rPr>
          <w:rFonts w:ascii="黑体" w:hAnsi="黑体" w:eastAsia="黑体" w:cs="宋体"/>
          <w:bCs/>
          <w:color w:val="000000"/>
          <w:sz w:val="18"/>
          <w:szCs w:val="18"/>
          <w:lang w:val="en-US" w:eastAsia="zh-CN" w:bidi="ar-SA"/>
        </w:rPr>
        <w:t>。</w:t>
      </w:r>
    </w:p>
    <w:p>
      <w:pPr>
        <w:widowControl w:val="0"/>
        <w:autoSpaceDE w:val="0"/>
        <w:autoSpaceDN w:val="0"/>
        <w:adjustRightInd w:val="0"/>
        <w:spacing w:line="360" w:lineRule="auto"/>
        <w:ind w:firstLine="271" w:firstLineChars="150"/>
        <w:rPr>
          <w:rFonts w:ascii="宋体" w:hAnsi="Calibri" w:eastAsia="宋体" w:cs="宋体"/>
          <w:color w:val="000000"/>
          <w:sz w:val="24"/>
          <w:szCs w:val="24"/>
          <w:lang w:val="en-US" w:eastAsia="zh-CN" w:bidi="ar-SA"/>
        </w:rPr>
      </w:pPr>
      <w:r>
        <w:rPr>
          <w:rFonts w:hint="eastAsia" w:cs="宋体" w:asciiTheme="majorEastAsia" w:hAnsiTheme="majorEastAsia" w:eastAsiaTheme="majorEastAsia"/>
          <w:b/>
          <w:color w:val="auto"/>
          <w:sz w:val="18"/>
          <w:szCs w:val="18"/>
          <w:lang w:val="en-US" w:eastAsia="zh-CN" w:bidi="ar-SA"/>
        </w:rPr>
        <w:t>（三）投资限制</w:t>
      </w:r>
    </w:p>
    <w:p>
      <w:pPr>
        <w:spacing w:line="360" w:lineRule="auto"/>
        <w:ind w:firstLine="360" w:firstLineChars="200"/>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1.组合限制</w:t>
      </w:r>
    </w:p>
    <w:p>
      <w:pPr>
        <w:spacing w:line="360" w:lineRule="auto"/>
        <w:ind w:firstLine="360" w:firstLineChars="200"/>
        <w:rPr>
          <w:rFonts w:hint="eastAsia" w:ascii="宋体" w:hAnsi="宋体" w:eastAsia="宋体" w:cs="宋体"/>
          <w:sz w:val="18"/>
          <w:szCs w:val="22"/>
        </w:rPr>
      </w:pPr>
      <w:r>
        <w:rPr>
          <w:rFonts w:ascii="宋体" w:hAnsi="宋体" w:eastAsia="宋体" w:cs="宋体"/>
          <w:sz w:val="18"/>
          <w:szCs w:val="22"/>
        </w:rPr>
        <w:t>【</w:t>
      </w:r>
      <w:r>
        <w:rPr>
          <w:rFonts w:hint="eastAsia" w:ascii="宋体" w:hAnsi="宋体" w:eastAsia="宋体" w:cs="宋体"/>
          <w:sz w:val="18"/>
          <w:szCs w:val="22"/>
        </w:rPr>
        <w:t>（1）每只公募理财产品投资单只证券或者单只公募证券投资基金的市值不得超过该理财产品净资产的10%。</w:t>
      </w:r>
    </w:p>
    <w:p>
      <w:pPr>
        <w:spacing w:line="360" w:lineRule="auto"/>
        <w:ind w:firstLine="360" w:firstLineChars="200"/>
        <w:rPr>
          <w:rFonts w:hint="eastAsia" w:ascii="宋体" w:hAnsi="宋体" w:eastAsia="宋体" w:cs="宋体"/>
          <w:sz w:val="18"/>
          <w:szCs w:val="22"/>
        </w:rPr>
      </w:pPr>
      <w:r>
        <w:rPr>
          <w:rFonts w:hint="eastAsia" w:ascii="宋体" w:hAnsi="宋体" w:eastAsia="宋体" w:cs="宋体"/>
          <w:sz w:val="18"/>
          <w:szCs w:val="22"/>
        </w:rPr>
        <w:t>（2）全部公募理财产品持有单只证券或单只公募证券投资基金的市值，不得超过该证券市值或该公募证券投资基金市值的30%。</w:t>
      </w:r>
    </w:p>
    <w:p>
      <w:pPr>
        <w:spacing w:line="360" w:lineRule="auto"/>
        <w:ind w:firstLine="360" w:firstLineChars="200"/>
        <w:rPr>
          <w:rFonts w:hint="eastAsia" w:ascii="宋体" w:hAnsi="宋体" w:eastAsia="宋体" w:cs="宋体"/>
          <w:sz w:val="18"/>
          <w:szCs w:val="22"/>
        </w:rPr>
      </w:pPr>
      <w:r>
        <w:rPr>
          <w:rFonts w:hint="eastAsia" w:ascii="宋体" w:hAnsi="宋体" w:eastAsia="宋体" w:cs="宋体"/>
          <w:sz w:val="18"/>
          <w:szCs w:val="22"/>
        </w:rPr>
        <w:t>（3）全部理财产品持有单一上市公司发行的股票，不得超过该上市公司可流通股票的30%。</w:t>
      </w:r>
    </w:p>
    <w:p>
      <w:pPr>
        <w:spacing w:line="360" w:lineRule="auto"/>
        <w:ind w:firstLine="360" w:firstLineChars="200"/>
        <w:rPr>
          <w:rFonts w:hint="eastAsia" w:ascii="宋体" w:hAnsi="宋体" w:eastAsia="宋体" w:cs="宋体"/>
          <w:sz w:val="18"/>
          <w:szCs w:val="22"/>
        </w:rPr>
      </w:pPr>
      <w:r>
        <w:rPr>
          <w:rFonts w:hint="eastAsia" w:ascii="宋体" w:hAnsi="宋体" w:eastAsia="宋体" w:cs="宋体"/>
          <w:sz w:val="18"/>
          <w:szCs w:val="22"/>
        </w:rPr>
        <w:t>（4）本产品投资于信用债券、银行存款、非标准化债权类资产融资人的信用评级均不得低于AA+。</w:t>
      </w:r>
    </w:p>
    <w:p>
      <w:pPr>
        <w:spacing w:line="360" w:lineRule="auto"/>
        <w:ind w:firstLine="360" w:firstLineChars="200"/>
        <w:rPr>
          <w:rFonts w:hint="eastAsia" w:ascii="宋体" w:hAnsi="宋体" w:eastAsia="宋体" w:cs="宋体"/>
          <w:sz w:val="18"/>
          <w:szCs w:val="22"/>
        </w:rPr>
      </w:pPr>
      <w:r>
        <w:rPr>
          <w:rFonts w:hint="eastAsia" w:ascii="宋体" w:hAnsi="宋体" w:eastAsia="宋体" w:cs="宋体"/>
          <w:sz w:val="18"/>
          <w:szCs w:val="22"/>
        </w:rPr>
        <w:t>非因产品管理人主观因素导致突破前述（1）-（4）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pPr>
        <w:spacing w:line="360" w:lineRule="auto"/>
        <w:ind w:firstLine="360" w:firstLineChars="200"/>
        <w:rPr>
          <w:rFonts w:hint="eastAsia" w:ascii="宋体" w:hAnsi="宋体" w:eastAsia="宋体" w:cs="宋体"/>
          <w:bCs/>
          <w:sz w:val="18"/>
          <w:szCs w:val="18"/>
        </w:rPr>
      </w:pPr>
      <w:r>
        <w:rPr>
          <w:rFonts w:hint="eastAsia" w:ascii="宋体" w:hAnsi="宋体" w:eastAsia="宋体" w:cs="宋体"/>
          <w:sz w:val="18"/>
          <w:szCs w:val="22"/>
        </w:rPr>
        <w:t>（5）本产品因为流动性需要可开展存单质押、债券正回购等融资业务，本产品总资产不超过净资产的200%。</w:t>
      </w:r>
      <w:r>
        <w:rPr>
          <w:rFonts w:ascii="宋体" w:hAnsi="宋体" w:eastAsia="宋体" w:cs="宋体"/>
          <w:sz w:val="18"/>
          <w:szCs w:val="22"/>
        </w:rPr>
        <w:t>】</w:t>
      </w:r>
    </w:p>
    <w:p>
      <w:pPr>
        <w:spacing w:line="360" w:lineRule="auto"/>
        <w:ind w:firstLine="360" w:firstLineChars="200"/>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其他投资限制：</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）不得直接或间接投资于《商业银行理财业务监督管理办法》（银保监会令</w:t>
      </w:r>
      <w:r>
        <w:rPr>
          <w:rFonts w:ascii="宋体" w:hAnsi="宋体" w:eastAsia="宋体" w:cs="宋体"/>
          <w:bCs/>
          <w:sz w:val="18"/>
          <w:szCs w:val="18"/>
        </w:rPr>
        <w:t>2018年第6号）第三十五条所列示资产之外，由未经金融监督管理部门许可设立、</w:t>
      </w:r>
      <w:r>
        <w:rPr>
          <w:rFonts w:hint="eastAsia" w:ascii="宋体" w:hAnsi="宋体" w:eastAsia="宋体" w:cs="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4</w:t>
      </w:r>
      <w:r>
        <w:rPr>
          <w:rFonts w:hint="eastAsia" w:ascii="宋体" w:hAnsi="宋体" w:eastAsia="宋体" w:cs="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w:t>
      </w:r>
      <w:r>
        <w:rPr>
          <w:rFonts w:hint="eastAsia" w:ascii="宋体" w:hAnsi="宋体" w:eastAsia="宋体" w:cs="宋体"/>
          <w:bCs/>
          <w:sz w:val="18"/>
          <w:szCs w:val="18"/>
        </w:rPr>
        <w:t>）其他法律法规规定或监管规定禁止或限制理财产品投资的情形。</w:t>
      </w:r>
    </w:p>
    <w:p>
      <w:pPr>
        <w:spacing w:line="360" w:lineRule="auto"/>
        <w:ind w:firstLine="360" w:firstLineChars="200"/>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如果法律法规对本销售文件约定的投资限制进行变更的，以变更后的规定为准。</w:t>
      </w:r>
    </w:p>
    <w:p>
      <w:pPr>
        <w:spacing w:line="360" w:lineRule="auto"/>
        <w:ind w:firstLine="361" w:firstLineChars="200"/>
        <w:rPr>
          <w:rFonts w:cs="宋体" w:asciiTheme="majorEastAsia" w:hAnsiTheme="majorEastAsia" w:eastAsiaTheme="majorEastAsia"/>
          <w:b/>
          <w:bCs/>
          <w:sz w:val="18"/>
          <w:szCs w:val="18"/>
        </w:rPr>
      </w:pPr>
      <w:r>
        <w:rPr>
          <w:rFonts w:cs="宋体" w:asciiTheme="majorEastAsia" w:hAnsiTheme="majorEastAsia" w:eastAsiaTheme="majorEastAsia"/>
          <w:b/>
          <w:bCs/>
          <w:sz w:val="18"/>
          <w:szCs w:val="18"/>
        </w:rPr>
        <w:t>（</w:t>
      </w:r>
      <w:r>
        <w:rPr>
          <w:rFonts w:hint="eastAsia" w:cs="宋体" w:asciiTheme="majorEastAsia" w:hAnsiTheme="majorEastAsia" w:eastAsiaTheme="majorEastAsia"/>
          <w:b/>
          <w:bCs/>
          <w:sz w:val="18"/>
          <w:szCs w:val="18"/>
        </w:rPr>
        <w:t>四</w:t>
      </w:r>
      <w:r>
        <w:rPr>
          <w:rFonts w:cs="宋体" w:asciiTheme="majorEastAsia" w:hAnsiTheme="majorEastAsia" w:eastAsiaTheme="majorEastAsia"/>
          <w:b/>
          <w:bCs/>
          <w:sz w:val="18"/>
          <w:szCs w:val="18"/>
        </w:rPr>
        <w:t>）</w:t>
      </w:r>
      <w:r>
        <w:rPr>
          <w:rFonts w:hint="eastAsia" w:cs="宋体" w:asciiTheme="majorEastAsia" w:hAnsiTheme="majorEastAsia" w:eastAsiaTheme="majorEastAsia"/>
          <w:b/>
          <w:bCs/>
          <w:sz w:val="18"/>
          <w:szCs w:val="18"/>
        </w:rPr>
        <w:t>投资策略</w:t>
      </w:r>
    </w:p>
    <w:p>
      <w:pPr>
        <w:widowControl w:val="0"/>
        <w:autoSpaceDE w:val="0"/>
        <w:autoSpaceDN w:val="0"/>
        <w:adjustRightInd w:val="0"/>
        <w:spacing w:line="360" w:lineRule="auto"/>
        <w:ind w:firstLine="360" w:firstLineChars="200"/>
        <w:rPr>
          <w:rFonts w:cs="宋体" w:asciiTheme="majorEastAsia" w:hAnsiTheme="majorEastAsia" w:eastAsiaTheme="majorEastAsia"/>
          <w:color w:val="000000"/>
          <w:sz w:val="18"/>
          <w:szCs w:val="18"/>
          <w:lang w:val="en-US" w:eastAsia="zh-CN" w:bidi="ar-SA"/>
        </w:rPr>
      </w:pPr>
      <w:r>
        <w:rPr>
          <w:rFonts w:hint="eastAsia" w:cs="宋体" w:asciiTheme="majorEastAsia" w:hAnsiTheme="majorEastAsia" w:eastAsiaTheme="majorEastAsia"/>
          <w:color w:val="000000"/>
          <w:sz w:val="18"/>
          <w:szCs w:val="18"/>
          <w:lang w:val="en-US" w:eastAsia="zh-CN" w:bidi="ar-SA"/>
        </w:rPr>
        <w:t>【产品采取绝对收益策略，追求资产长期稳定增值。】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color w:val="000000"/>
          <w:sz w:val="18"/>
          <w:szCs w:val="18"/>
          <w:lang w:val="en-US" w:eastAsia="zh-CN" w:bidi="ar-SA"/>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6" w:name="_Toc26986"/>
      <w:bookmarkStart w:id="87" w:name="_Toc7848"/>
      <w:bookmarkStart w:id="88" w:name="_Toc4741"/>
      <w:bookmarkStart w:id="89" w:name="_Toc176189758"/>
      <w:bookmarkStart w:id="90" w:name="_Toc18797"/>
      <w:bookmarkStart w:id="91" w:name="_Toc1823"/>
      <w:bookmarkStart w:id="92" w:name="_Toc141703885"/>
      <w:bookmarkStart w:id="93" w:name="_Toc18329"/>
      <w:bookmarkStart w:id="94" w:name="_Toc21988"/>
      <w:bookmarkStart w:id="95" w:name="_Toc139991735"/>
      <w:bookmarkStart w:id="96" w:name="_Toc17912"/>
      <w:bookmarkStart w:id="97" w:name="_Toc74065742"/>
      <w:bookmarkStart w:id="98" w:name="_Toc79154669"/>
      <w:bookmarkStart w:id="99" w:name="_Toc18526"/>
      <w:bookmarkStart w:id="100" w:name="_Toc14893"/>
      <w:r>
        <w:rPr>
          <w:rFonts w:ascii="Times New Roman" w:hAnsi="Calibri" w:eastAsia="宋体" w:cs="宋体"/>
          <w:b/>
          <w:bCs/>
          <w:kern w:val="44"/>
          <w:sz w:val="30"/>
          <w:szCs w:val="44"/>
          <w:lang w:val="en-US" w:eastAsia="zh-CN" w:bidi="ar-SA"/>
        </w:rPr>
        <w:t>第六</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理财产品的资产</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bookmarkStart w:id="101" w:name="_Hlk490214295"/>
      <w:r>
        <w:rPr>
          <w:rFonts w:hint="eastAsia" w:cs="宋体" w:asciiTheme="majorEastAsia" w:hAnsiTheme="majorEastAsia" w:eastAsiaTheme="majorEastAsia"/>
          <w:b/>
          <w:color w:val="auto"/>
          <w:sz w:val="18"/>
          <w:szCs w:val="18"/>
          <w:lang w:val="en-US" w:eastAsia="zh-CN" w:bidi="ar-SA"/>
        </w:rPr>
        <w:t>（一）理财产品的资产的保管和处分</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本理财产品的资产独立于产品管理人和产品托管人的财产，并由产品托管人保管。</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产品管理人和产品托管人以其自有的财产承担其自身的法律责任，其债权人不得对本产品财产行使请求冻结、扣押或其他权利。除依法律法规规定的处分外，理财产品的资产不得被处分。</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3.</w:t>
      </w:r>
      <w:r>
        <w:rPr>
          <w:rFonts w:hint="eastAsia" w:cs="宋体" w:asciiTheme="majorEastAsia" w:hAnsiTheme="majorEastAsia" w:eastAsiaTheme="majorEastAsia"/>
          <w:color w:val="auto"/>
          <w:sz w:val="18"/>
          <w:szCs w:val="18"/>
          <w:lang w:val="en-US" w:eastAsia="zh-CN" w:bidi="ar-SA"/>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（二）理财产品的有关账户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产品管理人和产品托管人根据相关法律法规、规范性文件为本产品开立资金账户、证券账户以及投资所需的其他专用账户。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开立的理财专用账户与产品管理人和产品托管人自有的财产账户以及其他理财产品的有关账户相独立。</w:t>
      </w:r>
    </w:p>
    <w:p>
      <w:pPr>
        <w:widowControl/>
        <w:spacing w:line="360" w:lineRule="auto"/>
        <w:jc w:val="left"/>
        <w:rPr>
          <w:rFonts w:cs="宋体" w:asciiTheme="majorEastAsia" w:hAnsiTheme="majorEastAsia" w:eastAsiaTheme="majorEastAsia"/>
          <w:kern w:val="0"/>
          <w:sz w:val="18"/>
          <w:szCs w:val="18"/>
        </w:rPr>
      </w:pPr>
      <w:r>
        <w:rPr>
          <w:rFonts w:cs="宋体" w:asciiTheme="majorEastAsia" w:hAnsiTheme="majorEastAsia" w:eastAsiaTheme="majorEastAsia"/>
          <w:sz w:val="18"/>
          <w:szCs w:val="18"/>
        </w:rPr>
        <w:br w:type="page"/>
      </w:r>
    </w:p>
    <w:bookmarkEnd w:id="101"/>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02" w:name="_Toc20733"/>
      <w:bookmarkStart w:id="103" w:name="_Toc10463"/>
      <w:bookmarkStart w:id="104" w:name="_Toc123112234"/>
      <w:bookmarkStart w:id="105" w:name="_Toc610"/>
      <w:bookmarkStart w:id="106" w:name="_Toc98560352"/>
      <w:bookmarkStart w:id="107" w:name="_Toc79154670"/>
      <w:bookmarkStart w:id="108" w:name="_Toc7920"/>
      <w:bookmarkStart w:id="109" w:name="_Toc17244"/>
      <w:bookmarkStart w:id="110" w:name="_Toc1427"/>
      <w:bookmarkStart w:id="111" w:name="_Toc79392606"/>
      <w:bookmarkStart w:id="112" w:name="_Toc4003"/>
      <w:bookmarkStart w:id="113" w:name="_Toc23822"/>
      <w:bookmarkStart w:id="114" w:name="_Toc1270"/>
      <w:bookmarkStart w:id="115" w:name="_Toc139991736"/>
      <w:bookmarkStart w:id="116" w:name="_Toc23261"/>
      <w:bookmarkStart w:id="117" w:name="_Toc123051452"/>
      <w:bookmarkStart w:id="118" w:name="_Toc123102453"/>
      <w:bookmarkStart w:id="119" w:name="_Toc74065743"/>
      <w:bookmarkStart w:id="120" w:name="_Toc176189759"/>
      <w:bookmarkStart w:id="121" w:name="_Toc141703886"/>
      <w:bookmarkStart w:id="122" w:name="_Toc48649707"/>
      <w:r>
        <w:rPr>
          <w:rFonts w:ascii="Times New Roman" w:hAnsi="Calibri" w:eastAsia="宋体" w:cs="宋体"/>
          <w:b/>
          <w:bCs/>
          <w:kern w:val="44"/>
          <w:sz w:val="30"/>
          <w:szCs w:val="44"/>
          <w:lang w:val="en-US" w:eastAsia="zh-CN" w:bidi="ar-SA"/>
        </w:rPr>
        <w:t>第七</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理财产品项下资产的估值</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★注：本说明书估值条款所涉及的资产相关描述，仅为估值条款完备性而设计，并不代表本产品投资范围涉及该资产。本产品的投资范围仍应以“第五条 理财产品的投资”约定为准。</w:t>
      </w:r>
    </w:p>
    <w:p>
      <w:pPr>
        <w:widowControl w:val="0"/>
        <w:autoSpaceDE w:val="0"/>
        <w:autoSpaceDN w:val="0"/>
        <w:adjustRightInd w:val="0"/>
        <w:spacing w:line="360" w:lineRule="auto"/>
        <w:ind w:firstLine="361" w:firstLineChars="200"/>
        <w:rPr>
          <w:rFonts w:hint="eastAsia"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（一）估值目的与原则</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1.估值目的：理财资产估值的目的是客观、准确地反映理财资产是否保值、增值。</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2.估值原则：管理人在对理财产品进行估值时，应符合《企业会计准则》等监管要求及规定，遵循以下基本原则：</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（1）公允性原则：估值结果应真实、公允地反映金融工具的价值。</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（2）一致性原则：管理人对不同理财产品持有的具有相同特征的金融工具的估值原则、程序及技术应当保持一致。</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（3）审慎性原则：管理人应充分、审慎地考虑影响金融工具价值的风险因素，确保估值方法、模型、参数与假设的合理性。</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（二）估值频率</w:t>
      </w:r>
    </w:p>
    <w:p>
      <w:pPr>
        <w:widowControl w:val="0"/>
        <w:autoSpaceDE w:val="0"/>
        <w:autoSpaceDN w:val="0"/>
        <w:adjustRightInd w:val="0"/>
        <w:spacing w:line="360" w:lineRule="auto"/>
        <w:ind w:firstLine="450" w:firstLineChars="250"/>
        <w:rPr>
          <w:rFonts w:ascii="宋体" w:hAnsi="Calibri" w:eastAsia="宋体" w:cs="宋体"/>
          <w:color w:val="000000"/>
          <w:sz w:val="18"/>
          <w:szCs w:val="18"/>
          <w:lang w:val="en-US" w:eastAsia="zh-CN" w:bidi="ar-SA"/>
        </w:rPr>
      </w:pPr>
      <w:r>
        <w:rPr>
          <w:rFonts w:hint="eastAsia" w:ascii="宋体" w:hAnsi="Calibri" w:eastAsia="宋体" w:cs="宋体"/>
          <w:color w:val="000000"/>
          <w:sz w:val="18"/>
          <w:szCs w:val="18"/>
          <w:lang w:val="en-US" w:eastAsia="zh-CN" w:bidi="ar-SA"/>
        </w:rPr>
        <w:t>本产品存续期间，产品管理人每</w:t>
      </w:r>
      <w:r>
        <w:rPr>
          <w:rFonts w:hint="eastAsia" w:ascii="宋体" w:hAnsi="宋体" w:eastAsia="宋体" w:cs="宋体"/>
          <w:color w:val="000000"/>
          <w:sz w:val="18"/>
          <w:szCs w:val="18"/>
          <w:lang w:val="en-US" w:eastAsia="zh-CN" w:bidi="ar-SA"/>
        </w:rPr>
        <w:t>【日】</w:t>
      </w:r>
      <w:r>
        <w:rPr>
          <w:rFonts w:hint="eastAsia" w:ascii="宋体" w:hAnsi="Calibri" w:eastAsia="宋体" w:cs="宋体"/>
          <w:color w:val="000000"/>
          <w:sz w:val="18"/>
          <w:szCs w:val="18"/>
          <w:lang w:val="en-US" w:eastAsia="zh-CN" w:bidi="ar-SA"/>
        </w:rPr>
        <w:t>估值。</w:t>
      </w:r>
    </w:p>
    <w:p>
      <w:pPr>
        <w:widowControl w:val="0"/>
        <w:autoSpaceDE w:val="0"/>
        <w:autoSpaceDN w:val="0"/>
        <w:adjustRightInd w:val="0"/>
        <w:spacing w:line="360" w:lineRule="auto"/>
        <w:ind w:firstLine="452" w:firstLineChars="25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（三）估值对象</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本产品所拥有的各类证券、资产管理产品、银行存款、应收款项、其它投资等资产及负债。</w:t>
      </w:r>
    </w:p>
    <w:p>
      <w:pPr>
        <w:widowControl w:val="0"/>
        <w:autoSpaceDE w:val="0"/>
        <w:autoSpaceDN w:val="0"/>
        <w:adjustRightInd w:val="0"/>
        <w:spacing w:line="360" w:lineRule="auto"/>
        <w:ind w:firstLine="452" w:firstLineChars="25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（四）估值方法</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1.标准化债权类资产估值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标准化债权类资产，是指满足中国人民银行制定的标准化债权类资产具体认定规则的债权类资产。主要包括：证券交易所与银行间市场发行的债券、资产支持证券、资产支持票据等。估值方法具体如下：</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（1）投资以收取合同现金流量为目的并持有到期的标准化债权类资产，可使用摊余成本计量。</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（2）除（1）以外的标准化债权类资产以公允价值计量，主要依据为第三方估值机构提供的价格数据。第三方估值机构包括：中央国债登记结算公司和中证指数有限公司。</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w:t>
      </w:r>
      <w:r>
        <w:rPr>
          <w:rFonts w:ascii="宋体" w:hAnsi="宋体" w:eastAsia="宋体" w:cs="宋体"/>
          <w:color w:val="000000"/>
          <w:sz w:val="18"/>
          <w:szCs w:val="18"/>
          <w:lang w:val="en-US" w:eastAsia="zh-CN" w:bidi="ar-SA"/>
        </w:rPr>
        <w:t>3</w:t>
      </w:r>
      <w:r>
        <w:rPr>
          <w:rFonts w:hint="eastAsia" w:ascii="宋体" w:hAnsi="宋体" w:eastAsia="宋体" w:cs="宋体"/>
          <w:color w:val="000000"/>
          <w:sz w:val="18"/>
          <w:szCs w:val="18"/>
          <w:lang w:val="en-US" w:eastAsia="zh-CN" w:bidi="ar-SA"/>
        </w:rPr>
        <w:t>）对已发行但未上市流通，且第三方估值机构未提供估值数据的标准化债权类资产，</w:t>
      </w:r>
      <w:r>
        <w:rPr>
          <w:rFonts w:hint="eastAsia" w:cs="宋体" w:asciiTheme="majorEastAsia" w:hAnsiTheme="majorEastAsia" w:eastAsiaTheme="majorEastAsia"/>
          <w:bCs/>
          <w:color w:val="auto"/>
          <w:sz w:val="18"/>
          <w:szCs w:val="18"/>
          <w:lang w:val="en-US" w:eastAsia="zh-CN" w:bidi="ar-SA"/>
        </w:rPr>
        <w:t>采用当前情况下适用并且有足够可利用数据和其他信息支持的估值技术确定其公允价值。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w:t>
      </w:r>
      <w:r>
        <w:rPr>
          <w:rFonts w:ascii="宋体" w:hAnsi="宋体" w:eastAsia="宋体" w:cs="宋体"/>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对于</w:t>
      </w:r>
      <w:r>
        <w:rPr>
          <w:rFonts w:cs="宋体" w:asciiTheme="majorEastAsia" w:hAnsiTheme="majorEastAsia" w:eastAsiaTheme="majorEastAsia"/>
          <w:bCs/>
          <w:color w:val="auto"/>
          <w:sz w:val="18"/>
          <w:szCs w:val="18"/>
          <w:lang w:val="en-US" w:eastAsia="zh-CN" w:bidi="ar-SA"/>
        </w:rPr>
        <w:t>同时在多个不同市场交易的标准化债权类资产，</w:t>
      </w:r>
      <w:r>
        <w:rPr>
          <w:rFonts w:hint="eastAsia" w:cs="宋体" w:asciiTheme="majorEastAsia" w:hAnsiTheme="majorEastAsia" w:eastAsiaTheme="majorEastAsia"/>
          <w:bCs/>
          <w:color w:val="auto"/>
          <w:sz w:val="18"/>
          <w:szCs w:val="18"/>
          <w:lang w:val="en-US" w:eastAsia="zh-CN" w:bidi="ar-SA"/>
        </w:rPr>
        <w:t>按照其</w:t>
      </w:r>
      <w:r>
        <w:rPr>
          <w:rFonts w:hint="eastAsia" w:ascii="宋体" w:hAnsi="宋体" w:eastAsia="宋体" w:cs="宋体"/>
          <w:color w:val="000000"/>
          <w:sz w:val="18"/>
          <w:szCs w:val="18"/>
          <w:lang w:val="en-US" w:eastAsia="zh-CN" w:bidi="ar-SA"/>
        </w:rPr>
        <w:t>所处的市场及相应的估值标准，分别进行估值。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eastAsia="宋体" w:cs="宋体" w:asciiTheme="majorEastAsia" w:hAnsiTheme="majorEastAsia"/>
          <w:color w:val="auto"/>
          <w:sz w:val="18"/>
          <w:szCs w:val="24"/>
          <w:lang w:val="en-US" w:eastAsia="zh-CN" w:bidi="ar-SA"/>
        </w:rPr>
        <w:t>2.</w:t>
      </w:r>
      <w:r>
        <w:rPr>
          <w:rFonts w:hint="eastAsia" w:cs="宋体" w:asciiTheme="majorEastAsia" w:hAnsiTheme="majorEastAsia" w:eastAsiaTheme="majorEastAsia"/>
          <w:bCs/>
          <w:color w:val="auto"/>
          <w:sz w:val="18"/>
          <w:szCs w:val="18"/>
          <w:lang w:val="en-US" w:eastAsia="zh-CN" w:bidi="ar-SA"/>
        </w:rPr>
        <w:t>境外债券</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对于境外发行的债券，</w:t>
      </w:r>
      <w:r>
        <w:rPr>
          <w:rFonts w:hint="eastAsia" w:ascii="宋体" w:hAnsi="宋体" w:eastAsia="宋体" w:cs="宋体"/>
          <w:color w:val="auto"/>
          <w:sz w:val="18"/>
          <w:szCs w:val="18"/>
          <w:lang w:val="en-US" w:eastAsia="zh-CN" w:bidi="ar-SA"/>
        </w:rPr>
        <w:t>参照主要做市商或其他权威价格提供机构的报价进行估值，若估值日债券价格无法通过公开信息取得，参照最近一个交易日可取得的主要做市商或其他权威价格提供机构的报价进行估值。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ascii="宋体" w:hAnsi="宋体" w:eastAsia="宋体" w:cs="宋体"/>
          <w:bCs/>
          <w:color w:val="000000"/>
          <w:sz w:val="18"/>
          <w:szCs w:val="18"/>
          <w:lang w:val="en-US" w:eastAsia="zh-CN" w:bidi="ar-SA"/>
        </w:rPr>
        <w:t>3.非标准化债权类资产</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非标准化债权类资产，是指不满足中国人民银行制定的标准化债权类资产认定标准的债权类资产。可选取第三方估值机构的价格数据或采用估值技术进行估值；符合监管机构规定的，可按照企业会计准则以摊余成本计量。</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4.上市公司股票估值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上市公司股票包括正常流通普通股、流通受限股票、长期停牌股票和新发行未上市股票。具体估值方法如下：</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（2）送股、转增股、配股和公开增发新股等发行未上市的股票，按估值日在证券交易所上市的同一股票的收盘价或最近交易日的收盘价确定公允价值。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（4）长期停牌股票，根据停牌原因、停牌时间及停牌公司公告等信息，采用估值技术确定公允价值。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（5）新发行未上市股票，如果发行日后未发生影响公允价值计量的重大事件的，应采用发行价作为公允价值的最佳估计，已发生影响公允价值计量重大事件的应采用估值技术确定公允价值。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5.未上市公司股权</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以公允价值计量，应综合考虑被评估企业实际情况、市场交易情况及其他可获得的信息，采用市场法、收益法、重置成本法等估值技术，结合流动性折扣等因素评估公允价值</w:t>
      </w:r>
      <w:r>
        <w:rPr>
          <w:rFonts w:ascii="宋体" w:hAnsi="宋体" w:eastAsia="宋体" w:cs="宋体"/>
          <w:color w:val="000000"/>
          <w:sz w:val="18"/>
          <w:szCs w:val="18"/>
          <w:lang w:val="en-US" w:eastAsia="zh-CN" w:bidi="ar-SA"/>
        </w:rPr>
        <w:t>；或采用第三方估值机构提供的价格数据确认公允价值</w:t>
      </w:r>
      <w:r>
        <w:rPr>
          <w:rFonts w:hint="eastAsia" w:ascii="宋体" w:hAnsi="宋体" w:eastAsia="宋体" w:cs="宋体"/>
          <w:color w:val="000000"/>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6.优先股</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优先股交易量及交易频率足以持续提供定价信息的，可按估值日或最近交易日的收盘价估值；不满足上述条件的，可根据优先股股息支付条款，采用估值模型或依据第三方估值机构提供的价格数据估值。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7.证券投资基金估值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（1）非上市基金估值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1)本产品投资的境内非货币市场基金，按所投资基金估值日的基金份额净值估值；估值日基金净值未公布的，以基金管理人最近公布的基金份额净值计算。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2)本产品投资的境内货币市场基金，按所投资基金前一估值日后至估值日期间（含节假日）的万份收益计提估值日基金收益；</w:t>
      </w:r>
      <w:r>
        <w:rPr>
          <w:rFonts w:hint="eastAsia" w:cs="宋体" w:asciiTheme="minorEastAsia" w:hAnsiTheme="minorEastAsia" w:eastAsiaTheme="minorEastAsia"/>
          <w:color w:val="auto"/>
          <w:sz w:val="18"/>
          <w:szCs w:val="18"/>
          <w:lang w:val="en-US" w:eastAsia="zh-CN" w:bidi="ar-SA"/>
        </w:rPr>
        <w:t>若前一估值日后至估值日期间（含节假日）基金万份收益未公布的，以基金管理人公布的最近一个估值日基金万份收益计算。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（2）上市基金估值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1)本产品投资的ETF基金、境内上市定期开放式基金、封闭式基金，按照所投资基金估值日的收盘价估值；估值日无交易的，以最近交易日的收盘价估值。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2)本产品投资的境内上市开放式基金（LOF），按所投资基金估值日的基金份额净值估值；估值日基金净值未公布的，以基金管理人最近公布的基金份额净值计算。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3)本产品投资的境内上市交易型货币市场基金，如所投资基金披露份额净值，则按所投资基金估值日的份额净值估值</w:t>
      </w:r>
      <w:r>
        <w:rPr>
          <w:rFonts w:cs="宋体" w:asciiTheme="minorEastAsia" w:hAnsiTheme="minorEastAsia" w:eastAsiaTheme="minorEastAsia"/>
          <w:color w:val="auto"/>
          <w:sz w:val="18"/>
          <w:szCs w:val="18"/>
          <w:lang w:val="en-US" w:eastAsia="zh-CN" w:bidi="ar-SA"/>
        </w:rPr>
        <w:t>，</w:t>
      </w:r>
      <w:r>
        <w:rPr>
          <w:rFonts w:hint="eastAsia" w:cs="宋体" w:asciiTheme="minorEastAsia" w:hAnsiTheme="minorEastAsia" w:eastAsiaTheme="minorEastAsia"/>
          <w:color w:val="auto"/>
          <w:sz w:val="18"/>
          <w:szCs w:val="18"/>
          <w:lang w:val="en-US" w:eastAsia="zh-CN" w:bidi="ar-SA"/>
        </w:rPr>
        <w:t>若估值日基金份额净值未公布的，以基金管理人最近公布的基金份额净值计算</w:t>
      </w:r>
      <w:r>
        <w:rPr>
          <w:rFonts w:hint="eastAsia" w:ascii="宋体" w:hAnsi="宋体" w:eastAsia="宋体" w:cs="宋体"/>
          <w:color w:val="000000"/>
          <w:sz w:val="18"/>
          <w:szCs w:val="18"/>
          <w:lang w:val="en-US" w:eastAsia="zh-CN" w:bidi="ar-SA"/>
        </w:rPr>
        <w:t>；如所投资基金披露万份（百份）收益，则按所投资基金前一估值日后至估值日期间（含节假日）的万份（百份）收益计提估值日基金收益，</w:t>
      </w:r>
      <w:r>
        <w:rPr>
          <w:rFonts w:hint="eastAsia" w:cs="宋体" w:asciiTheme="minorEastAsia" w:hAnsiTheme="minorEastAsia" w:eastAsiaTheme="minorEastAsia"/>
          <w:color w:val="auto"/>
          <w:sz w:val="18"/>
          <w:szCs w:val="18"/>
          <w:lang w:val="en-US" w:eastAsia="zh-CN" w:bidi="ar-SA"/>
        </w:rPr>
        <w:t>若前一估值日后至估值日期间（含节假日）的万份（百份）收益未公布的，则按最新万份（百份）收益计提估值日基金收益。</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8.其他资产管理产品的估值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其他资产管理产品，指理财产品投资的除证券投资基金以外的其他资产管理产品，主要包括：信托公司、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cs="宋体" w:asciiTheme="minorEastAsia" w:hAnsiTheme="minorEastAsia" w:eastAsiaTheme="minorEastAsia"/>
          <w:bCs/>
          <w:color w:val="000000"/>
          <w:sz w:val="18"/>
          <w:szCs w:val="18"/>
          <w:lang w:val="en-US" w:eastAsia="zh-CN" w:bidi="ar-SA"/>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9.衍生金融工具估值</w:t>
      </w:r>
    </w:p>
    <w:p>
      <w:pPr>
        <w:widowControl w:val="0"/>
        <w:autoSpaceDE w:val="0"/>
        <w:autoSpaceDN w:val="0"/>
        <w:adjustRightInd w:val="0"/>
        <w:spacing w:line="360" w:lineRule="auto"/>
        <w:ind w:firstLine="360" w:firstLineChars="200"/>
        <w:rPr>
          <w:rFonts w:cs="宋体" w:asciiTheme="minorEastAsia" w:hAnsiTheme="minorEastAsia" w:eastAsiaTheme="minorEastAsia"/>
          <w:bCs/>
          <w:color w:val="000000"/>
          <w:sz w:val="18"/>
          <w:szCs w:val="18"/>
          <w:lang w:val="en-US" w:eastAsia="zh-CN" w:bidi="ar-SA"/>
        </w:rPr>
      </w:pPr>
      <w:r>
        <w:rPr>
          <w:rFonts w:hint="eastAsia" w:cs="宋体" w:asciiTheme="minorEastAsia" w:hAnsiTheme="minorEastAsia" w:eastAsiaTheme="minorEastAsia"/>
          <w:bCs/>
          <w:color w:val="000000"/>
          <w:sz w:val="18"/>
          <w:szCs w:val="18"/>
          <w:lang w:val="en-US" w:eastAsia="zh-CN" w:bidi="ar-SA"/>
        </w:rPr>
        <w:t>（</w:t>
      </w:r>
      <w:r>
        <w:rPr>
          <w:rFonts w:cs="宋体" w:asciiTheme="minorEastAsia" w:hAnsiTheme="minorEastAsia" w:eastAsiaTheme="minorEastAsia"/>
          <w:bCs/>
          <w:color w:val="000000"/>
          <w:sz w:val="18"/>
          <w:szCs w:val="18"/>
          <w:lang w:val="en-US" w:eastAsia="zh-CN" w:bidi="ar-SA"/>
        </w:rPr>
        <w:t>1</w:t>
      </w:r>
      <w:r>
        <w:rPr>
          <w:rFonts w:hint="eastAsia" w:cs="宋体" w:asciiTheme="minorEastAsia" w:hAnsiTheme="minorEastAsia" w:eastAsiaTheme="minorEastAsia"/>
          <w:bCs/>
          <w:color w:val="000000"/>
          <w:sz w:val="18"/>
          <w:szCs w:val="18"/>
          <w:lang w:val="en-US" w:eastAsia="zh-CN" w:bidi="ar-SA"/>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cs="宋体" w:asciiTheme="minorEastAsia" w:hAnsiTheme="minorEastAsia" w:eastAsiaTheme="minorEastAsia"/>
          <w:bCs/>
          <w:color w:val="000000"/>
          <w:sz w:val="18"/>
          <w:szCs w:val="18"/>
          <w:lang w:val="en-US" w:eastAsia="zh-CN" w:bidi="ar-SA"/>
        </w:rPr>
        <w:t>（</w:t>
      </w:r>
      <w:r>
        <w:rPr>
          <w:rFonts w:cs="宋体" w:asciiTheme="minorEastAsia" w:hAnsiTheme="minorEastAsia" w:eastAsiaTheme="minorEastAsia"/>
          <w:bCs/>
          <w:color w:val="000000"/>
          <w:sz w:val="18"/>
          <w:szCs w:val="18"/>
          <w:lang w:val="en-US" w:eastAsia="zh-CN" w:bidi="ar-SA"/>
        </w:rPr>
        <w:t>2</w:t>
      </w:r>
      <w:r>
        <w:rPr>
          <w:rFonts w:hint="eastAsia" w:cs="宋体" w:asciiTheme="minorEastAsia" w:hAnsiTheme="minorEastAsia" w:eastAsiaTheme="minorEastAsia"/>
          <w:bCs/>
          <w:color w:val="000000"/>
          <w:sz w:val="18"/>
          <w:szCs w:val="18"/>
          <w:lang w:val="en-US" w:eastAsia="zh-CN" w:bidi="ar-SA"/>
        </w:rPr>
        <w:t>）对于非交易所交易的衍生金融工具，可依据第三方机构提供的价格数据或采取相应衍生金融工具估值模型确定公允价值。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10.存款、拆借、回购等货币市场工具的估值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以本金列示，按商定利率在实际持有期间内逐日计提利息。如有估值技术能更准确反映其公允价值的，采用估值技术进行估值。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ascii="宋体" w:hAnsi="宋体" w:eastAsia="宋体" w:cs="宋体"/>
          <w:color w:val="000000"/>
          <w:sz w:val="18"/>
          <w:szCs w:val="18"/>
          <w:lang w:val="en-US" w:eastAsia="zh-CN" w:bidi="ar-SA"/>
        </w:rPr>
        <w:t>1</w:t>
      </w:r>
      <w:r>
        <w:rPr>
          <w:rFonts w:hint="eastAsia" w:ascii="宋体" w:hAnsi="宋体" w:eastAsia="宋体" w:cs="宋体"/>
          <w:color w:val="000000"/>
          <w:sz w:val="18"/>
          <w:szCs w:val="18"/>
          <w:lang w:val="en-US" w:eastAsia="zh-CN" w:bidi="ar-SA"/>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ascii="黑体" w:hAnsi="黑体" w:eastAsia="黑体" w:cs="宋体"/>
          <w:color w:val="000000"/>
          <w:sz w:val="18"/>
          <w:szCs w:val="18"/>
          <w:lang w:val="en-US" w:eastAsia="zh-CN" w:bidi="ar-SA"/>
        </w:rPr>
        <w:t>12.★估值方法的调整</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若因相关法律法规以及监管部门有规定，需要调整估值方法的，管理人应按相关规定要求使用调整后的估值方法进行估值。</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（五）估值程序</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1.产品份额净值是按照估值日产品资产净值除以当日产品总份额计算。国家另有规定的，从其规定。</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 xml:space="preserve">2.产品管理人对理财资产估值后，将产品份额净值发送产品托管人，经产品托管人复核无误后，由产品管理人按规定对外公布。 </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 xml:space="preserve">3.如产品管理人或产品托管人发现理财估值违反本说明书约定的估值方法、程序及相关法律法规的规定或者未能充分维护理财份额持有人权益时，应立即通知对方，共同查明原因，双方协商解决。 </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（六）估值主体</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（七）★暂停估值</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当发生以下情况时，产品管理人可暂停估值。估值条件恢复时，将按规定完成估值工作：</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1.理财产品投资涉及的交易市场遇法定节假日或其他原因暂停营业时；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2.因任何不可抗力致使理财产品管理人、托管人无法准确评估资产价值时；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3.开放式理财产品在前一估值日内理财产品资产净值50%以上的资产不具备活跃交易市场或者在活跃市场中无报价，且不能采用估值技术可靠计量公允价值的；</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4.监管机构规定的其他情形。</w:t>
      </w:r>
    </w:p>
    <w:p>
      <w:pPr>
        <w:widowControl/>
        <w:spacing w:line="360" w:lineRule="auto"/>
        <w:jc w:val="left"/>
        <w:rPr>
          <w:rFonts w:ascii="宋体" w:hAnsi="宋体" w:eastAsia="宋体" w:cs="宋体"/>
          <w:kern w:val="0"/>
          <w:sz w:val="18"/>
          <w:szCs w:val="18"/>
        </w:rPr>
      </w:pPr>
      <w:r>
        <w:rPr>
          <w:rFonts w:ascii="Calibri" w:hAnsi="宋体" w:eastAsia="宋体" w:cs="宋体"/>
          <w:sz w:val="18"/>
          <w:szCs w:val="18"/>
        </w:rPr>
        <w:br w:type="page"/>
      </w:r>
    </w:p>
    <w:p>
      <w:pPr>
        <w:keepNext/>
        <w:keepLines/>
        <w:widowControl w:val="0"/>
        <w:spacing w:before="0" w:after="0" w:line="360" w:lineRule="auto"/>
        <w:ind w:left="60" w:firstLine="10"/>
        <w:jc w:val="center"/>
        <w:outlineLvl w:val="0"/>
        <w:rPr>
          <w:rFonts w:ascii="Times New Roman" w:hAnsi="Calibri" w:eastAsia="宋体" w:cs="宋体"/>
          <w:b/>
          <w:bCs/>
          <w:kern w:val="44"/>
          <w:sz w:val="30"/>
          <w:szCs w:val="44"/>
          <w:lang w:val="en-US" w:eastAsia="zh-CN" w:bidi="ar-SA"/>
        </w:rPr>
      </w:pPr>
      <w:bookmarkStart w:id="123" w:name="_Hlt70481650"/>
      <w:bookmarkEnd w:id="123"/>
      <w:bookmarkStart w:id="124" w:name="_Toc74065744"/>
      <w:bookmarkStart w:id="125" w:name="_Toc31235"/>
      <w:bookmarkStart w:id="126" w:name="_Toc176189760"/>
      <w:bookmarkStart w:id="127" w:name="_Toc15143"/>
      <w:bookmarkStart w:id="128" w:name="_Toc123102454"/>
      <w:bookmarkStart w:id="129" w:name="_Toc29251"/>
      <w:bookmarkStart w:id="130" w:name="_Toc123112235"/>
      <w:bookmarkStart w:id="131" w:name="_Toc31644"/>
      <w:bookmarkStart w:id="132" w:name="_Toc141703887"/>
      <w:bookmarkStart w:id="133" w:name="_Toc79154671"/>
      <w:bookmarkStart w:id="134" w:name="_Toc31653"/>
      <w:bookmarkStart w:id="135" w:name="_Toc12245"/>
      <w:bookmarkStart w:id="136" w:name="_Toc26207"/>
      <w:bookmarkStart w:id="137" w:name="_Toc98560353"/>
      <w:bookmarkStart w:id="138" w:name="_Toc14835"/>
      <w:bookmarkStart w:id="139" w:name="_Toc139991737"/>
      <w:bookmarkStart w:id="140" w:name="_Toc123051453"/>
      <w:bookmarkStart w:id="141" w:name="_Toc3601"/>
      <w:bookmarkStart w:id="142" w:name="_Toc6405"/>
      <w:r>
        <w:rPr>
          <w:rFonts w:ascii="Times New Roman" w:hAnsi="Calibri" w:eastAsia="宋体" w:cs="宋体"/>
          <w:b/>
          <w:bCs/>
          <w:kern w:val="44"/>
          <w:sz w:val="30"/>
          <w:szCs w:val="44"/>
          <w:lang w:val="en-US" w:eastAsia="zh-CN" w:bidi="ar-SA"/>
        </w:rPr>
        <w:t>第八</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理财产品的利益分配</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Start w:id="143" w:name="_Hlt55355235"/>
      <w:bookmarkEnd w:id="143"/>
      <w:bookmarkStart w:id="144" w:name="_Toc79392580"/>
      <w:bookmarkStart w:id="145" w:name="_Toc523711668"/>
      <w:bookmarkStart w:id="146" w:name="_Toc57530239"/>
      <w:bookmarkStart w:id="147" w:name="_Toc15118234"/>
    </w:p>
    <w:p>
      <w:pPr>
        <w:widowControl w:val="0"/>
        <w:autoSpaceDE w:val="0"/>
        <w:autoSpaceDN w:val="0"/>
        <w:adjustRightInd w:val="0"/>
        <w:spacing w:line="360" w:lineRule="auto"/>
        <w:ind w:firstLine="361" w:firstLineChars="200"/>
        <w:rPr>
          <w:rFonts w:hint="eastAsia"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（一）理财利益和收益的构成</w:t>
      </w:r>
    </w:p>
    <w:p>
      <w:pPr>
        <w:widowControl w:val="0"/>
        <w:autoSpaceDE w:val="0"/>
        <w:autoSpaceDN w:val="0"/>
        <w:adjustRightInd w:val="0"/>
        <w:spacing w:line="360" w:lineRule="auto"/>
        <w:ind w:firstLine="360" w:firstLineChars="200"/>
        <w:rPr>
          <w:rFonts w:hint="eastAsia" w:ascii="宋体" w:hAnsi="宋体" w:eastAsia="宋体" w:cs="宋体"/>
          <w:b w:val="0"/>
          <w:bCs/>
          <w:color w:val="auto"/>
          <w:sz w:val="18"/>
          <w:szCs w:val="18"/>
          <w:lang w:val="en-US" w:eastAsia="zh-CN" w:bidi="ar-SA"/>
        </w:rPr>
      </w:pPr>
      <w:r>
        <w:rPr>
          <w:rFonts w:hint="eastAsia" w:ascii="宋体" w:hAnsi="宋体" w:eastAsia="宋体" w:cs="宋体"/>
          <w:b w:val="0"/>
          <w:bCs/>
          <w:color w:val="auto"/>
          <w:sz w:val="18"/>
          <w:szCs w:val="18"/>
          <w:lang w:val="en-US" w:eastAsia="zh-CN" w:bidi="ar-SA"/>
        </w:rPr>
        <w:t>理财利益由投资本金和理财收益（如有）构成。其中，理财收益是指产品运作过程中产生的利息收入、投资收益、公允价值变动收益和其他收入扣除相关税收和费用后的余额。</w:t>
      </w:r>
    </w:p>
    <w:p>
      <w:pPr>
        <w:widowControl w:val="0"/>
        <w:autoSpaceDE w:val="0"/>
        <w:autoSpaceDN w:val="0"/>
        <w:adjustRightInd w:val="0"/>
        <w:spacing w:line="360" w:lineRule="auto"/>
        <w:ind w:firstLine="360" w:firstLineChars="200"/>
        <w:rPr>
          <w:rFonts w:hint="eastAsia" w:ascii="宋体" w:hAnsi="宋体" w:eastAsia="宋体" w:cs="宋体"/>
          <w:b/>
          <w:color w:val="auto"/>
          <w:sz w:val="18"/>
          <w:szCs w:val="18"/>
          <w:lang w:val="en-US" w:eastAsia="zh-CN" w:bidi="ar-SA"/>
        </w:rPr>
      </w:pPr>
      <w:r>
        <w:rPr>
          <w:rFonts w:hint="eastAsia" w:ascii="宋体" w:hAnsi="宋体" w:eastAsia="宋体" w:cs="宋体"/>
          <w:b w:val="0"/>
          <w:bCs/>
          <w:color w:val="auto"/>
          <w:sz w:val="18"/>
          <w:szCs w:val="18"/>
          <w:lang w:val="en-US" w:eastAsia="zh-CN" w:bidi="ar-SA"/>
        </w:rPr>
        <w:t>该收益的构成不代表投资者一定可以获得收益。</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（二）理财利益的分配类型</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1.依据分配时点，理财利益的分配可分为“期间分配”与“终止分配”。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2.依据分配方式，理财利益的分配可分为“现金分配”与“非现金分配”。</w:t>
      </w:r>
    </w:p>
    <w:p>
      <w:pPr>
        <w:widowControl w:val="0"/>
        <w:autoSpaceDE w:val="0"/>
        <w:autoSpaceDN w:val="0"/>
        <w:adjustRightInd w:val="0"/>
        <w:spacing w:line="360" w:lineRule="auto"/>
        <w:ind w:firstLine="361" w:firstLineChars="2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（三）理财利益的分配原则</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1.本产品利益分配应遵循下列原则： </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每一</w:t>
      </w:r>
      <w:r>
        <w:rPr>
          <w:rFonts w:hint="eastAsia" w:ascii="宋体" w:hAnsi="宋体" w:eastAsia="宋体" w:cs="宋体"/>
          <w:color w:val="auto"/>
          <w:sz w:val="18"/>
          <w:szCs w:val="18"/>
          <w:lang w:val="en-US" w:eastAsia="zh-CN" w:bidi="ar-SA"/>
        </w:rPr>
        <w:t>产品</w:t>
      </w:r>
      <w:r>
        <w:rPr>
          <w:rFonts w:ascii="宋体" w:hAnsi="宋体" w:eastAsia="宋体" w:cs="宋体"/>
          <w:color w:val="auto"/>
          <w:sz w:val="18"/>
          <w:szCs w:val="18"/>
          <w:lang w:val="en-US" w:eastAsia="zh-CN" w:bidi="ar-SA"/>
        </w:rPr>
        <w:t>份额享有同等分配权</w:t>
      </w:r>
      <w:r>
        <w:rPr>
          <w:rFonts w:hint="eastAsia"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w:t>
      </w:r>
      <w:r>
        <w:rPr>
          <w:rFonts w:ascii="宋体" w:hAnsi="宋体" w:eastAsia="宋体" w:cs="宋体"/>
          <w:color w:val="auto"/>
          <w:sz w:val="18"/>
          <w:szCs w:val="18"/>
          <w:lang w:val="en-US" w:eastAsia="zh-CN" w:bidi="ar-SA"/>
        </w:rPr>
        <w:t>在不违反法律法规、</w:t>
      </w:r>
      <w:r>
        <w:rPr>
          <w:rFonts w:hint="eastAsia" w:ascii="宋体" w:hAnsi="宋体" w:eastAsia="宋体" w:cs="宋体"/>
          <w:color w:val="auto"/>
          <w:sz w:val="18"/>
          <w:szCs w:val="18"/>
          <w:lang w:val="en-US" w:eastAsia="zh-CN" w:bidi="ar-SA"/>
        </w:rPr>
        <w:t>理财产品销售文件</w:t>
      </w:r>
      <w:r>
        <w:rPr>
          <w:rFonts w:ascii="宋体" w:hAnsi="宋体" w:eastAsia="宋体" w:cs="宋体"/>
          <w:color w:val="auto"/>
          <w:sz w:val="18"/>
          <w:szCs w:val="18"/>
          <w:lang w:val="en-US" w:eastAsia="zh-CN" w:bidi="ar-SA"/>
        </w:rPr>
        <w:t>约定以及对份额持有人</w:t>
      </w:r>
      <w:r>
        <w:rPr>
          <w:rFonts w:hint="eastAsia" w:ascii="宋体" w:hAnsi="宋体" w:eastAsia="宋体" w:cs="宋体"/>
          <w:color w:val="auto"/>
          <w:sz w:val="18"/>
          <w:szCs w:val="18"/>
          <w:lang w:val="en-US" w:eastAsia="zh-CN" w:bidi="ar-SA"/>
        </w:rPr>
        <w:t>权益</w:t>
      </w:r>
      <w:r>
        <w:rPr>
          <w:rFonts w:ascii="宋体" w:hAnsi="宋体" w:eastAsia="宋体" w:cs="宋体"/>
          <w:color w:val="auto"/>
          <w:sz w:val="18"/>
          <w:szCs w:val="18"/>
          <w:lang w:val="en-US" w:eastAsia="zh-CN" w:bidi="ar-SA"/>
        </w:rPr>
        <w:t>无实质性不利影响的情况下，</w:t>
      </w:r>
      <w:r>
        <w:rPr>
          <w:rFonts w:hint="eastAsia" w:cs="宋体" w:asciiTheme="majorEastAsia" w:hAnsiTheme="majorEastAsia" w:eastAsiaTheme="majorEastAsia"/>
          <w:bCs/>
          <w:color w:val="auto"/>
          <w:sz w:val="18"/>
          <w:szCs w:val="18"/>
          <w:lang w:val="en-US" w:eastAsia="zh-CN" w:bidi="ar-SA"/>
        </w:rPr>
        <w:t>产品管理人</w:t>
      </w:r>
      <w:r>
        <w:rPr>
          <w:rFonts w:ascii="宋体" w:hAnsi="宋体" w:eastAsia="宋体" w:cs="宋体"/>
          <w:color w:val="auto"/>
          <w:sz w:val="18"/>
          <w:szCs w:val="18"/>
          <w:lang w:val="en-US" w:eastAsia="zh-CN" w:bidi="ar-SA"/>
        </w:rPr>
        <w:t>可调整</w:t>
      </w:r>
      <w:r>
        <w:rPr>
          <w:rFonts w:hint="eastAsia" w:ascii="宋体" w:hAnsi="宋体" w:eastAsia="宋体" w:cs="宋体"/>
          <w:color w:val="auto"/>
          <w:sz w:val="18"/>
          <w:szCs w:val="18"/>
          <w:lang w:val="en-US" w:eastAsia="zh-CN" w:bidi="ar-SA"/>
        </w:rPr>
        <w:t>本产品</w:t>
      </w:r>
      <w:r>
        <w:rPr>
          <w:rFonts w:ascii="宋体" w:hAnsi="宋体" w:eastAsia="宋体" w:cs="宋体"/>
          <w:color w:val="auto"/>
          <w:sz w:val="18"/>
          <w:szCs w:val="18"/>
          <w:lang w:val="en-US" w:eastAsia="zh-CN" w:bidi="ar-SA"/>
        </w:rPr>
        <w:t>利益的分配原则和支付方式</w:t>
      </w:r>
      <w:r>
        <w:rPr>
          <w:rFonts w:hint="eastAsia" w:ascii="宋体" w:hAnsi="宋体" w:eastAsia="宋体" w:cs="宋体"/>
          <w:color w:val="auto"/>
          <w:sz w:val="18"/>
          <w:szCs w:val="18"/>
          <w:lang w:val="en-US" w:eastAsia="zh-CN" w:bidi="ar-SA"/>
        </w:rPr>
        <w:t>。法律法规或监管机构另有规定的从其规定。</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（四）理财利益的分配方案</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1.分配方案要点：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（1）本产品的分配时点包括“期间分配”和“终止分配”。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（2）本产品的分配方式仅采取“现金分配”。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2.具体理财利益分配方案由产品管理人拟定，并由产品托管人复核后确定。</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3.理财产品存续期间，产品管理人</w:t>
      </w:r>
      <w:r>
        <w:rPr>
          <w:rFonts w:ascii="宋体" w:hAnsi="宋体" w:eastAsia="宋体" w:cs="宋体"/>
          <w:color w:val="auto"/>
          <w:sz w:val="18"/>
          <w:szCs w:val="18"/>
          <w:lang w:val="en-US" w:eastAsia="zh-CN" w:bidi="ar-SA"/>
        </w:rPr>
        <w:t>有权视理财产品</w:t>
      </w:r>
      <w:r>
        <w:rPr>
          <w:rFonts w:hint="eastAsia" w:ascii="宋体" w:hAnsi="宋体" w:eastAsia="宋体" w:cs="宋体"/>
          <w:color w:val="auto"/>
          <w:sz w:val="18"/>
          <w:szCs w:val="18"/>
          <w:lang w:val="en-US" w:eastAsia="zh-CN" w:bidi="ar-SA"/>
        </w:rPr>
        <w:t>收益情况</w:t>
      </w:r>
      <w:r>
        <w:rPr>
          <w:rFonts w:ascii="宋体" w:hAnsi="宋体" w:eastAsia="宋体" w:cs="宋体"/>
          <w:color w:val="auto"/>
          <w:sz w:val="18"/>
          <w:szCs w:val="18"/>
          <w:lang w:val="en-US" w:eastAsia="zh-CN" w:bidi="ar-SA"/>
        </w:rPr>
        <w:t>进行主动分配，相应分配基准日、分配方案由管理人</w:t>
      </w:r>
      <w:r>
        <w:rPr>
          <w:rFonts w:hint="eastAsia" w:ascii="宋体" w:hAnsi="宋体" w:eastAsia="宋体" w:cs="宋体"/>
          <w:color w:val="auto"/>
          <w:sz w:val="18"/>
          <w:szCs w:val="18"/>
          <w:lang w:val="en-US" w:eastAsia="zh-CN" w:bidi="ar-SA"/>
        </w:rPr>
        <w:t>及时</w:t>
      </w:r>
      <w:r>
        <w:rPr>
          <w:rFonts w:ascii="宋体" w:hAnsi="宋体" w:eastAsia="宋体" w:cs="宋体"/>
          <w:color w:val="auto"/>
          <w:sz w:val="18"/>
          <w:szCs w:val="18"/>
          <w:lang w:val="en-US" w:eastAsia="zh-CN" w:bidi="ar-SA"/>
        </w:rPr>
        <w:t>披露。</w:t>
      </w:r>
    </w:p>
    <w:p>
      <w:pPr>
        <w:spacing w:line="360" w:lineRule="auto"/>
        <w:ind w:firstLine="360"/>
        <w:rPr>
          <w:rFonts w:ascii="宋体" w:hAnsi="宋体" w:eastAsia="宋体" w:cs="宋体"/>
          <w:b/>
          <w:sz w:val="18"/>
          <w:szCs w:val="18"/>
        </w:rPr>
      </w:pPr>
      <w:r>
        <w:rPr>
          <w:rFonts w:hint="eastAsia" w:ascii="宋体" w:hAnsi="宋体" w:eastAsia="宋体" w:cs="宋体"/>
          <w:b/>
          <w:kern w:val="0"/>
          <w:sz w:val="18"/>
          <w:szCs w:val="18"/>
        </w:rPr>
        <w:t>（</w:t>
      </w:r>
      <w:r>
        <w:rPr>
          <w:rFonts w:hint="eastAsia" w:ascii="宋体" w:hAnsi="宋体" w:eastAsia="宋体" w:cs="宋体"/>
          <w:b/>
          <w:kern w:val="0"/>
          <w:sz w:val="18"/>
          <w:szCs w:val="18"/>
          <w:lang w:val="en-US" w:eastAsia="zh-CN"/>
        </w:rPr>
        <w:t>五</w:t>
      </w:r>
      <w:r>
        <w:rPr>
          <w:rFonts w:hint="eastAsia" w:ascii="宋体" w:hAnsi="宋体" w:eastAsia="宋体" w:cs="宋体"/>
          <w:b/>
          <w:kern w:val="0"/>
          <w:sz w:val="18"/>
          <w:szCs w:val="18"/>
        </w:rPr>
        <w:t>）理财利益的分配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1.理财利益的分配日</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（1）若为期间分配的，原则上产品管理人应于分配基准日后【5】个工作日内分配理财利益（如有）。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（2）若为终止分配的，产品管理人应按“第十条 理财产品的终止与清算”中产品清算期的相关约定向投资者分配理财利益（如有）。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具体的理财利益分配以管理人实际分配的为准。</w:t>
      </w:r>
    </w:p>
    <w:p>
      <w:pPr>
        <w:widowControl/>
        <w:spacing w:line="360" w:lineRule="auto"/>
        <w:jc w:val="left"/>
        <w:rPr>
          <w:rFonts w:ascii="宋体" w:hAnsi="宋体" w:eastAsia="宋体" w:cs="宋体"/>
          <w:kern w:val="0"/>
          <w:sz w:val="18"/>
          <w:szCs w:val="18"/>
        </w:rPr>
      </w:pPr>
      <w:r>
        <w:rPr>
          <w:rFonts w:ascii="Calibri" w:hAnsi="宋体" w:eastAsia="宋体" w:cs="宋体"/>
          <w:sz w:val="18"/>
          <w:szCs w:val="18"/>
        </w:rPr>
        <w:br w:type="page"/>
      </w:r>
    </w:p>
    <w:bookmarkEnd w:id="144"/>
    <w:bookmarkEnd w:id="145"/>
    <w:bookmarkEnd w:id="146"/>
    <w:bookmarkEnd w:id="147"/>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48" w:name="_Hlt88897298"/>
      <w:bookmarkEnd w:id="148"/>
      <w:bookmarkStart w:id="149" w:name="_Hlt88825574"/>
      <w:bookmarkEnd w:id="149"/>
      <w:bookmarkStart w:id="150" w:name="_Toc10650"/>
      <w:bookmarkStart w:id="151" w:name="_Toc123102455"/>
      <w:bookmarkStart w:id="152" w:name="_Toc123051454"/>
      <w:bookmarkStart w:id="153" w:name="_Toc4559"/>
      <w:bookmarkStart w:id="154" w:name="_Toc18567"/>
      <w:bookmarkStart w:id="155" w:name="_Toc176189761"/>
      <w:bookmarkStart w:id="156" w:name="_Toc3771"/>
      <w:bookmarkStart w:id="157" w:name="_Toc79154672"/>
      <w:bookmarkStart w:id="158" w:name="_Toc141703888"/>
      <w:bookmarkStart w:id="159" w:name="_Toc9706"/>
      <w:bookmarkStart w:id="160" w:name="_Toc6447"/>
      <w:bookmarkStart w:id="161" w:name="_Toc3321"/>
      <w:bookmarkStart w:id="162" w:name="_Toc11030"/>
      <w:bookmarkStart w:id="163" w:name="_Toc98560354"/>
      <w:bookmarkStart w:id="164" w:name="_Toc25783"/>
      <w:bookmarkStart w:id="165" w:name="_Toc74065745"/>
      <w:bookmarkStart w:id="166" w:name="_Toc139991738"/>
      <w:bookmarkStart w:id="167" w:name="_Toc7058"/>
      <w:bookmarkStart w:id="168" w:name="_Toc123112236"/>
      <w:bookmarkStart w:id="169" w:name="_Toc79392583"/>
      <w:r>
        <w:rPr>
          <w:rFonts w:ascii="Times New Roman" w:hAnsi="Calibri" w:eastAsia="宋体" w:cs="宋体"/>
          <w:b/>
          <w:bCs/>
          <w:kern w:val="44"/>
          <w:sz w:val="30"/>
          <w:szCs w:val="44"/>
          <w:lang w:val="en-US" w:eastAsia="zh-CN" w:bidi="ar-SA"/>
        </w:rPr>
        <w:t>第九</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理财产品的费用与税收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widowControl w:val="0"/>
        <w:autoSpaceDE w:val="0"/>
        <w:autoSpaceDN w:val="0"/>
        <w:adjustRightInd w:val="0"/>
        <w:spacing w:line="360" w:lineRule="auto"/>
        <w:ind w:firstLine="361" w:firstLineChars="200"/>
        <w:rPr>
          <w:rFonts w:hint="eastAsia" w:ascii="黑体" w:hAnsi="黑体" w:eastAsia="黑体" w:cs="黑体"/>
          <w:b/>
          <w:color w:val="auto"/>
          <w:sz w:val="18"/>
          <w:szCs w:val="18"/>
          <w:lang w:val="en-US" w:eastAsia="zh-CN" w:bidi="ar-SA"/>
        </w:rPr>
      </w:pPr>
      <w:r>
        <w:rPr>
          <w:rFonts w:hint="eastAsia" w:ascii="黑体" w:hAnsi="黑体" w:eastAsia="黑体" w:cs="黑体"/>
          <w:b/>
          <w:color w:val="auto"/>
          <w:sz w:val="18"/>
          <w:szCs w:val="18"/>
          <w:lang w:val="en-US" w:eastAsia="zh-CN" w:bidi="ar-SA"/>
        </w:rPr>
        <w:t>（一）理财产品的费用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1.理财产品费用的种类</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（2）理财产品的销售服务费；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（3）理财产品的投资管理费及超额业绩报酬；</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（4）理财产品的产品托管费；</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（5）理财产品的信息技术服务费；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6</w:t>
      </w:r>
      <w:r>
        <w:rPr>
          <w:rFonts w:hint="eastAsia" w:ascii="黑体" w:hAnsi="黑体" w:eastAsia="黑体" w:cs="黑体"/>
          <w:kern w:val="0"/>
          <w:sz w:val="18"/>
          <w:szCs w:val="18"/>
        </w:rPr>
        <w:t>）理财产品的交易费用（包括但不限于证券交易费用、经纪费用等）；</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7</w:t>
      </w:r>
      <w:r>
        <w:rPr>
          <w:rFonts w:hint="eastAsia" w:ascii="黑体" w:hAnsi="黑体" w:eastAsia="黑体" w:cs="黑体"/>
          <w:kern w:val="0"/>
          <w:sz w:val="18"/>
          <w:szCs w:val="18"/>
        </w:rPr>
        <w:t>）理财产品验资费、审计费、律师费、信息披露费、清算费、执行费用等相关费用；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8</w:t>
      </w:r>
      <w:r>
        <w:rPr>
          <w:rFonts w:hint="eastAsia" w:ascii="黑体" w:hAnsi="黑体" w:eastAsia="黑体" w:cs="黑体"/>
          <w:kern w:val="0"/>
          <w:sz w:val="18"/>
          <w:szCs w:val="18"/>
        </w:rPr>
        <w:t>）按照国家法律法规规定可以列入的其他费用。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2.理财产品费用计提方法、计提标准和支付方式</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bCs/>
          <w:sz w:val="18"/>
          <w:szCs w:val="18"/>
        </w:rPr>
        <w:t>费率具体数值以</w:t>
      </w:r>
      <w:r>
        <w:rPr>
          <w:rFonts w:hint="eastAsia" w:ascii="黑体" w:hAnsi="黑体" w:eastAsia="黑体" w:cs="黑体"/>
          <w:sz w:val="18"/>
          <w:szCs w:val="18"/>
        </w:rPr>
        <w:t>《产品说明书》“第二条 理财产品基本情况”</w:t>
      </w:r>
      <w:r>
        <w:rPr>
          <w:rFonts w:hint="eastAsia" w:ascii="黑体" w:hAnsi="黑体" w:eastAsia="黑体" w:cs="黑体"/>
          <w:bCs/>
          <w:sz w:val="18"/>
          <w:szCs w:val="18"/>
        </w:rPr>
        <w:t>为准</w:t>
      </w:r>
      <w:r>
        <w:rPr>
          <w:rFonts w:hint="eastAsia" w:ascii="黑体" w:hAnsi="黑体" w:eastAsia="黑体" w:cs="黑体"/>
          <w:kern w:val="0"/>
          <w:sz w:val="18"/>
          <w:szCs w:val="18"/>
        </w:rPr>
        <w:t>。</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（2）理财产品的销售服务费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黑体" w:hAnsi="黑体" w:eastAsia="黑体" w:cs="黑体"/>
          <w:color w:val="auto"/>
          <w:kern w:val="2"/>
          <w:sz w:val="18"/>
          <w:szCs w:val="18"/>
        </w:rPr>
      </w:pPr>
      <w:r>
        <w:rPr>
          <w:rFonts w:ascii="宋体" w:hAnsi="宋体" w:eastAsia="宋体" w:cs="宋体"/>
          <w:sz w:val="18"/>
          <w:szCs w:val="22"/>
        </w:rPr>
        <w:t>本产品的销售服务费按前一日理财资产净值与销售服务费每日费率每日计提。销售服务费的计算方法如下：</w:t>
      </w:r>
      <w:r>
        <w:rPr>
          <w:rFonts w:ascii="宋体" w:hAnsi="宋体" w:eastAsia="宋体" w:cs="宋体"/>
          <w:sz w:val="18"/>
          <w:szCs w:val="22"/>
        </w:rPr>
        <w:br w:type="textWrapping"/>
      </w:r>
      <w:r>
        <w:rPr>
          <w:rFonts w:ascii="宋体" w:hAnsi="宋体" w:eastAsia="宋体" w:cs="宋体"/>
          <w:sz w:val="18"/>
          <w:szCs w:val="22"/>
        </w:rPr>
        <w:t xml:space="preserve">  H＝E×销售服务费年费率÷365</w:t>
      </w:r>
      <w:r>
        <w:rPr>
          <w:rFonts w:ascii="宋体" w:hAnsi="宋体" w:eastAsia="宋体" w:cs="宋体"/>
          <w:sz w:val="18"/>
          <w:szCs w:val="22"/>
        </w:rPr>
        <w:br w:type="textWrapping"/>
      </w:r>
      <w:r>
        <w:rPr>
          <w:rFonts w:ascii="宋体" w:hAnsi="宋体" w:eastAsia="宋体" w:cs="宋体"/>
          <w:sz w:val="18"/>
          <w:szCs w:val="22"/>
        </w:rPr>
        <w:t xml:space="preserve">  H为每日应计提的销售服务费</w:t>
      </w:r>
      <w:r>
        <w:rPr>
          <w:rFonts w:ascii="宋体" w:hAnsi="宋体" w:eastAsia="宋体" w:cs="宋体"/>
          <w:sz w:val="18"/>
          <w:szCs w:val="22"/>
        </w:rPr>
        <w:br w:type="textWrapping"/>
      </w:r>
      <w:r>
        <w:rPr>
          <w:rFonts w:ascii="宋体" w:hAnsi="宋体" w:eastAsia="宋体" w:cs="宋体"/>
          <w:sz w:val="18"/>
          <w:szCs w:val="22"/>
        </w:rPr>
        <w:t xml:space="preserve">  E为前一日的理财资产净值</w:t>
      </w:r>
      <w:r>
        <w:rPr>
          <w:rFonts w:ascii="宋体" w:hAnsi="宋体" w:eastAsia="宋体" w:cs="宋体"/>
          <w:sz w:val="18"/>
          <w:szCs w:val="22"/>
        </w:rPr>
        <w:br w:type="textWrapping"/>
      </w:r>
      <w:r>
        <w:rPr>
          <w:rFonts w:ascii="宋体" w:hAnsi="宋体" w:eastAsia="宋体" w:cs="宋体"/>
          <w:sz w:val="18"/>
          <w:szCs w:val="22"/>
        </w:rPr>
        <w:t xml:space="preserve">  销售服务费依照上述约定，从理财财产中支付。费率具体数值以《产品说明书》“第二条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本产品的投资管理费按前一日理财资产净值与投资管理费每日费率每日计提。</w:t>
      </w:r>
      <w:r>
        <w:rPr>
          <w:rFonts w:hint="eastAsia" w:ascii="黑体" w:hAnsi="黑体" w:eastAsia="黑体" w:cs="黑体"/>
          <w:kern w:val="0"/>
          <w:sz w:val="18"/>
          <w:szCs w:val="18"/>
        </w:rPr>
        <w:t>投资管理费的计算方法如下：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H＝E×投资管理费年费率÷365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H为每日应计提的产品投资管理费</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E为前一日的理财资产净值</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投资管理费依照上述约定，从理财财产中支付。</w:t>
      </w:r>
      <w:r>
        <w:rPr>
          <w:rFonts w:hint="eastAsia" w:ascii="黑体" w:hAnsi="黑体" w:eastAsia="黑体" w:cs="黑体"/>
          <w:sz w:val="18"/>
          <w:szCs w:val="18"/>
        </w:rPr>
        <w:t>费率具体数值以《产品说明书》“第二条 理财产品基本情况”为准</w:t>
      </w:r>
      <w:r>
        <w:rPr>
          <w:rFonts w:hint="eastAsia" w:ascii="黑体" w:hAnsi="黑体" w:eastAsia="黑体" w:cs="黑体"/>
          <w:kern w:val="0"/>
          <w:sz w:val="18"/>
          <w:szCs w:val="18"/>
        </w:rPr>
        <w:t>。</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（4）超额业绩报酬</w:t>
      </w:r>
    </w:p>
    <w:p>
      <w:pPr>
        <w:widowControl/>
        <w:spacing w:line="360" w:lineRule="auto"/>
        <w:ind w:firstLine="360" w:firstLineChars="200"/>
        <w:jc w:val="left"/>
        <w:rPr>
          <w:rFonts w:hint="eastAsia" w:ascii="黑体" w:hAnsi="黑体" w:eastAsia="黑体" w:cs="黑体"/>
          <w:kern w:val="0"/>
          <w:sz w:val="18"/>
          <w:szCs w:val="18"/>
          <w:lang w:eastAsia="zh-CN"/>
        </w:rPr>
      </w:pPr>
      <w:r>
        <w:rPr>
          <w:rFonts w:hint="eastAsia" w:ascii="黑体" w:hAnsi="黑体" w:eastAsia="黑体" w:cs="黑体"/>
          <w:kern w:val="0"/>
          <w:sz w:val="18"/>
          <w:szCs w:val="18"/>
        </w:rPr>
        <w:t>在超额业绩报酬计提日时，若理财资产扣除销售服务费、产品托管费和投资管理费</w:t>
      </w:r>
      <w:r>
        <w:rPr>
          <w:rFonts w:hint="eastAsia" w:ascii="黑体" w:hAnsi="黑体" w:eastAsia="黑体" w:cs="黑体"/>
          <w:kern w:val="0"/>
          <w:sz w:val="18"/>
          <w:szCs w:val="18"/>
          <w:lang w:val="en-US" w:eastAsia="zh-CN"/>
        </w:rPr>
        <w:t>和信息技术服务费</w:t>
      </w:r>
      <w:r>
        <w:rPr>
          <w:rFonts w:hint="eastAsia" w:ascii="黑体" w:hAnsi="黑体" w:eastAsia="黑体" w:cs="黑体"/>
          <w:kern w:val="0"/>
          <w:sz w:val="18"/>
          <w:szCs w:val="18"/>
        </w:rPr>
        <w:t>等相关费用和税收后，超额业绩报酬计提日产品份额净值折算的当前年化收益率超过当前业绩报酬计提基准，则产品管理人收取超出部分的一定比例作为超额业绩报酬。★由此造成超额业绩报酬计提日产品份额净值调整的，以调整后的数值为准进行利益分配。</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业绩报酬计提基准的设置、超额业绩报酬的具体比例数值以《产品说明书》“第二条 理财产品基本情况”为准。</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1）收取超额业绩报酬的原则：</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①按投资者每份产品份额分别计算年化收益率并计提超额业绩报酬；</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②在超额业绩报酬计提日，本产品对符合超额业绩报酬提取条件的产品份额计提超额业绩报酬；</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③在产品终止日提取超额业绩报酬的，超额业绩报酬从清算资金中扣除；</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2）超额业绩报酬计提方法</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①超额业绩报酬计提起始日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每份产品份额超额业绩报酬计提起始日为：募集期内认购的产品份额，以产品成立日为该份产品份额超额业绩报酬计提起始日。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②超额业绩报酬计提日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每份产品份额超额业绩报酬每日计提，产品终止日结算。</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③超额业绩报酬的计算</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产品管理人对每份份额当前年化收益率（R）超过当前业绩报酬计提基准的部分，按比例（N）以及产品份额持有天数（D）提取超额业绩报酬，计算方法如下：</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当R≤当前业绩报酬计提基准，超额业绩报酬=0；</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当R＞当前业绩报酬计提基准，超额业绩报酬=产品终止时投资者持有的产品份额×产品成立日产品份额净值×（R-当前业绩报酬计提基准）×N×D/365。</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（5）理财产品的产品托管费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本产品的产品托管费按前一日理财资产净值与产品托管费每日费率每日计提。</w:t>
      </w:r>
      <w:r>
        <w:rPr>
          <w:rFonts w:hint="eastAsia" w:ascii="黑体" w:hAnsi="黑体" w:eastAsia="黑体" w:cs="黑体"/>
          <w:kern w:val="0"/>
          <w:sz w:val="18"/>
          <w:szCs w:val="18"/>
        </w:rPr>
        <w:t>产品托管费的计算方法如下：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H＝E×产品托管费年费率÷365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H为每日应计提的产品托管费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E为前一日的理财资产净值</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产品托管费依照上述约定，从理财财产中支付。</w:t>
      </w:r>
      <w:r>
        <w:rPr>
          <w:rFonts w:hint="eastAsia" w:ascii="黑体" w:hAnsi="黑体" w:eastAsia="黑体" w:cs="黑体"/>
          <w:sz w:val="18"/>
          <w:szCs w:val="18"/>
        </w:rPr>
        <w:t>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（6）理财产品的信息技术服务费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本产品的信息技术服务费按前一日理财资产净值与产品信息技术服务费每日费率每日计提。产品信息技术服务费的计算方法如下：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H＝E×产品信息技术服务费年费率÷365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H为每日应计提的产品信息技术服务费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E为前一日的理财资产净值</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产品信息技术服务费依照上述约定，从理财财产中支付。费率具体数值以《产品说明书》“第二条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7</w:t>
      </w:r>
      <w:r>
        <w:rPr>
          <w:rFonts w:hint="eastAsia" w:ascii="黑体" w:hAnsi="黑体" w:eastAsia="黑体" w:cs="黑体"/>
          <w:kern w:val="0"/>
          <w:sz w:val="18"/>
          <w:szCs w:val="18"/>
        </w:rPr>
        <w:t>）上述理财产品的证券交易费用</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8</w:t>
      </w:r>
      <w:r>
        <w:rPr>
          <w:rFonts w:hint="eastAsia" w:ascii="黑体" w:hAnsi="黑体" w:eastAsia="黑体" w:cs="黑体"/>
          <w:kern w:val="0"/>
          <w:sz w:val="18"/>
          <w:szCs w:val="18"/>
        </w:rPr>
        <w:t>）上述理财产品验资费、审计费、律师费、信息披露费、清算费、执行费用等相关费用</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按费用实际支出金额列入当期费用，从理财财产中支付。产品管理人因处理上述事务而先行垫付上述费用的，管理人有权从理财产品资产中优先受偿。</w:t>
      </w:r>
    </w:p>
    <w:p>
      <w:pPr>
        <w:widowControl w:val="0"/>
        <w:autoSpaceDE w:val="0"/>
        <w:autoSpaceDN w:val="0"/>
        <w:adjustRightInd w:val="0"/>
        <w:spacing w:line="360" w:lineRule="auto"/>
        <w:ind w:firstLine="360" w:firstLineChars="200"/>
        <w:rPr>
          <w:rFonts w:hint="eastAsia" w:ascii="黑体" w:hAnsi="黑体" w:eastAsia="黑体" w:cs="黑体"/>
          <w:color w:val="auto"/>
          <w:sz w:val="18"/>
          <w:szCs w:val="24"/>
          <w:lang w:val="en-US" w:eastAsia="zh-CN" w:bidi="ar-SA"/>
        </w:rPr>
      </w:pPr>
      <w:r>
        <w:rPr>
          <w:rFonts w:hint="eastAsia" w:ascii="黑体" w:hAnsi="黑体" w:eastAsia="黑体" w:cs="黑体"/>
          <w:color w:val="auto"/>
          <w:sz w:val="18"/>
          <w:szCs w:val="24"/>
          <w:lang w:val="en-US" w:eastAsia="zh-CN" w:bidi="ar-SA"/>
        </w:rPr>
        <w:t>3.</w:t>
      </w:r>
      <w:r>
        <w:rPr>
          <w:rFonts w:hint="eastAsia" w:ascii="黑体" w:hAnsi="黑体" w:eastAsia="黑体" w:cs="黑体"/>
          <w:color w:val="auto"/>
          <w:sz w:val="18"/>
          <w:szCs w:val="18"/>
          <w:lang w:val="en-US" w:eastAsia="zh-CN" w:bidi="ar-SA"/>
        </w:rPr>
        <w:t>★理财产品费用</w:t>
      </w:r>
      <w:r>
        <w:rPr>
          <w:rFonts w:hint="eastAsia" w:ascii="黑体" w:hAnsi="黑体" w:eastAsia="黑体" w:cs="黑体"/>
          <w:color w:val="auto"/>
          <w:sz w:val="18"/>
          <w:szCs w:val="24"/>
          <w:lang w:val="en-US" w:eastAsia="zh-CN" w:bidi="ar-SA"/>
        </w:rPr>
        <w:t>的调整</w:t>
      </w:r>
    </w:p>
    <w:p>
      <w:pPr>
        <w:widowControl w:val="0"/>
        <w:autoSpaceDE w:val="0"/>
        <w:autoSpaceDN w:val="0"/>
        <w:adjustRightInd w:val="0"/>
        <w:spacing w:line="360" w:lineRule="auto"/>
        <w:ind w:firstLine="360" w:firstLineChars="200"/>
        <w:rPr>
          <w:rFonts w:hint="eastAsia" w:ascii="黑体" w:hAnsi="黑体" w:eastAsia="黑体" w:cs="黑体"/>
          <w:b/>
          <w:color w:val="auto"/>
          <w:sz w:val="18"/>
          <w:szCs w:val="24"/>
          <w:lang w:val="en-US" w:eastAsia="zh-CN" w:bidi="ar-SA"/>
        </w:rPr>
      </w:pPr>
      <w:r>
        <w:rPr>
          <w:rFonts w:hint="eastAsia" w:ascii="黑体" w:hAnsi="黑体" w:eastAsia="黑体" w:cs="黑体"/>
          <w:color w:val="auto"/>
          <w:sz w:val="18"/>
          <w:szCs w:val="24"/>
          <w:lang w:val="en-US" w:eastAsia="zh-CN" w:bidi="ar-SA"/>
        </w:rPr>
        <w:t>产品管理人有权</w:t>
      </w:r>
      <w:r>
        <w:rPr>
          <w:rFonts w:hint="eastAsia" w:ascii="黑体" w:hAnsi="黑体" w:eastAsia="黑体" w:cs="黑体"/>
          <w:color w:val="auto"/>
          <w:sz w:val="18"/>
          <w:szCs w:val="18"/>
          <w:lang w:val="en-US" w:eastAsia="zh-CN" w:bidi="ar-SA"/>
        </w:rPr>
        <w:t>根据相关法律和国家政策规定，</w:t>
      </w:r>
      <w:r>
        <w:rPr>
          <w:rFonts w:hint="eastAsia" w:ascii="黑体" w:hAnsi="黑体" w:eastAsia="黑体" w:cs="黑体"/>
          <w:color w:val="auto"/>
          <w:sz w:val="18"/>
          <w:szCs w:val="24"/>
          <w:lang w:val="en-US" w:eastAsia="zh-CN" w:bidi="ar-SA"/>
        </w:rPr>
        <w:t>对理财产品费用的收费项目、收费条件、收费标准和收费方式等进行调整。产品管理人对费用的调整</w:t>
      </w:r>
      <w:r>
        <w:rPr>
          <w:rFonts w:hint="eastAsia" w:ascii="黑体" w:hAnsi="黑体" w:eastAsia="黑体" w:cs="黑体"/>
          <w:bCs/>
          <w:color w:val="auto"/>
          <w:sz w:val="18"/>
          <w:szCs w:val="24"/>
          <w:lang w:val="en-US" w:eastAsia="zh-CN" w:bidi="ar-SA"/>
        </w:rPr>
        <w:t>将依本产品说明书的“理财产品的信息披露”条款约定进行公告。</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（二）理财产品的税收</w:t>
      </w:r>
    </w:p>
    <w:p>
      <w:pPr>
        <w:widowControl/>
        <w:spacing w:line="360"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rPr>
        <w:t>本产品运作过程中涉及的各纳税主体的纳税义务按国家税收法律、法规执行。根据国家税收法律、法规，理财产品运作过程中产生的相关税款（包括但不限于增值税及附加税、其他税费等），由理财产品承担。以上税款直接从理财产品账户中扣付，由产品管理人进行申报和缴纳。除法律法规特别要求外，投资者取得理财收益所产生的税款由投资者自行缴纳，产品管理人不承担代扣代缴或纳税的义务。后续国家税收法律、法规发生变化的，产品管理人应当依据国家税收法律、法规的最新规定执行。</w:t>
      </w:r>
    </w:p>
    <w:p>
      <w:pPr>
        <w:keepNext/>
        <w:keepLines/>
        <w:widowControl w:val="0"/>
        <w:spacing w:before="340" w:after="330" w:line="360" w:lineRule="auto"/>
        <w:jc w:val="center"/>
        <w:outlineLvl w:val="0"/>
        <w:rPr>
          <w:rFonts w:ascii="Calibri" w:hAnsi="Calibri" w:eastAsia="宋体" w:cs="宋体"/>
          <w:b/>
          <w:bCs/>
          <w:kern w:val="44"/>
          <w:sz w:val="44"/>
          <w:szCs w:val="44"/>
          <w:lang w:val="en-US" w:eastAsia="zh-CN" w:bidi="ar-SA"/>
        </w:rPr>
      </w:pPr>
      <w:bookmarkStart w:id="170" w:name="_Toc3963"/>
      <w:bookmarkStart w:id="171" w:name="_Toc1745"/>
      <w:r>
        <w:rPr>
          <w:rFonts w:ascii="Calibri" w:hAnsi="Calibri" w:eastAsia="宋体" w:cs="宋体"/>
          <w:b/>
          <w:bCs/>
          <w:kern w:val="44"/>
          <w:sz w:val="44"/>
          <w:szCs w:val="44"/>
          <w:lang w:val="en-US" w:eastAsia="zh-CN" w:bidi="ar-SA"/>
        </w:rPr>
        <w:br w:type="page"/>
      </w:r>
      <w:bookmarkStart w:id="172" w:name="_Toc3572"/>
      <w:bookmarkStart w:id="173" w:name="_Toc3080"/>
      <w:bookmarkStart w:id="174" w:name="_Toc10398"/>
      <w:bookmarkStart w:id="175" w:name="_Toc31821"/>
      <w:bookmarkStart w:id="176" w:name="_Toc21735"/>
      <w:bookmarkStart w:id="177" w:name="_Toc98560355"/>
      <w:bookmarkStart w:id="178" w:name="_Toc725"/>
      <w:bookmarkStart w:id="179" w:name="_Toc123112237"/>
      <w:bookmarkStart w:id="180" w:name="_Toc16164"/>
      <w:bookmarkStart w:id="181" w:name="_Toc176189762"/>
      <w:bookmarkStart w:id="182" w:name="_Toc141703889"/>
      <w:bookmarkStart w:id="183" w:name="_Toc123051455"/>
      <w:bookmarkStart w:id="184" w:name="_Toc139991739"/>
      <w:bookmarkStart w:id="185" w:name="_Toc123102456"/>
      <w:bookmarkStart w:id="186" w:name="_Toc74065746"/>
      <w:bookmarkStart w:id="187" w:name="_Toc18206"/>
      <w:bookmarkStart w:id="188" w:name="_Toc79154673"/>
      <w:r>
        <w:rPr>
          <w:rFonts w:hint="eastAsia" w:ascii="Calibri" w:hAnsi="Calibri" w:eastAsia="宋体" w:cs="宋体"/>
          <w:b/>
          <w:bCs/>
          <w:kern w:val="44"/>
          <w:sz w:val="30"/>
          <w:szCs w:val="44"/>
          <w:lang w:val="en-US" w:eastAsia="zh-CN" w:bidi="ar-SA"/>
        </w:rPr>
        <w:t>第</w:t>
      </w:r>
      <w:r>
        <w:rPr>
          <w:rFonts w:ascii="Calibri" w:hAnsi="Calibri" w:eastAsia="宋体" w:cs="宋体"/>
          <w:b/>
          <w:bCs/>
          <w:kern w:val="44"/>
          <w:sz w:val="30"/>
          <w:szCs w:val="44"/>
          <w:lang w:val="en-US" w:eastAsia="zh-CN" w:bidi="ar-SA"/>
        </w:rPr>
        <w:t>十</w:t>
      </w:r>
      <w:r>
        <w:rPr>
          <w:rFonts w:hint="eastAsia" w:ascii="Calibri" w:hAnsi="Calibri" w:eastAsia="宋体" w:cs="宋体"/>
          <w:b/>
          <w:bCs/>
          <w:kern w:val="44"/>
          <w:sz w:val="30"/>
          <w:szCs w:val="44"/>
          <w:lang w:val="en-US" w:eastAsia="zh-CN" w:bidi="ar-SA"/>
        </w:rPr>
        <w:t>条</w:t>
      </w:r>
      <w:r>
        <w:rPr>
          <w:rFonts w:ascii="Calibri" w:hAnsi="Calibri" w:eastAsia="宋体" w:cs="宋体"/>
          <w:b/>
          <w:bCs/>
          <w:kern w:val="44"/>
          <w:sz w:val="30"/>
          <w:szCs w:val="44"/>
          <w:lang w:val="en-US" w:eastAsia="zh-CN" w:bidi="ar-SA"/>
        </w:rPr>
        <w:t xml:space="preserve">  </w:t>
      </w:r>
      <w:r>
        <w:rPr>
          <w:rFonts w:hint="eastAsia" w:ascii="Calibri" w:hAnsi="Calibri" w:eastAsia="宋体" w:cs="宋体"/>
          <w:b/>
          <w:bCs/>
          <w:kern w:val="44"/>
          <w:sz w:val="30"/>
          <w:szCs w:val="44"/>
          <w:lang w:val="en-US" w:eastAsia="zh-CN" w:bidi="ar-SA"/>
        </w:rPr>
        <w:t>理财产品的终止与清算</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spacing w:line="360" w:lineRule="auto"/>
        <w:ind w:firstLine="361" w:firstLineChars="200"/>
        <w:rPr>
          <w:rFonts w:cs="宋体" w:asciiTheme="majorEastAsia" w:hAnsiTheme="majorEastAsia" w:eastAsiaTheme="majorEastAsia"/>
          <w:b/>
          <w:bCs/>
          <w:sz w:val="18"/>
          <w:szCs w:val="18"/>
        </w:rPr>
      </w:pPr>
      <w:bookmarkStart w:id="189" w:name="_Toc57530252"/>
      <w:bookmarkStart w:id="190" w:name="_Toc79392593"/>
      <w:bookmarkStart w:id="191" w:name="_Toc15118245"/>
      <w:r>
        <w:rPr>
          <w:rFonts w:hint="eastAsia" w:cs="宋体"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1.</w:t>
      </w:r>
      <w:r>
        <w:rPr>
          <w:rFonts w:hint="eastAsia" w:ascii="黑体" w:hAnsi="黑体" w:eastAsia="黑体" w:cs="宋体"/>
          <w:bCs/>
          <w:sz w:val="18"/>
          <w:szCs w:val="18"/>
        </w:rPr>
        <w:t>★提前终止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在理财产品投资运作期间内，投资者无权要求提前终止该理财产品</w:t>
      </w:r>
      <w:r>
        <w:rPr>
          <w:rFonts w:hint="eastAsia" w:cs="宋体" w:asciiTheme="majorEastAsia" w:hAnsiTheme="majorEastAsia" w:eastAsiaTheme="majorEastAsia"/>
          <w:bCs/>
          <w:sz w:val="18"/>
          <w:szCs w:val="18"/>
        </w:rPr>
        <w:t>。在理财产品投资运作期间内，</w:t>
      </w:r>
      <w:r>
        <w:rPr>
          <w:rFonts w:hint="eastAsia" w:ascii="黑体" w:hAnsi="黑体" w:eastAsia="黑体" w:cs="宋体"/>
          <w:bCs/>
          <w:sz w:val="18"/>
          <w:szCs w:val="18"/>
        </w:rPr>
        <w:t>当出现下列情形之一时，产品管理人有权部分或全部提前终止本产品：</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因不可抗力原因导致理财产品无法继续运作。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4）</w:t>
      </w:r>
      <w:r>
        <w:rPr>
          <w:rFonts w:hint="eastAsia" w:cs="宋体"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6）</w:t>
      </w:r>
      <w:r>
        <w:rPr>
          <w:rFonts w:hint="eastAsia" w:cs="宋体"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7）</w:t>
      </w:r>
      <w:r>
        <w:rPr>
          <w:rFonts w:hint="eastAsia" w:ascii="宋体" w:hAnsi="宋体" w:eastAsia="宋体" w:cs="宋体"/>
          <w:bCs/>
          <w:sz w:val="18"/>
          <w:szCs w:val="18"/>
        </w:rPr>
        <w:t>所投资资产部分或全部提前偿付。</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8）提前终止产品比维持产品运作更有利于保护产品持有人的</w:t>
      </w:r>
      <w:r>
        <w:rPr>
          <w:rFonts w:hint="eastAsia" w:cs="宋体" w:asciiTheme="majorEastAsia" w:hAnsiTheme="majorEastAsia" w:eastAsiaTheme="majorEastAsia"/>
          <w:bCs/>
          <w:sz w:val="18"/>
          <w:szCs w:val="18"/>
        </w:rPr>
        <w:t>权益。</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9）</w:t>
      </w:r>
      <w:r>
        <w:rPr>
          <w:rFonts w:hint="eastAsia" w:cs="宋体"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w:t>
      </w:r>
      <w:r>
        <w:rPr>
          <w:rFonts w:hint="eastAsia" w:ascii="黑体" w:hAnsi="黑体" w:eastAsia="黑体" w:cs="宋体"/>
          <w:bCs/>
          <w:sz w:val="18"/>
          <w:szCs w:val="18"/>
        </w:rPr>
        <w:t>★延期</w:t>
      </w:r>
      <w:r>
        <w:rPr>
          <w:rFonts w:ascii="黑体" w:hAnsi="黑体" w:eastAsia="黑体" w:cs="宋体"/>
          <w:bCs/>
          <w:sz w:val="18"/>
          <w:szCs w:val="18"/>
        </w:rPr>
        <w:t>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出现以下情况，产品管理人有权延长本理财产品的</w:t>
      </w:r>
      <w:r>
        <w:rPr>
          <w:rFonts w:ascii="黑体" w:hAnsi="黑体" w:eastAsia="黑体" w:cs="宋体"/>
          <w:bCs/>
          <w:sz w:val="18"/>
          <w:szCs w:val="18"/>
        </w:rPr>
        <w:t>终止</w:t>
      </w:r>
      <w:r>
        <w:rPr>
          <w:rFonts w:hint="eastAsia" w:ascii="黑体" w:hAnsi="黑体" w:eastAsia="黑体" w:cs="宋体"/>
          <w:bCs/>
          <w:sz w:val="18"/>
          <w:szCs w:val="18"/>
        </w:rPr>
        <w:t>日：</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因市场成交量不足、资产限制赎回、暂停交易、缺乏意愿交易对手、交易对手违约等原因，导致产品项下对应的投资标的无法及时变现；</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2）</w:t>
      </w:r>
      <w:r>
        <w:rPr>
          <w:rFonts w:hint="eastAsia" w:ascii="黑体" w:hAnsi="黑体" w:eastAsia="黑体" w:cs="宋体"/>
          <w:bCs/>
          <w:sz w:val="18"/>
          <w:szCs w:val="18"/>
        </w:rPr>
        <w:t>因资金在途等原因，导致未能及时收回资金；</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3）</w:t>
      </w:r>
      <w:r>
        <w:rPr>
          <w:rFonts w:hint="eastAsia" w:ascii="黑体" w:hAnsi="黑体" w:eastAsia="黑体" w:cs="宋体"/>
          <w:bCs/>
          <w:sz w:val="18"/>
          <w:szCs w:val="18"/>
        </w:rPr>
        <w:t>因不可抗力等原因，导致产品管理人无法分配；</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其他产品管理人认为需要延期终止的情形。</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产品管理人决定延期</w:t>
      </w:r>
      <w:r>
        <w:rPr>
          <w:rFonts w:ascii="黑体" w:hAnsi="黑体" w:eastAsia="黑体" w:cs="宋体"/>
          <w:bCs/>
          <w:sz w:val="18"/>
          <w:szCs w:val="18"/>
        </w:rPr>
        <w:t>终止</w:t>
      </w:r>
      <w:r>
        <w:rPr>
          <w:rFonts w:hint="eastAsia" w:ascii="黑体" w:hAnsi="黑体" w:eastAsia="黑体" w:cs="宋体"/>
          <w:bCs/>
          <w:sz w:val="18"/>
          <w:szCs w:val="18"/>
        </w:rPr>
        <w:t>的，应依据约定进行公告。</w:t>
      </w:r>
      <w:r>
        <w:rPr>
          <w:rFonts w:ascii="黑体" w:hAnsi="黑体" w:eastAsia="黑体" w:cs="宋体"/>
          <w:bCs/>
          <w:sz w:val="18"/>
          <w:szCs w:val="18"/>
        </w:rPr>
        <w:t xml:space="preserve"> </w:t>
      </w:r>
    </w:p>
    <w:p>
      <w:pPr>
        <w:spacing w:line="360" w:lineRule="auto"/>
        <w:ind w:firstLine="361" w:firstLineChars="200"/>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（二）理财产品的清算</w:t>
      </w:r>
    </w:p>
    <w:p>
      <w:pPr>
        <w:spacing w:line="360" w:lineRule="auto"/>
        <w:ind w:firstLine="360" w:firstLineChars="200"/>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理财产品到期日为理财产品终止日（含提前终止或延期终止）。产品份额全部终止后，理财产品终止运作，进入清算期，清算期内产生的利息（如有）归投资者所有。理财资产清算后扣除理财相关费用、缴纳所欠税款并清偿理财产品负债后，理财利益按投资者持有的理财产品份额比例进行分配。清算期原则上不得超过【</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】个工作日，清算期超过【</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】个工作日的，</w:t>
      </w:r>
      <w:r>
        <w:rPr>
          <w:rFonts w:cs="宋体" w:asciiTheme="majorEastAsia" w:hAnsiTheme="majorEastAsia" w:eastAsiaTheme="majorEastAsia"/>
          <w:bCs/>
          <w:sz w:val="18"/>
          <w:szCs w:val="18"/>
        </w:rPr>
        <w:t>将依约</w:t>
      </w:r>
      <w:r>
        <w:rPr>
          <w:rFonts w:hint="eastAsia" w:cs="宋体" w:asciiTheme="majorEastAsia" w:hAnsiTheme="majorEastAsia" w:eastAsiaTheme="majorEastAsia"/>
          <w:bCs/>
          <w:sz w:val="18"/>
          <w:szCs w:val="18"/>
        </w:rPr>
        <w:t>定进行公告。</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部分终止的比例：理财产品将按比例（已变现资产</w:t>
      </w:r>
      <w:r>
        <w:rPr>
          <w:rFonts w:cs="宋体" w:asciiTheme="majorEastAsia" w:hAnsiTheme="majorEastAsia" w:eastAsiaTheme="majorEastAsia"/>
          <w:bCs/>
          <w:sz w:val="18"/>
          <w:szCs w:val="18"/>
        </w:rPr>
        <w:t>/理财产品净资产）</w:t>
      </w:r>
      <w:r>
        <w:rPr>
          <w:rFonts w:hint="eastAsia" w:cs="宋体" w:asciiTheme="majorEastAsia" w:hAnsiTheme="majorEastAsia" w:eastAsiaTheme="majorEastAsia"/>
          <w:bCs/>
          <w:sz w:val="18"/>
          <w:szCs w:val="18"/>
        </w:rPr>
        <w:t>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部分终止的利益分配：产品管理人将依照销售文件公布部分终止日并指定利益分配日（一般为部分终止日之后的【</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】个工作日以内）。产品管理人应将理财利益于指定的利益分配</w:t>
      </w:r>
      <w:r>
        <w:rPr>
          <w:rFonts w:cs="宋体" w:asciiTheme="majorEastAsia" w:hAnsiTheme="majorEastAsia" w:eastAsiaTheme="majorEastAsia"/>
          <w:bCs/>
          <w:sz w:val="18"/>
          <w:szCs w:val="18"/>
        </w:rPr>
        <w:t>日</w:t>
      </w:r>
      <w:r>
        <w:rPr>
          <w:rFonts w:hint="eastAsia" w:cs="宋体" w:asciiTheme="majorEastAsia" w:hAnsiTheme="majorEastAsia" w:eastAsiaTheme="majorEastAsia"/>
          <w:bCs/>
          <w:sz w:val="18"/>
          <w:szCs w:val="18"/>
        </w:rPr>
        <w:t>（遇节假日顺延）向投资者分配。</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理财产品部分终止日（含当日）至理财</w:t>
      </w:r>
      <w:r>
        <w:rPr>
          <w:rFonts w:cs="宋体" w:asciiTheme="majorEastAsia" w:hAnsiTheme="majorEastAsia" w:eastAsiaTheme="majorEastAsia"/>
          <w:bCs/>
          <w:sz w:val="18"/>
          <w:szCs w:val="18"/>
        </w:rPr>
        <w:t>利益</w:t>
      </w:r>
      <w:r>
        <w:rPr>
          <w:rFonts w:hint="eastAsia" w:cs="宋体" w:asciiTheme="majorEastAsia" w:hAnsiTheme="majorEastAsia" w:eastAsiaTheme="majorEastAsia"/>
          <w:bCs/>
          <w:sz w:val="18"/>
          <w:szCs w:val="18"/>
        </w:rPr>
        <w:t>实际到账日之间产生的利息（如有），归投资者所有。</w:t>
      </w:r>
    </w:p>
    <w:p>
      <w:pPr>
        <w:spacing w:line="360" w:lineRule="auto"/>
        <w:ind w:firstLine="360" w:firstLineChars="200"/>
        <w:rPr>
          <w:rFonts w:hint="eastAsia" w:cs="宋体" w:asciiTheme="majorEastAsia" w:hAnsiTheme="majorEastAsia" w:eastAsiaTheme="majorEastAsia"/>
          <w:bCs/>
          <w:sz w:val="18"/>
          <w:szCs w:val="18"/>
        </w:rPr>
      </w:pPr>
      <w:r>
        <w:rPr>
          <w:rFonts w:cs="宋体" w:asciiTheme="majorEastAsia" w:hAnsiTheme="majorEastAsia" w:eastAsiaTheme="majorEastAsia"/>
          <w:bCs/>
          <w:sz w:val="18"/>
          <w:szCs w:val="18"/>
        </w:rPr>
        <w:t>3.理财</w:t>
      </w:r>
      <w:r>
        <w:rPr>
          <w:rFonts w:hint="eastAsia" w:cs="宋体"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spacing w:line="360" w:lineRule="auto"/>
        <w:ind w:firstLine="360" w:firstLineChars="200"/>
        <w:rPr>
          <w:rFonts w:hint="eastAsia" w:cs="宋体" w:asciiTheme="majorEastAsia" w:hAnsiTheme="majorEastAsia" w:eastAsiaTheme="majorEastAsia"/>
          <w:bCs/>
          <w:sz w:val="18"/>
          <w:szCs w:val="18"/>
        </w:rPr>
      </w:pPr>
      <w:r>
        <w:rPr>
          <w:rFonts w:hint="default" w:cs="宋体" w:asciiTheme="majorEastAsia" w:hAnsiTheme="majorEastAsia" w:eastAsiaTheme="majorEastAsia"/>
          <w:bCs/>
          <w:sz w:val="18"/>
          <w:szCs w:val="18"/>
          <w:lang w:val="en-US" w:eastAsia="zh-CN"/>
        </w:rPr>
        <w:t>4.理财产品终止日，如遇理财产品项下资产因包括但不限于市场风险、信用风险等原因不能全部变现，本产品存在二次或多次清算的可能。如产品管理人拟进行二次或多次清算的，将依约定进行公告。对于未变现资产部分，产品管理人以投资者利益最大化的原则，寻求未变现资产变现方式，在资产变现后，产品持有的现金类资产在扣除理财相关费用、缴纳所欠税款并清偿理财产品负债后，在</w:t>
      </w:r>
      <w:r>
        <w:rPr>
          <w:rFonts w:hint="eastAsia" w:cs="宋体" w:asciiTheme="majorEastAsia" w:hAnsiTheme="majorEastAsia" w:eastAsiaTheme="majorEastAsia"/>
          <w:bCs/>
          <w:sz w:val="18"/>
          <w:szCs w:val="18"/>
        </w:rPr>
        <w:t>【5】</w:t>
      </w:r>
      <w:r>
        <w:rPr>
          <w:rFonts w:hint="default" w:cs="宋体" w:asciiTheme="majorEastAsia" w:hAnsiTheme="majorEastAsia" w:eastAsiaTheme="majorEastAsia"/>
          <w:bCs/>
          <w:sz w:val="18"/>
          <w:szCs w:val="18"/>
          <w:lang w:val="en-US" w:eastAsia="zh-CN"/>
        </w:rPr>
        <w:t>个工作日内按投资者持有的理财产品份额比例向投资者进行再次分配。</w:t>
      </w:r>
    </w:p>
    <w:bookmarkEnd w:id="189"/>
    <w:bookmarkEnd w:id="190"/>
    <w:bookmarkEnd w:id="191"/>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r>
        <w:rPr>
          <w:rFonts w:ascii="Times New Roman" w:hAnsi="Calibri" w:eastAsia="宋体" w:cs="宋体"/>
          <w:b w:val="0"/>
          <w:bCs w:val="0"/>
          <w:kern w:val="2"/>
          <w:sz w:val="44"/>
          <w:szCs w:val="44"/>
          <w:lang w:val="en-US" w:eastAsia="zh-CN" w:bidi="ar-SA"/>
        </w:rPr>
        <w:br w:type="page"/>
      </w:r>
      <w:bookmarkStart w:id="192" w:name="_Toc32092"/>
      <w:bookmarkStart w:id="193" w:name="_Toc74065747"/>
      <w:bookmarkStart w:id="194" w:name="_Toc123102457"/>
      <w:bookmarkStart w:id="195" w:name="_Toc79154674"/>
      <w:bookmarkStart w:id="196" w:name="_Toc98560356"/>
      <w:bookmarkStart w:id="197" w:name="_Toc123051456"/>
      <w:bookmarkStart w:id="198" w:name="_Toc79392622"/>
      <w:bookmarkStart w:id="199" w:name="_Toc176189763"/>
      <w:bookmarkStart w:id="200" w:name="_Toc141703890"/>
      <w:bookmarkStart w:id="201" w:name="_Toc32584"/>
      <w:bookmarkStart w:id="202" w:name="_Toc48649708"/>
      <w:bookmarkStart w:id="203" w:name="_Toc139991740"/>
      <w:bookmarkStart w:id="204" w:name="_Toc123112238"/>
      <w:bookmarkStart w:id="205" w:name="_Toc3329"/>
      <w:bookmarkStart w:id="206" w:name="_Toc5170"/>
      <w:bookmarkStart w:id="207" w:name="_Toc8791"/>
      <w:bookmarkStart w:id="208" w:name="_Toc17198"/>
      <w:bookmarkStart w:id="209" w:name="_Toc29408"/>
      <w:bookmarkStart w:id="210" w:name="_Toc21237"/>
      <w:bookmarkStart w:id="211" w:name="_Toc739"/>
      <w:bookmarkStart w:id="212" w:name="_Toc17920"/>
      <w:r>
        <w:rPr>
          <w:rFonts w:ascii="Times New Roman" w:hAnsi="Calibri" w:eastAsia="宋体" w:cs="宋体"/>
          <w:b/>
          <w:bCs/>
          <w:kern w:val="44"/>
          <w:sz w:val="30"/>
          <w:szCs w:val="44"/>
          <w:lang w:val="en-US" w:eastAsia="zh-CN" w:bidi="ar-SA"/>
        </w:rPr>
        <w:t>第十一</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理财产品的信息披露</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（一）信息</w:t>
      </w:r>
      <w:r>
        <w:rPr>
          <w:rFonts w:ascii="宋体" w:hAnsi="宋体" w:eastAsia="宋体" w:cs="宋体"/>
          <w:b/>
          <w:bCs/>
          <w:sz w:val="18"/>
          <w:szCs w:val="18"/>
        </w:rPr>
        <w:t>披露的原则</w:t>
      </w:r>
    </w:p>
    <w:p>
      <w:pPr>
        <w:spacing w:line="360" w:lineRule="auto"/>
        <w:ind w:firstLine="360"/>
        <w:rPr>
          <w:rFonts w:ascii="宋体" w:hAnsi="宋体" w:eastAsia="宋体" w:cs="宋体"/>
          <w:b/>
          <w:bCs/>
          <w:sz w:val="18"/>
          <w:szCs w:val="18"/>
        </w:rPr>
      </w:pPr>
      <w:r>
        <w:rPr>
          <w:rFonts w:hint="eastAsia" w:ascii="宋体" w:hAnsi="宋体" w:eastAsia="宋体" w:cs="宋体"/>
          <w:bCs/>
          <w:sz w:val="18"/>
          <w:szCs w:val="18"/>
        </w:rPr>
        <w:t>产品管理人</w:t>
      </w:r>
      <w:r>
        <w:rPr>
          <w:rFonts w:ascii="宋体" w:hAnsi="宋体" w:eastAsia="宋体" w:cs="宋体"/>
          <w:bCs/>
          <w:sz w:val="18"/>
          <w:szCs w:val="18"/>
        </w:rPr>
        <w:t>遵循真实性、准确性、完整性和及时性原则</w:t>
      </w:r>
      <w:r>
        <w:rPr>
          <w:rFonts w:hint="eastAsia" w:ascii="宋体" w:hAnsi="宋体" w:eastAsia="宋体" w:cs="宋体"/>
          <w:bCs/>
          <w:sz w:val="18"/>
          <w:szCs w:val="18"/>
        </w:rPr>
        <w:t>进行</w:t>
      </w:r>
      <w:r>
        <w:rPr>
          <w:rFonts w:ascii="宋体" w:hAnsi="宋体" w:eastAsia="宋体" w:cs="宋体"/>
          <w:bCs/>
          <w:sz w:val="18"/>
          <w:szCs w:val="18"/>
        </w:rPr>
        <w:t>信息披露</w:t>
      </w:r>
      <w:r>
        <w:rPr>
          <w:rFonts w:hint="eastAsia" w:ascii="宋体" w:hAnsi="宋体" w:eastAsia="宋体" w:cs="宋体"/>
          <w:bCs/>
          <w:sz w:val="18"/>
          <w:szCs w:val="18"/>
        </w:rPr>
        <w:t>。</w:t>
      </w:r>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（二）信息披露的渠道</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理财产品的信息披露将通过中国理财网(www.chinawealth.com.cn）及产品管理人门户网站（www.cibwm.com.cn）或销售机构的门户网站、电子销售渠道或营业网点等进行。本理财产品认购期和存续期间，产品管理人将通过中国理财网及产品管理人或销售机构的信息披露渠道开展理财产品的信息披露工作。请投资者及时关注。</w:t>
      </w:r>
    </w:p>
    <w:p>
      <w:pPr>
        <w:spacing w:line="360" w:lineRule="auto"/>
        <w:ind w:firstLine="360"/>
        <w:rPr>
          <w:rFonts w:hint="eastAsia" w:ascii="黑体" w:hAnsi="黑体" w:eastAsia="黑体" w:cs="黑体"/>
          <w:bCs/>
          <w:sz w:val="18"/>
          <w:szCs w:val="18"/>
        </w:rPr>
      </w:pPr>
      <w:r>
        <w:rPr>
          <w:rFonts w:hint="eastAsia" w:ascii="黑体" w:hAnsi="黑体" w:eastAsia="黑体" w:cs="黑体"/>
          <w:bCs/>
          <w:sz w:val="18"/>
          <w:szCs w:val="18"/>
        </w:rPr>
        <w:t>2.</w:t>
      </w:r>
      <w:r>
        <w:rPr>
          <w:rFonts w:ascii="黑体" w:hAnsi="黑体" w:eastAsia="黑体" w:cs="宋体"/>
          <w:bCs/>
          <w:sz w:val="18"/>
          <w:szCs w:val="18"/>
        </w:rPr>
        <w:t>★</w:t>
      </w:r>
      <w:r>
        <w:rPr>
          <w:rFonts w:hint="eastAsia" w:ascii="黑体" w:hAnsi="黑体" w:eastAsia="黑体" w:cs="黑体"/>
          <w:bCs/>
          <w:sz w:val="18"/>
          <w:szCs w:val="18"/>
        </w:rPr>
        <w:t>产品管理人通过中国理财网及产品管理人或销售机构的信息披露渠道发布理财产品有关信息，即视为已适当履行其信息披露义务。如产品管理人认为需要直接联系投资者的，将依据本说明书投资者信息中投资者预留的信息进行通知。因投资者原因而导致该等通知失败的，产品管理人不承担相应责任。</w:t>
      </w:r>
    </w:p>
    <w:p>
      <w:pPr>
        <w:spacing w:line="360" w:lineRule="auto"/>
        <w:ind w:firstLine="360"/>
        <w:rPr>
          <w:rFonts w:ascii="宋体" w:hAnsi="宋体" w:eastAsia="宋体" w:cs="宋体"/>
          <w:bCs/>
          <w:sz w:val="18"/>
          <w:szCs w:val="18"/>
        </w:rPr>
      </w:pPr>
      <w:r>
        <w:rPr>
          <w:rFonts w:ascii="宋体" w:hAnsi="宋体" w:eastAsia="宋体" w:cs="宋体"/>
          <w:bCs/>
          <w:sz w:val="18"/>
          <w:szCs w:val="18"/>
        </w:rPr>
        <w:t>3.投资者应定期通过约定的信息披露渠道获知有关理财产品相关信息。以上相关信息自披露之日即视为已送达投资者，也视为产品管理人</w:t>
      </w:r>
      <w:r>
        <w:rPr>
          <w:rFonts w:hint="eastAsia" w:ascii="宋体" w:hAnsi="宋体" w:eastAsia="宋体" w:cs="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eastAsia="宋体" w:cs="宋体"/>
          <w:bCs/>
          <w:sz w:val="18"/>
          <w:szCs w:val="18"/>
        </w:rPr>
      </w:pPr>
      <w:r>
        <w:rPr>
          <w:rFonts w:ascii="宋体" w:hAnsi="宋体" w:eastAsia="宋体" w:cs="宋体"/>
          <w:bCs/>
          <w:sz w:val="18"/>
          <w:szCs w:val="18"/>
        </w:rPr>
        <w:t>4.在保障投资者知情权的前提下</w:t>
      </w:r>
      <w:r>
        <w:rPr>
          <w:rFonts w:hint="eastAsia" w:ascii="宋体" w:hAnsi="宋体" w:eastAsia="宋体" w:cs="宋体"/>
          <w:bCs/>
          <w:sz w:val="18"/>
          <w:szCs w:val="18"/>
        </w:rPr>
        <w:t>，</w:t>
      </w:r>
      <w:r>
        <w:rPr>
          <w:rFonts w:ascii="宋体" w:hAnsi="宋体" w:eastAsia="宋体" w:cs="宋体"/>
          <w:bCs/>
          <w:sz w:val="18"/>
          <w:szCs w:val="18"/>
        </w:rPr>
        <w:t>产品管理人保留变更信息披露渠道的权利。</w:t>
      </w:r>
    </w:p>
    <w:p>
      <w:pPr>
        <w:spacing w:line="360" w:lineRule="auto"/>
        <w:ind w:firstLine="360"/>
        <w:rPr>
          <w:rFonts w:hint="eastAsia" w:ascii="宋体" w:hAnsi="宋体" w:eastAsia="宋体" w:cs="宋体"/>
          <w:b/>
          <w:bCs w:val="0"/>
          <w:sz w:val="18"/>
          <w:szCs w:val="18"/>
        </w:rPr>
      </w:pPr>
      <w:r>
        <w:rPr>
          <w:rFonts w:hint="eastAsia" w:ascii="宋体" w:hAnsi="宋体" w:eastAsia="宋体" w:cs="宋体"/>
          <w:b/>
          <w:bCs w:val="0"/>
          <w:sz w:val="18"/>
          <w:szCs w:val="18"/>
        </w:rPr>
        <w:t>（三）信息披露的方式</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理财产品的信息披露原则上采取公开披露方式，但涉及向具体投资者提供其个人投资信息等法律法规、监管规定另有规定的从其规定。</w:t>
      </w:r>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w:t>
      </w:r>
      <w:r>
        <w:rPr>
          <w:rFonts w:hint="eastAsia" w:ascii="宋体" w:hAnsi="宋体" w:eastAsia="宋体" w:cs="宋体"/>
          <w:b/>
          <w:bCs/>
          <w:sz w:val="18"/>
          <w:szCs w:val="18"/>
          <w:lang w:val="en-US" w:eastAsia="zh-CN"/>
        </w:rPr>
        <w:t>四</w:t>
      </w:r>
      <w:r>
        <w:rPr>
          <w:rFonts w:hint="eastAsia" w:ascii="宋体" w:hAnsi="宋体" w:eastAsia="宋体" w:cs="宋体"/>
          <w:b/>
          <w:bCs/>
          <w:sz w:val="18"/>
          <w:szCs w:val="18"/>
        </w:rPr>
        <w:t>）信息披露的内容</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理财产品信息披露的文件或信息包括：</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1.理财产品基本信息，包括产品登记编码、份额代码、产品名称、币种等；</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2.销售文件，包括产品说明书、投资协议书、风险揭示书、</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代理</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销售协议书、投资者权益须知及国家金融监督管理总局规定的其他信息；</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3.发行公告；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4.定期报告，包括季度报告、半年度报告和年度报告；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5.净值信息；</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6.过往业绩信息（适用于披露过往业绩的理财产品）；</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7.临时信息披露公告；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8.到期公告；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9.重大事项公告；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10.监管部门和自律规范规定的其他信息。</w:t>
      </w:r>
    </w:p>
    <w:p>
      <w:pPr>
        <w:spacing w:line="360" w:lineRule="auto"/>
        <w:ind w:firstLine="360"/>
        <w:rPr>
          <w:rFonts w:hint="eastAsia" w:ascii="宋体" w:hAnsi="宋体" w:eastAsia="宋体" w:cs="宋体"/>
          <w:b/>
          <w:bCs w:val="0"/>
          <w:sz w:val="18"/>
          <w:szCs w:val="18"/>
        </w:rPr>
      </w:pPr>
      <w:r>
        <w:rPr>
          <w:rFonts w:hint="eastAsia" w:ascii="宋体" w:hAnsi="宋体" w:eastAsia="宋体" w:cs="宋体"/>
          <w:b/>
          <w:bCs w:val="0"/>
          <w:sz w:val="18"/>
          <w:szCs w:val="18"/>
        </w:rPr>
        <w:t>（五）信息披露的频率和时间</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1.产品发行公告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本产品成立后5个工作日内，产品管理人将发布产品发行公告。发行公告内容应当至少包括产品成立日期和募集规模等信息。</w:t>
      </w:r>
    </w:p>
    <w:p>
      <w:pPr>
        <w:spacing w:line="360" w:lineRule="auto"/>
        <w:ind w:firstLine="360"/>
        <w:rPr>
          <w:rFonts w:ascii="宋体" w:hAnsi="宋体" w:eastAsia="宋体" w:cs="宋体"/>
          <w:bCs/>
          <w:sz w:val="18"/>
          <w:szCs w:val="18"/>
        </w:rPr>
      </w:pPr>
      <w:r>
        <w:rPr>
          <w:rFonts w:ascii="宋体" w:hAnsi="宋体" w:eastAsia="宋体" w:cs="宋体"/>
          <w:bCs/>
          <w:sz w:val="18"/>
          <w:szCs w:val="18"/>
        </w:rPr>
        <w:t>2.重大事项</w:t>
      </w:r>
      <w:r>
        <w:rPr>
          <w:rFonts w:hint="eastAsia" w:ascii="宋体" w:hAnsi="宋体" w:eastAsia="宋体" w:cs="宋体"/>
          <w:bCs/>
          <w:sz w:val="18"/>
          <w:szCs w:val="18"/>
        </w:rPr>
        <w:t>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产品管理人对于产品存续期间发生的以下事项，将于知晓或应当知晓相关事项后5个工作日内向投资者披露，披露内容包括但不限于相关事项的基本情况、对产品运行和投资者可能产生的影响、理财公司采取的应对措施及后续方案等：</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（1）更换产品管理人或产品管理人变更实际控制人，更换托管机构，产品管理人或托管机构的法定名称、住所发生变更；</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（2）涉及产品穿透后持仓10%及以上的单笔资产的诉讼或仲裁，并可能对产品或其投资者权益有重大影响的；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（3）产品穿透后持仓10%及以上的非标准化债权类资产的融资主体、担保主体发生重大行政处罚、重大诉讼或仲裁，或破产、兼并、重组等重大事项，并对其还款能力或担保能力造成重大不利影响；</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（4）产品穿透后持仓10%及以上的非标准化债权类资产的融资主体对其公开市场债务出现不能按时足额还本付息情况的；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（5）涉及产品穿透后持仓10%及以上的单笔资产的债券违约、股票停牌或退市的；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（6）公募产品份额净值计价错误达份额净值0.5%；</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（7）金融市场发生重大变化导致理财产品投资比例暂时超出浮动区间且可能对理财产品收益产生重大影响的；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（8）法律法规以及</w:t>
      </w:r>
      <w:r>
        <w:rPr>
          <w:rFonts w:hint="eastAsia" w:ascii="宋体" w:hAnsi="宋体" w:eastAsia="宋体" w:cs="宋体"/>
          <w:bCs/>
          <w:sz w:val="18"/>
          <w:szCs w:val="18"/>
          <w:lang w:eastAsia="zh-CN"/>
        </w:rPr>
        <w:t>监管</w:t>
      </w:r>
      <w:r>
        <w:rPr>
          <w:rFonts w:hint="eastAsia" w:ascii="宋体" w:hAnsi="宋体" w:eastAsia="宋体" w:cs="宋体"/>
          <w:bCs/>
          <w:sz w:val="18"/>
          <w:szCs w:val="18"/>
        </w:rPr>
        <w:t>规定的其他内容，或者产品管理人认为可能对投资者权益产生重大不利影响的其他事项。</w:t>
      </w:r>
    </w:p>
    <w:p>
      <w:pPr>
        <w:spacing w:line="360" w:lineRule="auto"/>
        <w:ind w:firstLine="360"/>
        <w:rPr>
          <w:rFonts w:hint="eastAsia" w:ascii="黑体" w:hAnsi="黑体" w:eastAsia="黑体" w:cs="黑体"/>
          <w:bCs/>
          <w:sz w:val="18"/>
          <w:szCs w:val="18"/>
        </w:rPr>
      </w:pPr>
      <w:r>
        <w:rPr>
          <w:rFonts w:hint="eastAsia" w:ascii="黑体" w:hAnsi="黑体" w:eastAsia="黑体" w:cs="黑体"/>
          <w:bCs/>
          <w:sz w:val="18"/>
          <w:szCs w:val="18"/>
        </w:rPr>
        <w:t>★上述事项根据法律法规、</w:t>
      </w:r>
      <w:r>
        <w:rPr>
          <w:rFonts w:hint="eastAsia" w:ascii="黑体" w:hAnsi="黑体" w:eastAsia="黑体" w:cs="黑体"/>
          <w:bCs/>
          <w:sz w:val="18"/>
          <w:szCs w:val="18"/>
          <w:lang w:eastAsia="zh-CN"/>
        </w:rPr>
        <w:t>监管</w:t>
      </w:r>
      <w:r>
        <w:rPr>
          <w:rFonts w:hint="eastAsia" w:ascii="黑体" w:hAnsi="黑体" w:eastAsia="黑体" w:cs="黑体"/>
          <w:bCs/>
          <w:sz w:val="18"/>
          <w:szCs w:val="18"/>
        </w:rPr>
        <w:t>规定或销售文件约定需履行有关变更程序的，应当严格按照要求执行，不得仅以事后信息披露代替履行变更程序。</w:t>
      </w:r>
    </w:p>
    <w:p>
      <w:pPr>
        <w:spacing w:line="360" w:lineRule="auto"/>
        <w:ind w:firstLine="360"/>
        <w:rPr>
          <w:rFonts w:ascii="宋体" w:hAnsi="宋体" w:eastAsia="宋体" w:cs="宋体"/>
          <w:bCs/>
          <w:sz w:val="18"/>
          <w:szCs w:val="18"/>
        </w:rPr>
      </w:pPr>
      <w:r>
        <w:rPr>
          <w:rFonts w:ascii="宋体" w:hAnsi="宋体" w:eastAsia="宋体" w:cs="宋体"/>
          <w:bCs/>
          <w:sz w:val="18"/>
          <w:szCs w:val="18"/>
        </w:rPr>
        <w:t>3.定期报告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定期报告分为季度、半年度和年度定期报告。产品管理人应当于每个季度结束之日起15个工作日内披露产品的季度报告，每年8月31日前披露产品的半年度报告，每年4月30日前披露产品上一年度的年度报告。产品成立不足90个自然日的，可以不编制当期的季度、半年和年度报告。首次定期报告的报告期（季度、半年或年度）从成立日开始至第一个报告期末。产品期限超过90个自然日的产品应当在存续期内至少披露一次定期报告。产品剩余存续期不足完整报告期，且到期公告或清算报告包括对应定期报告内容的，可以不编制剩余存续期所对应的季度、半年和年度报告。</w:t>
      </w:r>
    </w:p>
    <w:p>
      <w:pPr>
        <w:spacing w:line="360" w:lineRule="auto"/>
        <w:ind w:firstLine="360"/>
        <w:rPr>
          <w:rFonts w:ascii="宋体" w:hAnsi="宋体" w:eastAsia="宋体" w:cs="宋体"/>
          <w:bCs/>
          <w:sz w:val="18"/>
          <w:szCs w:val="18"/>
        </w:rPr>
      </w:pPr>
      <w:r>
        <w:rPr>
          <w:rFonts w:ascii="宋体" w:hAnsi="宋体" w:eastAsia="宋体" w:cs="宋体"/>
          <w:bCs/>
          <w:sz w:val="18"/>
          <w:szCs w:val="18"/>
        </w:rPr>
        <w:t>4.到期公告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（1）本产品终止后5个工作日内，产品管理人发布产品到期公告。到期公告应当至少包括产品的存续期限、终止日期、收费情况、收益分配情况等信息。</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2）产品提前终止时，产品管理人应当不晚于提前终止日前1个工作日向投资者披露提前终止公告。产品因投资者赎回等原因被动提前终止的，产品管理人应不晚于提前终止当日向投资者披露提前终止公告。产品延期终止时，产品管理人应在原计划终止日前向投资者发出延期终止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5.净值信息</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产品存续期间，每【周】披露一次产品份额净值、产品份额累计净值和资产净值。如遇法定节假日顺延。此外，如遇其他特殊情况，以产品管理人信息披露为准。</w:t>
      </w:r>
    </w:p>
    <w:p>
      <w:pPr>
        <w:spacing w:line="360" w:lineRule="auto"/>
        <w:ind w:firstLine="360"/>
        <w:rPr>
          <w:rFonts w:ascii="宋体" w:hAnsi="宋体" w:eastAsia="宋体" w:cs="宋体"/>
          <w:bCs/>
          <w:sz w:val="18"/>
          <w:szCs w:val="18"/>
        </w:rPr>
      </w:pPr>
      <w:r>
        <w:rPr>
          <w:rFonts w:ascii="宋体" w:hAnsi="宋体" w:eastAsia="宋体" w:cs="宋体"/>
          <w:bCs/>
          <w:sz w:val="18"/>
          <w:szCs w:val="18"/>
        </w:rPr>
        <w:t>6.临时公告</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★产品管理人针对产品存续期间的以下事项，将提前1个工作日发布变更公告，调整后的要素以产品管理人发布的变更公告中所载明的内容为准：</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1）变更或调整理财产品销售文件及公告约定的产品类型、投资范围、投资资产种类、投资比例、风险等级、产品期限、运作方式、认（申）购和赎回安排（包含认购或申购赎回时间、金额上下限等）、估值方法、收益分配安排、业绩比较基准（如有）、业绩报酬计提基准（如有）；</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2）增设产品份额类别；</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3）根据相关法律和国家政策规定，对已约定的收费项目、条件、标准和方式进行调整；</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4）对已约定的收费项目或收费标准采取优惠措施（应明确标注优惠措施的生效日期及终止日期，后续如有调整另行公告）；</w:t>
      </w:r>
    </w:p>
    <w:p>
      <w:pPr>
        <w:spacing w:line="360" w:lineRule="auto"/>
        <w:ind w:firstLine="361"/>
        <w:rPr>
          <w:rFonts w:ascii="黑体" w:hAnsi="黑体" w:eastAsia="黑体" w:cs="宋体"/>
          <w:bCs/>
          <w:sz w:val="18"/>
          <w:szCs w:val="18"/>
        </w:rPr>
      </w:pPr>
      <w:r>
        <w:rPr>
          <w:rFonts w:hint="eastAsia" w:ascii="黑体" w:hAnsi="黑体" w:eastAsia="黑体" w:cs="宋体"/>
          <w:bCs/>
          <w:sz w:val="18"/>
          <w:szCs w:val="18"/>
        </w:rPr>
        <w:t>5）法律法规、监管规定或产品管理人认为需要向投资者事前披露的其他临时事项。</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在发生产品管理人拒绝或暂停接受投资者认购申请、暂停理财产品估值等情形时，产品管理人将于采取相关措施后3个交易日内告知投资者，并说明运用相关措施的原因和拟采取的应对安排等。在发生涉及产品认购事项调整时，管理人将发布临时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理财产品清算期超过5个工作日的，产品管理人应当在理财产品终止前，根据与投资者的约定，在指定渠道向理财产品投资者进行披露。如预期无法在规定的清算期内完成清算，产品管理人应当在原定清算期结束前向投资者进行披露。产品终止清算后，因发生无法预期事项需再次清算的，应当在完成再次清算之日起2个工作日内向投资者披露清算资金分配情况等信息。</w:t>
      </w:r>
    </w:p>
    <w:p>
      <w:pPr>
        <w:spacing w:line="360" w:lineRule="auto"/>
        <w:ind w:firstLine="361"/>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在本产品存续期内，如因国家法律法规、监管规定发生变化，或是出于维护本产品正常运营的需要，在不损害投资者权益的前提下，产品管理人有权对理财产品销售文件进行修订，并提前1个工作日进行公告。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5）其他临时性公告</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除前述事项外，如出现其他突发事件，应在知晓或应当知晓相关事项后5个工作日内进行披露。</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本产品存续期内，当管理人对理财产品进行相应变更（包括调整产品类型、投资范围、投资资产种类、投资比例、风险等级、产品期限、运作方式、认（申）购和赎回安排（包含认购或申购赎回时间、金额上下限等）、估值方法、收益分配安排、业绩比较基准（如有）、业绩报酬计提基准（如有）或收费项目、条件、标准和方式等）时，若构成对投资者利益产生实质性不利影响或涉及当事人权利义务的重大变更的，投资者有权不接受变更，在符合法律法规及监管政策的前提下，可由管理人决定投资者的提前退出方式，并提前1个工作日进行公告。若投资者未选择退出本产品的，则视为已理解并接受管理人的相应变更。</w:t>
      </w:r>
    </w:p>
    <w:p>
      <w:pPr>
        <w:widowControl/>
        <w:spacing w:line="360" w:lineRule="auto"/>
        <w:jc w:val="left"/>
        <w:rPr>
          <w:rFonts w:ascii="Calibri" w:hAnsi="Calibri" w:eastAsia="宋体" w:cs="宋体"/>
          <w:bCs/>
          <w:sz w:val="24"/>
          <w:szCs w:val="22"/>
        </w:rPr>
      </w:pPr>
      <w:r>
        <w:rPr>
          <w:rFonts w:ascii="Calibri" w:hAnsi="Calibri" w:eastAsia="宋体" w:cs="宋体"/>
          <w:bCs/>
          <w:sz w:val="24"/>
          <w:szCs w:val="22"/>
        </w:rPr>
        <w:br w:type="page"/>
      </w:r>
    </w:p>
    <w:p>
      <w:pPr>
        <w:keepNext/>
        <w:keepLines/>
        <w:widowControl w:val="0"/>
        <w:spacing w:before="0" w:after="0" w:line="360" w:lineRule="auto"/>
        <w:jc w:val="center"/>
        <w:outlineLvl w:val="0"/>
        <w:rPr>
          <w:rFonts w:ascii="Times New Roman" w:hAnsi="Calibri" w:eastAsia="宋体" w:cs="宋体"/>
          <w:b w:val="0"/>
          <w:bCs/>
          <w:kern w:val="44"/>
          <w:sz w:val="30"/>
          <w:szCs w:val="44"/>
          <w:lang w:val="en-US" w:eastAsia="zh-CN" w:bidi="ar-SA"/>
        </w:rPr>
      </w:pPr>
      <w:bookmarkStart w:id="213" w:name="_Toc176189764"/>
      <w:bookmarkStart w:id="214" w:name="_Toc79154675"/>
      <w:r>
        <w:rPr>
          <w:rFonts w:hint="eastAsia" w:ascii="Times New Roman" w:hAnsi="Calibri" w:eastAsia="宋体" w:cs="宋体"/>
          <w:b/>
          <w:bCs/>
          <w:kern w:val="44"/>
          <w:sz w:val="30"/>
          <w:szCs w:val="44"/>
          <w:lang w:val="en-US" w:eastAsia="zh-CN" w:bidi="ar-SA"/>
        </w:rPr>
        <w:t>第十</w:t>
      </w:r>
      <w:r>
        <w:rPr>
          <w:rFonts w:ascii="Times New Roman" w:hAnsi="Calibri" w:eastAsia="宋体" w:cs="宋体"/>
          <w:b/>
          <w:bCs/>
          <w:kern w:val="44"/>
          <w:sz w:val="30"/>
          <w:szCs w:val="44"/>
          <w:lang w:val="en-US" w:eastAsia="zh-CN" w:bidi="ar-SA"/>
        </w:rPr>
        <w:t>二</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w:t>
      </w:r>
      <w:r>
        <w:rPr>
          <w:rFonts w:ascii="Times New Roman" w:hAnsi="Calibri" w:eastAsia="宋体" w:cs="宋体"/>
          <w:b/>
          <w:bCs/>
          <w:kern w:val="44"/>
          <w:sz w:val="30"/>
          <w:szCs w:val="44"/>
          <w:lang w:val="en-US" w:eastAsia="zh-CN" w:bidi="ar-SA"/>
        </w:rPr>
        <w:t>的风险揭示</w:t>
      </w:r>
      <w:bookmarkEnd w:id="213"/>
      <w:bookmarkEnd w:id="214"/>
    </w:p>
    <w:p>
      <w:pPr>
        <w:spacing w:line="360" w:lineRule="auto"/>
        <w:ind w:firstLine="361" w:firstLineChars="200"/>
        <w:rPr>
          <w:rFonts w:ascii="宋体" w:hAnsi="宋体" w:eastAsia="宋体" w:cs="宋体"/>
          <w:b/>
          <w:sz w:val="18"/>
          <w:szCs w:val="18"/>
        </w:rPr>
      </w:pPr>
      <w:r>
        <w:rPr>
          <w:rFonts w:hint="eastAsia" w:ascii="宋体" w:hAnsi="宋体" w:eastAsia="宋体" w:cs="宋体"/>
          <w:b/>
          <w:sz w:val="18"/>
          <w:szCs w:val="18"/>
        </w:rPr>
        <w:t>（一）投资者投资本产品可能面临的特定风险主要包括（但不限于）：</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【1.拟投资市场和资产的风险：</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（1）投资债权类资产的风险</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1）投资标准化债权类资产的风险</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2）投资非标准化债权类资产的风险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本产品投资非标债权类资产时可能面临以下风险：由于融资主体/增信主体/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中登记和独立托管、缺乏公允性定价和流动机制不完善、未在银行间市场、证券交易所市场等国务院同意设立的交易市场交易等原因，从而缺乏交易对手，导致流动性风险等。】</w:t>
      </w:r>
    </w:p>
    <w:p>
      <w:pPr>
        <w:widowControl w:val="0"/>
        <w:spacing w:line="360" w:lineRule="auto"/>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eastAsia="宋体" w:cs="宋体"/>
          <w:b/>
          <w:sz w:val="18"/>
          <w:szCs w:val="18"/>
        </w:rPr>
      </w:pPr>
      <w:r>
        <w:rPr>
          <w:rFonts w:hint="eastAsia" w:ascii="宋体" w:hAnsi="宋体" w:eastAsia="宋体" w:cs="宋体"/>
          <w:b/>
          <w:sz w:val="18"/>
          <w:szCs w:val="18"/>
        </w:rPr>
        <w:t xml:space="preserve">（二）投资者投资本产品可能面临的一般风险主要包括（但不限于）： </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w:t>
      </w:r>
      <w:r>
        <w:rPr>
          <w:rFonts w:ascii="宋体" w:hAnsi="宋体" w:eastAsia="宋体" w:cs="宋体"/>
          <w:sz w:val="18"/>
          <w:szCs w:val="18"/>
        </w:rPr>
        <w:t>信用风险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2</w:t>
      </w:r>
      <w:r>
        <w:rPr>
          <w:rFonts w:hint="eastAsia" w:ascii="宋体" w:hAnsi="宋体" w:eastAsia="宋体" w:cs="宋体"/>
          <w:sz w:val="18"/>
          <w:szCs w:val="18"/>
        </w:rPr>
        <w:t>.</w:t>
      </w:r>
      <w:r>
        <w:rPr>
          <w:rFonts w:ascii="宋体" w:hAnsi="宋体" w:eastAsia="宋体" w:cs="宋体"/>
          <w:sz w:val="18"/>
          <w:szCs w:val="18"/>
        </w:rPr>
        <w:t>利率风险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3.市场</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4.流动性风险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5.</w:t>
      </w:r>
      <w:r>
        <w:rPr>
          <w:rFonts w:ascii="宋体" w:hAnsi="宋体" w:eastAsia="宋体" w:cs="宋体"/>
          <w:sz w:val="18"/>
          <w:szCs w:val="18"/>
        </w:rPr>
        <w:t>法律与政策风险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6.</w:t>
      </w:r>
      <w:r>
        <w:rPr>
          <w:rFonts w:ascii="宋体" w:hAnsi="宋体" w:eastAsia="宋体" w:cs="宋体"/>
          <w:sz w:val="18"/>
          <w:szCs w:val="18"/>
        </w:rPr>
        <w:t>延期</w:t>
      </w:r>
      <w:r>
        <w:rPr>
          <w:rFonts w:hint="eastAsia" w:ascii="宋体" w:hAnsi="宋体" w:eastAsia="宋体" w:cs="宋体"/>
          <w:sz w:val="18"/>
          <w:szCs w:val="18"/>
        </w:rPr>
        <w:t>终止</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7.</w:t>
      </w:r>
      <w:r>
        <w:rPr>
          <w:rFonts w:ascii="宋体" w:hAnsi="宋体" w:eastAsia="宋体" w:cs="宋体"/>
          <w:sz w:val="18"/>
          <w:szCs w:val="18"/>
        </w:rPr>
        <w:t>提前终止风险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8</w:t>
      </w:r>
      <w:r>
        <w:rPr>
          <w:rFonts w:ascii="黑体" w:hAnsi="黑体" w:eastAsia="黑体" w:cs="宋体"/>
          <w:sz w:val="18"/>
          <w:szCs w:val="18"/>
        </w:rPr>
        <w:t>.★信息传递风险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不可抗力、通讯故障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9.</w:t>
      </w:r>
      <w:r>
        <w:rPr>
          <w:rFonts w:ascii="宋体" w:hAnsi="宋体" w:eastAsia="宋体" w:cs="宋体"/>
          <w:sz w:val="18"/>
          <w:szCs w:val="18"/>
        </w:rPr>
        <w:t>不可抗力及意外事件风险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0.</w:t>
      </w:r>
      <w:r>
        <w:rPr>
          <w:rFonts w:ascii="宋体" w:hAnsi="宋体" w:eastAsia="宋体" w:cs="宋体"/>
          <w:sz w:val="18"/>
          <w:szCs w:val="18"/>
        </w:rPr>
        <w:t>管理人风险</w:t>
      </w:r>
    </w:p>
    <w:p>
      <w:pPr>
        <w:spacing w:line="360" w:lineRule="auto"/>
        <w:ind w:firstLine="360" w:firstLineChars="200"/>
        <w:rPr>
          <w:rFonts w:ascii="宋体" w:hAnsi="宋体" w:eastAsia="宋体" w:cs="宋体"/>
          <w:bCs/>
          <w:sz w:val="18"/>
          <w:szCs w:val="18"/>
        </w:rPr>
      </w:pPr>
      <w:r>
        <w:rPr>
          <w:rFonts w:hint="eastAsia" w:ascii="宋体" w:hAnsi="宋体" w:eastAsia="宋体" w:cs="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1.理财产品不成立风险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如自本产品开始募集至认购期结束认购总金额未达到产品最小成立规模（如有约定），或</w:t>
      </w:r>
      <w:r>
        <w:rPr>
          <w:rFonts w:ascii="宋体" w:hAnsi="宋体" w:eastAsia="宋体" w:cs="宋体"/>
          <w:sz w:val="18"/>
          <w:szCs w:val="18"/>
        </w:rPr>
        <w:t>融资人取消</w:t>
      </w:r>
      <w:r>
        <w:rPr>
          <w:rFonts w:hint="eastAsia" w:ascii="宋体" w:hAnsi="宋体" w:eastAsia="宋体" w:cs="宋体"/>
          <w:sz w:val="18"/>
          <w:szCs w:val="18"/>
        </w:rPr>
        <w:t>融资</w:t>
      </w:r>
      <w:r>
        <w:rPr>
          <w:rFonts w:ascii="宋体" w:hAnsi="宋体" w:eastAsia="宋体" w:cs="宋体"/>
          <w:sz w:val="18"/>
          <w:szCs w:val="18"/>
        </w:rPr>
        <w:t>计划，</w:t>
      </w:r>
      <w:r>
        <w:rPr>
          <w:rFonts w:hint="eastAsia" w:ascii="宋体" w:hAnsi="宋体" w:eastAsia="宋体" w:cs="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eastAsia="宋体" w:cs="宋体"/>
          <w:sz w:val="18"/>
          <w:szCs w:val="18"/>
        </w:rPr>
        <w:t>及时返还投资者资金</w:t>
      </w:r>
      <w:r>
        <w:rPr>
          <w:rFonts w:hint="eastAsia" w:ascii="宋体" w:hAnsi="宋体" w:eastAsia="宋体" w:cs="宋体"/>
          <w:sz w:val="18"/>
          <w:szCs w:val="18"/>
        </w:rPr>
        <w:t>，投资者将承担投资本产品不成立的风险。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2.</w:t>
      </w:r>
      <w:r>
        <w:rPr>
          <w:rFonts w:ascii="宋体" w:hAnsi="宋体" w:eastAsia="宋体" w:cs="宋体"/>
          <w:sz w:val="18"/>
          <w:szCs w:val="18"/>
        </w:rPr>
        <w:t>操作风险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由于产品管理人的</w:t>
      </w:r>
      <w:r>
        <w:rPr>
          <w:rFonts w:ascii="宋体" w:hAnsi="宋体" w:eastAsia="宋体" w:cs="宋体"/>
          <w:sz w:val="18"/>
          <w:szCs w:val="18"/>
        </w:rPr>
        <w:t>不完善或有问题的内部程序、员工和信息科技系统，以及外部事件所造成损失的风险。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3</w:t>
      </w:r>
      <w:r>
        <w:rPr>
          <w:rFonts w:ascii="宋体" w:hAnsi="宋体" w:eastAsia="宋体" w:cs="宋体"/>
          <w:sz w:val="18"/>
          <w:szCs w:val="18"/>
        </w:rPr>
        <w:t>.估值</w:t>
      </w:r>
      <w:r>
        <w:rPr>
          <w:rFonts w:hint="eastAsia" w:ascii="宋体" w:hAnsi="宋体" w:eastAsia="宋体" w:cs="宋体"/>
          <w:sz w:val="18"/>
          <w:szCs w:val="18"/>
        </w:rPr>
        <w:t>波动</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本理财产品可能</w:t>
      </w:r>
      <w:r>
        <w:rPr>
          <w:rFonts w:ascii="宋体" w:hAnsi="宋体" w:eastAsia="宋体" w:cs="宋体"/>
          <w:sz w:val="18"/>
          <w:szCs w:val="18"/>
        </w:rPr>
        <w:t>投资符合监管</w:t>
      </w:r>
      <w:r>
        <w:rPr>
          <w:rFonts w:hint="eastAsia" w:ascii="宋体" w:hAnsi="宋体" w:eastAsia="宋体" w:cs="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eastAsia="宋体" w:cs="宋体"/>
          <w:sz w:val="18"/>
          <w:szCs w:val="18"/>
        </w:rPr>
        <w:t>业绩报酬，</w:t>
      </w:r>
      <w:r>
        <w:rPr>
          <w:rFonts w:hint="eastAsia" w:ascii="宋体" w:hAnsi="宋体" w:eastAsia="宋体" w:cs="宋体"/>
          <w:sz w:val="18"/>
          <w:szCs w:val="18"/>
        </w:rPr>
        <w:t>当前述资产管理产品计提业绩报酬时，本理财产品的产品份额净值存在下跌的风险。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4.</w:t>
      </w:r>
      <w:r>
        <w:rPr>
          <w:rFonts w:ascii="宋体" w:hAnsi="宋体" w:eastAsia="宋体" w:cs="宋体"/>
          <w:sz w:val="18"/>
          <w:szCs w:val="18"/>
        </w:rPr>
        <w:t>估值差错风险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cs="宋体"/>
          <w:sz w:val="18"/>
          <w:szCs w:val="18"/>
        </w:rPr>
      </w:pPr>
      <w:r>
        <w:rPr>
          <w:rFonts w:ascii="黑体" w:hAnsi="黑体" w:eastAsia="黑体" w:cs="宋体"/>
          <w:sz w:val="18"/>
          <w:szCs w:val="18"/>
        </w:rPr>
        <w:t>1</w:t>
      </w:r>
      <w:r>
        <w:rPr>
          <w:rFonts w:hint="eastAsia" w:ascii="黑体" w:hAnsi="黑体" w:eastAsia="黑体" w:cs="宋体"/>
          <w:sz w:val="18"/>
          <w:szCs w:val="18"/>
        </w:rPr>
        <w:t>6</w:t>
      </w:r>
      <w:r>
        <w:rPr>
          <w:rFonts w:ascii="黑体" w:hAnsi="黑体" w:eastAsia="黑体" w:cs="宋体"/>
          <w:sz w:val="18"/>
          <w:szCs w:val="18"/>
        </w:rPr>
        <w:t>.</w:t>
      </w:r>
      <w:r>
        <w:rPr>
          <w:rFonts w:hint="eastAsia" w:ascii="黑体" w:hAnsi="黑体" w:eastAsia="黑体" w:cs="宋体"/>
          <w:sz w:val="18"/>
          <w:szCs w:val="18"/>
        </w:rPr>
        <w:t>★不同理财产品份额类别存在差异的风险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理财产品管理人可根据投资者购买理财产品的金额、销售</w:t>
      </w:r>
      <w:r>
        <w:rPr>
          <w:rFonts w:ascii="黑体" w:hAnsi="黑体" w:eastAsia="黑体" w:cs="宋体"/>
          <w:sz w:val="18"/>
          <w:szCs w:val="18"/>
        </w:rPr>
        <w:t>渠道</w:t>
      </w:r>
      <w:r>
        <w:rPr>
          <w:rFonts w:hint="eastAsia" w:ascii="黑体" w:hAnsi="黑体" w:eastAsia="黑体" w:cs="宋体"/>
          <w:sz w:val="18"/>
          <w:szCs w:val="18"/>
        </w:rPr>
        <w:t>等因素，对理财投资者所持有的理财产品设置不同理财产品份额类别。不同类别的理财产品份额可能在销售名称、收费方式、销售服务费、</w:t>
      </w:r>
      <w:r>
        <w:rPr>
          <w:rFonts w:hint="eastAsia" w:ascii="黑体" w:hAnsi="黑体" w:eastAsia="黑体" w:cs="宋体"/>
          <w:sz w:val="18"/>
          <w:szCs w:val="18"/>
          <w:lang w:eastAsia="zh-CN"/>
        </w:rPr>
        <w:t>份额代码</w:t>
      </w:r>
      <w:r>
        <w:rPr>
          <w:rFonts w:hint="eastAsia" w:ascii="黑体" w:hAnsi="黑体" w:eastAsia="黑体" w:cs="宋体"/>
          <w:sz w:val="18"/>
          <w:szCs w:val="18"/>
        </w:rPr>
        <w:t>、销售对象、销售起点金额（认购、申购的</w:t>
      </w:r>
      <w:r>
        <w:rPr>
          <w:rFonts w:ascii="黑体" w:hAnsi="黑体" w:eastAsia="黑体" w:cs="宋体"/>
          <w:sz w:val="18"/>
          <w:szCs w:val="18"/>
        </w:rPr>
        <w:t>起点金额</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17.★关联交易风险</w:t>
      </w:r>
    </w:p>
    <w:p>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若本产品的销售机构为兴业银行股份有限公司或与产品管理人存在关联关系的其他机构（具体销售机构及关联关系情况以《产品说明书》及产品管理人最新披露为准），尽管上述各方将依照恪尽职守、诚实信用、谨慎勤勉的原则进行业务操作，但上述关联关系仍可能产生不利影响和投资风险，进而可能影响投资者的利益。</w:t>
      </w:r>
    </w:p>
    <w:p>
      <w:pPr>
        <w:numPr>
          <w:ilvl w:val="0"/>
          <w:numId w:val="3"/>
        </w:num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numPr>
          <w:ilvl w:val="0"/>
          <w:numId w:val="3"/>
        </w:numPr>
        <w:spacing w:line="360" w:lineRule="auto"/>
        <w:ind w:firstLine="360" w:firstLineChars="200"/>
        <w:rPr>
          <w:rFonts w:hint="eastAsia" w:ascii="黑体" w:hAnsi="黑体" w:eastAsia="黑体" w:cs="宋体"/>
          <w:sz w:val="18"/>
          <w:szCs w:val="18"/>
        </w:rPr>
      </w:pPr>
      <w:r>
        <w:rPr>
          <w:rFonts w:hint="eastAsia" w:ascii="黑体" w:hAnsi="黑体" w:eastAsia="黑体" w:cs="宋体"/>
          <w:sz w:val="18"/>
          <w:szCs w:val="18"/>
        </w:rPr>
        <w:t>风险管理措施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产品管理人承诺按照诚实信用、勤勉尽责的原则管理和运用理财产品财产，并依据法律法规及监管规定，通过完善风险管理治理架构、健全内部管理制度、强化投资运作管控、严格履行信息披露义务等多种措施，建立与产品风险收益特征相适应的风险管理机制。</w:t>
      </w:r>
    </w:p>
    <w:p>
      <w:pPr>
        <w:numPr>
          <w:ilvl w:val="0"/>
          <w:numId w:val="0"/>
        </w:num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特别提示：上述风险管理措施系产品管理人基于诚实信用、勤勉尽责原则所采取的常规管理安排，不构成产品管理人对本理财产品本金不受损失或者取得最低收益的任何承诺或保证。本理财产品为非保本理财产品，产品管理人不保证理财本金的安全及理财收益的实现，由此产生的投资风险由投资者自行承担。理财非存款、产品有风险、投资须谨慎。</w:t>
      </w:r>
    </w:p>
    <w:p>
      <w:pPr>
        <w:widowControl/>
        <w:jc w:val="left"/>
        <w:rPr>
          <w:rFonts w:ascii="宋体" w:hAnsi="宋体" w:eastAsia="宋体" w:cs="宋体"/>
          <w:color w:val="000000"/>
          <w:kern w:val="0"/>
          <w:sz w:val="18"/>
          <w:szCs w:val="18"/>
        </w:rPr>
      </w:pPr>
      <w:r>
        <w:rPr>
          <w:rFonts w:ascii="Calibri" w:hAnsi="宋体" w:eastAsia="宋体" w:cs="宋体"/>
          <w:sz w:val="18"/>
          <w:szCs w:val="18"/>
        </w:rPr>
        <w:br w:type="page"/>
      </w:r>
    </w:p>
    <w:tbl>
      <w:tblPr>
        <w:tblStyle w:val="8"/>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eastAsia="宋体" w:cs="Arial"/>
                <w:b/>
                <w:szCs w:val="21"/>
              </w:rPr>
            </w:pPr>
            <w:r>
              <w:rPr>
                <w:rFonts w:hint="eastAsia" w:ascii="宋体" w:hAnsi="宋体" w:eastAsia="宋体" w:cs="Arial"/>
                <w:b/>
                <w:szCs w:val="21"/>
              </w:rPr>
              <w:t>投资者确认栏</w:t>
            </w:r>
          </w:p>
          <w:p>
            <w:pPr>
              <w:spacing w:line="360" w:lineRule="auto"/>
              <w:ind w:firstLine="361"/>
              <w:rPr>
                <w:rFonts w:ascii="Calibri" w:hAnsi="Calibri" w:eastAsia="宋体"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rFonts w:ascii="Calibri" w:hAnsi="Calibri" w:eastAsia="宋体" w:cs="宋体"/>
                <w:b/>
                <w:sz w:val="18"/>
                <w:szCs w:val="18"/>
              </w:rPr>
            </w:pPr>
            <w:r>
              <w:rPr>
                <w:rFonts w:hint="eastAsia" w:ascii="Calibri" w:hAnsi="Calibri" w:eastAsia="宋体" w:cs="宋体"/>
                <w:b/>
                <w:sz w:val="18"/>
                <w:szCs w:val="18"/>
              </w:rPr>
              <w:t>个人投资者适用</w:t>
            </w:r>
          </w:p>
        </w:tc>
        <w:tc>
          <w:tcPr>
            <w:tcW w:w="7371" w:type="dxa"/>
          </w:tcPr>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投资者（</w:t>
            </w:r>
            <w:r>
              <w:rPr>
                <w:rFonts w:ascii="Calibri" w:hAnsi="Calibri" w:eastAsia="宋体" w:cs="宋体"/>
                <w:sz w:val="18"/>
                <w:szCs w:val="18"/>
              </w:rPr>
              <w:t>签名/</w:t>
            </w:r>
            <w:r>
              <w:rPr>
                <w:rFonts w:hint="eastAsia" w:ascii="Calibri" w:hAnsi="Calibri" w:eastAsia="宋体" w:cs="宋体"/>
                <w:sz w:val="18"/>
                <w:szCs w:val="18"/>
              </w:rPr>
              <w:t>线上确认）：</w:t>
            </w:r>
          </w:p>
          <w:p>
            <w:pPr>
              <w:spacing w:line="360" w:lineRule="auto"/>
              <w:ind w:firstLine="361"/>
              <w:jc w:val="left"/>
              <w:rPr>
                <w:rFonts w:ascii="Calibri" w:hAnsi="Calibri" w:eastAsia="宋体" w:cs="宋体"/>
                <w:b/>
                <w:sz w:val="18"/>
                <w:szCs w:val="18"/>
              </w:rPr>
            </w:pPr>
          </w:p>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rFonts w:ascii="Calibri" w:hAnsi="Calibri" w:eastAsia="宋体" w:cs="宋体"/>
                <w:b/>
                <w:sz w:val="18"/>
                <w:szCs w:val="18"/>
              </w:rPr>
            </w:pPr>
            <w:r>
              <w:rPr>
                <w:rFonts w:hint="eastAsia" w:ascii="Calibri" w:hAnsi="Calibri" w:eastAsia="宋体" w:cs="宋体"/>
                <w:b/>
                <w:sz w:val="18"/>
                <w:szCs w:val="18"/>
              </w:rPr>
              <w:t>机构投资者适用</w:t>
            </w:r>
          </w:p>
        </w:tc>
        <w:tc>
          <w:tcPr>
            <w:tcW w:w="7371" w:type="dxa"/>
          </w:tcPr>
          <w:p>
            <w:pPr>
              <w:spacing w:line="360" w:lineRule="auto"/>
              <w:ind w:firstLine="360"/>
              <w:jc w:val="left"/>
              <w:rPr>
                <w:rFonts w:ascii="Calibri" w:hAnsi="Calibri" w:eastAsia="宋体" w:cs="Arial"/>
                <w:sz w:val="18"/>
                <w:szCs w:val="18"/>
              </w:rPr>
            </w:pPr>
            <w:r>
              <w:rPr>
                <w:rFonts w:hint="eastAsia" w:ascii="Calibri" w:hAnsi="Calibri" w:eastAsia="宋体" w:cs="宋体"/>
                <w:sz w:val="18"/>
                <w:szCs w:val="18"/>
              </w:rPr>
              <w:t>投资者</w:t>
            </w:r>
            <w:r>
              <w:rPr>
                <w:rFonts w:hint="eastAsia" w:ascii="Calibri" w:hAnsi="Calibri" w:eastAsia="宋体" w:cs="Arial"/>
                <w:sz w:val="18"/>
                <w:szCs w:val="18"/>
              </w:rPr>
              <w:t>（盖章</w:t>
            </w:r>
            <w:r>
              <w:rPr>
                <w:rFonts w:ascii="Calibri" w:hAnsi="Calibri" w:eastAsia="宋体" w:cs="Arial"/>
                <w:sz w:val="18"/>
                <w:szCs w:val="18"/>
              </w:rPr>
              <w:t>/</w:t>
            </w:r>
            <w:r>
              <w:rPr>
                <w:rFonts w:hint="eastAsia" w:ascii="Calibri" w:hAnsi="Calibri" w:eastAsia="宋体" w:cs="Arial"/>
                <w:sz w:val="18"/>
                <w:szCs w:val="18"/>
              </w:rPr>
              <w:t>线上确认）：</w:t>
            </w:r>
          </w:p>
          <w:p>
            <w:pPr>
              <w:tabs>
                <w:tab w:val="left" w:pos="5609"/>
              </w:tabs>
              <w:spacing w:line="360" w:lineRule="auto"/>
              <w:ind w:firstLine="360"/>
              <w:jc w:val="left"/>
              <w:rPr>
                <w:rFonts w:ascii="Calibri" w:hAnsi="Calibri" w:eastAsia="宋体" w:cs="Arial"/>
                <w:sz w:val="18"/>
                <w:szCs w:val="18"/>
              </w:rPr>
            </w:pPr>
            <w:r>
              <w:rPr>
                <w:rFonts w:ascii="Calibri" w:hAnsi="Calibri" w:eastAsia="宋体" w:cs="Arial"/>
                <w:sz w:val="18"/>
                <w:szCs w:val="18"/>
              </w:rPr>
              <w:tab/>
            </w:r>
          </w:p>
          <w:p>
            <w:pPr>
              <w:spacing w:line="360" w:lineRule="auto"/>
              <w:ind w:firstLine="360"/>
              <w:jc w:val="left"/>
              <w:rPr>
                <w:rFonts w:ascii="Calibri" w:hAnsi="Calibri" w:eastAsia="宋体" w:cs="Arial"/>
                <w:sz w:val="18"/>
                <w:szCs w:val="18"/>
              </w:rPr>
            </w:pPr>
            <w:r>
              <w:rPr>
                <w:rFonts w:hint="eastAsia" w:ascii="Calibri" w:hAnsi="Calibri" w:eastAsia="宋体" w:cs="Arial"/>
                <w:sz w:val="18"/>
                <w:szCs w:val="18"/>
              </w:rPr>
              <w:t>投资者法定代表人或授权代理人（签名</w:t>
            </w:r>
            <w:r>
              <w:rPr>
                <w:rFonts w:ascii="Calibri" w:hAnsi="Calibri" w:eastAsia="宋体" w:cs="Arial"/>
                <w:sz w:val="18"/>
                <w:szCs w:val="18"/>
              </w:rPr>
              <w:t>/</w:t>
            </w:r>
            <w:r>
              <w:rPr>
                <w:rFonts w:hint="eastAsia" w:ascii="Calibri" w:hAnsi="Calibri" w:eastAsia="宋体" w:cs="Arial"/>
                <w:sz w:val="18"/>
                <w:szCs w:val="18"/>
              </w:rPr>
              <w:t>盖章</w:t>
            </w:r>
            <w:r>
              <w:rPr>
                <w:rFonts w:ascii="Calibri" w:hAnsi="Calibri" w:eastAsia="宋体" w:cs="Arial"/>
                <w:sz w:val="18"/>
                <w:szCs w:val="18"/>
              </w:rPr>
              <w:t>/</w:t>
            </w:r>
            <w:r>
              <w:rPr>
                <w:rFonts w:hint="eastAsia" w:ascii="Calibri" w:hAnsi="Calibri" w:eastAsia="宋体" w:cs="Arial"/>
                <w:sz w:val="18"/>
                <w:szCs w:val="18"/>
              </w:rPr>
              <w:t>线上确认）：</w:t>
            </w:r>
          </w:p>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日期：</w:t>
            </w:r>
          </w:p>
        </w:tc>
      </w:tr>
    </w:tbl>
    <w:p>
      <w:pPr>
        <w:spacing w:line="360" w:lineRule="auto"/>
        <w:jc w:val="left"/>
        <w:rPr>
          <w:rFonts w:ascii="Calibri" w:hAnsi="Calibri" w:eastAsia="宋体" w:cs="宋体"/>
          <w:b/>
          <w:bCs/>
          <w:szCs w:val="22"/>
        </w:rPr>
      </w:pPr>
      <w:r>
        <w:rPr>
          <w:rFonts w:hint="eastAsia" w:ascii="宋体" w:hAnsi="宋体" w:eastAsia="宋体" w:cs="宋体"/>
          <w:b/>
          <w:bCs/>
          <w:sz w:val="18"/>
          <w:szCs w:val="18"/>
        </w:rPr>
        <w:t>（本《产品说明书》</w:t>
      </w:r>
      <w:r>
        <w:rPr>
          <w:rFonts w:hint="eastAsia" w:ascii="宋体" w:hAnsi="宋体" w:eastAsia="宋体" w:cs="Arial"/>
          <w:b/>
          <w:bCs/>
          <w:sz w:val="18"/>
          <w:szCs w:val="18"/>
        </w:rPr>
        <w:t>共有三份</w:t>
      </w:r>
      <w:r>
        <w:rPr>
          <w:rFonts w:ascii="宋体" w:hAnsi="宋体" w:eastAsia="宋体" w:cs="Arial"/>
          <w:b/>
          <w:bCs/>
          <w:sz w:val="18"/>
          <w:szCs w:val="18"/>
        </w:rPr>
        <w:t>签署</w:t>
      </w:r>
      <w:r>
        <w:rPr>
          <w:rFonts w:hint="eastAsia" w:ascii="宋体" w:hAnsi="宋体" w:eastAsia="宋体" w:cs="Arial"/>
          <w:b/>
          <w:bCs/>
          <w:sz w:val="18"/>
          <w:szCs w:val="18"/>
        </w:rPr>
        <w:t>文本，第一联销售机构留存，第二联投资者留存，第三联产品管理人留存</w:t>
      </w:r>
      <w:r>
        <w:rPr>
          <w:rFonts w:hint="eastAsia" w:ascii="宋体" w:hAnsi="宋体" w:eastAsia="宋体" w:cs="宋体"/>
          <w:b/>
          <w:bCs/>
          <w:sz w:val="18"/>
          <w:szCs w:val="18"/>
        </w:rPr>
        <w:t>。）</w:t>
      </w: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附表1：销售机构基本情况（适用【A】类份额）：</w:t>
      </w: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8"/>
        <w:gridCol w:w="5257"/>
        <w:gridCol w:w="7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企业名称全称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住所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热线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福建省福州市台江区江滨中大道398号兴业银行大厦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95561</w:t>
            </w:r>
          </w:p>
        </w:tc>
      </w:tr>
    </w:tbl>
    <w:p>
      <w:pPr>
        <w:spacing w:line="360" w:lineRule="auto"/>
        <w:ind w:firstLine="181" w:firstLineChars="1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附表1：销售机构基本情况（适用【B/C/D/E/F】类份额）：</w:t>
      </w: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80"/>
        <w:gridCol w:w="5224"/>
        <w:gridCol w:w="1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企业名称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热线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辽宁省沈阳市浑南区王滨街道王滨沟村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鄂尔多斯市东胜区乌审西街6号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40000-96622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合肥科技农村商业银行股份有限公司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安徽省合肥市长江西路101号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东莞银行股份有限公司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东莞市莞城区体育路21号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4001196228；0769-96228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嘉兴银行股份有限公司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浙江省嘉兴市昌盛南路1001号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0573-96528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吉林省长春市朝阳区人民大街7251号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浙江乐清农村商业银行股份有限公司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浙江省乐清市城南街道伯乐西路 99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新疆乌鲁木齐市天山区金银路53号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0991-96596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河南自贸试验区郑州片区（郑东）农业东路99号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松溪县农村信用合作联社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福建省松溪县工农东路1号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新疆乌鲁木齐市天山区新华南路338号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0991-96559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广东省东莞市东城街道鸿福东路2号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0769-961122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浙江瑞安农村商业银行股份有限公司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浙江省温州市瑞安市莘塍街道万松东路 1700-1708、1718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晋商银行股份有限公司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山西省太原市小店区长风街59号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0351-6819505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河北省石家庄市长安区建设南大街21号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612</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9999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浙江桐乡农村商业银行股份有限公司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桐乡市梧桐街道校场东路59号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浙江温州龙湾农村商业银行股份有限公司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浙江省温州市龙湾区永中街道永宁西路555号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宁波余姚农村商业银行股份有限公司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余姚市新建路69号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浙江临安农村商业银行股份有限公司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浙江省杭州市临安区锦城街道钱王街58号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北京市西城区月坛南街1号院2号楼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赣州银行股份有限公司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江西省赣州市赣江源大道26号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沧州银行股份有限公司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河北省沧州市运河区双金路2号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0317-96328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厦门农村商业银行股份有限公司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中国（福建）自由贸易试验区厦门片区东港北路31号（1层、17层、19层、27-28层、30-31层）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4008396336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朝阳银行股份有限公司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朝阳市双塔区朝阳大街三段4号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盛京银行股份有限公司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辽宁省沈阳市沈河区北站路109号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浙江禾城农村商业银行股份有限公司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浙江省嘉兴市经济技术开发区文昌路1229号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浙江舟山普陀农村商业银行股份有限公司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浙江省舟山市普陀区东港街道麒麟街225号（自贸试验区内）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浙江嘉善农村商业银行股份有限公司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浙江省嘉兴市嘉善县罗星街道车站南路999号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宁波甬城农村商业银行股份有限公司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浙江省宁波市江北区育才路15、17号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上饶银行股份有限公司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江西省上饶市信州区五三大道107号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福建连江农村商业银行股份有限公司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福建省福州市连江县凤城镇丹凤东路30号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福建漳州农村商业银行股份有限公司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漳州市芗城区水仙大街53号信合大厦A-B幢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0596-2680572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浙江长兴农村商业银行股份有限公司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浙江省湖州市长兴县太湖街道明珠路1298号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浙江平湖农村商业银行股份有限公司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平湖市当湖街道胜利路518号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上海市黄浦区中山东二路70号上海农商银行大厦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承德银行股份有限公司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承德市双桥区世纪城3期承德银行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0314-96368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海南省海口市美兰区国兴大道5号海南大厦1#副楼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0898-96588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青岛银行股份有限公司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青岛市崂山区秦岭路6号3号楼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4006696588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宁波鄞州农村商业银行股份有限公司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浙江省宁波市鄞州区民惠西路88号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956058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福建石狮农村商业银行股份有限公司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福建省石狮市西环路619号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蒙商银行股份有限公司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内蒙古自治区包头市九原区赛罕街道办事处建华南路2号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湖州吴兴农村商业银行股份有限公司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浙江省湖州市东街55号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浙江海盐农村商业银行股份有限公司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浙江省嘉兴市海盐县武原街道盐北东路1177号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哈密市商业银行股份有限公司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新疆哈密市伊州区天山北路52号哈建大厦1-4层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0902-96533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浙江丽水莲都农村商业银行股份有限公司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浙江省丽水市莲都区解放街438号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泉州农村商业银行股份有限公司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福建省泉州市丰泽区滨海路222号香缤中心1层靠府东路区域、10层、11层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陕西西乡农村商业银行股份有限公司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陕西省汉中市西乡县东一路和鹿龄鹿交汇处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浙江南浔农村商业银行股份有限公司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浙江省湖州市南浔区南浔镇人瑞路1188号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江苏淮安农村商业银行股份有限公司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江苏省淮安市清江浦区水渡口大道20号金融中心B1号楼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罗源县农村信用合作联社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福建省福州市罗源县凤山镇北大路11号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0591-26831001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兰州银行股份有限公司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甘肃省兰州市城关区酒泉路211号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96799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唐山银行股份有限公司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河北省唐山市路南区建设南路19号唐山新世界中心写字楼5层、21层、22层、23层、24层、26层、27层、28层、29层、30层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0315-96368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浙江岱山农村商业银行股份有限公司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浙江省舟山市岱山县高亭镇衢山大道1009号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浙江温州鹿城农村商业银行股份有限公司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浙江省温州市鹿城区会展路 1500 号富银大厦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江苏灌南农村商业银行股份有限公司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江苏省连云港市灌南县人民路29号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浙江温岭农村商业银行股份有限公司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浙江省台州市温岭市城东街道下保路100号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陕西咸阳农村商业银行股份有限公司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陕西省咸阳市秦都区文兴路智汇原8号商业楼1单元1层4-6号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张家口银行股份有限公司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河北省张家口市桥东区胜利北路51号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689</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宁波北仑农村商业银行股份有限公司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浙江省新碶宝山路69号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福建莆田农村商业银行股份有限公司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莆田市荔城区西天尾镇荔园北路599号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0594-2096336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福建福州农村商业银行股份有限公司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福建省福州市台江区曙光支路128号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0591-88019026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内蒙古自治区呼和浩特市赛罕区腾飞南路33号（内蒙古银行大厦）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40005-96019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陕西榆林农村商业银行股份有限公司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陕西省榆林市榆阳区长城中路2号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江苏赣榆农村商业银行股份有限公司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连云港市赣榆区黄海东路304号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惠安县农村信用合作联社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福建省泉州市惠安县螺城镇建设南街555号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陕西汉中农村商业银行股份有限公司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陕西省汉中市汉台区民主街1号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浙江嵊泗农村商业银行股份有限公司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浙江省舟山市嵊泗县菜园镇沙河路110号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城固县农村信用合作联社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陕西省汉中市城固县博望街道桔园路中段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山西转型综合改革示范区学府产业园高新街15号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0351-2328025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浙江淳安农村商业银行股份有限公司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浙江省杭州市淳安县千岛湖镇阳光路960号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陕西勉县农村商业银行股份有限公司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陕西省汉中市勉县勉阳街道办和平路东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阜阳颍泉农村商业银行股份有限公司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阜阳市颍泉区中市街道办事处北京中路99号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宁波镇海农村商业银行股份有限公司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宁波市镇海区骆驼街道镇海大道中段788号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陕西甘泉农村商业银行股份有限公司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陕西省延安市甘泉县中心街019号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临商银行股份有限公司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山东省临沂市兰山区北京路37号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0539-7877733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宁强县农村信用合作联社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陕西省汉中市宁强县汉源街道羌州路中段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陕西神木农村商业银行股份有限公司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陕西省榆林市神木市神木镇东兴街中段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浙江杭州余杭农村商业银行股份有限公司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浙江省杭州市临平区南苑街道南大街72号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山东曹县农村商业银行股份有限公司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山东省菏泽市曹县青菏路中段666号曹县农商银行综合办公楼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陕西汉阴农村商业银行股份有限公司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陕西省汉阴县城关镇北城街65号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政和县农村信用合作联社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福建省政和县为民路4号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浙江临海农村商业银行股份有限公司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浙江省台州市临海市大洋街道河阳路299号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福建长乐农村商业银行股份有限公司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福建省福州市长乐市吴航街道朝阳中路193号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0591–28996336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福建邵武农村商业银行股份有限公司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福建邵武市熙春中路248号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陕西省汉中市洋县洋州街道办事处北环路以北洋县医院以西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福建安溪农村商业银行股份有限公司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福建省泉州市安溪县建安大道230号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东营银行股份有限公司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山东省东营市东营区府前大街87-1号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4006296588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铜川市王益区农村信用合作联社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陕西省铜川市王益区红旗街86号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福建南安农村商业银行股份有限公司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福建省南安市成功街889号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陕西省安康市汉滨区大桥南路2号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武功县农村信用合作联社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陕西省咸阳市武功县普集镇后稷路中段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浙江金华成泰农村商业银行股份有限公司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浙江省金华市八一南街123号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阜阳颍淮农村商业银行股份有限公司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阜阳市颍州南路199号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旬邑县农村信用合作联社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陕西省咸阳市旬邑县南大街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江苏昆山农村商业银行股份有限公司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江苏省昆山市前进东路828号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0512-96079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福建晋江农村商业银行股份有限公司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福建省晋江市青阳街道崇德路196号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龙岩市永定区农村信用合作联社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福建省龙岩市永定区凤城街道沿河北路128号‌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0597-5838458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浙江仙居农村商业银行股份有限公司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浙江省台州市仙居县南峰街道庆丰南街113号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江苏如皋农村商业银行股份有限公司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如皋市如城街道海阳南路999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陕西省延安市宝塔区永兴路信合大厦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泾阳县农村信用合作联社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陕西省咸阳市泾阳县泾干大街19号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淳化县农村信用合作联社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陕西省咸阳市淳化县南新街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安徽黟县农村商业银行股份有限公司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黟县碧阳镇渔亭路1号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郑州市郑东新区商务外环路22号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陕西旬阳农村商业银行股份有限公司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陕西省安康市旬阳市城区祝尔慷大道19号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福建福清汇通农村商业银行股份有限公司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福建省福清市音西街道福和路88号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0591-85155396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浙江台州黄岩农村商业银行股份有限公司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浙江省台州市黄岩区洞天路88号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陕西平利农村商业银行股份有限公司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陕西省安康市平利县新正街177号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陕西杨凌农村商业银行股份有限公司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陕西省咸阳市杨凌示范区康乐路43号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乌海银行股份有限公司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内蒙古自治区乌海市海勃湾区狮城东街5号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0473-965188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富邦华一银行有限公司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中国（上海）自由贸易试验区世纪大道1168号A座101室、18楼、19楼及20楼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陕西千阳农村商业银行股份有限公司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陕西省宝鸡市千阳县西大街9号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福建漳浦农村商业银行股份有限公司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福建漳浦县绥安镇朝阳大道东296号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0596-3109775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略阳县农村信用合作联社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陕西省汉中市略阳县电厂路油库坪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永泰县农村信用合作联社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福建省福州市永泰县樟城镇南湖花园E区9号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0591-24896336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陕西山阳农村商业银行股份有限公司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陕西省商洛市山阳县南大街73号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浙江桐庐农村商业银行股份有限公司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浙江省杭州市桐庐县城迎春南路278号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宁波奉化农村商业银行股份有限公司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浙江省宁波市奉化区锦屏街道中山路27号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陕西镇安农村商业银行股份有限公司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陕西省商洛市镇安县南新街38号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浙江泰顺农村商业银行股份有限公司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浙江省温州市泰顺县罗阳镇新城区文祥大道 181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福建建瓯农村商业银行股份有限公司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福建省建瓯市中山路463号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广西来宾农村商业银行股份有限公司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广西来宾市盘古大道西98号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南平市建阳区农村信用合作联社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福建省南平市建阳区人民路11号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宁化县农村信用合作联社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宁化县中环南路1号中环花园4幢101号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浙江海宁农村商业银行股份有限公司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浙江省海宁市海洲街道钱江西路278号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菏泽农村商业银行股份有限公司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山东省菏泽市牡丹区南城街道牡丹路与中山路交叉路口东北角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福建三明农村商业银行股份有限公司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三明市三元区东新三路68号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山东乐陵农村商业银行股份有限公司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山东省乐陵市阜欣西路345号乐陵农商银行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黄龙县农村信用合作联社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陕西省延安市黄龙县石堡镇广场大街40号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陕西陇县农村商业银行股份有限公司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陕西省宝鸡市陇县南岸新城陇州大道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福建平潭农村商业银行股份有限公司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福建省福州市平潭县潭城镇龙里路西侧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0591-24323770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山东新泰农村商业银行股份有限公司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新泰市青龙路879号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清流县农村信用合作联社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清流县龙津镇文化街123号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陕西绥德农村商业银行股份有限公司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陕西省榆林市绥德县北门街26号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陕西定边农村商业银行股份有限公司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陕西省榆林市定边县西环路体育中心对面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闽侯县农村信用合作联社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福建省福州市闽侯县甘蔗入城路北侧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0591-22796336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江苏常熟农村商业银行股份有限公司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江苏省常熟市新世纪大道58号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956020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江苏南通农村商业银行股份有限公司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南通市崇川区工农南路89号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陕西石泉农村商业银行股份有限公司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陕西省安康市石泉县城关镇向阳大道东段2号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福建龙海农村商业银行股份有限公司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福建省漳州市龙海区石码镇港林路17号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0596-6522118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广东海丰农村商业银行股份有限公司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广东省汕尾市海丰县海城镇广富路127号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696</w:t>
            </w:r>
            <w:r>
              <w:rPr>
                <w:rFonts w:hint="eastAsia" w:ascii="微软雅黑" w:hAnsi="微软雅黑" w:eastAsia="微软雅黑" w:cs="微软雅黑"/>
                <w:i w:val="0"/>
                <w:iCs w:val="0"/>
                <w:color w:val="000000"/>
                <w:kern w:val="0"/>
                <w:sz w:val="20"/>
                <w:szCs w:val="20"/>
                <w:u w:val="none"/>
                <w:lang w:val="en-US" w:eastAsia="zh-CN" w:bidi="ar"/>
              </w:rPr>
              <w:noBreakHyphen/>
            </w:r>
            <w:r>
              <w:rPr>
                <w:rFonts w:hint="eastAsia" w:ascii="微软雅黑" w:hAnsi="微软雅黑" w:eastAsia="微软雅黑" w:cs="微软雅黑"/>
                <w:i w:val="0"/>
                <w:iCs w:val="0"/>
                <w:color w:val="000000"/>
                <w:kern w:val="0"/>
                <w:sz w:val="20"/>
                <w:szCs w:val="20"/>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礼泉县农村信用合作联社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陕西省咸阳市礼泉县建设南路159号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陕西彬州农村商业银行股份有限公司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陕西省咸阳市彬州市城关镇西大街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古田县农村信用合作联社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福建省宁德市古田县城东街道滨河东路9号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0593-3883865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黄山屯溪农村商业银行股份有限公司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黄山市屯溪区屯光镇前湖路屯浦阳光1号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福建上杭农村商业银行股份有限公司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福建省龙岩市上杭县临江镇振兴路 171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0597-3886056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环江毛南族自治县农村信用合作联社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环江思恩镇新建路１２７号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浙江台州椒江农村商业银行股份有限公司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浙江省台州市椒江区洪家街道中心大道4081号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陕西米脂农村商业银行股份有限公司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陕西省榆林市米脂县迎宾大道南侧园艺路东侧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山东曲阜农村商业银行股份有限公司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山东省曲阜市大成路南首19号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兴平市农村信用合作联社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陕西省咸阳市兴平市金城路中段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江苏民丰农村商业银行股份有限公司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江苏省宿迁市宿城区高宝湖路1号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广西柳江农村合作银行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广西柳州市柳江县拉堡镇北大街2号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福安市农村信用合作联社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福建省福安市城北新华中路103号、107号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0593-6589726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钦州市区农村信用合作联社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钦州市三沿路33号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延川县农村信用合作联社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陕西省延安市延川县北大街百货公司家属楼下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山东乳山农村商业银行股份有限公司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山东省威海市乳山市胜利街101号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尤溪县农村信用合作联社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尤溪县城关镇解放路39号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浦城县农村信用合作联社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福建省浦城县兴浦路235号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中国（广西）自由贸易试验区南宁片区歌海路11号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陕西眉县农村商业银行股份有限公司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陕西省宝鸡市眉县首善镇平阳街334号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浙江松阳农村商业银行股份有限公司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浙江省丽水市松阳县水南街道要津南路 71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陕西宝鸡渭滨农村商业银行股份有限公司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陕西省宝鸡市渭滨区经二路东段151号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泰宁县农村信用合作联社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泰宁县水南西街13号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安徽休宁农村商业银行股份有限公司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黄山市休宁县海阳镇齐云山东大道16-2号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福建漳平农村商业银行股份有限公司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福建省龙岩市漳平市桂林街道桂林路59号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0597-7833268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淮南通商农村商业银行股份有限公司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安徽省淮南市田家庵区朝阳东路124号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陕西府谷农村商业银行股份有限公司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陕西省榆林市府谷县新区营盘中路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明溪县农村信用合作联社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明溪县雪峰镇河滨北路339号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浙江舟山定海海洋农村商业银行股份有限公司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浙江省舟山市定海区环城东路81号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福建永安农村商业银行股份有限公司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永安市江滨路688号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黄山太平农村商业银行股份有限公司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黄山市黄山区甘棠北海南路东侧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陕西商南农村商业银行股份有限公司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陕西省商洛市商南县城关镇滨河西路中段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建宁县农村信用合作联社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建宁县濉溪镇荷花东路11号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陕西宁陕农村商业银行股份有限公司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陕西省安康市宁陕县城关镇迎宾大道15号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长汀县农村信用合作联社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长汀县汀州镇兆征路148号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0597-6824851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顺昌县农村信用合作联社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福建省南平市顺昌县中山中路53号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永寿县农村信用合作联社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陕西省咸阳市永寿县西兰路中段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陕西白河农村商业银行股份有限公司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陕西省安康市白河县城关镇狮子山社区滨河大道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河池市区农村信用合作联社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河池市西环路三巷１号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黄陵县农村信用合作联社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陕西省延安市黄陵县中心广场桥山大厦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浙江开化农村商业银行股份有限公司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浙江省华埠镇永吉二路8号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广西恭城农村商业银行股份有限公司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恭城镇茶北路一号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江苏江都农村商业银行股份有限公司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扬州市江都区龙城路21号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广西桂林漓江农村合作银行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桂林市秀峰区翠竹路77号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陕西岚皋农村商业银行股份有限公司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陕西省安康市岚皋县河滨大道87号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湖北襄阳农村商业银行股份有限公司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湖北省襄阳市襄城区檀溪路116号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0710-3691172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福建龙岩农村商业银行股份有限公司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福建省龙岩市新罗区龙岩大道中 296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0597-2258601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福建平和农村商业银行股份有限公司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福建省漳州市平和县小溪镇北环路86号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0596-5230635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陕西宝鸡金台农村商业银行股份有限公司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陕西省宝鸡市金台区大庆路86号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连云港东方农村商业银行股份有限公司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江苏省连云港市海州区郁洲南路10号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深圳市宝安区新安街道海旺社区海秀路2028号农商银行大厦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400-196-1200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江苏建湖农村商业银行股份有限公司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江苏建湖县湖中南路958号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玉林市区农村信用合作联社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广西玉林市玉州区玉东大道与秀水北路交叉口玉林信合金融广场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陕西丹凤农村商业银行股份有限公司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陕西省商洛市丹凤县龙驹寨街道办事处县城新凤街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福建仙游农村商业银行股份有限公司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福建省仙游县鲤城街道党校街1188号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0594-8296544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福建沙县农村商业银行股份有限公司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三明市沙县区李纲中路19号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福鼎市农村信用合作联社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福建省福鼎市桐城街道玉沙路8号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0593-7858695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闽清县农村信用合作联社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福建省福州市闽清县西门街196号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0591-22338473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横州市农村信用合作联社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广西壮族自治区横州市横州镇迎宣西路175号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大田县农村信用合作联社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大田县均溪镇赤岩路2号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博白县农村信用合作联社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广西博白县博白镇绿珠大道030号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陕西镇巴农村商业银行股份有限公司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陕西省汉中市镇巴县泾洋镇新街4号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山东临沂兰山农村商业银行股份有限公司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山东省临沂市兰山区北京路22号兰山农商银行综合服务楼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陕西佛坪农村商业银行股份有限公司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陕西省汉中市佛坪县河堤街40号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广西百色右江农村合作银行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广西百色市右江区城东大道166号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容县农村信用合作联社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广西玉林市容县容州镇柚乡大道99号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广西贺州桂东农村合作银行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广西贺州市八步区建设东路6号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宜川县农村信用合作联社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陕西省延安市宜川县党湾街65号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广东南粤银行股份有限公司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湛江经济技术开发区乐山路27号财富汇金融中心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4000-961818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永春县农村信用合作联社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福建省泉州市永春县桃城镇湖滨路301号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乾县农村信用合作联社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陕西省咸阳市乾县西兰大街中段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平南县农村信用合作联社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广西平南县二环大道399号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桂平市农村信用合作联社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广西桂平市西山镇兴宁社区农村信用社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广西凤山农村商业银行股份有限公司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广西河池市凤山县凤城镇西环路南侧（凤山县妇幼保健院左侧）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广东开平农村商业银行股份有限公司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开平市三埠区长沙曙光东路166号农金大厦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武平县农村信用合作联社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福建省龙岩市武平县武平大道18号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0597-3338801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山东威海农村商业银行股份有限公司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山东省威海市环翠区海滨中路56号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陕西富县农村合作银行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陕西省延安市富县富城镇正街8号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富平县农村信用合作联社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陕西省渭南市富平县频阳大街23号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山东齐河农村商业银行股份有限公司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山东省德州市齐河县齐鲁大街215号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陕西子长农村商业银行股份有限公司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陕西省子长市长兴街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福建武夷山农村商业银行股份有限公司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福建省武夷山市环岛西路76号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德化县农村信用合作联社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福建省泉州市德化县浔中镇浔东北路5号福万通大厦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福建宁德农村商业银行股份有限公司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福建省宁德市蕉城区万安西路21号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0593-2879738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霞浦县农村信用合作联社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福建省宁德市霞浦县赤岸大道11号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0593-8863336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齐鲁银行股份有限公司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山东省济南市历下区经十路10817号双金大厦B座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0531-86036676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湖北三峡农村商业银行股份有限公司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湖北省宜昌市夷陵区平云一路64号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0717-6915925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陕西长武农村商业银行股份有限公司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陕西省咸阳市长武县城西门什字北街002号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宁波东海银行股份有限公司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浙江省宁波高新区新晖南路113-127号（单号），扬帆路515号2-10层，高新宝龙商业广场13-19号、22号、29号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400-8866-345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广西全州农村合作银行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广西全州县全州镇桂黄中路９５号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南靖县农村信用合作联社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福建省漳州市南靖县山城镇中山北路47号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0596-7891508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陕西安塞农村商业银行股份有限公司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陕西省延安市安塞区富民街22号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陕西紫阳农村商业银行股份有限公司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陕西省安康市紫阳县城关镇紫府路7号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广西宾阳农村商业银行股份有限公司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宾阳县宾州镇文明路42号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南宁市邕宁区农村信用合作联社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南宁市邕宁区良堤路6号南宁万达茂BS4栋110、111、112、113、115、116、117、118号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江苏响水农村商业银行股份有限公司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江苏省响水县双园路84号响水农村商业银行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广西宁明农村商业银行股份有限公司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宁明县城中镇明阳街3号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江苏沭阳农村商业银行股份有限公司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江苏省宿迁市沭阳县沭城镇苏州东路与台州南路交汇处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浙江安吉农村商业银行股份有限公司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浙江省湖州市安吉县昌硕街道昌硕东路1号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兴业县农村信用合作联社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广西玉林市兴业县兴业大道兴业家园南侧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寿宁县农村信用合作联社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福建省宁德市寿宁县梦龙街5号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0593-5519112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陕西镇坪农村商业银行股份有限公司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陕西省安康市镇坪县城关镇上新街32号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江苏苏州农村商业银行股份有限公司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江苏省苏州市吴江区中山南路1777号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956111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云霄县农村信用合作联社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福建省漳州市云霄县莆美镇侨兴路29号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0596-8521614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东兰县农村信用合作联社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东兰县东兰镇五峰路231-1号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铜川市耀州区农村信用合作联社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陕西省铜川市耀州区华原路塔坡什字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广东鹤山农村商业银行股份有限公司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鹤山市沙坪镇新城路420号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陕西岐山农村商业银行股份有限公司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陕西省宝鸡市岐山县凤鸣镇凤鸣西路凤鸣印象商城一层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潍坊农村商业银行股份有限公司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山东省潍坊市奎文区新华路潍坊中心1号楼潍坊农商银行运营管理部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广西隆林农村商业银行股份有限公司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广西隆林县新州镇迎宾路西段农村商业银行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广西藤县藤州大道266号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江苏泗阳农村商业银行股份有限公司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江苏省宿迁市泗阳县众兴镇北京中路21号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山东郓城农村商业银行股份有限公司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山东郓城县东门街中段路西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山东微山农村商业银行股份有限公司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山东省济宁市微山县奎文东路30号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泰安泰山农村商业银行股份有限公司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山东省泰安市泰山区碧霞湖南路169号金融大厦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江苏东海农村商业银行股份有限公司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连云港市东海县牛山镇海陵东路8号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三原县农村信用合作联社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三原县宴友思大街中段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陕西麟游农村商业银行股份有限公司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陕西省宝鸡市麟游县东大街49号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山东庆云农村商业银行股份有限公司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山东省德州市庆云县学苑路888号庆云农商银行西门门卫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北流市农村信用合作联社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广西北流市二环西路175号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铜川市印台区农村信用合作联社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陕西省铜川市印台区同官路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广西岑溪农村商业银行股份有限公司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广西岑溪市义州大道192号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广西兴安农村合作银行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兴安县兴安镇灵湖路506号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延长县农村信用合作联社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陕西省延安市延长县七里村镇城区中街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浙江龙泉农村商业银行股份有限公司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浙江省丽水市龙泉市龙渊街道中山东路 101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漳州市长泰区农村信用合作联社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福建省漳州市长泰区武安镇人民西路206号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0596-8331904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山东费县农村商业银行股份有限公司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山东省临沂市费县钟山路168号农商银行办公楼西门卫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山东泗水农村商业银行股份有限公司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山东省济宁市泗水县泉兴路3号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广东佛山农村商业银行股份有限公司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佛山市禅城区华远东路5号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广西平果农村合作银行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广西平果市铝城大道1069号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广西鹿寨农村商业银行股份有限公司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广西柳州市鹿寨县建中西路1号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广西融水农村商业银行股份有限公司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广西融水县融水镇寿星中路22号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山东莱州农村商业银行股份有限公司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山东省烟台市莱州市永安路街道光州西路356号农信大厦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广西田东农村商业银行股份有限公司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广西田东县平马镇恩隆大道5号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南宁市武鸣区农村信用合作联社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南宁市武鸣区兴武大道１７８号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江苏仪征农村商业银行股份有限公司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江苏省仪征市真州镇解放东路818号金融集聚区1座801-811，901-911，1001-1011，2座101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广西靖西农村商业银行股份有限公司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广西靖西市绣球大道819号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宜君县农村信用合作联社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陕西省铜川市宜君县宜阳南街3号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湖北荆州农村商业银行股份有限公司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湖北省荆州市江津中路255号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0716-8370357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枣庄农村商业银行股份有限公司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山东省枣庄市薛城区民生路766号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福建南平农村商业银行股份有限公司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南平市延平区八一路356号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广西灵川农村商业银行股份有限公司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广西壮族自治区桂林市灵川县定江镇灵川大道81号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广州市黄埔区映日路9号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陕西吴起农村合作银行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陕西省延安市吴起县北苑东路26号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山东沂水农村商业银行股份有限公司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山东省临沂市沂水县城鑫华路42号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山东禹城农村商业银行股份有限公司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山东省禹城市汉槐街181号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广西柳州市柳城县河东大道276号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江苏张家港农村商业银行股份有限公司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江苏省张家港市人民中路66号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0512-96065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武汉市江岸区建设大道618号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合浦县农村信用合作联社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合浦县廉州镇还珠大道１８号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陕西清涧农村商业银行股份有限公司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陕西省榆林市清涧县西城区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广西龙胜农村商业银行股份有限公司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龙胜县桑江北区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梅州市梅县区嘉应西路农信大厦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(0753)2593531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广西都安农村商业银行股份有限公司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广西河池都安瑶族自治县安阳镇新兴街１号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山东荣成农村商业银行股份有限公司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山东省荣成市成山大道中段15号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梧州市区农村信用合作联社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广西梧州市新兴三路11号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广西贵港农村商业银行股份有限公司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广西贵港市港北区南苑街98号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诏安县农村信用合作联社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福建省诏安县南诏镇玉峰路140号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0596-3328124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广西三江农村商业银行股份有限公司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广西柳州市三江县桥西南路3号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大荔县农村信用合作联社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陕西省渭南市大荔县城关镇花城路24号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德州陵城农村商业银行股份有限公司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山东省德州市陵城区陵州路272号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陕西洛川农村商业银行股份有限公司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陕西省延安市洛川县中心街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陕西太白农村商业银行股份有限公司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陕西省宝鸡市太白县南大街30号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湖北随州农村商业银行股份有限公司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湖北省随州市曾都区白云大道11号农商大厦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0722-3246663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广西陆川农村商业银行股份有限公司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广西陆川县温泉镇西滨中路38号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长沙银行股份有限公司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湖南省长沙市岳麓区滨江路53号楷林商务中心B座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广西荔浦农村商业银行股份有限公司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广西壮族自治区荔浦市荔城镇荔塔路２号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山东莱芜农村商业银行股份有限公司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山东省济南市莱芜区鲁中东大街28号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广西融安农村商业银行股份有限公司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广西柳州市融安县长安镇迎宾路农村商业银行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广西隆安农村商业银行股份有限公司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广西隆安县城厢镇蝶城路407号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浙江兰溪农村商业银行股份有限公司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浙江省兰溪市兰江街道丹溪大道18号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广西扶绥农村商业银行股份有限公司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扶绥县新宁镇永宁路２－１号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防城港市防城区农村信用合作联社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防城港市防城区防城镇山海路８号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光泽县农村信用合作联社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福建省光泽县杭川镇文昌路70-10号ou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广西平乐农村合作银行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平乐县平乐镇金子岭路1号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东山县农村信用合作联社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福建省漳州市东山县西埔镇白石街泽园路348号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0596-5881500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华安县农村信用合作联社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福建省漳州市华安县城关大同路66号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0596-7368299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广西大新农村商业银行股份有限公司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大新县桃城镇养利中路中国人民银行大新县支行综合楼一层门面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山东嘉祥农村商业银行股份有限公司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济宁市嘉祥县机场路502号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陕西凤县农村商业银行股份有限公司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陕西省宝鸡市凤县双石铺镇新建路中段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广西崇左农村商业银行股份有限公司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广西壮族自治区崇左市城西路１０９号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浙江缙云农村商业银行股份有限公司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浙江省丽水市缙云县五云街道仙都路 68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灵山县农村信用合作联社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广西灵山县灵城镇江南路与邕浦路交汇处信用社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广西灌阳农村商业银行股份有限公司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广西壮族自治区灌阳县灌阳镇灌江北路１４０号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广西浦北农村商业银行股份有限公司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浦北县小江街道科园路218号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柘荣县农村信用合作联社股份有限公司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福建省宁德市柘荣县615西路2号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0593-8352797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广西龙州农村商业银行股份有限公司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龙州县龙州镇独山路１７２号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广西罗城农村商业银行股份有限公司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罗城县东门镇解放路124号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将乐县农村信用合作联社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将乐县水南镇三华南路27号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留坝县农村信用合作联社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陕西省汉中市留坝县紫柏街道办事处紫柏路150号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广西马山农村商业银行股份有限公司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南宁市马山县白山镇江滨西路412号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广西永福农村商业银行股份有限公司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永福县永福镇连江路３０号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广西田阳农村商业银行股份有限公司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广西田阳县田州镇广场一路1号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广西资源农村商业银行股份有限公司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广西壮族自治区桂林市资源县资源镇丹霞路32号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北海市区农村信用合作联社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北海市北部湾中路２０号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广西凭祥农村商业银行股份有限公司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凭祥市友谊关大道13号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屏南县农村信用合作联社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福建省宁德市屏南县古峰镇翠屏南路135号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0593-3325538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江苏高邮农村商业银行股份有限公司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高邮市文游中路28号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0514-84668011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广西柳州市柳南区屏山大道341号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广西苍梧农村商业银行股份有限公司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广西梧州市龙圩区龙圩镇政贤路70号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南丹县农村信用合作联社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南丹县城关镇新城区祥宁街０１０号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广西德保农村商业银行股份有限公司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广西德保县城关镇桃源路128号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山东临沂河东农村商业银行股份有限公司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山东省临沂市河东区区政府前街0001号1号楼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广西临桂农村商业银行股份有限公司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桂林市临桂区联创飞扬国际T6栋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广西蒙山农村商业银行股份有限公司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广西梧州市蒙山县蒙山镇五福路南108号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浙江云和农村商业银行股份有限公司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浙江省丽水市云和县浮云街道新建路 72 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广西大化农村商业银行股份有限公司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大化瑶族自治县大化镇北红河北路169号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江苏阜宁农村商业银行股份有限公司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盐城市阜宁县上海路459号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山东成武农村商业银行股份有限公司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山东省菏泽市成武县永昌路69号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山东定陶农村商业银行股份有限公司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山东省菏泽市定陶区青年路中段路东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连城县农村信用合作联社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连城县莲峰镇北大东路64号（百花金城小区1号楼）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0597-8923750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山东邹城农村商业银行股份有限公司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山东省邹城市东滩路1669号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山东兰陵农村商业银行股份有限公司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山东省临沂市兰陵县兰陵路与崇文路交汇东侧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山东莘县农村商业银行股份有限公司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莘县振兴街92号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山东梁山农村商业银行股份有限公司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山东省梁山县水泊街道安民山路路西水浒大道路南梁山农商银行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广西天峨农村商业银行股份有限公司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广西壮族自治区河池市天峨县六排镇塘英大道112号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志丹县农村信用合作联社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陕西省延安市志丹县保安街134号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周宁县农村信用合作联社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福建省宁德市周宁县狮城镇桥南街73号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0593-5622866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山东莱阳农村商业银行股份有限公司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山东省莱阳市龙门西路497号莱阳农商银行西门门卫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广西钟山农村商业银行股份有限公司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广西钟山县兴钟中路23号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广西宜州农村合作银行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广西壮族自治区河池市宜州区庆远镇二桥路39号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山东鱼台农村商业银行股份有限公司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山东省济宁市鱼台县观鱼大街38号鱼台农商银行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山东汶上农村商业银行股份有限公司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山东省汶上县中都大街88号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山东省泰安市长城路3号圣地大厦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0538-96588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山东滕州农村商业银行股份有限公司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山东省枣庄市滕州市善国南路76号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山东临沭农村商业银行股份有限公司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山东省临沂市临沭县沭新东街31号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山东平邑农村商业银行股份有限公司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山东省临沂市平邑县平乐路与丰山路交汇处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广西天等农村商业银行股份有限公司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天等县天等镇仕民路48号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广西东兴农村商业银行股份有限公司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广西东兴市东兴镇兴东路326号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广西巴马农村商业银行股份有限公司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巴马镇寿乡大道218号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广西上林农村商业银行股份有限公司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上林县城明山路１７８号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广西阳朔农村商业银行股份有限公司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广西壮族自治区阳朔县阳朔镇荆凤路67号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泰安岱岳农村商业银行股份有限公司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山东省泰安市岱岳区财兴街90号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防城港市区农村信用合作联社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港口区东兴大道采珠市场对面（东兴大道２７０号）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广西昭平农村商业银行股份有限公司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广西昭平县昭平镇河西东路2号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广西田林农村商业银行股份有限公司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广西百色市田林县乐里镇河南路97号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山东章丘农村商业银行股份有限公司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山东省济南市章丘区明水汇泉路2550号章丘农村商业银行业务发展部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广西那坡农村商业银行股份有限公司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那坡县城厢镇南街15号保合时代广场一楼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山东龙口农村商业银行股份有限公司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山东省龙口市南山路东、港城大道北侧101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山东郯城农村商业银行股份有限公司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山东省郯城县人民路269号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0531-96668</w:t>
            </w:r>
          </w:p>
        </w:tc>
      </w:tr>
    </w:tbl>
    <w:p>
      <w:pPr>
        <w:rPr>
          <w:rFonts w:ascii="Calibri" w:hAnsi="Calibri" w:eastAsia="宋体" w:cs="宋体"/>
          <w:szCs w:val="22"/>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p>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附表2：销售机构关联关系情况（适用【A】类份额）：</w:t>
      </w: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8"/>
        <w:gridCol w:w="5257"/>
        <w:gridCol w:w="7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企业名称全称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住所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热线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兴业银行股份有限公司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福建省福州市台江区江滨中大道398号兴业银行大厦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95561</w:t>
            </w:r>
          </w:p>
        </w:tc>
      </w:tr>
    </w:tbl>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附表2：销售机构关联关系情况（适用【B/C/D/E/F】类份额）：</w:t>
      </w: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2"/>
        <w:gridCol w:w="4881"/>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企业名称全称</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住所</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热线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bl>
    <w:p>
      <w:pPr>
        <w:rPr>
          <w:rFonts w:ascii="Calibri" w:hAnsi="Calibri" w:eastAsia="宋体" w:cs="宋体"/>
          <w:szCs w:val="22"/>
        </w:rPr>
      </w:pPr>
    </w:p>
    <w:p>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p>
      <w:pPr>
        <w:widowControl/>
        <w:spacing w:before="156"/>
        <w:jc w:val="center"/>
        <w:rPr>
          <w:rFonts w:ascii="黑体" w:hAnsi="黑体" w:eastAsia="黑体" w:cs="宋体"/>
          <w:b/>
          <w:sz w:val="28"/>
          <w:szCs w:val="28"/>
        </w:rPr>
      </w:pPr>
      <w:r>
        <w:rPr>
          <w:rFonts w:hint="eastAsia" w:ascii="黑体" w:hAnsi="黑体" w:eastAsia="黑体" w:cs="宋体"/>
          <w:b/>
          <w:sz w:val="28"/>
          <w:szCs w:val="28"/>
        </w:rPr>
        <w:t>【</w:t>
      </w:r>
      <w:r>
        <w:rPr>
          <w:rFonts w:hint="eastAsia" w:ascii="黑体" w:hAnsi="黑体" w:eastAsia="黑体" w:cs="宋体"/>
          <w:b/>
          <w:sz w:val="28"/>
          <w:szCs w:val="28"/>
          <w:lang w:val="en-US" w:eastAsia="zh-CN"/>
        </w:rPr>
        <w:t>兴银理财稳利安盈封闭式2026年489期固收类理财产品</w:t>
      </w:r>
      <w:r>
        <w:rPr>
          <w:rFonts w:hint="eastAsia" w:ascii="黑体" w:hAnsi="黑体" w:eastAsia="黑体" w:cs="宋体"/>
          <w:b/>
          <w:sz w:val="28"/>
          <w:szCs w:val="28"/>
        </w:rPr>
        <w:t>】</w:t>
      </w:r>
    </w:p>
    <w:p>
      <w:pPr>
        <w:widowControl/>
        <w:spacing w:before="156"/>
        <w:jc w:val="center"/>
        <w:rPr>
          <w:rFonts w:ascii="黑体" w:hAnsi="黑体" w:eastAsia="黑体" w:cs="宋体"/>
          <w:b/>
          <w:sz w:val="28"/>
          <w:szCs w:val="28"/>
        </w:rPr>
      </w:pPr>
      <w:r>
        <w:rPr>
          <w:rFonts w:hint="eastAsia" w:ascii="黑体" w:hAnsi="黑体" w:eastAsia="黑体" w:cs="宋体"/>
          <w:b/>
          <w:sz w:val="28"/>
          <w:szCs w:val="28"/>
        </w:rPr>
        <w:t>（代理）销售协议书</w:t>
      </w:r>
    </w:p>
    <w:p>
      <w:pPr>
        <w:autoSpaceDE w:val="0"/>
        <w:autoSpaceDN w:val="0"/>
        <w:adjustRightInd w:val="0"/>
        <w:snapToGrid w:val="0"/>
        <w:spacing w:before="156" w:beforeLines="50" w:line="320" w:lineRule="exact"/>
        <w:jc w:val="center"/>
        <w:rPr>
          <w:rFonts w:ascii="宋体" w:hAnsi="宋体" w:cs="宋体"/>
          <w:b/>
          <w:sz w:val="32"/>
          <w:szCs w:val="32"/>
        </w:rPr>
      </w:pPr>
      <w:r>
        <w:rPr>
          <w:rFonts w:hint="eastAsia" w:ascii="宋体" w:hAnsi="宋体" w:cs="宋体"/>
          <w:b/>
          <w:sz w:val="24"/>
          <w:szCs w:val="22"/>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hint="eastAsia" w:ascii="宋体" w:hAnsi="宋体" w:eastAsia="宋体" w:cs="宋体"/>
          <w:b/>
          <w:szCs w:val="21"/>
          <w:u w:val="single"/>
          <w:lang w:eastAsia="zh-CN"/>
        </w:rPr>
      </w:pPr>
      <w:r>
        <w:rPr>
          <w:rFonts w:hint="eastAsia" w:ascii="宋体" w:hAnsi="宋体" w:cs="宋体"/>
          <w:b/>
          <w:szCs w:val="21"/>
        </w:rPr>
        <w:t>协议编号：</w:t>
      </w:r>
      <w:r>
        <w:rPr>
          <w:rFonts w:hint="eastAsia" w:ascii="宋体" w:hAnsi="宋体" w:cs="宋体"/>
          <w:b/>
          <w:szCs w:val="21"/>
          <w:lang w:eastAsia="zh-CN"/>
        </w:rPr>
        <w:t>【】</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7"/>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cs="宋体"/>
                <w:b/>
                <w:bCs/>
                <w:sz w:val="28"/>
                <w:szCs w:val="28"/>
              </w:rPr>
            </w:pPr>
            <w:r>
              <w:rPr>
                <w:rFonts w:hint="eastAsia" w:ascii="宋体" w:hAnsi="宋体" w:cs="宋体"/>
                <w:b/>
                <w:bCs/>
                <w:sz w:val="28"/>
                <w:szCs w:val="28"/>
              </w:rPr>
              <w:t>信息栏</w:t>
            </w:r>
          </w:p>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个人投资者适用</w:t>
            </w: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姓名</w:t>
            </w:r>
          </w:p>
        </w:tc>
        <w:tc>
          <w:tcPr>
            <w:tcW w:w="5061" w:type="dxa"/>
            <w:gridSpan w:val="3"/>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证件类型</w:t>
            </w:r>
          </w:p>
        </w:tc>
        <w:tc>
          <w:tcPr>
            <w:tcW w:w="1384" w:type="dxa"/>
            <w:shd w:val="solid" w:color="FFFFFF" w:fill="FFFFFF"/>
            <w:vAlign w:val="center"/>
          </w:tcPr>
          <w:p>
            <w:pPr>
              <w:spacing w:line="320" w:lineRule="exact"/>
              <w:jc w:val="left"/>
              <w:rPr>
                <w:rFonts w:ascii="宋体" w:hAnsi="宋体" w:cs="宋体"/>
                <w:bCs/>
                <w:sz w:val="18"/>
                <w:szCs w:val="18"/>
              </w:rPr>
            </w:pPr>
          </w:p>
        </w:tc>
        <w:tc>
          <w:tcPr>
            <w:tcW w:w="1234"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证件号码</w:t>
            </w:r>
          </w:p>
        </w:tc>
        <w:tc>
          <w:tcPr>
            <w:tcW w:w="2443" w:type="dxa"/>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联系电话</w:t>
            </w:r>
          </w:p>
        </w:tc>
        <w:tc>
          <w:tcPr>
            <w:tcW w:w="1384" w:type="dxa"/>
            <w:shd w:val="solid" w:color="FFFFFF" w:fill="FFFFFF"/>
            <w:vAlign w:val="center"/>
          </w:tcPr>
          <w:p>
            <w:pPr>
              <w:spacing w:line="320" w:lineRule="exact"/>
              <w:jc w:val="left"/>
              <w:rPr>
                <w:rFonts w:ascii="宋体" w:hAnsi="宋体" w:cs="宋体"/>
                <w:bCs/>
                <w:sz w:val="18"/>
                <w:szCs w:val="18"/>
              </w:rPr>
            </w:pPr>
          </w:p>
        </w:tc>
        <w:tc>
          <w:tcPr>
            <w:tcW w:w="1234"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电子邮箱</w:t>
            </w:r>
          </w:p>
        </w:tc>
        <w:tc>
          <w:tcPr>
            <w:tcW w:w="2443" w:type="dxa"/>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联系地址</w:t>
            </w:r>
          </w:p>
        </w:tc>
        <w:tc>
          <w:tcPr>
            <w:tcW w:w="5061" w:type="dxa"/>
            <w:gridSpan w:val="3"/>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w:t>
            </w:r>
            <w:r>
              <w:rPr>
                <w:rFonts w:ascii="宋体" w:hAnsi="宋体" w:cs="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cs="宋体"/>
                <w:bCs/>
                <w:sz w:val="18"/>
                <w:szCs w:val="18"/>
              </w:rPr>
            </w:pPr>
            <w:r>
              <w:rPr>
                <w:rFonts w:hint="eastAsia" w:ascii="宋体" w:hAnsi="宋体" w:cs="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widowControl w:val="0"/>
              <w:pBdr>
                <w:bottom w:val="none" w:color="auto" w:sz="0" w:space="0"/>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销售</w:t>
            </w:r>
            <w:r>
              <w:rPr>
                <w:rFonts w:ascii="宋体" w:hAnsi="宋体" w:cs="宋体"/>
                <w:b/>
                <w:bCs/>
                <w:sz w:val="18"/>
                <w:szCs w:val="18"/>
              </w:rPr>
              <w:t>机构信息</w:t>
            </w:r>
          </w:p>
        </w:tc>
        <w:tc>
          <w:tcPr>
            <w:tcW w:w="1720" w:type="dxa"/>
            <w:gridSpan w:val="2"/>
            <w:shd w:val="solid" w:color="FFFFFF" w:fill="FFFFFF"/>
            <w:vAlign w:val="center"/>
          </w:tcPr>
          <w:p>
            <w:pPr>
              <w:spacing w:line="320" w:lineRule="exact"/>
              <w:jc w:val="left"/>
              <w:rPr>
                <w:rFonts w:ascii="宋体" w:hAnsi="宋体" w:cs="宋体"/>
                <w:bCs/>
                <w:sz w:val="18"/>
                <w:szCs w:val="18"/>
              </w:rPr>
            </w:pPr>
            <w:r>
              <w:rPr>
                <w:rFonts w:hint="eastAsia" w:ascii="Calibri" w:hAnsi="宋体" w:cs="宋体"/>
                <w:sz w:val="18"/>
                <w:szCs w:val="18"/>
              </w:rPr>
              <w:t>★</w:t>
            </w:r>
            <w:r>
              <w:rPr>
                <w:rFonts w:hint="eastAsia" w:ascii="宋体" w:hAnsi="宋体" w:cs="宋体"/>
                <w:bCs/>
                <w:sz w:val="18"/>
                <w:szCs w:val="18"/>
              </w:rPr>
              <w:t>销售性质</w:t>
            </w:r>
          </w:p>
        </w:tc>
        <w:tc>
          <w:tcPr>
            <w:tcW w:w="5061" w:type="dxa"/>
            <w:gridSpan w:val="3"/>
            <w:shd w:val="solid" w:color="FFFFFF" w:fill="FFFFFF"/>
            <w:vAlign w:val="center"/>
          </w:tcPr>
          <w:p>
            <w:pPr>
              <w:spacing w:line="320" w:lineRule="exact"/>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 直销：产品管理人销售</w:t>
            </w:r>
          </w:p>
          <w:p>
            <w:pPr>
              <w:spacing w:line="320" w:lineRule="exact"/>
              <w:jc w:val="left"/>
              <w:rPr>
                <w:rFonts w:ascii="宋体" w:hAnsi="宋体" w:cs="宋体"/>
                <w:bCs/>
                <w:sz w:val="18"/>
                <w:szCs w:val="18"/>
              </w:rPr>
            </w:pPr>
            <w:r>
              <w:rPr>
                <w:rFonts w:hint="eastAsia" w:cs="宋体" w:asciiTheme="majorEastAsia" w:hAnsiTheme="majorEastAsia" w:eastAsiaTheme="majorEastAsia"/>
                <w:bCs/>
                <w:sz w:val="18"/>
                <w:szCs w:val="18"/>
              </w:rPr>
              <w:t>■ 代销：代理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1720" w:type="dxa"/>
            <w:gridSpan w:val="2"/>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机构名称</w:t>
            </w:r>
          </w:p>
        </w:tc>
        <w:tc>
          <w:tcPr>
            <w:tcW w:w="5061" w:type="dxa"/>
            <w:gridSpan w:val="3"/>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机构简介</w:t>
            </w:r>
          </w:p>
        </w:tc>
        <w:tc>
          <w:tcPr>
            <w:tcW w:w="5061" w:type="dxa"/>
            <w:gridSpan w:val="3"/>
            <w:tcBorders>
              <w:bottom w:val="single" w:color="auto" w:sz="12" w:space="0"/>
            </w:tcBorders>
            <w:shd w:val="solid" w:color="FFFFFF" w:fill="FFFFFF"/>
            <w:vAlign w:val="center"/>
          </w:tcPr>
          <w:p>
            <w:pPr>
              <w:widowControl w:val="0"/>
              <w:autoSpaceDE w:val="0"/>
              <w:autoSpaceDN w:val="0"/>
              <w:adjustRightInd w:val="0"/>
              <w:jc w:val="both"/>
              <w:rPr>
                <w:rFonts w:ascii="宋体" w:hAnsi="Calibri" w:eastAsia="宋体" w:cs="宋体"/>
                <w:color w:val="000000"/>
                <w:sz w:val="24"/>
                <w:szCs w:val="24"/>
                <w:lang w:val="en-US" w:eastAsia="zh-CN" w:bidi="ar-SA"/>
              </w:rPr>
            </w:pPr>
            <w:r>
              <w:rPr>
                <w:rFonts w:hint="eastAsia" w:cs="宋体" w:asciiTheme="majorEastAsia" w:hAnsiTheme="majorEastAsia" w:eastAsiaTheme="majorEastAsia"/>
                <w:bCs/>
                <w:color w:val="000000"/>
                <w:sz w:val="18"/>
                <w:szCs w:val="18"/>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widowControl w:val="0"/>
              <w:pBdr>
                <w:bottom w:val="none" w:color="auto" w:sz="0" w:space="0"/>
              </w:pBdr>
              <w:snapToGrid/>
              <w:spacing w:line="320" w:lineRule="exact"/>
              <w:jc w:val="center"/>
              <w:rPr>
                <w:rFonts w:ascii="宋体" w:hAnsi="宋体" w:eastAsiaTheme="minorEastAsia" w:cstheme="minorBidi"/>
                <w:b/>
                <w:kern w:val="2"/>
                <w:sz w:val="18"/>
                <w:szCs w:val="18"/>
                <w:lang w:val="en-US" w:eastAsia="zh-CN" w:bidi="ar-SA"/>
              </w:rPr>
            </w:pPr>
            <w:r>
              <w:rPr>
                <w:rFonts w:hint="eastAsia" w:ascii="宋体" w:hAnsi="宋体" w:eastAsiaTheme="minorEastAsia" w:cstheme="minorBidi"/>
                <w:b/>
                <w:kern w:val="2"/>
                <w:sz w:val="18"/>
                <w:szCs w:val="18"/>
                <w:lang w:val="en-US" w:eastAsia="zh-CN" w:bidi="ar-SA"/>
              </w:rPr>
              <w:t>理财产品指定账户信息</w:t>
            </w:r>
          </w:p>
        </w:tc>
        <w:tc>
          <w:tcPr>
            <w:tcW w:w="6781" w:type="dxa"/>
            <w:gridSpan w:val="5"/>
            <w:shd w:val="solid" w:color="FFFFFF" w:fill="FFFFFF"/>
            <w:vAlign w:val="center"/>
          </w:tcPr>
          <w:p>
            <w:pPr>
              <w:widowControl w:val="0"/>
              <w:pBdr>
                <w:bottom w:val="none" w:color="auto" w:sz="0" w:space="0"/>
              </w:pBdr>
              <w:snapToGrid/>
              <w:spacing w:line="320" w:lineRule="exact"/>
              <w:jc w:val="left"/>
              <w:rPr>
                <w:rFonts w:ascii="宋体" w:hAnsi="宋体" w:eastAsiaTheme="minorEastAsia" w:cstheme="minorBidi"/>
                <w:b/>
                <w:kern w:val="2"/>
                <w:sz w:val="18"/>
                <w:szCs w:val="18"/>
                <w:lang w:val="en-US" w:eastAsia="zh-CN" w:bidi="ar-SA"/>
              </w:rPr>
            </w:pPr>
            <w:r>
              <w:rPr>
                <w:rFonts w:hint="eastAsia" w:ascii="宋体" w:hAnsi="宋体" w:eastAsiaTheme="minorEastAsia" w:cstheme="minorBidi"/>
                <w:kern w:val="2"/>
                <w:sz w:val="18"/>
                <w:szCs w:val="18"/>
                <w:lang w:val="en-US" w:eastAsia="zh-CN" w:bidi="ar-SA"/>
              </w:rPr>
              <w:t>投资者</w:t>
            </w:r>
            <w:r>
              <w:rPr>
                <w:rFonts w:ascii="宋体" w:hAnsi="宋体" w:eastAsiaTheme="minorEastAsia" w:cstheme="minorBidi"/>
                <w:kern w:val="2"/>
                <w:sz w:val="18"/>
                <w:szCs w:val="18"/>
                <w:lang w:val="en-US" w:eastAsia="zh-CN" w:bidi="ar-SA"/>
              </w:rPr>
              <w:t>在销售机构开立</w:t>
            </w:r>
            <w:r>
              <w:rPr>
                <w:rFonts w:hint="eastAsia" w:ascii="宋体" w:hAnsi="宋体" w:eastAsiaTheme="minorEastAsia" w:cstheme="minorBidi"/>
                <w:kern w:val="2"/>
                <w:sz w:val="18"/>
                <w:szCs w:val="18"/>
                <w:lang w:val="en-US" w:eastAsia="zh-CN" w:bidi="ar-SA"/>
              </w:rPr>
              <w:t>理财卡结算账户</w:t>
            </w:r>
            <w:r>
              <w:rPr>
                <w:rFonts w:hint="eastAsia" w:ascii="宋体" w:hAnsi="宋体" w:eastAsiaTheme="minorEastAsia" w:cstheme="minorBidi"/>
                <w:spacing w:val="-6"/>
                <w:kern w:val="2"/>
                <w:sz w:val="18"/>
                <w:szCs w:val="18"/>
                <w:lang w:val="en-US" w:eastAsia="zh-CN" w:bidi="ar-SA"/>
              </w:rPr>
              <w:t>或存折结算账户（</w:t>
            </w:r>
            <w:r>
              <w:rPr>
                <w:rFonts w:hint="eastAsia" w:ascii="宋体" w:hAnsi="宋体" w:eastAsiaTheme="minorEastAsia" w:cstheme="minorBidi"/>
                <w:kern w:val="2"/>
                <w:sz w:val="18"/>
                <w:szCs w:val="18"/>
                <w:lang w:val="en-US" w:eastAsia="zh-CN" w:bidi="ar-SA"/>
              </w:rPr>
              <w:t>以下简称“指定账户”），</w:t>
            </w:r>
            <w:r>
              <w:rPr>
                <w:rFonts w:ascii="宋体" w:hAnsi="宋体" w:eastAsiaTheme="minorEastAsia" w:cstheme="minorBidi"/>
                <w:kern w:val="2"/>
                <w:sz w:val="18"/>
                <w:szCs w:val="18"/>
                <w:lang w:val="en-US" w:eastAsia="zh-CN" w:bidi="ar-SA"/>
              </w:rPr>
              <w:t>用于</w:t>
            </w:r>
            <w:r>
              <w:rPr>
                <w:rFonts w:hint="eastAsia" w:ascii="宋体" w:hAnsi="宋体" w:eastAsiaTheme="minorEastAsia" w:cstheme="minorBidi"/>
                <w:kern w:val="2"/>
                <w:sz w:val="18"/>
                <w:szCs w:val="18"/>
                <w:lang w:val="en-US" w:eastAsia="zh-CN" w:bidi="ar-SA"/>
              </w:rPr>
              <w:t>本产品的</w:t>
            </w:r>
            <w:r>
              <w:rPr>
                <w:rFonts w:ascii="宋体" w:hAnsi="宋体" w:eastAsiaTheme="minorEastAsia" w:cstheme="minorBidi"/>
                <w:kern w:val="2"/>
                <w:sz w:val="18"/>
                <w:szCs w:val="18"/>
                <w:lang w:val="en-US" w:eastAsia="zh-CN" w:bidi="ar-SA"/>
              </w:rPr>
              <w:t>资金划转及</w:t>
            </w:r>
            <w:r>
              <w:rPr>
                <w:rFonts w:hint="eastAsia" w:ascii="宋体" w:hAnsi="宋体" w:eastAsiaTheme="minorEastAsia" w:cstheme="minorBidi"/>
                <w:kern w:val="2"/>
                <w:sz w:val="18"/>
                <w:szCs w:val="18"/>
                <w:lang w:val="en-US" w:eastAsia="zh-CN" w:bidi="ar-SA"/>
              </w:rPr>
              <w:t>产品分配，账号：</w:t>
            </w:r>
            <w:r>
              <w:rPr>
                <w:rFonts w:ascii="宋体" w:hAnsi="宋体" w:eastAsiaTheme="minorEastAsia" w:cstheme="minorBidi"/>
                <w:kern w:val="2"/>
                <w:sz w:val="18"/>
                <w:szCs w:val="18"/>
                <w:u w:val="single"/>
                <w:lang w:val="en-US" w:eastAsia="zh-CN" w:bidi="ar-SA"/>
              </w:rPr>
              <w:t xml:space="preserve">　                     </w:t>
            </w:r>
            <w:r>
              <w:rPr>
                <w:rFonts w:hint="eastAsia" w:ascii="宋体" w:hAnsi="宋体" w:eastAsiaTheme="minorEastAsia" w:cstheme="minorBidi"/>
                <w:kern w:val="2"/>
                <w:sz w:val="18"/>
                <w:szCs w:val="18"/>
                <w:lang w:val="en-US" w:eastAsia="zh-CN" w:bidi="ar-SA"/>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hint="eastAsia" w:ascii="宋体" w:hAnsi="宋体" w:eastAsia="宋体" w:cs="仿宋_GB2312"/>
          <w:b/>
          <w:kern w:val="0"/>
          <w:sz w:val="18"/>
          <w:szCs w:val="18"/>
          <w:lang w:eastAsia="zh-CN"/>
        </w:rPr>
      </w:pPr>
      <w:r>
        <w:rPr>
          <w:rFonts w:hint="eastAsia" w:ascii="宋体" w:hAnsi="宋体" w:cs="仿宋_GB2312"/>
          <w:b/>
          <w:kern w:val="0"/>
          <w:sz w:val="18"/>
          <w:szCs w:val="18"/>
        </w:rPr>
        <w:t>第一条 重要提示</w:t>
      </w:r>
      <w:r>
        <w:rPr>
          <w:rFonts w:hint="eastAsia" w:ascii="宋体" w:hAnsi="宋体" w:cs="仿宋_GB2312"/>
          <w:b/>
          <w:kern w:val="0"/>
          <w:sz w:val="18"/>
          <w:szCs w:val="18"/>
          <w:lang w:eastAsia="zh-CN"/>
        </w:rPr>
        <w:t>及双方权利与义务</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本理财产品由兴银理财有限责任公司发行与管理，乙方仅作为理财产品的代理销售机构，非理财产品管理人，不承担理财产品的投资</w:t>
      </w:r>
      <w:r>
        <w:rPr>
          <w:rFonts w:hint="eastAsia" w:ascii="黑体" w:hAnsi="黑体" w:eastAsia="黑体" w:cs="仿宋_GB2312"/>
          <w:kern w:val="0"/>
          <w:sz w:val="18"/>
          <w:szCs w:val="18"/>
          <w:lang w:val="en-US" w:eastAsia="zh-CN"/>
        </w:rPr>
        <w:t>和兑付</w:t>
      </w:r>
      <w:r>
        <w:rPr>
          <w:rFonts w:hint="eastAsia" w:ascii="黑体" w:hAnsi="黑体" w:eastAsia="黑体" w:cs="仿宋_GB2312"/>
          <w:kern w:val="0"/>
          <w:sz w:val="18"/>
          <w:szCs w:val="18"/>
        </w:rPr>
        <w:t>责任。乙方受理的销售理财产品业务申请，以产品管理人的最终确认结果为准。</w:t>
      </w:r>
    </w:p>
    <w:p>
      <w:pPr>
        <w:widowControl/>
        <w:spacing w:line="360" w:lineRule="auto"/>
        <w:jc w:val="left"/>
        <w:rPr>
          <w:rFonts w:hint="eastAsia" w:ascii="黑体" w:hAnsi="黑体" w:eastAsia="黑体" w:cs="黑体"/>
          <w:kern w:val="0"/>
          <w:sz w:val="18"/>
          <w:szCs w:val="18"/>
        </w:rPr>
      </w:pPr>
      <w:r>
        <w:rPr>
          <w:rFonts w:hint="eastAsia" w:ascii="黑体" w:hAnsi="黑体" w:eastAsia="黑体" w:cs="黑体"/>
          <w:kern w:val="0"/>
          <w:sz w:val="18"/>
          <w:szCs w:val="18"/>
        </w:rPr>
        <w:t>2.《投资协议书》《产品说明书》《（代理）销售协议书》《风险揭示书》《投资者权益须知》等文件共同构成一份完整且不可分割的理财产品销售文件。提示投资者注意本理财产品可能面临信用风险、市场风险、流动性风险等风险因素，具体详见《风险揭示书》。甲方在签署本协议前，应当详细阅读《投资协议书》《产品说明书》《（代理）销售协议书》《风险揭示书》《投资者权益须知》等完整的理财产品销售文件，并充分了解理财产品基本情况、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widowControl w:val="0"/>
        <w:autoSpaceDE w:val="0"/>
        <w:autoSpaceDN w:val="0"/>
        <w:adjustRightInd w:val="0"/>
        <w:spacing w:line="360" w:lineRule="auto"/>
        <w:rPr>
          <w:rFonts w:hint="eastAsia" w:ascii="宋体" w:hAnsi="宋体" w:eastAsia="宋体" w:cs="仿宋_GB2312"/>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w:t>
      </w:r>
      <w:r>
        <w:rPr>
          <w:rFonts w:hint="eastAsia" w:ascii="宋体" w:hAnsi="宋体" w:eastAsia="宋体" w:cs="仿宋_GB2312"/>
          <w:color w:val="000000"/>
          <w:sz w:val="18"/>
          <w:szCs w:val="18"/>
          <w:lang w:val="en-US" w:eastAsia="zh-CN" w:bidi="ar-SA"/>
        </w:rPr>
        <w:t>甲方应根据风险承受能力选择与其风险承受能力相匹配的风险等级的理财产品，不得购买高于甲方风险承受能力的理财产品。</w:t>
      </w:r>
    </w:p>
    <w:p>
      <w:pPr>
        <w:widowControl w:val="0"/>
        <w:autoSpaceDE w:val="0"/>
        <w:autoSpaceDN w:val="0"/>
        <w:adjustRightInd w:val="0"/>
        <w:spacing w:line="360" w:lineRule="auto"/>
        <w:rPr>
          <w:rFonts w:hint="eastAsia" w:ascii="黑体" w:hAnsi="黑体" w:eastAsia="黑体" w:cs="黑体"/>
          <w:color w:val="000000"/>
          <w:sz w:val="18"/>
          <w:szCs w:val="18"/>
          <w:lang w:val="en-US" w:eastAsia="zh-CN" w:bidi="ar-SA"/>
        </w:rPr>
      </w:pPr>
      <w:r>
        <w:rPr>
          <w:rFonts w:hint="eastAsia" w:ascii="黑体" w:hAnsi="黑体" w:eastAsia="黑体" w:cs="黑体"/>
          <w:color w:val="000000"/>
          <w:sz w:val="18"/>
          <w:szCs w:val="18"/>
          <w:lang w:val="en-US" w:eastAsia="zh-CN" w:bidi="ar-SA"/>
        </w:rPr>
        <w:t>（4）特别提示：乙方提出的适当性匹配意见不表明其对产品的风险和收益作出实质性判断或者保证。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w:t>
      </w:r>
      <w:r>
        <w:rPr>
          <w:rFonts w:hint="eastAsia" w:ascii="宋体" w:hAnsi="宋体" w:cs="仿宋_GB2312"/>
          <w:kern w:val="0"/>
          <w:sz w:val="18"/>
          <w:szCs w:val="18"/>
          <w:lang w:val="en-US" w:eastAsia="zh-CN"/>
        </w:rPr>
        <w:t>普通</w:t>
      </w:r>
      <w:r>
        <w:rPr>
          <w:rFonts w:hint="eastAsia" w:ascii="宋体" w:hAnsi="宋体" w:cs="仿宋_GB2312"/>
          <w:kern w:val="0"/>
          <w:sz w:val="18"/>
          <w:szCs w:val="18"/>
        </w:rPr>
        <w:t>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w:t>
      </w:r>
      <w:r>
        <w:rPr>
          <w:rFonts w:hint="eastAsia" w:ascii="宋体" w:hAnsi="宋体" w:cs="仿宋_GB2312"/>
          <w:kern w:val="0"/>
          <w:sz w:val="18"/>
          <w:szCs w:val="18"/>
          <w:lang w:val="en-US" w:eastAsia="zh-CN"/>
        </w:rPr>
        <w:t>专业</w:t>
      </w:r>
      <w:r>
        <w:rPr>
          <w:rFonts w:hint="eastAsia" w:ascii="宋体" w:hAnsi="宋体" w:cs="仿宋_GB2312"/>
          <w:kern w:val="0"/>
          <w:sz w:val="18"/>
          <w:szCs w:val="18"/>
        </w:rPr>
        <w:t>投资者的风险承受能力评估按销售机构的以下销售政策执行：</w:t>
      </w:r>
    </w:p>
    <w:p>
      <w:pPr>
        <w:widowControl/>
        <w:spacing w:line="360" w:lineRule="auto"/>
        <w:jc w:val="left"/>
        <w:rPr>
          <w:rFonts w:cs="宋体" w:asciiTheme="majorEastAsia" w:hAnsiTheme="majorEastAsia" w:eastAsiaTheme="majorEastAsia"/>
          <w:sz w:val="18"/>
          <w:szCs w:val="18"/>
        </w:rPr>
      </w:pPr>
      <w:r>
        <w:rPr>
          <w:rFonts w:hint="eastAsia" w:ascii="黑体" w:hAnsi="黑体" w:eastAsia="黑体" w:cs="宋体"/>
          <w:bCs/>
          <w:sz w:val="18"/>
          <w:szCs w:val="18"/>
        </w:rPr>
        <w:t>□</w:t>
      </w:r>
      <w:r>
        <w:rPr>
          <w:rFonts w:hint="eastAsia" w:cs="宋体" w:asciiTheme="majorEastAsia" w:hAnsiTheme="majorEastAsia" w:eastAsiaTheme="majorEastAsia"/>
          <w:sz w:val="18"/>
          <w:szCs w:val="18"/>
        </w:rPr>
        <w:t>参照本条第（1）款</w:t>
      </w:r>
      <w:r>
        <w:rPr>
          <w:rFonts w:hint="eastAsia" w:cs="宋体" w:asciiTheme="majorEastAsia" w:hAnsiTheme="majorEastAsia" w:eastAsiaTheme="majorEastAsia"/>
          <w:sz w:val="18"/>
          <w:szCs w:val="18"/>
          <w:lang w:val="en-US" w:eastAsia="zh-CN"/>
        </w:rPr>
        <w:t>普通</w:t>
      </w:r>
      <w:r>
        <w:rPr>
          <w:rFonts w:hint="eastAsia" w:cs="宋体" w:asciiTheme="majorEastAsia" w:hAnsiTheme="majorEastAsia" w:eastAsiaTheme="majorEastAsia"/>
          <w:sz w:val="18"/>
          <w:szCs w:val="18"/>
        </w:rPr>
        <w:t>投资者要求执行；</w:t>
      </w:r>
    </w:p>
    <w:p>
      <w:pPr>
        <w:widowControl/>
        <w:spacing w:line="360" w:lineRule="auto"/>
        <w:jc w:val="left"/>
        <w:rPr>
          <w:rFonts w:cs="宋体" w:asciiTheme="majorEastAsia" w:hAnsiTheme="majorEastAsia" w:eastAsiaTheme="majorEastAsia"/>
          <w:sz w:val="18"/>
          <w:szCs w:val="18"/>
        </w:rPr>
      </w:pPr>
      <w:r>
        <w:rPr>
          <w:rFonts w:hint="eastAsia" w:ascii="黑体" w:hAnsi="黑体" w:eastAsia="黑体" w:cs="宋体"/>
          <w:bCs/>
          <w:sz w:val="18"/>
          <w:szCs w:val="18"/>
        </w:rPr>
        <w:t>□</w:t>
      </w:r>
      <w:r>
        <w:rPr>
          <w:rFonts w:hint="eastAsia" w:cs="宋体" w:asciiTheme="majorEastAsia" w:hAnsiTheme="majorEastAsia" w:eastAsiaTheme="majorEastAsia"/>
          <w:sz w:val="18"/>
          <w:szCs w:val="18"/>
        </w:rPr>
        <w:t xml:space="preserve"> 其他：</w:t>
      </w:r>
      <w:r>
        <w:rPr>
          <w:rFonts w:hint="eastAsia" w:cs="宋体"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cs="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w:t>
      </w:r>
      <w:r>
        <w:rPr>
          <w:rFonts w:hint="eastAsia" w:ascii="宋体" w:hAnsi="宋体" w:cs="仿宋_GB2312"/>
          <w:kern w:val="0"/>
          <w:sz w:val="18"/>
          <w:szCs w:val="18"/>
          <w:lang w:eastAsia="zh-CN"/>
        </w:rPr>
        <w:t>、</w:t>
      </w:r>
      <w:r>
        <w:rPr>
          <w:rFonts w:hint="eastAsia" w:ascii="宋体" w:hAnsi="宋体" w:cs="仿宋_GB2312"/>
          <w:kern w:val="0"/>
          <w:sz w:val="18"/>
          <w:szCs w:val="18"/>
          <w:lang w:val="en-US" w:eastAsia="zh-CN"/>
        </w:rPr>
        <w:t>反欺诈</w:t>
      </w:r>
      <w:r>
        <w:rPr>
          <w:rFonts w:hint="eastAsia" w:ascii="宋体" w:hAnsi="宋体" w:cs="仿宋_GB2312"/>
          <w:kern w:val="0"/>
          <w:sz w:val="18"/>
          <w:szCs w:val="18"/>
        </w:rPr>
        <w:t>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恐怖融资、逃税活动等违法行为。乙方发现或有合理理由怀疑甲方、甲方资金或甲方交易行为涉嫌洗钱、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hint="eastAsia"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二</w:t>
      </w:r>
      <w:r>
        <w:rPr>
          <w:rFonts w:hint="eastAsia" w:ascii="宋体" w:hAnsi="宋体" w:cs="仿宋_GB2312"/>
          <w:b/>
          <w:kern w:val="0"/>
          <w:sz w:val="18"/>
          <w:szCs w:val="18"/>
        </w:rPr>
        <w:t>条 违约责任</w:t>
      </w:r>
    </w:p>
    <w:p>
      <w:pPr>
        <w:widowControl/>
        <w:spacing w:line="360" w:lineRule="auto"/>
        <w:jc w:val="left"/>
        <w:rPr>
          <w:rFonts w:hint="eastAsia" w:ascii="黑体" w:hAnsi="黑体" w:eastAsia="黑体" w:cs="仿宋_GB2312"/>
          <w:kern w:val="0"/>
          <w:sz w:val="18"/>
          <w:szCs w:val="18"/>
        </w:rPr>
      </w:pPr>
      <w:r>
        <w:rPr>
          <w:rFonts w:hint="eastAsia" w:ascii="黑体" w:hAnsi="黑体" w:eastAsia="黑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widowControl/>
        <w:spacing w:line="360" w:lineRule="auto"/>
        <w:jc w:val="left"/>
        <w:rPr>
          <w:rFonts w:hint="eastAsia" w:ascii="黑体" w:hAnsi="黑体" w:eastAsia="黑体" w:cs="仿宋_GB2312"/>
          <w:kern w:val="0"/>
          <w:sz w:val="18"/>
          <w:szCs w:val="18"/>
        </w:rPr>
      </w:pPr>
      <w:r>
        <w:rPr>
          <w:rFonts w:hint="eastAsia" w:ascii="黑体" w:hAnsi="黑体" w:eastAsia="黑体" w:cs="仿宋_GB2312"/>
          <w:kern w:val="0"/>
          <w:sz w:val="18"/>
          <w:szCs w:val="18"/>
        </w:rPr>
        <w:t>（二）如一方违反本协议所做的声明和保证或违反相关权利和义务，如因此给另一方或产品其他投资者造成损失的，违约方应承担违约责任。</w:t>
      </w: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三</w:t>
      </w:r>
      <w:r>
        <w:rPr>
          <w:rFonts w:hint="eastAsia" w:ascii="宋体" w:hAnsi="宋体" w:cs="仿宋_GB2312"/>
          <w:b/>
          <w:kern w:val="0"/>
          <w:sz w:val="18"/>
          <w:szCs w:val="18"/>
        </w:rPr>
        <w:t>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四</w:t>
      </w:r>
      <w:r>
        <w:rPr>
          <w:rFonts w:hint="eastAsia" w:ascii="宋体" w:hAnsi="宋体" w:cs="仿宋_GB2312"/>
          <w:b/>
          <w:kern w:val="0"/>
          <w:sz w:val="18"/>
          <w:szCs w:val="18"/>
        </w:rPr>
        <w:t>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hint="eastAsia"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五</w:t>
      </w:r>
      <w:r>
        <w:rPr>
          <w:rFonts w:hint="eastAsia" w:ascii="宋体" w:hAnsi="宋体" w:cs="仿宋_GB2312"/>
          <w:b/>
          <w:kern w:val="0"/>
          <w:sz w:val="18"/>
          <w:szCs w:val="18"/>
        </w:rPr>
        <w:t>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w:t>
      </w:r>
      <w:r>
        <w:rPr>
          <w:rFonts w:ascii="宋体" w:hAnsi="宋体" w:cs="仿宋_GB2312"/>
          <w:kern w:val="0"/>
          <w:sz w:val="18"/>
          <w:szCs w:val="18"/>
        </w:rPr>
        <w:t>或</w:t>
      </w:r>
      <w:r>
        <w:rPr>
          <w:rFonts w:hint="eastAsia" w:ascii="宋体" w:hAnsi="宋体" w:cs="仿宋_GB2312"/>
          <w:kern w:val="0"/>
          <w:sz w:val="18"/>
          <w:szCs w:val="18"/>
        </w:rPr>
        <w:t>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拥有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cs="宋体"/>
                <w:kern w:val="0"/>
                <w:sz w:val="18"/>
                <w:szCs w:val="18"/>
              </w:rPr>
            </w:pPr>
            <w:r>
              <w:rPr>
                <w:rFonts w:hint="eastAsia" w:ascii="黑体" w:hAnsi="黑体" w:eastAsia="黑体" w:cs="宋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1</w:t>
            </w:r>
            <w:r>
              <w:rPr>
                <w:rFonts w:hint="eastAsia" w:ascii="黑体" w:hAnsi="黑体" w:eastAsia="黑体" w:cs="宋体"/>
                <w:kern w:val="0"/>
                <w:sz w:val="18"/>
                <w:szCs w:val="18"/>
              </w:rPr>
              <w:t>.</w:t>
            </w:r>
            <w:r>
              <w:rPr>
                <w:rFonts w:ascii="黑体" w:hAnsi="黑体" w:eastAsia="黑体" w:cs="宋体"/>
                <w:kern w:val="0"/>
                <w:sz w:val="18"/>
                <w:szCs w:val="18"/>
              </w:rPr>
              <w:t>在签署本《</w:t>
            </w:r>
            <w:r>
              <w:rPr>
                <w:rFonts w:hint="eastAsia" w:ascii="黑体" w:hAnsi="黑体" w:eastAsia="黑体" w:cs="宋体"/>
                <w:kern w:val="0"/>
                <w:sz w:val="18"/>
                <w:szCs w:val="18"/>
              </w:rPr>
              <w:t>（代理）</w:t>
            </w:r>
            <w:r>
              <w:rPr>
                <w:rFonts w:ascii="黑体" w:hAnsi="黑体" w:eastAsia="黑体" w:cs="宋体"/>
                <w:kern w:val="0"/>
                <w:sz w:val="18"/>
                <w:szCs w:val="18"/>
              </w:rPr>
              <w:t>销售协议书》以前，甲方已认真阅读理财产品销售文件（包括但不限于《</w:t>
            </w:r>
            <w:r>
              <w:rPr>
                <w:rFonts w:hint="eastAsia" w:ascii="黑体" w:hAnsi="黑体" w:eastAsia="黑体" w:cs="宋体"/>
                <w:kern w:val="0"/>
                <w:sz w:val="18"/>
                <w:szCs w:val="18"/>
              </w:rPr>
              <w:t>投资</w:t>
            </w:r>
            <w:r>
              <w:rPr>
                <w:rFonts w:ascii="黑体" w:hAnsi="黑体" w:eastAsia="黑体" w:cs="宋体"/>
                <w:kern w:val="0"/>
                <w:sz w:val="18"/>
                <w:szCs w:val="18"/>
              </w:rPr>
              <w:t>协议书》《产品说明书》《</w:t>
            </w:r>
            <w:r>
              <w:rPr>
                <w:rFonts w:hint="eastAsia" w:ascii="黑体" w:hAnsi="黑体" w:eastAsia="黑体" w:cs="宋体"/>
                <w:kern w:val="0"/>
                <w:sz w:val="18"/>
                <w:szCs w:val="18"/>
              </w:rPr>
              <w:t>（代理）销售</w:t>
            </w:r>
            <w:r>
              <w:rPr>
                <w:rFonts w:ascii="黑体" w:hAnsi="黑体" w:eastAsia="黑体" w:cs="宋体"/>
                <w:kern w:val="0"/>
                <w:sz w:val="18"/>
                <w:szCs w:val="18"/>
              </w:rPr>
              <w:t>协议书</w:t>
            </w:r>
            <w:r>
              <w:rPr>
                <w:rFonts w:hint="eastAsia" w:ascii="黑体" w:hAnsi="黑体" w:eastAsia="黑体" w:cs="宋体"/>
                <w:kern w:val="0"/>
                <w:sz w:val="18"/>
                <w:szCs w:val="18"/>
              </w:rPr>
              <w:t>》《</w:t>
            </w:r>
            <w:r>
              <w:rPr>
                <w:rFonts w:ascii="黑体" w:hAnsi="黑体" w:eastAsia="黑体" w:cs="宋体"/>
                <w:kern w:val="0"/>
                <w:sz w:val="18"/>
                <w:szCs w:val="18"/>
              </w:rPr>
              <w:t>风险揭示书》《投资者权益须知》等文件）的全部内容，</w:t>
            </w:r>
            <w:r>
              <w:rPr>
                <w:rFonts w:hint="eastAsia" w:ascii="黑体" w:hAnsi="黑体" w:eastAsia="黑体" w:cs="宋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2</w:t>
            </w:r>
            <w:r>
              <w:rPr>
                <w:rFonts w:hint="eastAsia" w:ascii="黑体" w:hAnsi="黑体" w:eastAsia="黑体" w:cs="宋体"/>
                <w:kern w:val="0"/>
                <w:sz w:val="18"/>
                <w:szCs w:val="18"/>
              </w:rPr>
              <w:t>.甲方</w:t>
            </w:r>
            <w:r>
              <w:rPr>
                <w:rFonts w:ascii="黑体" w:hAnsi="黑体" w:eastAsia="黑体" w:cs="宋体"/>
                <w:kern w:val="0"/>
                <w:sz w:val="18"/>
                <w:szCs w:val="18"/>
              </w:rPr>
              <w:t>已认真阅读并充分理解包括但不限于《</w:t>
            </w:r>
            <w:r>
              <w:rPr>
                <w:rFonts w:hint="eastAsia" w:ascii="黑体" w:hAnsi="黑体" w:eastAsia="黑体" w:cs="宋体"/>
                <w:kern w:val="0"/>
                <w:sz w:val="18"/>
                <w:szCs w:val="18"/>
              </w:rPr>
              <w:t>（代理）</w:t>
            </w:r>
            <w:r>
              <w:rPr>
                <w:rFonts w:ascii="黑体" w:hAnsi="黑体" w:eastAsia="黑体" w:cs="宋体"/>
                <w:kern w:val="0"/>
                <w:sz w:val="18"/>
                <w:szCs w:val="18"/>
              </w:rPr>
              <w:t>销售协议书》</w:t>
            </w:r>
            <w:r>
              <w:rPr>
                <w:rFonts w:hint="eastAsia" w:ascii="黑体" w:hAnsi="黑体" w:eastAsia="黑体" w:cs="宋体"/>
                <w:kern w:val="0"/>
                <w:sz w:val="18"/>
                <w:szCs w:val="18"/>
              </w:rPr>
              <w:t>等全套理财产品销售文件</w:t>
            </w:r>
            <w:r>
              <w:rPr>
                <w:rFonts w:ascii="黑体" w:hAnsi="黑体" w:eastAsia="黑体" w:cs="宋体"/>
                <w:kern w:val="0"/>
                <w:sz w:val="18"/>
                <w:szCs w:val="18"/>
              </w:rPr>
              <w:t>关于投资理财产品及其全部风险的有关内容，同意本次</w:t>
            </w:r>
            <w:r>
              <w:rPr>
                <w:rFonts w:hint="eastAsia" w:ascii="黑体" w:hAnsi="黑体" w:eastAsia="黑体" w:cs="宋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31" w:hRule="exact"/>
        </w:trPr>
        <w:tc>
          <w:tcPr>
            <w:tcW w:w="675" w:type="dxa"/>
            <w:vMerge w:val="restart"/>
            <w:vAlign w:val="center"/>
          </w:tcPr>
          <w:p>
            <w:pPr>
              <w:spacing w:line="360" w:lineRule="auto"/>
              <w:jc w:val="center"/>
              <w:rPr>
                <w:rFonts w:ascii="Calibri" w:hAnsi="Calibri" w:cs="宋体"/>
                <w:b/>
                <w:kern w:val="0"/>
                <w:sz w:val="18"/>
                <w:szCs w:val="18"/>
              </w:rPr>
            </w:pPr>
            <w:r>
              <w:rPr>
                <w:rFonts w:hint="eastAsia" w:ascii="Calibri" w:hAnsi="Calibri" w:cs="宋体"/>
                <w:b/>
                <w:kern w:val="0"/>
                <w:sz w:val="18"/>
                <w:szCs w:val="18"/>
              </w:rPr>
              <w:t>甲方签署栏</w:t>
            </w: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个人投资者适用</w:t>
            </w:r>
          </w:p>
        </w:tc>
        <w:tc>
          <w:tcPr>
            <w:tcW w:w="6998" w:type="dxa"/>
          </w:tcPr>
          <w:p>
            <w:pPr>
              <w:spacing w:line="360" w:lineRule="auto"/>
              <w:rPr>
                <w:rFonts w:ascii="Calibri" w:hAnsi="Calibri" w:cs="宋体"/>
                <w:kern w:val="0"/>
                <w:sz w:val="18"/>
                <w:szCs w:val="18"/>
              </w:rPr>
            </w:pPr>
            <w:r>
              <w:rPr>
                <w:rFonts w:hint="eastAsia" w:ascii="Calibri" w:hAnsi="Calibri" w:cs="宋体"/>
                <w:kern w:val="0"/>
                <w:sz w:val="18"/>
                <w:szCs w:val="18"/>
              </w:rPr>
              <w:t>甲方（</w:t>
            </w:r>
            <w:r>
              <w:rPr>
                <w:rFonts w:ascii="Calibri" w:hAnsi="Calibri" w:cs="宋体"/>
                <w:kern w:val="0"/>
                <w:sz w:val="18"/>
                <w:szCs w:val="18"/>
              </w:rPr>
              <w:t>签名</w:t>
            </w:r>
            <w:r>
              <w:rPr>
                <w:rFonts w:hint="eastAsia" w:ascii="Calibri" w:hAnsi="Calibri" w:cs="宋体"/>
                <w:kern w:val="0"/>
                <w:sz w:val="18"/>
                <w:szCs w:val="18"/>
              </w:rPr>
              <w:t>/线上确认）：</w:t>
            </w:r>
          </w:p>
          <w:p>
            <w:pPr>
              <w:spacing w:line="360" w:lineRule="auto"/>
              <w:rPr>
                <w:rFonts w:ascii="Calibri" w:hAnsi="Calibri" w:cs="宋体"/>
                <w:b/>
                <w:kern w:val="0"/>
                <w:sz w:val="18"/>
                <w:szCs w:val="18"/>
              </w:rPr>
            </w:pPr>
          </w:p>
          <w:p>
            <w:pPr>
              <w:spacing w:line="360" w:lineRule="auto"/>
              <w:rPr>
                <w:rFonts w:ascii="Calibri" w:hAnsi="Calibri" w:cs="宋体"/>
                <w:b/>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rFonts w:ascii="Calibri" w:hAnsi="Calibri" w:cs="宋体"/>
                <w:b/>
                <w:kern w:val="0"/>
                <w:sz w:val="18"/>
                <w:szCs w:val="18"/>
              </w:rPr>
            </w:pP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机构投资者适用</w:t>
            </w:r>
          </w:p>
        </w:tc>
        <w:tc>
          <w:tcPr>
            <w:tcW w:w="6998" w:type="dxa"/>
          </w:tcPr>
          <w:p>
            <w:pPr>
              <w:spacing w:line="360" w:lineRule="auto"/>
              <w:rPr>
                <w:rFonts w:ascii="Calibri" w:hAnsi="Calibri" w:cs="Arial"/>
                <w:kern w:val="0"/>
                <w:sz w:val="18"/>
                <w:szCs w:val="18"/>
              </w:rPr>
            </w:pPr>
            <w:r>
              <w:rPr>
                <w:rFonts w:hint="eastAsia" w:ascii="Calibri" w:hAnsi="Calibri" w:cs="宋体"/>
                <w:kern w:val="0"/>
                <w:sz w:val="18"/>
                <w:szCs w:val="18"/>
              </w:rPr>
              <w:t>甲方</w:t>
            </w:r>
            <w:r>
              <w:rPr>
                <w:rFonts w:hint="eastAsia" w:ascii="Calibri" w:hAnsi="Calibri" w:cs="Arial"/>
                <w:kern w:val="0"/>
                <w:sz w:val="18"/>
                <w:szCs w:val="18"/>
              </w:rPr>
              <w:t>（盖章</w:t>
            </w:r>
            <w:r>
              <w:rPr>
                <w:rFonts w:hint="eastAsia" w:ascii="Calibri" w:hAnsi="Calibri" w:cs="宋体"/>
                <w:kern w:val="0"/>
                <w:sz w:val="18"/>
                <w:szCs w:val="18"/>
              </w:rPr>
              <w:t>/线上确认</w:t>
            </w:r>
            <w:r>
              <w:rPr>
                <w:rFonts w:hint="eastAsia" w:ascii="Calibri" w:hAnsi="Calibri" w:cs="Arial"/>
                <w:kern w:val="0"/>
                <w:sz w:val="18"/>
                <w:szCs w:val="18"/>
              </w:rPr>
              <w:t>）：</w:t>
            </w:r>
          </w:p>
          <w:p>
            <w:pPr>
              <w:spacing w:line="360" w:lineRule="auto"/>
              <w:rPr>
                <w:rFonts w:ascii="Calibri" w:hAnsi="Calibri" w:cs="Arial"/>
                <w:kern w:val="0"/>
                <w:sz w:val="18"/>
                <w:szCs w:val="18"/>
              </w:rPr>
            </w:pPr>
          </w:p>
          <w:p>
            <w:pPr>
              <w:spacing w:line="360" w:lineRule="auto"/>
              <w:rPr>
                <w:rFonts w:ascii="Calibri" w:hAnsi="Calibri" w:cs="Arial"/>
                <w:kern w:val="0"/>
                <w:sz w:val="18"/>
                <w:szCs w:val="18"/>
              </w:rPr>
            </w:pPr>
            <w:r>
              <w:rPr>
                <w:rFonts w:hint="eastAsia" w:ascii="Calibri" w:hAnsi="Calibri" w:cs="Arial"/>
                <w:kern w:val="0"/>
                <w:sz w:val="18"/>
                <w:szCs w:val="18"/>
              </w:rPr>
              <w:t>甲方法定代表人或授权代理人（</w:t>
            </w:r>
            <w:r>
              <w:rPr>
                <w:rFonts w:ascii="Calibri" w:hAnsi="Calibri" w:cs="Arial"/>
                <w:kern w:val="0"/>
                <w:sz w:val="18"/>
                <w:szCs w:val="18"/>
              </w:rPr>
              <w:t>签名</w:t>
            </w:r>
            <w:r>
              <w:rPr>
                <w:rFonts w:hint="eastAsia" w:ascii="Calibri" w:hAnsi="Calibri" w:cs="Arial"/>
                <w:kern w:val="0"/>
                <w:sz w:val="18"/>
                <w:szCs w:val="18"/>
              </w:rPr>
              <w:t>/盖章</w:t>
            </w:r>
            <w:r>
              <w:rPr>
                <w:rFonts w:hint="eastAsia" w:ascii="Calibri" w:hAnsi="Calibri" w:cs="宋体"/>
                <w:kern w:val="0"/>
                <w:sz w:val="18"/>
                <w:szCs w:val="18"/>
              </w:rPr>
              <w:t>/线上确认</w:t>
            </w:r>
            <w:r>
              <w:rPr>
                <w:rFonts w:hint="eastAsia" w:ascii="Calibri" w:hAnsi="Calibri" w:cs="Arial"/>
                <w:kern w:val="0"/>
                <w:sz w:val="18"/>
                <w:szCs w:val="18"/>
              </w:rPr>
              <w:t>）：</w:t>
            </w:r>
          </w:p>
          <w:p>
            <w:pPr>
              <w:spacing w:line="360" w:lineRule="auto"/>
              <w:rPr>
                <w:rFonts w:ascii="Calibri" w:hAnsi="Calibri" w:cs="宋体"/>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rFonts w:ascii="Calibri" w:hAnsi="Calibri" w:cs="宋体"/>
                <w:b/>
                <w:kern w:val="0"/>
                <w:sz w:val="18"/>
                <w:szCs w:val="18"/>
              </w:rPr>
            </w:pPr>
            <w:r>
              <w:rPr>
                <w:rFonts w:hint="eastAsia" w:ascii="Calibri" w:hAnsi="Calibri" w:cs="宋体"/>
                <w:b/>
                <w:kern w:val="0"/>
                <w:sz w:val="18"/>
                <w:szCs w:val="18"/>
              </w:rPr>
              <w:t>乙方</w:t>
            </w:r>
            <w:r>
              <w:rPr>
                <w:rFonts w:ascii="Calibri" w:hAnsi="Calibri" w:cs="宋体"/>
                <w:b/>
                <w:kern w:val="0"/>
                <w:sz w:val="18"/>
                <w:szCs w:val="18"/>
              </w:rPr>
              <w:t>签署栏</w:t>
            </w:r>
          </w:p>
        </w:tc>
        <w:tc>
          <w:tcPr>
            <w:tcW w:w="7849" w:type="dxa"/>
            <w:gridSpan w:val="2"/>
          </w:tcPr>
          <w:p>
            <w:pPr>
              <w:spacing w:line="360" w:lineRule="auto"/>
              <w:rPr>
                <w:rFonts w:ascii="Calibri" w:hAnsi="Calibri" w:cs="宋体"/>
                <w:kern w:val="0"/>
                <w:sz w:val="18"/>
                <w:szCs w:val="18"/>
              </w:rPr>
            </w:pPr>
            <w:r>
              <w:rPr>
                <w:rFonts w:hint="eastAsia" w:ascii="Calibri" w:hAnsi="Calibri" w:cs="宋体"/>
                <w:kern w:val="0"/>
                <w:sz w:val="18"/>
                <w:szCs w:val="18"/>
              </w:rPr>
              <w:t>乙方</w:t>
            </w:r>
            <w:r>
              <w:rPr>
                <w:rFonts w:ascii="Calibri" w:hAnsi="Calibri" w:cs="宋体"/>
                <w:kern w:val="0"/>
                <w:sz w:val="18"/>
                <w:szCs w:val="18"/>
              </w:rPr>
              <w:t>（</w:t>
            </w:r>
            <w:r>
              <w:rPr>
                <w:rFonts w:hint="eastAsia" w:ascii="Calibri" w:hAnsi="Calibri" w:cs="宋体"/>
                <w:kern w:val="0"/>
                <w:sz w:val="18"/>
                <w:szCs w:val="18"/>
              </w:rPr>
              <w:t>盖章/线上确认</w:t>
            </w:r>
            <w:r>
              <w:rPr>
                <w:rFonts w:ascii="Calibri" w:hAnsi="Calibri" w:cs="宋体"/>
                <w:kern w:val="0"/>
                <w:sz w:val="18"/>
                <w:szCs w:val="18"/>
              </w:rPr>
              <w:t>）</w:t>
            </w:r>
            <w:r>
              <w:rPr>
                <w:rFonts w:hint="eastAsia" w:ascii="Calibri" w:hAnsi="Calibri" w:cs="宋体"/>
                <w:kern w:val="0"/>
                <w:sz w:val="18"/>
                <w:szCs w:val="18"/>
              </w:rPr>
              <w:t>：</w:t>
            </w:r>
          </w:p>
          <w:p>
            <w:pPr>
              <w:spacing w:line="360" w:lineRule="auto"/>
              <w:rPr>
                <w:rFonts w:ascii="Calibri" w:hAnsi="Calibri" w:cs="宋体"/>
                <w:b/>
                <w:kern w:val="0"/>
                <w:sz w:val="18"/>
                <w:szCs w:val="18"/>
              </w:rPr>
            </w:pPr>
          </w:p>
          <w:p>
            <w:pPr>
              <w:spacing w:line="360" w:lineRule="auto"/>
              <w:rPr>
                <w:rFonts w:ascii="Calibri" w:hAnsi="Calibri" w:cs="宋体"/>
                <w:kern w:val="0"/>
                <w:sz w:val="18"/>
                <w:szCs w:val="18"/>
              </w:rPr>
            </w:pPr>
            <w:r>
              <w:rPr>
                <w:rFonts w:hint="eastAsia" w:ascii="Calibri" w:hAnsi="Calibri" w:cs="宋体"/>
                <w:kern w:val="0"/>
                <w:sz w:val="18"/>
                <w:szCs w:val="18"/>
              </w:rPr>
              <w:t>日期：</w:t>
            </w:r>
          </w:p>
        </w:tc>
      </w:tr>
    </w:tbl>
    <w:p>
      <w:pPr>
        <w:spacing w:line="360" w:lineRule="auto"/>
        <w:jc w:val="left"/>
        <w:rPr>
          <w:rFonts w:ascii="宋体" w:hAnsi="宋体" w:cs="宋体"/>
          <w:b/>
          <w:sz w:val="18"/>
          <w:szCs w:val="18"/>
        </w:rPr>
      </w:pPr>
      <w:r>
        <w:rPr>
          <w:rFonts w:hint="eastAsia" w:ascii="宋体" w:hAnsi="宋体" w:cs="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cs="宋体"/>
          <w:b/>
          <w:sz w:val="18"/>
          <w:szCs w:val="18"/>
        </w:rPr>
        <w:t>。）</w:t>
      </w:r>
    </w:p>
    <w:p>
      <w:pPr>
        <w:rPr>
          <w:rFonts w:ascii="Calibri" w:hAnsi="Calibri" w:cs="宋体"/>
          <w:szCs w:val="22"/>
        </w:rPr>
      </w:pPr>
    </w:p>
    <w:p>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pPr>
        <w:adjustRightInd w:val="0"/>
        <w:spacing w:line="276" w:lineRule="auto"/>
        <w:ind w:firstLine="422"/>
        <w:jc w:val="center"/>
        <w:rPr>
          <w:rFonts w:ascii="黑体" w:hAnsi="黑体" w:eastAsia="黑体" w:cs="宋体"/>
          <w:b/>
          <w:bCs/>
          <w:sz w:val="28"/>
          <w:szCs w:val="28"/>
        </w:rPr>
      </w:pPr>
      <w:r>
        <w:rPr>
          <w:rFonts w:hint="eastAsia" w:ascii="黑体" w:hAnsi="黑体" w:eastAsia="黑体" w:cs="宋体"/>
          <w:b/>
          <w:bCs/>
          <w:sz w:val="28"/>
          <w:szCs w:val="28"/>
        </w:rPr>
        <w:t>【</w:t>
      </w:r>
      <w:r>
        <w:rPr>
          <w:rStyle w:val="10"/>
          <w:rFonts w:hint="eastAsia" w:ascii="黑体" w:hAnsi="黑体" w:eastAsia="黑体"/>
          <w:sz w:val="28"/>
          <w:szCs w:val="28"/>
          <w:lang w:val="en-US" w:eastAsia="zh-CN"/>
        </w:rPr>
        <w:t>兴银理财稳利安盈封闭式2026年489期固收类理财产品</w:t>
      </w:r>
      <w:r>
        <w:rPr>
          <w:rFonts w:hint="eastAsia" w:ascii="黑体" w:hAnsi="黑体" w:eastAsia="黑体" w:cs="宋体"/>
          <w:b/>
          <w:bCs/>
          <w:sz w:val="28"/>
          <w:szCs w:val="28"/>
        </w:rPr>
        <w:t>】</w:t>
      </w:r>
    </w:p>
    <w:p>
      <w:pPr>
        <w:adjustRightInd w:val="0"/>
        <w:spacing w:line="276" w:lineRule="auto"/>
        <w:ind w:firstLine="422"/>
        <w:jc w:val="center"/>
        <w:rPr>
          <w:rFonts w:ascii="黑体" w:hAnsi="黑体" w:eastAsia="黑体" w:cs="宋体"/>
          <w:b/>
          <w:bCs/>
          <w:sz w:val="28"/>
          <w:szCs w:val="28"/>
        </w:rPr>
      </w:pPr>
      <w:r>
        <w:rPr>
          <w:rFonts w:ascii="黑体" w:hAnsi="黑体" w:eastAsia="黑体" w:cs="宋体"/>
          <w:b/>
          <w:bCs/>
          <w:sz w:val="28"/>
          <w:szCs w:val="28"/>
        </w:rPr>
        <w:t>风险揭示书</w:t>
      </w:r>
    </w:p>
    <w:p>
      <w:pPr>
        <w:autoSpaceDE w:val="0"/>
        <w:autoSpaceDN w:val="0"/>
        <w:adjustRightInd w:val="0"/>
        <w:snapToGrid w:val="0"/>
        <w:spacing w:before="156" w:beforeLines="50" w:line="320" w:lineRule="exact"/>
        <w:jc w:val="center"/>
        <w:rPr>
          <w:rFonts w:ascii="宋体" w:hAnsi="宋体" w:cs="宋体"/>
          <w:b/>
          <w:sz w:val="24"/>
          <w:szCs w:val="22"/>
        </w:rPr>
      </w:pPr>
      <w:r>
        <w:rPr>
          <w:rFonts w:hint="eastAsia" w:ascii="宋体" w:hAnsi="宋体" w:cs="宋体"/>
          <w:b/>
          <w:sz w:val="24"/>
          <w:szCs w:val="22"/>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cs="宋体"/>
          <w:sz w:val="18"/>
          <w:szCs w:val="18"/>
        </w:rPr>
      </w:pPr>
      <w:r>
        <w:rPr>
          <w:rFonts w:hint="eastAsia" w:ascii="宋体" w:hAnsi="宋体" w:cs="宋体"/>
          <w:b/>
          <w:sz w:val="18"/>
          <w:szCs w:val="18"/>
        </w:rPr>
        <w:t>一</w:t>
      </w:r>
      <w:r>
        <w:rPr>
          <w:rFonts w:hint="eastAsia" w:ascii="宋体" w:hAnsi="宋体" w:cs="宋体"/>
          <w:sz w:val="18"/>
          <w:szCs w:val="18"/>
        </w:rPr>
        <w:t>、</w:t>
      </w:r>
      <w:r>
        <w:rPr>
          <w:rFonts w:hint="eastAsia" w:ascii="黑体" w:hAnsi="黑体" w:eastAsia="黑体" w:cs="仿宋_GB2312"/>
          <w:bCs/>
          <w:kern w:val="0"/>
          <w:sz w:val="18"/>
          <w:szCs w:val="18"/>
        </w:rPr>
        <w:t>★</w:t>
      </w:r>
      <w:r>
        <w:rPr>
          <w:rFonts w:hint="eastAsia" w:ascii="黑体" w:hAnsi="黑体" w:eastAsia="黑体" w:cs="宋体"/>
          <w:sz w:val="18"/>
          <w:szCs w:val="18"/>
        </w:rPr>
        <w:t>《投资协议书》《产品说明书》《（代理）销售协议书》</w:t>
      </w:r>
      <w:r>
        <w:rPr>
          <w:rFonts w:hint="eastAsia" w:ascii="黑体" w:hAnsi="黑体" w:eastAsia="黑体" w:cs="宋体"/>
          <w:sz w:val="18"/>
          <w:szCs w:val="22"/>
        </w:rPr>
        <w:t>《风险揭示书》《投资者权益须知》</w:t>
      </w:r>
      <w:r>
        <w:rPr>
          <w:rFonts w:hint="eastAsia" w:ascii="黑体" w:hAnsi="黑体" w:eastAsia="黑体" w:cs="宋体"/>
          <w:sz w:val="18"/>
          <w:szCs w:val="18"/>
        </w:rPr>
        <w:t>等有关文件共同构成一份完整且</w:t>
      </w:r>
      <w:r>
        <w:rPr>
          <w:rFonts w:hint="eastAsia" w:ascii="黑体" w:hAnsi="黑体" w:eastAsia="黑体" w:cs="宋体"/>
          <w:sz w:val="18"/>
          <w:szCs w:val="22"/>
        </w:rPr>
        <w:t>不可分割的</w:t>
      </w:r>
      <w:r>
        <w:rPr>
          <w:rFonts w:hint="eastAsia" w:ascii="黑体" w:hAnsi="黑体" w:eastAsia="黑体" w:cs="宋体"/>
          <w:sz w:val="18"/>
          <w:szCs w:val="18"/>
        </w:rPr>
        <w:t>理财产品销售文件</w:t>
      </w:r>
      <w:r>
        <w:rPr>
          <w:rFonts w:hint="eastAsia" w:ascii="宋体" w:hAnsi="宋体" w:cs="宋体"/>
          <w:sz w:val="18"/>
          <w:szCs w:val="18"/>
        </w:rPr>
        <w:t>，在购买理财产品前，请您</w:t>
      </w:r>
      <w:r>
        <w:rPr>
          <w:rFonts w:hint="eastAsia" w:ascii="宋体" w:hAnsi="宋体" w:cs="宋体"/>
          <w:sz w:val="18"/>
          <w:szCs w:val="18"/>
          <w:lang w:val="en-US" w:eastAsia="zh-CN"/>
        </w:rPr>
        <w:t>注意</w:t>
      </w:r>
      <w:r>
        <w:rPr>
          <w:rFonts w:hint="eastAsia" w:ascii="宋体" w:hAnsi="宋体" w:cs="宋体"/>
          <w:sz w:val="18"/>
          <w:szCs w:val="18"/>
        </w:rPr>
        <w:t>投资风险、仔细阅读理财产品销售文件，确保自己完全理解该项投资的性质和面临的风险，详细了解和审慎评估该理财产品的资金投资方向、风险类型等产品基本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【兴银理财稳利安盈封闭式2026年489期固收类理财产品】</w:t>
      </w:r>
    </w:p>
    <w:p>
      <w:pPr>
        <w:ind w:firstLine="448" w:firstLineChars="249"/>
        <w:rPr>
          <w:rFonts w:ascii="宋体" w:hAnsi="宋体" w:cs="仿宋_GB2312"/>
          <w:kern w:val="0"/>
          <w:sz w:val="18"/>
          <w:szCs w:val="18"/>
        </w:rPr>
      </w:pPr>
      <w:r>
        <w:rPr>
          <w:rFonts w:ascii="宋体" w:hAnsi="宋体" w:eastAsia="宋体" w:cs="宋体"/>
          <w:sz w:val="18"/>
          <w:szCs w:val="22"/>
        </w:rPr>
        <w:t>销售名称：【稳利安盈2026年489期A】 (适用【A】类份额)</w:t>
      </w:r>
      <w:r>
        <w:rPr>
          <w:rFonts w:ascii="宋体" w:hAnsi="宋体" w:eastAsia="宋体" w:cs="宋体"/>
          <w:sz w:val="18"/>
          <w:szCs w:val="22"/>
        </w:rPr>
        <w:br w:type="textWrapping"/>
      </w:r>
      <w:r>
        <w:rPr>
          <w:rFonts w:ascii="宋体" w:hAnsi="宋体" w:eastAsia="宋体" w:cs="宋体"/>
          <w:sz w:val="18"/>
          <w:szCs w:val="22"/>
        </w:rPr>
        <w:t xml:space="preserve">     【稳利安盈2026年489期B】 (适用【B】类份额)</w:t>
      </w:r>
      <w:r>
        <w:rPr>
          <w:rFonts w:ascii="宋体" w:hAnsi="宋体" w:eastAsia="宋体" w:cs="宋体"/>
          <w:sz w:val="18"/>
          <w:szCs w:val="22"/>
        </w:rPr>
        <w:br w:type="textWrapping"/>
      </w:r>
      <w:r>
        <w:rPr>
          <w:rFonts w:ascii="宋体" w:hAnsi="宋体" w:eastAsia="宋体" w:cs="宋体"/>
          <w:sz w:val="18"/>
          <w:szCs w:val="22"/>
        </w:rPr>
        <w:t xml:space="preserve">     【稳利安盈2026年489期C】 (适用【C】类份额)</w:t>
      </w:r>
      <w:r>
        <w:rPr>
          <w:rFonts w:ascii="宋体" w:hAnsi="宋体" w:eastAsia="宋体" w:cs="宋体"/>
          <w:sz w:val="18"/>
          <w:szCs w:val="22"/>
        </w:rPr>
        <w:br w:type="textWrapping"/>
      </w:r>
      <w:r>
        <w:rPr>
          <w:rFonts w:ascii="宋体" w:hAnsi="宋体" w:eastAsia="宋体" w:cs="宋体"/>
          <w:sz w:val="18"/>
          <w:szCs w:val="22"/>
        </w:rPr>
        <w:t xml:space="preserve">     【稳利安盈2026年489期D】 (适用【D】类份额)</w:t>
      </w:r>
      <w:r>
        <w:rPr>
          <w:rFonts w:ascii="宋体" w:hAnsi="宋体" w:eastAsia="宋体" w:cs="宋体"/>
          <w:sz w:val="18"/>
          <w:szCs w:val="22"/>
        </w:rPr>
        <w:br w:type="textWrapping"/>
      </w:r>
      <w:r>
        <w:rPr>
          <w:rFonts w:ascii="宋体" w:hAnsi="宋体" w:eastAsia="宋体" w:cs="宋体"/>
          <w:sz w:val="18"/>
          <w:szCs w:val="22"/>
        </w:rPr>
        <w:t xml:space="preserve">     【稳利安盈2026年489期E】 (适用【E】类份额)</w:t>
      </w:r>
      <w:r>
        <w:rPr>
          <w:rFonts w:ascii="宋体" w:hAnsi="宋体" w:eastAsia="宋体" w:cs="宋体"/>
          <w:sz w:val="18"/>
          <w:szCs w:val="22"/>
        </w:rPr>
        <w:br w:type="textWrapping"/>
      </w:r>
      <w:r>
        <w:rPr>
          <w:rFonts w:ascii="宋体" w:hAnsi="宋体" w:eastAsia="宋体" w:cs="宋体"/>
          <w:sz w:val="18"/>
          <w:szCs w:val="22"/>
        </w:rPr>
        <w:t xml:space="preserve">     【稳利安盈2026年489期F】 (适用【F】类份额)</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：【Z7002026001143】</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538" w:firstLineChars="299"/>
        <w:rPr>
          <w:rFonts w:ascii="宋体" w:hAnsi="宋体" w:cs="仿宋_GB2312"/>
          <w:kern w:val="0"/>
          <w:sz w:val="18"/>
          <w:szCs w:val="18"/>
        </w:rPr>
      </w:pPr>
      <w:r>
        <w:rPr>
          <w:rFonts w:hint="eastAsia" w:ascii="宋体" w:hAnsi="宋体" w:cs="仿宋_GB2312"/>
          <w:kern w:val="0"/>
          <w:sz w:val="18"/>
          <w:szCs w:val="18"/>
        </w:rPr>
        <w:t>【公募、</w:t>
      </w:r>
      <w:r>
        <w:rPr>
          <w:rFonts w:hint="eastAsia" w:ascii="宋体" w:hAnsi="宋体" w:cs="仿宋_GB2312"/>
          <w:kern w:val="0"/>
          <w:sz w:val="18"/>
          <w:szCs w:val="18"/>
          <w:lang w:val="en-US" w:eastAsia="zh-CN"/>
        </w:rPr>
        <w:t>封闭</w:t>
      </w:r>
      <w:r>
        <w:rPr>
          <w:rFonts w:hint="eastAsia" w:ascii="宋体" w:hAnsi="宋体" w:cs="仿宋_GB2312"/>
          <w:kern w:val="0"/>
          <w:sz w:val="18"/>
          <w:szCs w:val="18"/>
        </w:rPr>
        <w:t>式、固定收益类、非保本浮动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hint="eastAsia" w:ascii="宋体" w:hAnsi="宋体" w:cs="仿宋_GB2312"/>
          <w:kern w:val="0"/>
          <w:sz w:val="18"/>
          <w:szCs w:val="18"/>
        </w:rPr>
      </w:pPr>
      <w:r>
        <w:rPr>
          <w:rFonts w:hint="eastAsia" w:ascii="宋体" w:hAnsi="宋体" w:cs="仿宋_GB2312"/>
          <w:kern w:val="0"/>
          <w:sz w:val="18"/>
          <w:szCs w:val="18"/>
        </w:rPr>
        <w:t>■有固定期限:【132天】</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□无固定期限</w:t>
      </w:r>
      <w:r>
        <w:rPr>
          <w:rFonts w:ascii="宋体" w:hAnsi="宋体" w:cs="仿宋_GB2312"/>
          <w:kern w:val="0"/>
          <w:sz w:val="18"/>
          <w:szCs w:val="18"/>
        </w:rPr>
        <w:t>。</w:t>
      </w:r>
    </w:p>
    <w:p>
      <w:pPr>
        <w:ind w:firstLine="448" w:firstLineChars="249"/>
        <w:rPr>
          <w:rFonts w:ascii="宋体" w:hAnsi="宋体" w:cs="仿宋_GB2312"/>
          <w:kern w:val="0"/>
          <w:sz w:val="18"/>
          <w:szCs w:val="18"/>
        </w:rPr>
      </w:pPr>
      <w:r>
        <w:rPr>
          <w:rFonts w:hint="default" w:ascii="宋体" w:hAnsi="宋体" w:cs="仿宋_GB2312"/>
          <w:color w:val="auto"/>
          <w:kern w:val="0"/>
          <w:sz w:val="18"/>
          <w:szCs w:val="18"/>
        </w:rPr>
        <w:t>本产品其他信息详见《产品说明书》。</w:t>
      </w:r>
    </w:p>
    <w:p>
      <w:pPr>
        <w:ind w:firstLine="448" w:firstLineChars="249"/>
        <w:rPr>
          <w:rFonts w:ascii="黑体" w:hAnsi="黑体" w:eastAsia="黑体" w:cs="宋体"/>
          <w:sz w:val="18"/>
          <w:szCs w:val="18"/>
        </w:rPr>
      </w:pPr>
      <w:r>
        <w:rPr>
          <w:rFonts w:hint="eastAsia" w:ascii="黑体" w:hAnsi="黑体" w:eastAsia="黑体" w:cs="宋体"/>
          <w:sz w:val="18"/>
          <w:szCs w:val="18"/>
        </w:rPr>
        <w:t>产品管理人对本产品的理财本金和收益不提供保证承诺</w:t>
      </w:r>
      <w:r>
        <w:rPr>
          <w:rFonts w:hint="eastAsia" w:ascii="黑体" w:hAnsi="黑体" w:eastAsia="黑体" w:cs="宋体"/>
          <w:bCs/>
          <w:sz w:val="18"/>
          <w:szCs w:val="18"/>
        </w:rPr>
        <w:t>，</w:t>
      </w:r>
      <w:r>
        <w:rPr>
          <w:rFonts w:hint="eastAsia" w:ascii="黑体" w:hAnsi="黑体" w:eastAsia="黑体" w:cs="宋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hint="eastAsia" w:ascii="黑体" w:hAnsi="黑体" w:eastAsia="黑体" w:cs="黑体"/>
          <w:kern w:val="0"/>
          <w:sz w:val="18"/>
          <w:szCs w:val="18"/>
        </w:rPr>
      </w:pPr>
      <w:r>
        <w:rPr>
          <w:rFonts w:hint="eastAsia" w:ascii="黑体" w:hAnsi="黑体" w:eastAsia="黑体" w:cs="黑体"/>
          <w:kern w:val="0"/>
          <w:sz w:val="18"/>
          <w:szCs w:val="18"/>
        </w:rPr>
        <w:t>本理财产品产品管理人定义的产品风险评级为【R1】</w:t>
      </w:r>
      <w:r>
        <w:rPr>
          <w:rFonts w:hint="eastAsia" w:ascii="黑体" w:hAnsi="黑体" w:eastAsia="黑体" w:cs="黑体"/>
          <w:kern w:val="0"/>
          <w:sz w:val="18"/>
          <w:szCs w:val="18"/>
          <w:lang w:eastAsia="zh-CN"/>
        </w:rPr>
        <w:t>。</w:t>
      </w:r>
      <w:r>
        <w:rPr>
          <w:rFonts w:hint="eastAsia" w:ascii="黑体" w:hAnsi="黑体" w:eastAsia="黑体" w:cs="黑体"/>
          <w:kern w:val="0"/>
          <w:sz w:val="18"/>
          <w:szCs w:val="18"/>
        </w:rPr>
        <w:t>若本产品通过代理销售机构销售的，产品管理人和代理销售机构对理财产品的风险等级评估结果不一致时，代理销售机构应采用对应较高风险的评级结果并予以披露</w:t>
      </w:r>
      <w:r>
        <w:rPr>
          <w:rFonts w:hint="eastAsia" w:ascii="黑体" w:hAnsi="黑体" w:eastAsia="黑体" w:cs="黑体"/>
          <w:kern w:val="0"/>
          <w:sz w:val="18"/>
          <w:szCs w:val="18"/>
          <w:lang w:eastAsia="zh-CN"/>
        </w:rPr>
        <w:t>，且</w:t>
      </w:r>
      <w:r>
        <w:rPr>
          <w:rFonts w:hint="eastAsia" w:ascii="黑体" w:hAnsi="黑体" w:eastAsia="黑体" w:cs="黑体"/>
          <w:kern w:val="0"/>
          <w:sz w:val="18"/>
          <w:szCs w:val="18"/>
        </w:rPr>
        <w:t>理财产品评级以代理销售机构最终披露的评级结果为准。本产品存续期内，产品风险评级可能会根据实际情况进行调整。</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cs="宋体"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keepNext w:val="0"/>
        <w:keepLines w:val="0"/>
        <w:widowControl w:val="0"/>
        <w:suppressLineNumbers w:val="0"/>
        <w:spacing w:before="0" w:beforeAutospacing="0" w:after="0" w:afterAutospacing="0"/>
        <w:ind w:left="0" w:right="0" w:firstLine="360" w:firstLineChars="200"/>
        <w:jc w:val="both"/>
        <w:rPr>
          <w:rFonts w:hint="eastAsia" w:ascii="宋体" w:hAnsi="宋体" w:eastAsia="宋体" w:cs="宋体"/>
          <w:bCs/>
          <w:color w:val="000000"/>
          <w:kern w:val="2"/>
          <w:sz w:val="18"/>
          <w:szCs w:val="18"/>
        </w:rPr>
      </w:pPr>
      <w:r>
        <w:rPr>
          <w:rFonts w:hint="eastAsia" w:ascii="宋体" w:hAnsi="宋体" w:eastAsia="宋体" w:cs="宋体"/>
          <w:bCs/>
          <w:color w:val="000000"/>
          <w:kern w:val="2"/>
          <w:sz w:val="18"/>
          <w:szCs w:val="18"/>
          <w:lang w:val="en-US" w:eastAsia="zh-CN" w:bidi="ar"/>
        </w:rPr>
        <w:t>■个人投资者：【■ C1、■ C2、■ C3、■ C4、■ C5】。</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eastAsia="宋体" w:cs="宋体"/>
          <w:bCs/>
          <w:color w:val="000000"/>
          <w:kern w:val="2"/>
          <w:sz w:val="18"/>
          <w:szCs w:val="18"/>
          <w:lang w:val="en-US" w:eastAsia="zh-CN" w:bidi="ar"/>
        </w:rPr>
        <w:t>■机构投资者：【■ C1、■ C2、■ C3、■ C4、■ C5】。</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pPr>
        <w:ind w:firstLine="360" w:firstLineChars="200"/>
        <w:rPr>
          <w:rFonts w:hint="eastAsia" w:ascii="宋体" w:hAnsi="宋体" w:cs="宋体"/>
          <w:sz w:val="18"/>
          <w:szCs w:val="18"/>
        </w:rPr>
      </w:pPr>
      <w:r>
        <w:rPr>
          <w:rFonts w:hint="eastAsia" w:ascii="宋体" w:hAnsi="宋体" w:cs="宋体"/>
          <w:sz w:val="18"/>
          <w:szCs w:val="18"/>
        </w:rPr>
        <w:t>【1.拟投资市场和资产的风险：</w:t>
      </w:r>
    </w:p>
    <w:p>
      <w:pPr>
        <w:ind w:firstLine="360" w:firstLineChars="200"/>
        <w:rPr>
          <w:rFonts w:hint="eastAsia" w:ascii="宋体" w:hAnsi="宋体" w:cs="宋体"/>
          <w:sz w:val="18"/>
          <w:szCs w:val="18"/>
        </w:rPr>
      </w:pPr>
      <w:r>
        <w:rPr>
          <w:rFonts w:hint="eastAsia" w:ascii="宋体" w:hAnsi="宋体" w:cs="宋体"/>
          <w:sz w:val="18"/>
          <w:szCs w:val="18"/>
        </w:rPr>
        <w:t>（1）投资债权类资产的风险</w:t>
      </w:r>
    </w:p>
    <w:p>
      <w:pPr>
        <w:ind w:firstLine="360" w:firstLineChars="200"/>
        <w:rPr>
          <w:rFonts w:hint="eastAsia" w:ascii="宋体" w:hAnsi="宋体" w:cs="宋体"/>
          <w:sz w:val="18"/>
          <w:szCs w:val="18"/>
        </w:rPr>
      </w:pPr>
      <w:r>
        <w:rPr>
          <w:rFonts w:hint="eastAsia" w:ascii="宋体" w:hAnsi="宋体" w:cs="宋体"/>
          <w:sz w:val="18"/>
          <w:szCs w:val="18"/>
        </w:rPr>
        <w:t>1）投资标准化债权类资产的风险</w:t>
      </w:r>
    </w:p>
    <w:p>
      <w:pPr>
        <w:ind w:firstLine="360" w:firstLineChars="200"/>
        <w:rPr>
          <w:rFonts w:hint="eastAsia"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hint="eastAsia" w:ascii="宋体" w:hAnsi="宋体" w:cs="宋体"/>
          <w:sz w:val="18"/>
          <w:szCs w:val="18"/>
        </w:rPr>
      </w:pPr>
      <w:r>
        <w:rPr>
          <w:rFonts w:hint="eastAsia" w:ascii="宋体" w:hAnsi="宋体" w:cs="宋体"/>
          <w:sz w:val="18"/>
          <w:szCs w:val="18"/>
        </w:rPr>
        <w:t xml:space="preserve">（2）投资权益类资产的风险 </w:t>
      </w:r>
    </w:p>
    <w:p>
      <w:pPr>
        <w:ind w:firstLine="360" w:firstLineChars="200"/>
        <w:rPr>
          <w:rFonts w:hint="eastAsia" w:ascii="宋体" w:hAnsi="宋体" w:cs="宋体"/>
          <w:sz w:val="18"/>
          <w:szCs w:val="18"/>
        </w:rPr>
      </w:pPr>
      <w:r>
        <w:rPr>
          <w:rFonts w:hint="eastAsia" w:ascii="宋体" w:hAnsi="宋体" w:cs="宋体"/>
          <w:sz w:val="18"/>
          <w:szCs w:val="18"/>
        </w:rPr>
        <w:t>1）投资股票类资产的风险</w:t>
      </w:r>
    </w:p>
    <w:p>
      <w:pPr>
        <w:ind w:firstLine="360" w:firstLineChars="200"/>
        <w:rPr>
          <w:rFonts w:hint="eastAsia" w:ascii="宋体" w:hAnsi="宋体" w:cs="宋体"/>
          <w:sz w:val="18"/>
          <w:szCs w:val="18"/>
        </w:rPr>
      </w:pPr>
      <w:r>
        <w:rPr>
          <w:rFonts w:hint="eastAsia" w:ascii="宋体" w:hAnsi="宋体" w:cs="宋体"/>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pPr>
        <w:ind w:firstLine="360" w:firstLineChars="200"/>
        <w:rPr>
          <w:rFonts w:hint="eastAsia" w:ascii="宋体" w:hAnsi="宋体" w:cs="宋体"/>
          <w:sz w:val="18"/>
          <w:szCs w:val="18"/>
        </w:rPr>
      </w:pPr>
      <w:r>
        <w:rPr>
          <w:rFonts w:hint="eastAsia" w:ascii="宋体" w:hAnsi="宋体" w:cs="宋体"/>
          <w:sz w:val="18"/>
          <w:szCs w:val="18"/>
        </w:rPr>
        <w:t xml:space="preserve">（3）投资商品和金融衍生品类资产的风险 </w:t>
      </w:r>
    </w:p>
    <w:p>
      <w:pPr>
        <w:ind w:firstLine="360" w:firstLineChars="200"/>
        <w:rPr>
          <w:rFonts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widowControl w:val="0"/>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 xml:space="preserve">（二）投资者投资本产品可能面临的一般风险主要包括（但不限于）： </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信用风险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理财产品投资运作过程中，理财产品管理人将根据《产品说明书》的约定投资于相关金融工具或资产，如果相关投资的债务人、交易对手等发生违约，信用状况恶化等，投资者将面临投资损失的风险。</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2</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利率风险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3.市场</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4.流动性风险</w:t>
      </w:r>
    </w:p>
    <w:p>
      <w:pPr>
        <w:widowControl w:val="0"/>
        <w:ind w:firstLine="426" w:firstLineChars="0"/>
        <w:jc w:val="both"/>
        <w:rPr>
          <w:rFonts w:ascii="宋体" w:hAnsi="宋体" w:eastAsia="宋体" w:cs="仿宋_GB2312"/>
          <w:bCs/>
          <w:kern w:val="0"/>
          <w:sz w:val="18"/>
          <w:szCs w:val="18"/>
          <w:lang w:val="en-US" w:eastAsia="zh-CN" w:bidi="ar-SA"/>
        </w:rPr>
      </w:pPr>
      <w:r>
        <w:rPr>
          <w:rFonts w:hint="eastAsia" w:ascii="宋体" w:hAnsi="宋体" w:eastAsia="宋体" w:cs="仿宋_GB2312"/>
          <w:bCs/>
          <w:kern w:val="0"/>
          <w:sz w:val="18"/>
          <w:szCs w:val="18"/>
          <w:lang w:val="en-US" w:eastAsia="zh-CN" w:bidi="ar-SA"/>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5.</w:t>
      </w:r>
      <w:r>
        <w:rPr>
          <w:rFonts w:ascii="宋体" w:hAnsi="宋体" w:eastAsia="宋体" w:cs="仿宋_GB2312"/>
          <w:b/>
          <w:kern w:val="0"/>
          <w:sz w:val="18"/>
          <w:szCs w:val="18"/>
          <w:lang w:val="en-US" w:eastAsia="zh-CN" w:bidi="ar-SA"/>
        </w:rPr>
        <w:t>法律与政策风险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国家监管政策、货币政策、财政税收政策、产业政策、宏观政策及相关法律、法规的调整与变化将会影响本产品的设立、投资及管理等的正常运行，甚至导致本产品发生损失。</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6.</w:t>
      </w:r>
      <w:r>
        <w:rPr>
          <w:rFonts w:ascii="宋体" w:hAnsi="宋体" w:eastAsia="宋体" w:cs="宋体"/>
          <w:b/>
          <w:bCs/>
          <w:kern w:val="2"/>
          <w:sz w:val="18"/>
          <w:szCs w:val="18"/>
          <w:lang w:val="en-US" w:eastAsia="zh-CN" w:bidi="ar-SA"/>
        </w:rPr>
        <w:t>延期</w:t>
      </w:r>
      <w:r>
        <w:rPr>
          <w:rFonts w:hint="eastAsia" w:ascii="宋体" w:hAnsi="宋体" w:eastAsia="宋体" w:cs="宋体"/>
          <w:b/>
          <w:bCs/>
          <w:kern w:val="2"/>
          <w:sz w:val="18"/>
          <w:szCs w:val="18"/>
          <w:lang w:val="en-US" w:eastAsia="zh-CN" w:bidi="ar-SA"/>
        </w:rPr>
        <w:t>终止</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指因市场内部和外部的原因导致理财基础资产不能及时变现而造成理财产品不能按时分配，理财期限将相应延长，从而导致本产品部分资金的延期分配。</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7.</w:t>
      </w:r>
      <w:r>
        <w:rPr>
          <w:rFonts w:ascii="宋体" w:hAnsi="宋体" w:eastAsia="宋体" w:cs="仿宋_GB2312"/>
          <w:b/>
          <w:kern w:val="0"/>
          <w:sz w:val="18"/>
          <w:szCs w:val="18"/>
          <w:lang w:val="en-US" w:eastAsia="zh-CN" w:bidi="ar-SA"/>
        </w:rPr>
        <w:t>提前终止风险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widowControl w:val="0"/>
        <w:ind w:firstLine="426" w:firstLineChars="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8.</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信息传递风险</w:t>
      </w:r>
    </w:p>
    <w:p>
      <w:pPr>
        <w:widowControl w:val="0"/>
        <w:ind w:firstLine="426" w:firstLineChars="0"/>
        <w:jc w:val="both"/>
        <w:rPr>
          <w:rFonts w:ascii="黑体" w:hAnsi="黑体" w:eastAsia="黑体" w:cs="黑体"/>
          <w:kern w:val="0"/>
          <w:sz w:val="18"/>
          <w:szCs w:val="18"/>
          <w:lang w:val="en-US" w:eastAsia="zh-CN" w:bidi="ar-SA"/>
        </w:rPr>
      </w:pPr>
      <w:r>
        <w:rPr>
          <w:rFonts w:hint="eastAsia" w:ascii="黑体" w:hAnsi="黑体" w:eastAsia="黑体" w:cs="黑体"/>
          <w:kern w:val="0"/>
          <w:sz w:val="18"/>
          <w:szCs w:val="18"/>
          <w:lang w:val="en-US" w:eastAsia="zh-CN" w:bidi="ar-SA"/>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不可抗力、通讯故障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cs="宋体"/>
          <w:b/>
          <w:bCs/>
          <w:sz w:val="18"/>
          <w:szCs w:val="18"/>
        </w:rPr>
      </w:pPr>
      <w:r>
        <w:rPr>
          <w:rFonts w:hint="eastAsia" w:ascii="宋体" w:hAnsi="宋体" w:cs="宋体"/>
          <w:b/>
          <w:bCs/>
          <w:sz w:val="18"/>
          <w:szCs w:val="18"/>
        </w:rPr>
        <w:t>9.</w:t>
      </w:r>
      <w:r>
        <w:rPr>
          <w:rFonts w:ascii="宋体" w:hAnsi="宋体" w:cs="宋体"/>
          <w:b/>
          <w:bCs/>
          <w:sz w:val="18"/>
          <w:szCs w:val="18"/>
        </w:rPr>
        <w:t>不可抗力及意外事件风险</w:t>
      </w:r>
    </w:p>
    <w:p>
      <w:pPr>
        <w:ind w:firstLine="360" w:firstLineChars="200"/>
        <w:rPr>
          <w:rFonts w:ascii="宋体" w:hAnsi="宋体" w:cs="宋体"/>
          <w:bCs/>
          <w:sz w:val="18"/>
          <w:szCs w:val="18"/>
        </w:rPr>
      </w:pPr>
      <w:r>
        <w:rPr>
          <w:rFonts w:hint="eastAsia" w:ascii="宋体" w:hAnsi="宋体" w:cs="宋体"/>
          <w:bCs/>
          <w:sz w:val="18"/>
          <w:szCs w:val="18"/>
        </w:rPr>
        <w:t>因战争、自然灾害、重大政治事件等不可抗力以及其他不可预见的意外事件可能致使理财产品面临损失的风险。</w:t>
      </w:r>
    </w:p>
    <w:p>
      <w:pPr>
        <w:widowControl w:val="0"/>
        <w:ind w:firstLine="361" w:firstLineChars="20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10.</w:t>
      </w:r>
      <w:r>
        <w:rPr>
          <w:rFonts w:ascii="宋体" w:hAnsi="宋体" w:eastAsia="宋体" w:cs="宋体"/>
          <w:b/>
          <w:bCs/>
          <w:kern w:val="2"/>
          <w:sz w:val="18"/>
          <w:szCs w:val="18"/>
          <w:lang w:val="en-US" w:eastAsia="zh-CN" w:bidi="ar-SA"/>
        </w:rPr>
        <w:t>管理人风险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理财产品管理人或理财投资资产相关服务机构受经验、技能等因素的限制，或者上述主体处理事务不当等，可能导致投资者遭受损失。</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1.理财产品不成立风险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如自本产品开始募集至认购期结束认购总金额未达到产品最小成立规模（如有约定），或</w:t>
      </w:r>
      <w:r>
        <w:rPr>
          <w:rFonts w:ascii="宋体" w:hAnsi="宋体" w:eastAsia="宋体" w:cs="宋体"/>
          <w:bCs/>
          <w:kern w:val="2"/>
          <w:sz w:val="18"/>
          <w:szCs w:val="18"/>
          <w:lang w:val="en-US" w:eastAsia="zh-CN" w:bidi="ar-SA"/>
        </w:rPr>
        <w:t>融资人取消融资计划，</w:t>
      </w:r>
      <w:r>
        <w:rPr>
          <w:rFonts w:hint="eastAsia" w:ascii="宋体" w:hAnsi="宋体" w:eastAsia="宋体" w:cs="宋体"/>
          <w:bCs/>
          <w:kern w:val="2"/>
          <w:sz w:val="18"/>
          <w:szCs w:val="18"/>
          <w:lang w:val="en-US" w:eastAsia="zh-CN" w:bidi="ar-SA"/>
        </w:rPr>
        <w:t>或市场发生剧烈波动，或不可抗力，或相关法律法规以及监管部门规定等原因，经</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谨慎合理判断难以按照理财产品销售文件有关规定向投资者提供本产品，</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有权宣布本产品不成立并</w:t>
      </w:r>
      <w:r>
        <w:rPr>
          <w:rFonts w:ascii="宋体" w:hAnsi="宋体" w:eastAsia="宋体" w:cs="宋体"/>
          <w:bCs/>
          <w:kern w:val="2"/>
          <w:sz w:val="18"/>
          <w:szCs w:val="18"/>
          <w:lang w:val="en-US" w:eastAsia="zh-CN" w:bidi="ar-SA"/>
        </w:rPr>
        <w:t>及时返还投资者资金</w:t>
      </w:r>
      <w:r>
        <w:rPr>
          <w:rFonts w:hint="eastAsia" w:ascii="宋体" w:hAnsi="宋体" w:eastAsia="宋体" w:cs="宋体"/>
          <w:bCs/>
          <w:kern w:val="2"/>
          <w:sz w:val="18"/>
          <w:szCs w:val="18"/>
          <w:lang w:val="en-US" w:eastAsia="zh-CN" w:bidi="ar-SA"/>
        </w:rPr>
        <w:t>，投资者将承担投资本产品不成立的风险。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2.</w:t>
      </w:r>
      <w:r>
        <w:rPr>
          <w:rFonts w:ascii="宋体" w:hAnsi="宋体" w:eastAsia="宋体" w:cs="宋体"/>
          <w:b/>
          <w:bCs/>
          <w:kern w:val="2"/>
          <w:sz w:val="18"/>
          <w:szCs w:val="18"/>
          <w:lang w:val="en-US" w:eastAsia="zh-CN" w:bidi="ar-SA"/>
        </w:rPr>
        <w:t>操作风险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由于产品管理人的</w:t>
      </w:r>
      <w:r>
        <w:rPr>
          <w:rFonts w:ascii="宋体" w:hAnsi="宋体" w:eastAsia="宋体" w:cs="宋体"/>
          <w:bCs/>
          <w:kern w:val="2"/>
          <w:sz w:val="18"/>
          <w:szCs w:val="18"/>
          <w:lang w:val="en-US" w:eastAsia="zh-CN" w:bidi="ar-SA"/>
        </w:rPr>
        <w:t>不完善或有问题的内部程序、员工和信息科技系统，以及外部事件所造成损失的风险。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3</w:t>
      </w:r>
      <w:r>
        <w:rPr>
          <w:rFonts w:ascii="宋体" w:hAnsi="宋体" w:eastAsia="宋体" w:cs="宋体"/>
          <w:b/>
          <w:bCs/>
          <w:kern w:val="2"/>
          <w:sz w:val="18"/>
          <w:szCs w:val="18"/>
          <w:lang w:val="en-US" w:eastAsia="zh-CN" w:bidi="ar-SA"/>
        </w:rPr>
        <w:t>.估值</w:t>
      </w:r>
      <w:r>
        <w:rPr>
          <w:rFonts w:hint="eastAsia" w:ascii="宋体" w:hAnsi="宋体" w:eastAsia="宋体" w:cs="宋体"/>
          <w:b/>
          <w:bCs/>
          <w:kern w:val="2"/>
          <w:sz w:val="18"/>
          <w:szCs w:val="18"/>
          <w:lang w:val="en-US" w:eastAsia="zh-CN" w:bidi="ar-SA"/>
        </w:rPr>
        <w:t>波动</w:t>
      </w:r>
      <w:r>
        <w:rPr>
          <w:rFonts w:ascii="宋体" w:hAnsi="宋体" w:eastAsia="宋体" w:cs="宋体"/>
          <w:b/>
          <w:bCs/>
          <w:kern w:val="2"/>
          <w:sz w:val="18"/>
          <w:szCs w:val="18"/>
          <w:lang w:val="en-US" w:eastAsia="zh-CN" w:bidi="ar-SA"/>
        </w:rPr>
        <w:t>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本理财产品可能</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投资符合监管</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要求的资产管理产品（包括但不限于信托计划、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公募基金、基金公司或子公司资产管理计划、证券公司资产管理计划、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期货资产管理计划、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保险资产管理计划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等），前述资产管理产品的管理人可能收取</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业绩报酬，</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当前述资产管理产品计提业绩报酬时，本理财产品的产品份额净值存在下跌的风险。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4.</w:t>
      </w:r>
      <w:r>
        <w:rPr>
          <w:rFonts w:ascii="宋体" w:hAnsi="宋体" w:eastAsia="宋体" w:cs="宋体"/>
          <w:b/>
          <w:bCs/>
          <w:kern w:val="2"/>
          <w:sz w:val="18"/>
          <w:szCs w:val="18"/>
          <w:lang w:val="en-US" w:eastAsia="zh-CN" w:bidi="ar-SA"/>
        </w:rPr>
        <w:t>估值差错风险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理财投资基础资产时涉及对资产估值不准确、及时的，理财产品管理人及产品托管人对理财产品费用计提出现错误，将导致本产品估值差错，可能影响理财产品份额净值。</w:t>
      </w:r>
    </w:p>
    <w:p>
      <w:pPr>
        <w:widowControl w:val="0"/>
        <w:ind w:firstLine="361" w:firstLineChars="20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15.</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代销风险</w:t>
      </w:r>
    </w:p>
    <w:p>
      <w:pPr>
        <w:widowControl w:val="0"/>
        <w:ind w:firstLine="360" w:firstLineChars="200"/>
        <w:jc w:val="both"/>
        <w:rPr>
          <w:rFonts w:ascii="黑体" w:hAnsi="黑体" w:eastAsia="黑体" w:cs="黑体"/>
          <w:bCs/>
          <w:kern w:val="2"/>
          <w:sz w:val="18"/>
          <w:szCs w:val="18"/>
          <w:lang w:val="en-US" w:eastAsia="zh-CN" w:bidi="ar-SA"/>
        </w:rPr>
      </w:pPr>
      <w:r>
        <w:rPr>
          <w:rFonts w:hint="eastAsia" w:ascii="黑体" w:hAnsi="黑体" w:eastAsia="黑体" w:cs="黑体"/>
          <w:bCs/>
          <w:kern w:val="2"/>
          <w:sz w:val="18"/>
          <w:szCs w:val="18"/>
          <w:lang w:val="en-US" w:eastAsia="zh-CN" w:bidi="ar-SA"/>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cs="宋体"/>
          <w:b/>
          <w:bCs/>
          <w:sz w:val="18"/>
          <w:szCs w:val="18"/>
        </w:rPr>
        <w:t>1</w:t>
      </w:r>
      <w:r>
        <w:rPr>
          <w:rFonts w:hint="eastAsia" w:ascii="黑体" w:hAnsi="黑体" w:eastAsia="黑体" w:cs="宋体"/>
          <w:b/>
          <w:bCs/>
          <w:sz w:val="18"/>
          <w:szCs w:val="18"/>
        </w:rPr>
        <w:t>6</w:t>
      </w:r>
      <w:r>
        <w:rPr>
          <w:rFonts w:ascii="黑体" w:hAnsi="黑体" w:eastAsia="黑体" w:cs="宋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cs="宋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widowControl w:val="0"/>
        <w:ind w:firstLine="420" w:firstLineChars="0"/>
        <w:jc w:val="both"/>
        <w:rPr>
          <w:rFonts w:hint="eastAsia"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17.</w:t>
      </w:r>
      <w:r>
        <w:rPr>
          <w:rFonts w:hint="eastAsia" w:ascii="黑体" w:hAnsi="黑体" w:eastAsia="黑体" w:cs="黑体"/>
          <w:b/>
          <w:bCs/>
          <w:kern w:val="0"/>
          <w:sz w:val="18"/>
          <w:szCs w:val="18"/>
          <w:lang w:val="en-US" w:eastAsia="zh-CN" w:bidi="ar-SA"/>
        </w:rPr>
        <w:t>★</w:t>
      </w:r>
      <w:r>
        <w:rPr>
          <w:rFonts w:hint="eastAsia" w:ascii="黑体" w:hAnsi="黑体" w:eastAsia="黑体" w:cs="黑体"/>
          <w:b/>
          <w:bCs/>
          <w:kern w:val="2"/>
          <w:sz w:val="18"/>
          <w:szCs w:val="18"/>
          <w:lang w:val="en-US" w:eastAsia="zh-CN" w:bidi="ar-SA"/>
        </w:rPr>
        <w:t>关联交易风险</w:t>
      </w:r>
    </w:p>
    <w:p>
      <w:pPr>
        <w:widowControl w:val="0"/>
        <w:ind w:firstLine="420" w:firstLineChars="0"/>
        <w:jc w:val="both"/>
        <w:rPr>
          <w:rFonts w:hint="eastAsia" w:ascii="黑体" w:hAnsi="黑体" w:eastAsia="黑体" w:cs="黑体"/>
          <w:kern w:val="2"/>
          <w:sz w:val="18"/>
          <w:szCs w:val="18"/>
          <w:lang w:val="en-US" w:eastAsia="zh-CN" w:bidi="ar-SA"/>
        </w:rPr>
      </w:pPr>
      <w:r>
        <w:rPr>
          <w:rFonts w:hint="eastAsia" w:ascii="黑体" w:hAnsi="黑体" w:eastAsia="黑体" w:cs="黑体"/>
          <w:kern w:val="2"/>
          <w:sz w:val="18"/>
          <w:szCs w:val="18"/>
          <w:lang w:val="en-US" w:eastAsia="zh-CN" w:bidi="ar-SA"/>
        </w:rPr>
        <w:t>若本产品的销售机构为兴业银行股份有限公司或与产品管理人存在关联关系的其他机构（具体销售机构及关联关系情况以《产品说明书》及产品管理人最新披露为准），尽管上述各方将依照恪尽职守、诚实信用、谨慎勤勉的原则进行业务操作，但上述关联关系仍可能产生不利影响和投资风险，进而可能影响投资者的利益。</w:t>
      </w:r>
    </w:p>
    <w:p>
      <w:pPr>
        <w:numPr>
          <w:ilvl w:val="0"/>
          <w:numId w:val="4"/>
        </w:numPr>
        <w:autoSpaceDE w:val="0"/>
        <w:autoSpaceDN w:val="0"/>
        <w:adjustRightInd w:val="0"/>
        <w:ind w:firstLine="420"/>
        <w:jc w:val="left"/>
        <w:rPr>
          <w:rFonts w:ascii="黑体" w:hAnsi="黑体" w:eastAsia="黑体" w:cs="宋体"/>
          <w:sz w:val="18"/>
          <w:szCs w:val="18"/>
        </w:rPr>
      </w:pPr>
      <w:r>
        <w:rPr>
          <w:rFonts w:hint="eastAsia" w:ascii="Calibri" w:hAnsi="宋体" w:cs="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cs="宋体"/>
          <w:bCs/>
          <w:sz w:val="18"/>
          <w:szCs w:val="18"/>
        </w:rPr>
        <w:t>产品管理人对本产品的理财本金和收益不提供保证承诺，</w:t>
      </w:r>
      <w:r>
        <w:rPr>
          <w:rFonts w:hint="eastAsia" w:ascii="黑体" w:hAnsi="黑体" w:eastAsia="黑体" w:cs="宋体"/>
          <w:sz w:val="18"/>
          <w:szCs w:val="18"/>
        </w:rPr>
        <w:t>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numPr>
          <w:ilvl w:val="0"/>
          <w:numId w:val="4"/>
        </w:numPr>
        <w:autoSpaceDE w:val="0"/>
        <w:autoSpaceDN w:val="0"/>
        <w:adjustRightInd w:val="0"/>
        <w:ind w:firstLine="420"/>
        <w:jc w:val="left"/>
        <w:rPr>
          <w:rFonts w:hint="eastAsia" w:ascii="黑体" w:hAnsi="黑体" w:eastAsia="黑体" w:cs="宋体"/>
          <w:sz w:val="18"/>
          <w:szCs w:val="18"/>
        </w:rPr>
      </w:pPr>
      <w:r>
        <w:rPr>
          <w:rFonts w:hint="eastAsia" w:ascii="黑体" w:hAnsi="黑体" w:eastAsia="黑体" w:cs="宋体"/>
          <w:sz w:val="18"/>
          <w:szCs w:val="18"/>
        </w:rPr>
        <w:t>风险管理措施</w:t>
      </w:r>
    </w:p>
    <w:p>
      <w:pPr>
        <w:numPr>
          <w:ilvl w:val="-1"/>
          <w:numId w:val="0"/>
        </w:numPr>
        <w:autoSpaceDE w:val="0"/>
        <w:autoSpaceDN w:val="0"/>
        <w:adjustRightInd w:val="0"/>
        <w:ind w:firstLine="360" w:firstLineChars="200"/>
        <w:jc w:val="left"/>
        <w:rPr>
          <w:rFonts w:hint="eastAsia" w:ascii="黑体" w:hAnsi="黑体" w:eastAsia="黑体" w:cs="宋体"/>
          <w:sz w:val="18"/>
          <w:szCs w:val="18"/>
        </w:rPr>
      </w:pPr>
      <w:r>
        <w:rPr>
          <w:rFonts w:hint="eastAsia" w:ascii="黑体" w:hAnsi="黑体" w:eastAsia="黑体" w:cs="宋体"/>
          <w:sz w:val="18"/>
          <w:szCs w:val="18"/>
        </w:rPr>
        <w:t>产品管理人承诺按照诚实信用、勤勉尽责的原则管理和运用理财产品财产，并依据法律法规及监管规定，通过完善风险管理治理架构、健全内部管理制度、强化投资运作管控、严格履行信息披露义务等多种措施，建立与产品风险收益特征相适应的风险管理机制。</w:t>
      </w:r>
    </w:p>
    <w:p>
      <w:pPr>
        <w:numPr>
          <w:ilvl w:val="-1"/>
          <w:numId w:val="0"/>
        </w:numPr>
        <w:autoSpaceDE w:val="0"/>
        <w:autoSpaceDN w:val="0"/>
        <w:adjustRightInd w:val="0"/>
        <w:ind w:firstLine="360" w:firstLineChars="200"/>
        <w:jc w:val="left"/>
        <w:rPr>
          <w:rFonts w:ascii="黑体" w:hAnsi="黑体" w:eastAsia="黑体" w:cs="宋体"/>
          <w:sz w:val="18"/>
          <w:szCs w:val="18"/>
        </w:rPr>
      </w:pPr>
      <w:r>
        <w:rPr>
          <w:rFonts w:hint="eastAsia" w:ascii="黑体" w:hAnsi="黑体" w:eastAsia="黑体" w:cs="宋体"/>
          <w:sz w:val="18"/>
          <w:szCs w:val="18"/>
        </w:rPr>
        <w:t>特别提示：上述风险管理措施系产品管理人基于诚实信用、勤勉尽责原则所采取的常规管理安排，不构成产品管理人对本理财产品本金不受损失或者取得最低收益的任何承诺或保证。本理财产品为非保本理财产品，产品管理人不保证理财本金的安全及理财收益的实现，由此产生的投资风险由投资者自行承担。理财非存款、产品有风险、投资须谨慎。</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color w:val="000000"/>
          <w:kern w:val="0"/>
          <w:sz w:val="18"/>
          <w:szCs w:val="18"/>
        </w:rPr>
        <w:t>五、</w:t>
      </w:r>
      <w:r>
        <w:rPr>
          <w:rFonts w:hint="eastAsia" w:ascii="黑体" w:hAnsi="黑体" w:eastAsia="黑体" w:cs="仿宋_GB2312"/>
          <w:kern w:val="0"/>
          <w:sz w:val="18"/>
          <w:szCs w:val="18"/>
        </w:rPr>
        <w:t>《投资者风险承受能力评估问卷》用于评估</w:t>
      </w:r>
      <w:r>
        <w:rPr>
          <w:rFonts w:hint="eastAsia" w:ascii="黑体" w:hAnsi="黑体" w:eastAsia="黑体" w:cs="仿宋_GB2312"/>
          <w:kern w:val="0"/>
          <w:sz w:val="18"/>
          <w:szCs w:val="18"/>
          <w:lang w:val="en-US" w:eastAsia="zh-CN"/>
        </w:rPr>
        <w:t>普通</w:t>
      </w:r>
      <w:r>
        <w:rPr>
          <w:rFonts w:hint="eastAsia" w:ascii="黑体" w:hAnsi="黑体" w:eastAsia="黑体" w:cs="仿宋_GB2312"/>
          <w:kern w:val="0"/>
          <w:sz w:val="18"/>
          <w:szCs w:val="18"/>
        </w:rPr>
        <w:t>投资者对金融工具及投资目标的相关风险的态度。</w:t>
      </w:r>
      <w:r>
        <w:rPr>
          <w:rFonts w:hint="eastAsia" w:ascii="黑体" w:hAnsi="黑体" w:eastAsia="黑体" w:cs="仿宋_GB2312"/>
          <w:kern w:val="0"/>
          <w:sz w:val="18"/>
          <w:szCs w:val="18"/>
          <w:lang w:val="en-US" w:eastAsia="zh-CN"/>
        </w:rPr>
        <w:t>普通</w:t>
      </w:r>
      <w:r>
        <w:rPr>
          <w:rFonts w:hint="eastAsia" w:ascii="黑体" w:hAnsi="黑体" w:eastAsia="黑体" w:cs="仿宋_GB2312"/>
          <w:kern w:val="0"/>
          <w:sz w:val="18"/>
          <w:szCs w:val="18"/>
        </w:rPr>
        <w:t>可根据评估结果确定所属投资者类型，购买适合的理财产品。如影响您风险承受能力的因素发生变化，请您及时重新完成风险承受能力评估。</w:t>
      </w:r>
      <w:r>
        <w:rPr>
          <w:rFonts w:hint="eastAsia" w:ascii="黑体" w:hAnsi="黑体" w:eastAsia="黑体" w:cs="仿宋_GB2312"/>
          <w:kern w:val="0"/>
          <w:sz w:val="18"/>
          <w:szCs w:val="18"/>
          <w:lang w:val="en-US" w:eastAsia="zh-CN"/>
        </w:rPr>
        <w:t>专业</w:t>
      </w:r>
      <w:r>
        <w:rPr>
          <w:rFonts w:hint="eastAsia" w:ascii="黑体" w:hAnsi="黑体" w:eastAsia="黑体" w:cs="仿宋_GB2312"/>
          <w:kern w:val="0"/>
          <w:sz w:val="18"/>
          <w:szCs w:val="18"/>
        </w:rPr>
        <w:t>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sz w:val="18"/>
          <w:szCs w:val="18"/>
        </w:rPr>
        <w:t>六、【非机构投资者适用】当销售机构销售产品风险评级为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cs="宋体"/>
          <w:sz w:val="18"/>
          <w:szCs w:val="18"/>
        </w:rPr>
      </w:pPr>
    </w:p>
    <w:p>
      <w:pPr>
        <w:wordWrap w:val="0"/>
        <w:ind w:left="540"/>
        <w:jc w:val="right"/>
        <w:rPr>
          <w:rFonts w:ascii="宋体" w:hAnsi="宋体" w:cs="宋体"/>
          <w:sz w:val="18"/>
          <w:szCs w:val="18"/>
        </w:rPr>
      </w:pPr>
      <w:r>
        <w:rPr>
          <w:rFonts w:hint="eastAsia" w:ascii="宋体" w:hAnsi="宋体" w:cs="宋体"/>
          <w:sz w:val="18"/>
          <w:szCs w:val="18"/>
        </w:rPr>
        <w:t>风险揭示方：产品管理人</w:t>
      </w:r>
      <w:r>
        <w:rPr>
          <w:rFonts w:ascii="宋体" w:hAnsi="宋体" w:cs="宋体"/>
          <w:sz w:val="18"/>
          <w:szCs w:val="18"/>
        </w:rPr>
        <w:t xml:space="preserve"> (</w:t>
      </w:r>
      <w:r>
        <w:rPr>
          <w:rFonts w:hint="eastAsia" w:ascii="宋体" w:hAnsi="宋体" w:cs="宋体"/>
          <w:sz w:val="18"/>
          <w:szCs w:val="18"/>
        </w:rPr>
        <w:t>兴银理财有限责任公司</w:t>
      </w:r>
      <w:r>
        <w:rPr>
          <w:rFonts w:ascii="宋体" w:hAnsi="宋体" w:cs="宋体"/>
          <w:sz w:val="18"/>
          <w:szCs w:val="18"/>
        </w:rPr>
        <w:t>)</w:t>
      </w:r>
    </w:p>
    <w:p>
      <w:pPr>
        <w:wordWrap w:val="0"/>
        <w:ind w:left="540"/>
        <w:jc w:val="right"/>
        <w:rPr>
          <w:rFonts w:ascii="宋体" w:hAnsi="宋体" w:cs="宋体"/>
          <w:sz w:val="18"/>
          <w:szCs w:val="18"/>
        </w:rPr>
      </w:pPr>
      <w:r>
        <w:rPr>
          <w:rFonts w:hint="eastAsia" w:ascii="宋体" w:hAnsi="宋体" w:cs="宋体"/>
          <w:sz w:val="18"/>
          <w:szCs w:val="18"/>
        </w:rPr>
        <w:t xml:space="preserve">销售机构（【  </w:t>
      </w:r>
      <w:r>
        <w:rPr>
          <w:rFonts w:ascii="宋体" w:hAnsi="宋体" w:cs="宋体"/>
          <w:sz w:val="18"/>
          <w:szCs w:val="18"/>
        </w:rPr>
        <w:t xml:space="preserve">                 </w:t>
      </w:r>
      <w:r>
        <w:rPr>
          <w:rFonts w:hint="eastAsia" w:ascii="宋体" w:hAnsi="宋体" w:cs="宋体"/>
          <w:sz w:val="18"/>
          <w:szCs w:val="18"/>
        </w:rPr>
        <w:t>】）</w:t>
      </w:r>
    </w:p>
    <w:p>
      <w:pPr>
        <w:widowControl/>
        <w:jc w:val="left"/>
        <w:rPr>
          <w:rFonts w:ascii="宋体" w:hAnsi="宋体" w:cs="宋体"/>
          <w:sz w:val="18"/>
          <w:szCs w:val="18"/>
        </w:rPr>
      </w:pPr>
      <w:r>
        <w:rPr>
          <w:rFonts w:ascii="宋体" w:hAnsi="宋体" w:cs="宋体"/>
          <w:sz w:val="18"/>
          <w:szCs w:val="18"/>
        </w:rPr>
        <w:br w:type="page"/>
      </w:r>
    </w:p>
    <w:p>
      <w:pPr>
        <w:ind w:left="540"/>
        <w:jc w:val="right"/>
        <w:rPr>
          <w:rFonts w:ascii="宋体" w:hAnsi="宋体" w:cs="宋体"/>
          <w:sz w:val="18"/>
          <w:szCs w:val="18"/>
        </w:rPr>
      </w:pPr>
    </w:p>
    <w:p>
      <w:pPr>
        <w:ind w:left="540"/>
        <w:jc w:val="right"/>
        <w:rPr>
          <w:rFonts w:ascii="宋体" w:hAnsi="宋体" w:cs="宋体"/>
          <w:sz w:val="18"/>
          <w:szCs w:val="18"/>
        </w:rPr>
      </w:pPr>
    </w:p>
    <w:tbl>
      <w:tblPr>
        <w:tblStyle w:val="8"/>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拥有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Calibri" w:hAnsi="Calibri" w:cs="宋体"/>
                <w:kern w:val="0"/>
                <w:sz w:val="18"/>
                <w:szCs w:val="18"/>
                <w:u w:val="single"/>
              </w:rPr>
            </w:pPr>
            <w:r>
              <w:rPr>
                <w:rFonts w:hint="eastAsia" w:ascii="宋体" w:hAnsi="宋体" w:cs="Arial"/>
                <w:kern w:val="0"/>
                <w:sz w:val="18"/>
                <w:szCs w:val="18"/>
              </w:rPr>
              <w:t>请投资者在此抄录：</w:t>
            </w:r>
          </w:p>
          <w:p>
            <w:pPr>
              <w:spacing w:line="280" w:lineRule="atLeast"/>
              <w:jc w:val="left"/>
              <w:rPr>
                <w:rFonts w:ascii="Calibri" w:hAnsi="Calibri" w:cs="宋体"/>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Calibri" w:hAnsi="Calibri" w:cs="宋体"/>
                <w:b/>
                <w:kern w:val="0"/>
                <w:sz w:val="20"/>
                <w:szCs w:val="20"/>
              </w:rPr>
              <w:t>（本风险揭示书共有三份签署文本，第一联销售机构留存，第二联投资者留存，第三联产品管理人留存。）</w:t>
            </w:r>
          </w:p>
          <w:p>
            <w:pPr>
              <w:spacing w:line="280" w:lineRule="atLeast"/>
              <w:jc w:val="right"/>
              <w:rPr>
                <w:rFonts w:ascii="宋体" w:hAnsi="宋体" w:cs="宋体"/>
                <w:kern w:val="0"/>
                <w:sz w:val="18"/>
                <w:szCs w:val="18"/>
              </w:rPr>
            </w:pPr>
          </w:p>
        </w:tc>
      </w:tr>
    </w:tbl>
    <w:p>
      <w:pPr>
        <w:autoSpaceDE w:val="0"/>
        <w:autoSpaceDN w:val="0"/>
        <w:adjustRightInd w:val="0"/>
        <w:spacing w:line="360" w:lineRule="auto"/>
        <w:ind w:firstLine="420"/>
        <w:jc w:val="left"/>
        <w:rPr>
          <w:rFonts w:ascii="宋体" w:hAnsi="宋体" w:cs="宋体"/>
          <w:sz w:val="24"/>
          <w:szCs w:val="22"/>
        </w:rPr>
      </w:pPr>
    </w:p>
    <w:p>
      <w:pPr>
        <w:rPr>
          <w:rFonts w:ascii="宋体" w:hAnsi="宋体" w:cs="Arial"/>
          <w:sz w:val="24"/>
          <w:szCs w:val="22"/>
        </w:rPr>
      </w:pPr>
    </w:p>
    <w:p>
      <w:pPr>
        <w:widowControl/>
        <w:jc w:val="left"/>
        <w:rPr>
          <w:rFonts w:ascii="宋体" w:hAnsi="宋体" w:cs="Arial"/>
          <w:sz w:val="24"/>
          <w:szCs w:val="22"/>
        </w:rPr>
      </w:pPr>
      <w:r>
        <w:rPr>
          <w:rFonts w:ascii="宋体" w:hAnsi="宋体" w:cs="Arial"/>
          <w:sz w:val="24"/>
          <w:szCs w:val="22"/>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拥有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rFonts w:ascii="Calibri" w:hAnsi="Calibri" w:cs="宋体"/>
                <w:kern w:val="0"/>
                <w:sz w:val="20"/>
                <w:szCs w:val="20"/>
              </w:rPr>
            </w:pPr>
          </w:p>
          <w:p>
            <w:pPr>
              <w:spacing w:line="280" w:lineRule="atLeast"/>
              <w:rPr>
                <w:rFonts w:ascii="Calibri" w:hAnsi="Calibri" w:cs="宋体"/>
                <w:b/>
                <w:kern w:val="0"/>
                <w:sz w:val="20"/>
                <w:szCs w:val="20"/>
              </w:rPr>
            </w:pPr>
            <w:r>
              <w:rPr>
                <w:rFonts w:hint="eastAsia" w:ascii="Calibri" w:hAnsi="Calibri" w:cs="宋体"/>
                <w:b/>
                <w:kern w:val="0"/>
                <w:sz w:val="20"/>
                <w:szCs w:val="20"/>
              </w:rPr>
              <w:t>（本风险揭示书共有三份签署文本，第一联销售机构留存，第二联投资者留存，第三联产品管理人留存。）</w:t>
            </w:r>
          </w:p>
        </w:tc>
      </w:tr>
    </w:tbl>
    <w:p>
      <w:pPr>
        <w:widowControl/>
        <w:jc w:val="left"/>
        <w:rPr>
          <w:rFonts w:ascii="Calibri" w:hAnsi="Calibri" w:cs="宋体"/>
          <w:szCs w:val="22"/>
        </w:rPr>
      </w:pPr>
    </w:p>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b/>
          <w:sz w:val="28"/>
          <w:szCs w:val="28"/>
        </w:rPr>
      </w:pPr>
    </w:p>
    <w:p>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sz w:val="28"/>
          <w:szCs w:val="28"/>
          <w:lang w:val="en-US" w:eastAsia="zh-CN"/>
        </w:rPr>
        <w:t>兴银理财稳利安盈封闭式2026年489期固收类理财产品</w:t>
      </w: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sz w:val="28"/>
          <w:szCs w:val="28"/>
        </w:rPr>
        <w:t>投资者权益须知</w:t>
      </w:r>
    </w:p>
    <w:p>
      <w:pPr>
        <w:pStyle w:val="14"/>
        <w:jc w:val="center"/>
        <w:outlineLvl w:val="0"/>
        <w:rPr>
          <w:rFonts w:hAnsi="宋体"/>
          <w:b/>
          <w:color w:val="auto"/>
          <w:sz w:val="28"/>
          <w:szCs w:val="28"/>
        </w:rPr>
      </w:pPr>
      <w:r>
        <w:rPr>
          <w:rFonts w:hint="eastAsia" w:hAnsi="宋体"/>
          <w:b/>
          <w:color w:val="auto"/>
          <w:sz w:val="28"/>
          <w:szCs w:val="28"/>
        </w:rPr>
        <w:t>（适用于个人投资者）</w:t>
      </w:r>
    </w:p>
    <w:p>
      <w:pPr>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outlineLvl w:val="1"/>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 C1、□C2、□ C3、□ C4、□ C5】</w:t>
      </w:r>
      <w:r>
        <w:rPr>
          <w:rFonts w:ascii="宋体" w:hAnsi="宋体"/>
          <w:sz w:val="18"/>
          <w:szCs w:val="18"/>
        </w:rPr>
        <w:t>。其中，</w:t>
      </w:r>
      <w:r>
        <w:rPr>
          <w:rFonts w:hint="eastAsia" w:ascii="宋体" w:hAnsi="宋体"/>
          <w:sz w:val="18"/>
          <w:szCs w:val="18"/>
        </w:rPr>
        <w:t>【C1】</w:t>
      </w:r>
      <w:r>
        <w:rPr>
          <w:rFonts w:ascii="宋体" w:hAnsi="宋体"/>
          <w:sz w:val="18"/>
          <w:szCs w:val="18"/>
        </w:rPr>
        <w:t>为风险承受能力最低类别，</w:t>
      </w:r>
      <w:r>
        <w:rPr>
          <w:rFonts w:hint="eastAsia" w:ascii="宋体" w:hAnsi="宋体"/>
          <w:sz w:val="18"/>
          <w:szCs w:val="18"/>
        </w:rPr>
        <w:t>【C</w:t>
      </w:r>
      <w:r>
        <w:rPr>
          <w:rFonts w:hint="eastAsia" w:ascii="宋体" w:hAnsi="宋体"/>
          <w:sz w:val="18"/>
          <w:szCs w:val="18"/>
          <w:lang w:val="en-US" w:eastAsia="zh-CN"/>
        </w:rPr>
        <w:t>5</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16"/>
        <w:gridCol w:w="4801"/>
        <w:gridCol w:w="20"/>
        <w:gridCol w:w="28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816" w:type="dxa"/>
            <w:tcBorders>
              <w:top w:val="single" w:color="auto" w:sz="12" w:space="0"/>
              <w:left w:val="single" w:color="auto" w:sz="12" w:space="0"/>
              <w:right w:val="single" w:color="auto" w:sz="4"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21" w:type="dxa"/>
            <w:gridSpan w:val="2"/>
            <w:tcBorders>
              <w:top w:val="single" w:color="auto" w:sz="12" w:space="0"/>
              <w:left w:val="single" w:color="auto" w:sz="4"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45" w:type="dxa"/>
            <w:tcBorders>
              <w:top w:val="single" w:color="auto" w:sz="12" w:space="0"/>
              <w:left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816"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21" w:type="dxa"/>
            <w:gridSpan w:val="2"/>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45"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816"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21" w:type="dxa"/>
            <w:gridSpan w:val="2"/>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45"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816"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21" w:type="dxa"/>
            <w:gridSpan w:val="2"/>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45"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816"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21" w:type="dxa"/>
            <w:gridSpan w:val="2"/>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45" w:type="dxa"/>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ind w:left="0" w:leftChars="0" w:right="0" w:rightChars="0" w:firstLine="360" w:firstLineChars="200"/>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hint="eastAsia"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0" w:firstLineChars="200"/>
        <w:rPr>
          <w:rFonts w:hint="eastAsia" w:ascii="黑体" w:hAnsi="黑体" w:eastAsia="黑体"/>
          <w:sz w:val="18"/>
          <w:szCs w:val="18"/>
          <w:lang w:eastAsia="zh-CN"/>
        </w:rPr>
      </w:pPr>
      <w:r>
        <w:rPr>
          <w:rFonts w:hint="eastAsia" w:ascii="黑体" w:hAnsi="黑体" w:eastAsia="黑体" w:cs="仿宋_GB2312"/>
          <w:bCs/>
          <w:kern w:val="0"/>
          <w:sz w:val="18"/>
          <w:szCs w:val="18"/>
        </w:rPr>
        <w:t>★</w:t>
      </w:r>
      <w:r>
        <w:rPr>
          <w:rFonts w:hint="eastAsia" w:ascii="黑体" w:hAnsi="黑体" w:eastAsia="黑体"/>
          <w:sz w:val="18"/>
          <w:szCs w:val="18"/>
          <w:lang w:eastAsia="zh-CN"/>
        </w:rPr>
        <w:t>（三）特别提示：投资者应综合考虑自身风险承受能力与适当性匹配意见，独立做出投资决策并承担投资风险；销售机构提出的适当性匹配意见不表明其对产品的风险和收益做出实质性判断或保证，销售机构履行适当性职责不能取代投资者的投资判断，不会降低产品的固有风险，也不影响投资者依法应承担的投资风险、履约责任以及费用。</w:t>
      </w:r>
    </w:p>
    <w:p>
      <w:pPr>
        <w:ind w:firstLine="361" w:firstLineChars="200"/>
        <w:outlineLvl w:val="1"/>
        <w:rPr>
          <w:rFonts w:ascii="宋体" w:hAnsi="宋体"/>
          <w:b/>
          <w:sz w:val="18"/>
          <w:szCs w:val="18"/>
        </w:rPr>
      </w:pPr>
      <w:r>
        <w:rPr>
          <w:rFonts w:hint="eastAsia" w:ascii="宋体" w:hAnsi="宋体"/>
          <w:b/>
          <w:sz w:val="18"/>
          <w:szCs w:val="18"/>
        </w:rPr>
        <w:t>三、关于理财产品的信息披露</w:t>
      </w:r>
    </w:p>
    <w:p>
      <w:pPr>
        <w:keepNext w:val="0"/>
        <w:keepLines w:val="0"/>
        <w:pageBreakBefore w:val="0"/>
        <w:widowControl w:val="0"/>
        <w:kinsoku/>
        <w:wordWrap/>
        <w:overflowPunct/>
        <w:topLinePunct w:val="0"/>
        <w:autoSpaceDE/>
        <w:autoSpaceDN/>
        <w:bidi w:val="0"/>
        <w:adjustRightInd/>
        <w:snapToGrid/>
        <w:ind w:firstLine="360" w:firstLineChars="200"/>
        <w:textAlignment w:val="auto"/>
        <w:rPr>
          <w:rFonts w:asciiTheme="minorEastAsia" w:hAnsiTheme="minorEastAsia"/>
          <w:sz w:val="18"/>
          <w:szCs w:val="18"/>
        </w:rPr>
      </w:pPr>
      <w:r>
        <w:rPr>
          <w:rFonts w:hint="eastAsia" w:ascii="宋体" w:hAnsi="宋体"/>
          <w:bCs/>
          <w:sz w:val="18"/>
          <w:szCs w:val="18"/>
        </w:rPr>
        <w:t>理财产品的信息披露将通过中国理财网(www.chinawealth.com.cn）及产品管理人门户网站（www.cibwm.com.cn）或销售机构的门户网站、电子销售渠道或营业网点等进行。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keepNext w:val="0"/>
        <w:keepLines w:val="0"/>
        <w:pageBreakBefore w:val="0"/>
        <w:widowControl w:val="0"/>
        <w:kinsoku/>
        <w:wordWrap/>
        <w:overflowPunct/>
        <w:topLinePunct w:val="0"/>
        <w:autoSpaceDE/>
        <w:autoSpaceDN/>
        <w:bidi w:val="0"/>
        <w:adjustRightInd/>
        <w:snapToGrid/>
        <w:ind w:firstLine="361" w:firstLineChars="200"/>
        <w:textAlignment w:val="auto"/>
        <w:outlineLvl w:val="1"/>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hint="eastAsia" w:ascii="宋体" w:hAnsi="宋体"/>
          <w:sz w:val="18"/>
          <w:szCs w:val="18"/>
        </w:rPr>
      </w:pPr>
      <w:r>
        <w:rPr>
          <w:rFonts w:hint="eastAsia" w:ascii="宋体" w:hAnsi="宋体"/>
          <w:sz w:val="18"/>
          <w:szCs w:val="18"/>
        </w:rPr>
        <w:t>（一）投诉程序</w:t>
      </w:r>
    </w:p>
    <w:p>
      <w:pPr>
        <w:ind w:firstLine="360" w:firstLineChars="200"/>
        <w:rPr>
          <w:rFonts w:ascii="宋体" w:hAnsi="宋体"/>
          <w:sz w:val="18"/>
          <w:szCs w:val="18"/>
        </w:rPr>
      </w:pPr>
      <w:r>
        <w:rPr>
          <w:rFonts w:hint="eastAsia" w:asciiTheme="minorEastAsia" w:hAnsiTheme="minorEastAsia"/>
          <w:sz w:val="18"/>
          <w:szCs w:val="18"/>
        </w:rPr>
        <w:t>您对本产品有任何意见或异议，可</w:t>
      </w:r>
      <w:r>
        <w:rPr>
          <w:rFonts w:hint="eastAsia" w:asciiTheme="minorEastAsia" w:hAnsiTheme="minorEastAsia"/>
          <w:sz w:val="18"/>
          <w:szCs w:val="18"/>
          <w:lang w:val="en-US" w:eastAsia="zh-CN"/>
        </w:rPr>
        <w:t>通过</w:t>
      </w:r>
      <w:r>
        <w:rPr>
          <w:rFonts w:hint="eastAsia" w:asciiTheme="minorEastAsia" w:hAnsiTheme="minorEastAsia"/>
          <w:sz w:val="18"/>
          <w:szCs w:val="18"/>
        </w:rPr>
        <w:t>相应的投诉方式向产品管理人或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，产品管理人或销售机构将由专人接听、接收、记录您的意见或建议，调查核实投诉事项，并按照监管规定结合投资者诉求及时告知客户投</w:t>
      </w:r>
      <w:r>
        <w:rPr>
          <w:rFonts w:hint="eastAsia" w:ascii="宋体" w:hAnsi="宋体"/>
          <w:sz w:val="18"/>
          <w:szCs w:val="18"/>
          <w:lang w:eastAsia="zh-CN"/>
        </w:rPr>
        <w:t>诉</w:t>
      </w:r>
      <w:r>
        <w:rPr>
          <w:rFonts w:hint="eastAsia" w:ascii="宋体" w:hAnsi="宋体"/>
          <w:sz w:val="18"/>
          <w:szCs w:val="18"/>
        </w:rPr>
        <w:t>处理决定。如对投诉处理结果有异议，可通过申请核查、调解、诉讼等途径解决纠纷。</w:t>
      </w:r>
    </w:p>
    <w:p>
      <w:pPr>
        <w:ind w:firstLine="360" w:firstLineChars="200"/>
        <w:rPr>
          <w:rFonts w:ascii="宋体" w:hAnsi="宋体"/>
          <w:sz w:val="18"/>
          <w:szCs w:val="18"/>
        </w:rPr>
      </w:pPr>
      <w:r>
        <w:rPr>
          <w:rFonts w:hint="eastAsia" w:ascii="宋体" w:hAnsi="宋体"/>
          <w:sz w:val="18"/>
          <w:szCs w:val="18"/>
        </w:rPr>
        <w:t>（二）产品管理人联络及投诉方式</w:t>
      </w:r>
      <w:r>
        <w:rPr>
          <w:rFonts w:ascii="宋体" w:hAnsi="宋体"/>
          <w:sz w:val="18"/>
          <w:szCs w:val="18"/>
        </w:rPr>
        <w:t xml:space="preserve"> </w:t>
      </w:r>
    </w:p>
    <w:p>
      <w:pPr>
        <w:ind w:firstLine="360" w:firstLineChars="200"/>
        <w:outlineLvl w:val="2"/>
        <w:rPr>
          <w:rFonts w:ascii="宋体" w:hAnsi="宋体"/>
          <w:sz w:val="18"/>
          <w:szCs w:val="18"/>
        </w:rPr>
      </w:pPr>
      <w:bookmarkStart w:id="215" w:name="_Hlk64707831"/>
      <w:r>
        <w:rPr>
          <w:rFonts w:hint="eastAsia" w:ascii="宋体" w:hAnsi="宋体"/>
          <w:sz w:val="18"/>
          <w:szCs w:val="18"/>
        </w:rPr>
        <w:t>1.产品管理人：兴银理财有限责任公司</w:t>
      </w:r>
    </w:p>
    <w:bookmarkEnd w:id="215"/>
    <w:p>
      <w:pPr>
        <w:ind w:firstLine="360" w:firstLineChars="200"/>
        <w:rPr>
          <w:rFonts w:hint="eastAsia" w:ascii="宋体" w:hAnsi="宋体" w:eastAsia="宋体"/>
          <w:sz w:val="18"/>
          <w:szCs w:val="18"/>
          <w:lang w:eastAsia="zh-CN"/>
        </w:rPr>
      </w:pPr>
      <w:r>
        <w:rPr>
          <w:rFonts w:hint="eastAsia" w:ascii="宋体" w:hAnsi="宋体"/>
          <w:sz w:val="18"/>
          <w:szCs w:val="18"/>
        </w:rPr>
        <w:t>门户网站：</w:t>
      </w:r>
      <w:r>
        <w:rPr>
          <w:rFonts w:hint="eastAsia" w:ascii="宋体" w:hAnsi="宋体"/>
          <w:color w:val="auto"/>
          <w:sz w:val="18"/>
          <w:szCs w:val="18"/>
          <w:u w:val="none"/>
        </w:rPr>
        <w:fldChar w:fldCharType="begin"/>
      </w:r>
      <w:r>
        <w:rPr>
          <w:rFonts w:hint="eastAsia" w:ascii="宋体" w:hAnsi="宋体"/>
          <w:color w:val="auto"/>
          <w:sz w:val="18"/>
          <w:szCs w:val="18"/>
          <w:u w:val="none"/>
        </w:rPr>
        <w:instrText xml:space="preserve"> HYPERLINK "http://www.cibwm.com.cn" </w:instrText>
      </w:r>
      <w:r>
        <w:rPr>
          <w:rFonts w:hint="eastAsia" w:ascii="宋体" w:hAnsi="宋体"/>
          <w:color w:val="auto"/>
          <w:sz w:val="18"/>
          <w:szCs w:val="18"/>
          <w:u w:val="none"/>
        </w:rPr>
        <w:fldChar w:fldCharType="separate"/>
      </w:r>
      <w:r>
        <w:rPr>
          <w:rFonts w:hint="eastAsia" w:ascii="宋体" w:hAnsi="宋体"/>
          <w:color w:val="auto"/>
          <w:sz w:val="18"/>
          <w:szCs w:val="18"/>
          <w:u w:val="none"/>
        </w:rPr>
        <w:t>www.cibwm.com.cn</w:t>
      </w:r>
      <w:r>
        <w:rPr>
          <w:rFonts w:hint="eastAsia" w:ascii="宋体" w:hAnsi="宋体"/>
          <w:color w:val="auto"/>
          <w:sz w:val="18"/>
          <w:szCs w:val="18"/>
          <w:u w:val="none"/>
        </w:rPr>
        <w:fldChar w:fldCharType="end"/>
      </w:r>
      <w:r>
        <w:rPr>
          <w:rFonts w:hint="eastAsia" w:ascii="宋体" w:hAnsi="宋体"/>
          <w:color w:val="auto"/>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rPr>
        <w:t>客户服务与投诉热线：40015-95561（工作日9：00-17：00）</w:t>
      </w:r>
      <w:r>
        <w:rPr>
          <w:rFonts w:hint="eastAsia" w:ascii="宋体" w:hAnsi="宋体"/>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lang w:eastAsia="zh-CN"/>
        </w:rPr>
        <w:t>客户投诉受理邮箱：xylcts@cibwm.com.cn。</w:t>
      </w:r>
    </w:p>
    <w:p>
      <w:pPr>
        <w:ind w:firstLine="360" w:firstLineChars="200"/>
        <w:rPr>
          <w:rFonts w:hint="eastAsia" w:ascii="宋体" w:hAnsi="宋体"/>
          <w:sz w:val="18"/>
          <w:szCs w:val="18"/>
        </w:rPr>
      </w:pPr>
      <w:r>
        <w:rPr>
          <w:rFonts w:hint="eastAsia" w:ascii="宋体" w:hAnsi="宋体"/>
          <w:sz w:val="18"/>
          <w:szCs w:val="18"/>
          <w:lang w:eastAsia="zh-CN"/>
        </w:rPr>
        <w:t>（三）销售机构联络及投诉方式</w:t>
      </w:r>
    </w:p>
    <w:p>
      <w:pPr>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1</w:t>
      </w:r>
      <w:r>
        <w:rPr>
          <w:rFonts w:hint="eastAsia" w:ascii="宋体" w:hAnsi="宋体"/>
          <w:sz w:val="18"/>
          <w:szCs w:val="18"/>
        </w:rPr>
        <w:t>.</w:t>
      </w:r>
      <w:r>
        <w:rPr>
          <w:rFonts w:hint="eastAsia" w:ascii="宋体" w:hAnsi="宋体"/>
          <w:sz w:val="18"/>
          <w:szCs w:val="18"/>
          <w:lang w:val="en-US" w:eastAsia="zh-CN"/>
        </w:rPr>
        <w:t>代销机构相关信息详见产品说明书。</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sz w:val="28"/>
          <w:szCs w:val="28"/>
        </w:rPr>
        <w:t>兴银理财【稳利安盈封闭式】理财产品</w:t>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sz w:val="28"/>
          <w:szCs w:val="28"/>
        </w:rPr>
        <w:t>投资者权益须知</w:t>
      </w:r>
    </w:p>
    <w:p>
      <w:pPr>
        <w:pStyle w:val="14"/>
        <w:spacing w:line="280" w:lineRule="atLeast"/>
        <w:jc w:val="center"/>
        <w:outlineLvl w:val="0"/>
        <w:rPr>
          <w:rFonts w:hAnsi="宋体"/>
          <w:b/>
          <w:color w:val="auto"/>
          <w:sz w:val="28"/>
          <w:szCs w:val="28"/>
        </w:rPr>
      </w:pPr>
      <w:r>
        <w:rPr>
          <w:rFonts w:hint="eastAsia" w:hAnsi="宋体"/>
          <w:b/>
          <w:color w:val="auto"/>
          <w:sz w:val="28"/>
          <w:szCs w:val="28"/>
        </w:rPr>
        <w:t>（适用于机构投资者）</w:t>
      </w:r>
    </w:p>
    <w:p>
      <w:pPr>
        <w:spacing w:line="280" w:lineRule="atLeast"/>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宋体" w:hAnsi="宋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0" w:firstLineChars="200"/>
        <w:rPr>
          <w:rFonts w:hint="eastAsia"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（三）上述风险承受能力评估要求适用于机构投资者中普通投资者，专业投资者的风险承受能力评估按照《（代理）销售协议书》约定或销售机构的销售政策执行。</w:t>
      </w:r>
    </w:p>
    <w:p>
      <w:pPr>
        <w:ind w:firstLine="360" w:firstLineChars="200"/>
        <w:rPr>
          <w:rFonts w:hint="eastAsia"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lang w:eastAsia="zh-CN"/>
        </w:rPr>
        <w:t>（四）特别提示：投资者应综合考虑自身风险承受能力与适当性匹配意见，独立做出投资决策并承担投资风险；销售机构提出的适当性匹配意见不表明其对产品的风险和收益做出实质性判断或保证，销售机构履行适当性职责不能取代投资者的投资判断，不会降低产品的固有风险，也不影响投资者依法应承担的投资风险、履约责任以及费用。</w:t>
      </w:r>
    </w:p>
    <w:p>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outlineLvl w:val="1"/>
        <w:rPr>
          <w:rFonts w:asciiTheme="minorEastAsia" w:hAnsiTheme="minorEastAsia"/>
          <w:sz w:val="18"/>
          <w:szCs w:val="18"/>
        </w:rPr>
      </w:pPr>
      <w:r>
        <w:rPr>
          <w:rFonts w:hint="eastAsia" w:ascii="宋体" w:hAnsi="宋体"/>
          <w:b/>
          <w:sz w:val="18"/>
          <w:szCs w:val="18"/>
        </w:rPr>
        <w:t>四、关于投诉与建议</w:t>
      </w:r>
    </w:p>
    <w:p>
      <w:pPr>
        <w:ind w:firstLine="360" w:firstLineChars="200"/>
        <w:rPr>
          <w:rFonts w:hint="eastAsia" w:ascii="宋体" w:hAnsi="宋体"/>
          <w:sz w:val="18"/>
          <w:szCs w:val="18"/>
        </w:rPr>
      </w:pPr>
      <w:r>
        <w:rPr>
          <w:rFonts w:hint="eastAsia" w:ascii="宋体" w:hAnsi="宋体"/>
          <w:sz w:val="18"/>
          <w:szCs w:val="18"/>
        </w:rPr>
        <w:t>（一）投诉程序</w:t>
      </w:r>
    </w:p>
    <w:p>
      <w:pPr>
        <w:ind w:firstLine="360" w:firstLineChars="200"/>
        <w:rPr>
          <w:rFonts w:ascii="宋体" w:hAnsi="宋体"/>
          <w:sz w:val="18"/>
          <w:szCs w:val="18"/>
        </w:rPr>
      </w:pPr>
      <w:r>
        <w:rPr>
          <w:rFonts w:hint="eastAsia" w:asciiTheme="minorEastAsia" w:hAnsiTheme="minorEastAsia"/>
          <w:sz w:val="18"/>
          <w:szCs w:val="18"/>
        </w:rPr>
        <w:t>您对本产品有任何意见或异议，可</w:t>
      </w:r>
      <w:r>
        <w:rPr>
          <w:rFonts w:hint="eastAsia" w:asciiTheme="minorEastAsia" w:hAnsiTheme="minorEastAsia"/>
          <w:sz w:val="18"/>
          <w:szCs w:val="18"/>
          <w:lang w:val="en-US" w:eastAsia="zh-CN"/>
        </w:rPr>
        <w:t>通过</w:t>
      </w:r>
      <w:r>
        <w:rPr>
          <w:rFonts w:hint="eastAsia" w:asciiTheme="minorEastAsia" w:hAnsiTheme="minorEastAsia"/>
          <w:sz w:val="18"/>
          <w:szCs w:val="18"/>
        </w:rPr>
        <w:t>相应的投诉方式向产品管理人或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，产品管理人或销售机构将由专人接听、接收、记录您的意见或建议，调查核实投诉事项，并按照监管规定结合投资者诉求及时告知客户投</w:t>
      </w:r>
      <w:r>
        <w:rPr>
          <w:rFonts w:hint="eastAsia" w:ascii="宋体" w:hAnsi="宋体"/>
          <w:sz w:val="18"/>
          <w:szCs w:val="18"/>
          <w:lang w:eastAsia="zh-CN"/>
        </w:rPr>
        <w:t>诉</w:t>
      </w:r>
      <w:r>
        <w:rPr>
          <w:rFonts w:hint="eastAsia" w:ascii="宋体" w:hAnsi="宋体"/>
          <w:sz w:val="18"/>
          <w:szCs w:val="18"/>
        </w:rPr>
        <w:t>处理决定。如对投诉处理结果有异议，可通过申请核查、调解、诉讼等途径解决纠纷。</w:t>
      </w:r>
    </w:p>
    <w:p>
      <w:pPr>
        <w:ind w:firstLine="360" w:firstLineChars="200"/>
        <w:rPr>
          <w:rFonts w:ascii="宋体" w:hAnsi="宋体"/>
          <w:sz w:val="18"/>
          <w:szCs w:val="18"/>
        </w:rPr>
      </w:pPr>
      <w:r>
        <w:rPr>
          <w:rFonts w:hint="eastAsia" w:ascii="宋体" w:hAnsi="宋体"/>
          <w:sz w:val="18"/>
          <w:szCs w:val="18"/>
        </w:rPr>
        <w:t>（二）产品管理人联络及投诉方式</w:t>
      </w:r>
      <w:r>
        <w:rPr>
          <w:rFonts w:ascii="宋体" w:hAnsi="宋体"/>
          <w:sz w:val="18"/>
          <w:szCs w:val="18"/>
        </w:rPr>
        <w:t xml:space="preserve"> </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hint="eastAsia" w:ascii="宋体" w:hAnsi="宋体" w:eastAsia="宋体"/>
          <w:sz w:val="18"/>
          <w:szCs w:val="18"/>
          <w:lang w:eastAsia="zh-CN"/>
        </w:rPr>
      </w:pPr>
      <w:r>
        <w:rPr>
          <w:rFonts w:hint="eastAsia" w:ascii="宋体" w:hAnsi="宋体"/>
          <w:sz w:val="18"/>
          <w:szCs w:val="18"/>
        </w:rPr>
        <w:t>门户网站：</w:t>
      </w:r>
      <w:r>
        <w:rPr>
          <w:rFonts w:hint="eastAsia" w:ascii="宋体" w:hAnsi="宋体"/>
          <w:color w:val="000000" w:themeColor="text1"/>
          <w:sz w:val="18"/>
          <w:szCs w:val="18"/>
          <w:u w:val="none"/>
          <w14:textFill>
            <w14:solidFill>
              <w14:schemeClr w14:val="tx1"/>
            </w14:solidFill>
          </w14:textFill>
        </w:rPr>
        <w:fldChar w:fldCharType="begin"/>
      </w:r>
      <w:r>
        <w:rPr>
          <w:rFonts w:hint="eastAsia" w:ascii="宋体" w:hAnsi="宋体"/>
          <w:color w:val="000000" w:themeColor="text1"/>
          <w:sz w:val="18"/>
          <w:szCs w:val="18"/>
          <w:u w:val="none"/>
          <w14:textFill>
            <w14:solidFill>
              <w14:schemeClr w14:val="tx1"/>
            </w14:solidFill>
          </w14:textFill>
        </w:rPr>
        <w:instrText xml:space="preserve"> HYPERLINK "http://www.cibwm.com.cn" </w:instrText>
      </w:r>
      <w:r>
        <w:rPr>
          <w:rFonts w:hint="eastAsia" w:ascii="宋体" w:hAnsi="宋体"/>
          <w:color w:val="000000" w:themeColor="text1"/>
          <w:sz w:val="18"/>
          <w:szCs w:val="18"/>
          <w:u w:val="none"/>
          <w14:textFill>
            <w14:solidFill>
              <w14:schemeClr w14:val="tx1"/>
            </w14:solidFill>
          </w14:textFill>
        </w:rPr>
        <w:fldChar w:fldCharType="separate"/>
      </w:r>
      <w:r>
        <w:rPr>
          <w:rFonts w:hint="eastAsia" w:ascii="宋体" w:hAnsi="宋体"/>
          <w:color w:val="000000" w:themeColor="text1"/>
          <w:sz w:val="18"/>
          <w:szCs w:val="18"/>
          <w:u w:val="none"/>
          <w14:textFill>
            <w14:solidFill>
              <w14:schemeClr w14:val="tx1"/>
            </w14:solidFill>
          </w14:textFill>
        </w:rPr>
        <w:t>www.cibwm.com.cn</w:t>
      </w:r>
      <w:r>
        <w:rPr>
          <w:rFonts w:hint="eastAsia" w:ascii="宋体" w:hAnsi="宋体"/>
          <w:color w:val="000000" w:themeColor="text1"/>
          <w:sz w:val="18"/>
          <w:szCs w:val="18"/>
          <w:u w:val="none"/>
          <w14:textFill>
            <w14:solidFill>
              <w14:schemeClr w14:val="tx1"/>
            </w14:solidFill>
          </w14:textFill>
        </w:rPr>
        <w:fldChar w:fldCharType="end"/>
      </w:r>
      <w:r>
        <w:rPr>
          <w:rFonts w:hint="eastAsia" w:ascii="宋体" w:hAnsi="宋体"/>
          <w:color w:val="000000" w:themeColor="text1"/>
          <w:sz w:val="18"/>
          <w:szCs w:val="18"/>
          <w:u w:val="none"/>
          <w:lang w:eastAsia="zh-CN"/>
          <w14:textFill>
            <w14:solidFill>
              <w14:schemeClr w14:val="tx1"/>
            </w14:solidFill>
          </w14:textFill>
        </w:rPr>
        <w:t>；</w:t>
      </w:r>
    </w:p>
    <w:p>
      <w:pPr>
        <w:ind w:firstLine="360" w:firstLineChars="200"/>
        <w:rPr>
          <w:rFonts w:hint="eastAsia" w:ascii="宋体" w:hAnsi="宋体"/>
          <w:sz w:val="18"/>
          <w:szCs w:val="18"/>
          <w:lang w:eastAsia="zh-CN"/>
        </w:rPr>
      </w:pPr>
      <w:r>
        <w:rPr>
          <w:rFonts w:hint="eastAsia" w:ascii="宋体" w:hAnsi="宋体"/>
          <w:sz w:val="18"/>
          <w:szCs w:val="18"/>
        </w:rPr>
        <w:t>客户服务与投诉热线：40015-95561（工作日9：00-17：00）</w:t>
      </w:r>
      <w:r>
        <w:rPr>
          <w:rFonts w:hint="eastAsia" w:ascii="宋体" w:hAnsi="宋体"/>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lang w:eastAsia="zh-CN"/>
        </w:rPr>
        <w:t>客户投诉受理邮箱：xylcts@cibwm.com.cn。</w:t>
      </w:r>
    </w:p>
    <w:p>
      <w:pPr>
        <w:ind w:firstLine="360" w:firstLineChars="200"/>
        <w:rPr>
          <w:rFonts w:hint="eastAsia" w:ascii="宋体" w:hAnsi="宋体"/>
          <w:sz w:val="18"/>
          <w:szCs w:val="18"/>
        </w:rPr>
      </w:pPr>
      <w:r>
        <w:rPr>
          <w:rFonts w:hint="eastAsia" w:ascii="宋体" w:hAnsi="宋体"/>
          <w:sz w:val="18"/>
          <w:szCs w:val="18"/>
          <w:lang w:eastAsia="zh-CN"/>
        </w:rPr>
        <w:t>（三）销售机构联络及投诉方式</w:t>
      </w:r>
    </w:p>
    <w:p>
      <w:pPr>
        <w:ind w:firstLine="360" w:firstLineChars="200"/>
        <w:rPr>
          <w:rFonts w:ascii="宋体" w:hAnsi="宋体"/>
          <w:sz w:val="18"/>
          <w:szCs w:val="18"/>
        </w:rPr>
      </w:pPr>
      <w:r>
        <w:rPr>
          <w:rFonts w:hint="eastAsia" w:ascii="宋体" w:hAnsi="宋体"/>
          <w:sz w:val="18"/>
          <w:szCs w:val="18"/>
          <w:lang w:val="en-US" w:eastAsia="zh-CN"/>
        </w:rPr>
        <w:t>1</w:t>
      </w:r>
      <w:r>
        <w:rPr>
          <w:rFonts w:hint="eastAsia" w:ascii="宋体" w:hAnsi="宋体"/>
          <w:sz w:val="18"/>
          <w:szCs w:val="18"/>
        </w:rPr>
        <w:t>.</w:t>
      </w:r>
      <w:r>
        <w:rPr>
          <w:rFonts w:hint="eastAsia" w:ascii="宋体" w:hAnsi="宋体"/>
          <w:sz w:val="18"/>
          <w:szCs w:val="18"/>
          <w:lang w:val="en-US" w:eastAsia="zh-CN"/>
        </w:rPr>
        <w:t>代销机构相关信息详见产品说明书。</w:t>
      </w:r>
    </w:p>
    <w:p>
      <w:pPr>
        <w:autoSpaceDE w:val="0"/>
        <w:autoSpaceDN w:val="0"/>
        <w:adjustRightInd w:val="0"/>
        <w:jc w:val="left"/>
        <w:rPr>
          <w:rFonts w:ascii="仿宋_GB2312" w:eastAsia="仿宋_GB2312" w:cs="仿宋_GB2312"/>
          <w:color w:val="000000"/>
          <w:kern w:val="0"/>
          <w:sz w:val="24"/>
          <w:szCs w:val="24"/>
        </w:rPr>
      </w:pPr>
    </w:p>
    <w:p>
      <w:pPr>
        <w:autoSpaceDE w:val="0"/>
        <w:autoSpaceDN w:val="0"/>
        <w:adjustRightInd w:val="0"/>
        <w:spacing w:line="280" w:lineRule="atLeast"/>
        <w:jc w:val="left"/>
        <w:rPr>
          <w:rFonts w:ascii="仿宋_GB2312" w:eastAsia="仿宋_GB2312" w:cs="仿宋_GB2312"/>
          <w:color w:val="000000"/>
          <w:kern w:val="0"/>
          <w:sz w:val="24"/>
          <w:szCs w:val="24"/>
        </w:rPr>
      </w:pPr>
    </w:p>
    <w:p>
      <w:pPr>
        <w:spacing w:line="280" w:lineRule="atLeast"/>
        <w:ind w:right="84" w:rightChars="40"/>
        <w:jc w:val="right"/>
        <w:rPr>
          <w:rFonts w:ascii="宋体" w:hAnsi="宋体"/>
          <w:sz w:val="18"/>
          <w:szCs w:val="18"/>
        </w:rPr>
      </w:pPr>
    </w:p>
    <w:p>
      <w:pPr>
        <w:widowControl/>
        <w:spacing w:line="280" w:lineRule="atLeast"/>
        <w:jc w:val="left"/>
        <w:rPr>
          <w:rFonts w:ascii="宋体" w:hAnsi="宋体"/>
          <w:b/>
          <w:sz w:val="28"/>
          <w:szCs w:val="28"/>
        </w:rPr>
      </w:pP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sectPr>
      <w:headerReference r:id="rId11"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84FC"/>
    <w:multiLevelType w:val="singleLevel"/>
    <w:tmpl w:val="FFFF84FC"/>
    <w:lvl w:ilvl="0" w:tentative="0">
      <w:start w:val="3"/>
      <w:numFmt w:val="chineseCounting"/>
      <w:suff w:val="nothing"/>
      <w:lvlText w:val="（%1）"/>
      <w:lvlJc w:val="left"/>
      <w:rPr>
        <w:rFonts w:hint="eastAsia"/>
      </w:rPr>
    </w:lvl>
  </w:abstractNum>
  <w:abstractNum w:abstractNumId="1">
    <w:nsid w:val="0FD7F50E"/>
    <w:multiLevelType w:val="singleLevel"/>
    <w:tmpl w:val="0FD7F50E"/>
    <w:lvl w:ilvl="0" w:tentative="0">
      <w:start w:val="3"/>
      <w:numFmt w:val="chineseCounting"/>
      <w:suff w:val="nothing"/>
      <w:lvlText w:val="（%1）"/>
      <w:lvlJc w:val="left"/>
      <w:rPr>
        <w:rFonts w:hint="eastAsia"/>
      </w:rPr>
    </w:lvl>
  </w:abstractNum>
  <w:abstractNum w:abstractNumId="2">
    <w:nsid w:val="183C2633"/>
    <w:multiLevelType w:val="singleLevel"/>
    <w:tmpl w:val="183C2633"/>
    <w:lvl w:ilvl="0" w:tentative="0">
      <w:start w:val="3"/>
      <w:numFmt w:val="decimal"/>
      <w:suff w:val="nothing"/>
      <w:lvlText w:val="（%1）"/>
      <w:lvlJc w:val="left"/>
    </w:lvl>
  </w:abstractNum>
  <w:abstractNum w:abstractNumId="3">
    <w:nsid w:val="7D8D2D36"/>
    <w:multiLevelType w:val="singleLevel"/>
    <w:tmpl w:val="7D8D2D36"/>
    <w:lvl w:ilvl="0" w:tentative="0">
      <w:start w:val="2"/>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C95D4B"/>
    <w:rsid w:val="2BBE5BA7"/>
    <w:rsid w:val="637F58C5"/>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0"/>
    <w:pPr>
      <w:ind w:firstLine="420" w:firstLineChars="200"/>
    </w:pPr>
  </w:style>
  <w:style w:type="paragraph" w:customStyle="1" w:styleId="1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48319</Words>
  <Characters>49159</Characters>
  <Lines>0</Lines>
  <Paragraphs>0</Paragraphs>
  <TotalTime>1</TotalTime>
  <ScaleCrop>false</ScaleCrop>
  <LinksUpToDate>false</LinksUpToDate>
  <CharactersWithSpaces>50426</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2025-06-06T03:06:00Z</dcterms:created>
  <dc:creator>cib</dc:creator>
  <cp:lastModifiedBy>cib</cp:lastModifiedBy>
  <dcterms:modified xsi:type="dcterms:W3CDTF">2026-08-21T07:51:41Z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