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幸福99丰裕固收386天26132期理财</w:t>
      </w:r>
      <w:r>
        <w:rPr>
          <w:rFonts w:hint="eastAsia" w:ascii="宋体" w:hAnsi="宋体" w:cs="宋体"/>
          <w:b/>
          <w:bCs/>
          <w:color w:val="000000"/>
          <w:sz w:val="44"/>
          <w:szCs w:val="44"/>
          <w:highlight w:val="none"/>
        </w:rPr>
        <w:t>合同</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outlineLvl w:val="9"/>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幸福99丰裕固收386天26132期理财</w:t>
      </w:r>
      <w:r>
        <w:rPr>
          <w:rFonts w:hint="eastAsia" w:ascii="宋体" w:hAnsi="宋体" w:cs="宋体"/>
          <w:b/>
          <w:bCs/>
          <w:color w:val="000000"/>
          <w:sz w:val="44"/>
          <w:szCs w:val="44"/>
          <w:highlight w:val="none"/>
        </w:rPr>
        <w:t>合同文件</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幸福99丰裕固收386天26132期理财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幸福99丰裕固收386天26132期理财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幸福99丰裕固收386天26132期理财</w:t>
      </w:r>
      <w:r>
        <w:rPr>
          <w:rFonts w:hint="eastAsia" w:ascii="宋体" w:hAnsi="宋体" w:cs="宋体"/>
          <w:b/>
          <w:bCs/>
          <w:color w:val="000000"/>
          <w:sz w:val="44"/>
          <w:szCs w:val="44"/>
          <w:highlight w:val="none"/>
        </w:rPr>
        <w:t>风险揭示书</w:t>
      </w:r>
    </w:p>
    <w:p>
      <w:pPr>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color w:val="000000"/>
          <w:sz w:val="24"/>
          <w:highlight w:val="none"/>
        </w:rPr>
      </w:pP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6"/>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keepNext w:val="0"/>
        <w:keepLines w:val="0"/>
        <w:widowControl w:val="0"/>
        <w:numPr>
          <w:ilvl w:val="0"/>
          <w:numId w:val="0"/>
        </w:numPr>
        <w:suppressLineNumbers w:val="0"/>
        <w:spacing w:before="0" w:beforeAutospacing="0" w:after="0" w:afterAutospacing="0" w:line="360" w:lineRule="auto"/>
        <w:ind w:left="0" w:leftChars="0" w:right="0" w:rightChars="0" w:firstLine="482" w:firstLineChars="200"/>
        <w:jc w:val="left"/>
        <w:outlineLvl w:val="9"/>
        <w:rPr>
          <w:rFonts w:hint="eastAsia" w:ascii="宋体" w:hAnsi="宋体" w:eastAsia="宋体" w:cs="宋体"/>
          <w:b/>
          <w:bCs/>
          <w:kern w:val="2"/>
          <w:sz w:val="24"/>
          <w:szCs w:val="24"/>
          <w:highlight w:val="none"/>
        </w:rPr>
      </w:pPr>
      <w:r>
        <w:rPr>
          <w:rFonts w:hint="eastAsia" w:ascii="宋体" w:hAnsi="宋体" w:cs="宋体"/>
          <w:b/>
          <w:bCs/>
          <w:color w:val="000000"/>
          <w:kern w:val="2"/>
          <w:sz w:val="24"/>
          <w:szCs w:val="24"/>
          <w:highlight w:val="none"/>
          <w:lang w:val="en-US" w:eastAsia="zh-CN" w:bidi="ar"/>
        </w:rPr>
        <w:t>（四）</w:t>
      </w:r>
      <w:r>
        <w:rPr>
          <w:rFonts w:hint="eastAsia" w:ascii="宋体" w:hAnsi="宋体" w:eastAsia="宋体" w:cs="宋体"/>
          <w:b/>
          <w:bCs/>
          <w:color w:val="000000"/>
          <w:kern w:val="2"/>
          <w:sz w:val="24"/>
          <w:szCs w:val="24"/>
          <w:highlight w:val="none"/>
          <w:lang w:val="en-US" w:eastAsia="zh-CN" w:bidi="ar"/>
        </w:rPr>
        <w:t>根据适当性管理原则，将理财投资人分为专业投资者和普通投资者。其中专业投资者应符合下列条件之一：</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银行业金融机构、保险业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金融机构、金融控股公司、证券基金期货经营机构、私募基金管理人；</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上述机构面向投资者发行的金融产品，信托公司管理的资产服务信托、公益慈善信托；</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社会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保障基金、企业年金、职业年金等养老基金，慈善基金等社会公益基金，合格境外机构投资者（QFII）、人民币合格境外机构投资者（RQFII）。</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 xml:space="preserve">  专业投资者之外的投资者为普通投资者。</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386</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eastAsia="宋体" w:cs="宋体"/>
          <w:b/>
          <w:bCs/>
          <w:color w:val="000000"/>
          <w:kern w:val="2"/>
          <w:sz w:val="24"/>
          <w:szCs w:val="24"/>
        </w:rPr>
      </w:pPr>
      <w:r>
        <w:rPr>
          <w:rFonts w:hint="eastAsia" w:ascii="宋体" w:hAnsi="宋体" w:cs="宋体"/>
          <w:b/>
          <w:color w:val="000000"/>
          <w:highlight w:val="none"/>
        </w:rPr>
        <w:br w:type="page"/>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center"/>
        <w:outlineLvl w:val="9"/>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投资者确认栏（普通投资者填写）</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本人/本机构经销售机构评估的风险承受能力等级为：</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（投资者填写）</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u w:val="single"/>
          <w:lang w:val="en-US" w:eastAsia="zh-CN" w:bidi="ar"/>
        </w:rPr>
        <w:t>如超过一年未进行风险承受能力评估或影响本人风险承受能力的因素发生变化，本人/本机构将于再次购买理财计划时及时完成风险承受能力评估。</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360" w:firstLineChars="150"/>
        <w:jc w:val="both"/>
        <w:rPr>
          <w:rFonts w:hint="eastAsia" w:ascii="宋体" w:hAnsi="宋体" w:eastAsia="宋体" w:cs="宋体"/>
          <w:b/>
          <w:bCs/>
          <w:sz w:val="24"/>
          <w:szCs w:val="24"/>
          <w:highlight w:val="none"/>
        </w:rPr>
      </w:pPr>
      <w:r>
        <w:rPr>
          <w:rFonts w:hint="eastAsia" w:ascii="宋体" w:hAnsi="宋体" w:eastAsia="宋体" w:cs="宋体"/>
          <w:color w:val="000000"/>
          <w:kern w:val="0"/>
          <w:sz w:val="24"/>
          <w:szCs w:val="24"/>
          <w:highlight w:val="none"/>
          <w:lang w:val="en-US" w:eastAsia="zh-CN" w:bidi="ar"/>
        </w:rPr>
        <w:t>（投资者需全文抄录以下文字以完成确认：</w:t>
      </w:r>
      <w:r>
        <w:rPr>
          <w:rFonts w:hint="eastAsia" w:ascii="宋体" w:hAnsi="宋体" w:eastAsia="宋体" w:cs="宋体"/>
          <w:b/>
          <w:bCs/>
          <w:color w:val="000000"/>
          <w:kern w:val="0"/>
          <w:sz w:val="24"/>
          <w:szCs w:val="24"/>
          <w:highlight w:val="none"/>
          <w:lang w:val="en-US" w:eastAsia="zh-CN" w:bidi="ar"/>
        </w:rPr>
        <w:t xml:space="preserve">“本人/本机构已经阅读上述风险揭示，愿意承担投资风险。”如通过线上渠道购买，认/申购交易确认即知晓并同意自身风险承受能力等级并确认风险揭示内容，愿意承担投资风险，与书面签署具有同等效力。）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本人/本机构同时确认如下：</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个人投资者（签字）：</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机构投资者（盖章）：</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机构投资者法定代表人或授权代表（签字或盖章）：</w:t>
      </w:r>
    </w:p>
    <w:p>
      <w:pPr>
        <w:keepNext w:val="0"/>
        <w:keepLines w:val="0"/>
        <w:widowControl w:val="0"/>
        <w:suppressLineNumbers w:val="0"/>
        <w:spacing w:before="0" w:beforeAutospacing="0" w:after="0" w:afterAutospacing="0" w:line="360" w:lineRule="auto"/>
        <w:ind w:left="0" w:right="0" w:firstLine="5280" w:firstLineChars="2200"/>
        <w:jc w:val="center"/>
        <w:rPr>
          <w:rFonts w:hint="eastAsia" w:ascii="宋体" w:hAnsi="宋体" w:eastAsia="宋体" w:cs="宋体"/>
          <w:kern w:val="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ind w:left="0" w:right="0" w:firstLine="480" w:firstLineChars="200"/>
        <w:jc w:val="both"/>
        <w:rPr>
          <w:rFonts w:ascii="宋体" w:hAnsi="宋体" w:cs="宋体"/>
          <w:bCs/>
          <w:color w:val="000000"/>
          <w:sz w:val="24"/>
          <w:highlight w:val="none"/>
        </w:rPr>
      </w:pPr>
      <w:r>
        <w:rPr>
          <w:rFonts w:hint="eastAsia" w:ascii="宋体" w:hAnsi="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幸福99丰裕固收386天26132期理财</w:t>
      </w:r>
      <w:r>
        <w:rPr>
          <w:rFonts w:hint="eastAsia" w:ascii="宋体" w:hAnsi="宋体" w:cs="宋体"/>
          <w:b/>
          <w:bCs/>
          <w:color w:val="000000"/>
          <w:sz w:val="44"/>
          <w:szCs w:val="44"/>
          <w:highlight w:val="none"/>
        </w:rPr>
        <w:t>产品说明书</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Z7002226000294</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10"/>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1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幸福99丰裕固收386天26132期理财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幸福99丰裕固收386天26132期理财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幸福99丰裕固收386天26132期理财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幸福99丰裕固收386天26132期理财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幸福99丰裕固收386天26132期理财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幸福99丰裕固收386天26132期理财</w:t>
      </w:r>
      <w:r>
        <w:rPr>
          <w:rFonts w:hint="eastAsia" w:ascii="宋体" w:hAnsi="宋体" w:cs="宋体"/>
          <w:bCs/>
          <w:color w:val="000000"/>
          <w:highlight w:val="none"/>
        </w:rPr>
        <w:t>。</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16"/>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16"/>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17"/>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adjustRightInd/>
        <w:spacing w:line="360" w:lineRule="auto"/>
        <w:rPr>
          <w:rFonts w:hint="eastAsia" w:ascii="宋体" w:hAnsi="宋体" w:cs="宋体"/>
          <w:bCs/>
          <w:color w:val="000000"/>
          <w:kern w:val="2"/>
          <w:highlight w:val="none"/>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激进型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幸福99丰裕固收386天26132期理财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丰裕固收26132期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FYG26132</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Z7002226000294</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其中：</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A份额（销售代码〖FYG26132A〗）：普通个人投资者和机构客户。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B份额（销售代码〖FYG26132B〗）：普通个人投资者和机构客户。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C份额（销售代码〖FYG26132C〗）：普通个人投资者和机构客户。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D份额（销售代码〖FYG26132D〗）：普通个人投资者和机构客户。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E份额（公司专属）（销售代码〖FYG26132E〗）：普通个人投资者和机构客户。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F份额惠享款（销售代码〖FYG26132F〗）：普通个人投资者和机构客户。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G份额（销售代码〖FYG26132G〗）：普通个人投资者和机构客户。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H份额（销售代码〖FYG26132H〗）：浙商银行浙江省内分行网点开户的客户。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I份额（爽盈优选）（销售代码〖FYG26132I〗）：普通个人投资者和机构客户。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J份额（销售代码〖FYG26132J〗）：普通个人投资者和机构客户。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K份额（鲲鹏优选）（销售代码〖FYG26132K〗）：普通个人投资者和机构客户。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M份额（天府·优选）（销售代码〖FYG26132M〗）：普通个人投资者和机构客户。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N份额惠享款（长长财富·鑫享）（销售代码〖FYG26132N〗）：普通个人投资者和机构客户。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O份额惠享款（销售代码〖FYG26132O〗）：普通个人投资者和机构客户。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P份额（芙蓉锦程·优选）（销售代码〖FYG26132P〗）：普通个人投资者和机构客户。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Q份额（销售代码〖FYG26132Q〗）：普通个人投资者和机构客户。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R份额惠享款吉行十二号（销售代码〖FYG26132R〗）：普通个人投资者和机构客户。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T份额惠享款（齐鲁-逢六有约）（销售代码〖FYG26132T〗）：普通个人投资者和机构客户。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V份额（金芙蓉专属）（销售代码〖FYG26132V〗）：普通个人投资者和机构客户。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W份额惠享款（销售代码〖FYG26132W〗）：普通个人投资者和机构客户。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X份额（销售代码〖FYG26132X〗）：普通个人投资者。</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Y份额惠享款（销售代码〖FYG26132Y〗）：普通个人投资者和机构客户。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Z份额惠享款（销售代码〖FYG26132Z〗）：普通个人投资者和机构客户。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ZA份额惠享款（销售代码〖FYG26132ZA〗）：普通个人投资者和机构客户。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ZC份额惠享款（长长财富·臻享）（销售代码〖FYG26132ZC〗）：普通个人投资者和机构客户。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ZD份额惠享款（湖北银行专属）（销售代码〖FYG26132ZD〗）：普通个人投资者和机构客户。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ZG份额惠享款（销售代码〖FYG26132ZG〗）：普通个人投资者和机构客户。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ZH份额惠享款（长长财富暖心礼遇款）（销售代码〖FYG26132ZH〗）：普通个人投资者和机构客户。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ZJ份额惠享款（代发专属）（销售代码〖FYG26132ZJ〗）：普通个人投资者和机构客户。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ZL份额惠享款（销售代码〖FYG26132ZL〗）：普通个人投资者和机构客户。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〖80〗亿元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25</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31</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22</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〖F份额〗起点〖1〗元整，超过认购起点部分，应为〖1〗元的整数倍。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〖ZG份额〗起点〖1〗元整，超过认购起点部分，应为〖1〗元的整数倍。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〖ZH份额〗起点〖5〗万元整，超过认购起点部分，应为〖1〗元的整数倍。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〖ZL份额〗起点〖1〗元整，超过认购起点部分，应为〖1〗元的整数倍。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w:t>
            </w:r>
            <w:r>
              <w:rPr>
                <w:rFonts w:hint="eastAsia" w:ascii="宋体" w:hAnsi="宋体" w:eastAsia="宋体" w:cs="宋体"/>
                <w:color w:val="000000"/>
                <w:kern w:val="2"/>
                <w:sz w:val="21"/>
                <w:szCs w:val="21"/>
                <w:highlight w:val="none"/>
                <w:lang w:val="en-US" w:eastAsia="zh-CN" w:bidi="ar-SA"/>
              </w:rPr>
              <w:t>单位净值〖保留小数点后四位〗，〖四位后四舍五入〗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本理财计划〖E份额〗业绩比较基准为〖2.20%-2.40%〗（年化）。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本理财计划〖F份额〗业绩比较基准为〖2.25%-2.45%〗（年化）。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本理财计划〖H份额〗业绩比较基准为〖2.50%-2.70%〗（年化）。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本理财计划〖K份额〗业绩比较基准为〖2.40%-2.60%〗（年化）。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本理财计划〖O份额〗业绩比较基准为〖2.35%-2.55%〗（年化）。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本理财计划〖R份额〗业绩比较基准为〖2.45%-2.65%〗（年化）。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本理财计划〖V份额〗业绩比较基准为〖2.50%-2.70%〗（年化）。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本理财计划〖ZA份额〗业绩比较基准为〖2.50%-2.70%〗（年化）。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本理财计划〖ZC份额〗业绩比较基准为〖2.50%-2.70%〗（年化）。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本理财计划〖ZD份额〗业绩比较基准为〖2.60%-2.80%〗（年化）。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本理财计划〖ZG份额〗业绩比较基准为〖2.50%-2.70%〗（年化）。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本理财计划〖ZH份额〗业绩比较基准为〖2.73%-2.93%〗（年化）。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本理财计划〖ZJ份额〗业绩比较基准为〖2.45%-2.65%〗（年化）。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本理财计划〖ZL份额〗业绩比较基准为〖2.60%-2.80%〗（年化）。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〖F份额〗收取年化〖0.40%〗的销售服务费, 〖G份额〗收取年化〖0.05%〗的销售服务费, 〖H份额〗收取年化〖0.15%〗的销售服务费, 〖I份额〗收取年化〖0.30%〗的销售服务费, 〖J份额〗收取年化〖0.05%〗的销售服务费, 〖K份额〗收取年化〖0.25%〗的销售服务费, 〖M份额〗收取年化〖0.15%〗的销售服务费, 〖N份额〗收取年化〖0.20%〗的销售服务费, 〖O份额〗收取年化〖0.30%〗的销售服务费, 〖P份额〗收取年化〖0.15%〗的销售服务费, 〖Q份额〗收取年化〖0.25%〗的销售服务费, 〖R份额〗收取年化〖0.20%〗的销售服务费, 〖T份额〗收取年化〖0.15%〗的销售服务费,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〖ZC份额〗收取年化〖0.15%〗的销售服务费, 〖ZD份额〗收取年化〖0.05%〗的销售服务费, 〖ZG份额〗收取年化〖0.20%〗的销售服务费, 〖ZH份额〗收取年化〖0.01%〗的销售服务费, 〖ZJ份额〗收取年化〖0.20%〗的销售服务费, 〖ZL份额〗收取年化〖0.05%〗的销售服务费。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〖F份额〗收取年化〖0.10%〗的固定管理费, 〖G份额〗收取年化〖0.10%〗的固定管理费, 〖H份额〗收取年化〖0.10%〗的固定管理费,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〖ZC份额〗收取年化〖0.10%〗的固定管理费, 〖ZD份额〗收取年化〖0.10%〗的固定管理费, 〖ZG份额〗收取年化〖0.05%〗的固定管理费, 〖ZH份额〗收取年化〖0.01%〗的固定管理费, 〖ZJ份额〗收取年化〖0.10%〗的固定管理费, 〖ZL份额〗收取年化〖0.10%〗的固定管理费。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ZJ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ZJ份额〗到期日（提前终止日）的折合年化收益率在〖业绩比较基准下限（含）至业绩比较基准中枢（含）〗的部分，管理人提取〖50%〗作为浮动管理费，在折合年化收益率超过〖业绩比较基准中枢〗的部分，管理人提取〖60%〗作为浮动管理费。</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
              </w:rPr>
              <w:t>6.信息技术服务费：收取年化〖0.002%〗的信息技术服务费。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南京银行股份有限公司</w:t>
            </w:r>
          </w:p>
        </w:tc>
        <w:tc>
          <w:tcPr>
            <w:tcW w:w="1200" w:type="dxa"/>
            <w:vAlign w:val="center"/>
          </w:tcPr>
          <w:p>
            <w:pPr>
              <w:jc w:val="left"/>
            </w:pPr>
            <w:r>
              <w:t>住所</w:t>
            </w:r>
          </w:p>
        </w:tc>
        <w:tc>
          <w:tcPr>
            <w:tcW w:w="3800" w:type="dxa"/>
            <w:vAlign w:val="center"/>
          </w:tcPr>
          <w:p>
            <w:pPr>
              <w:jc w:val="center"/>
            </w:pPr>
            <w:r>
              <w:t>南京市建邺区江山大街88号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台州银行股份有限公司</w:t>
            </w:r>
          </w:p>
        </w:tc>
        <w:tc>
          <w:tcPr>
            <w:tcW w:w="1200" w:type="dxa"/>
            <w:vAlign w:val="center"/>
          </w:tcPr>
          <w:p>
            <w:pPr>
              <w:jc w:val="left"/>
            </w:pPr>
            <w:r>
              <w:t>住所</w:t>
            </w:r>
          </w:p>
        </w:tc>
        <w:tc>
          <w:tcPr>
            <w:tcW w:w="3800" w:type="dxa"/>
            <w:vAlign w:val="center"/>
          </w:tcPr>
          <w:p>
            <w:pPr>
              <w:jc w:val="center"/>
            </w:pPr>
            <w:r>
              <w:t>浙江省台州市路桥区南官大道92号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0576-81896013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新疆银行股份有限公司</w:t>
            </w:r>
          </w:p>
        </w:tc>
        <w:tc>
          <w:tcPr>
            <w:tcW w:w="1200" w:type="dxa"/>
            <w:vAlign w:val="center"/>
          </w:tcPr>
          <w:p>
            <w:pPr>
              <w:jc w:val="left"/>
            </w:pPr>
            <w:r>
              <w:t>住所</w:t>
            </w:r>
          </w:p>
        </w:tc>
        <w:tc>
          <w:tcPr>
            <w:tcW w:w="3800" w:type="dxa"/>
            <w:vAlign w:val="center"/>
          </w:tcPr>
          <w:p>
            <w:pPr>
              <w:jc w:val="center"/>
            </w:pPr>
            <w: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昆仑银行股份有限公司</w:t>
            </w:r>
          </w:p>
        </w:tc>
        <w:tc>
          <w:tcPr>
            <w:tcW w:w="1200" w:type="dxa"/>
            <w:vAlign w:val="center"/>
          </w:tcPr>
          <w:p>
            <w:pPr>
              <w:jc w:val="left"/>
            </w:pPr>
            <w:r>
              <w:t>住所</w:t>
            </w:r>
          </w:p>
        </w:tc>
        <w:tc>
          <w:tcPr>
            <w:tcW w:w="3800" w:type="dxa"/>
            <w:vAlign w:val="center"/>
          </w:tcPr>
          <w:p>
            <w:pPr>
              <w:jc w:val="center"/>
            </w:pPr>
            <w:r>
              <w:t>新疆克拉玛依市世纪大道7号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江苏启东农村商业银行股份有限公司</w:t>
            </w:r>
          </w:p>
        </w:tc>
        <w:tc>
          <w:tcPr>
            <w:tcW w:w="1200" w:type="dxa"/>
            <w:vAlign w:val="center"/>
          </w:tcPr>
          <w:p>
            <w:pPr>
              <w:jc w:val="left"/>
            </w:pPr>
            <w:r>
              <w:t>住所</w:t>
            </w:r>
          </w:p>
        </w:tc>
        <w:tc>
          <w:tcPr>
            <w:tcW w:w="3800" w:type="dxa"/>
            <w:vAlign w:val="center"/>
          </w:tcPr>
          <w:p>
            <w:pPr>
              <w:jc w:val="center"/>
            </w:pPr>
            <w: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江苏宝应农村商业银行股份有限公司</w:t>
            </w:r>
          </w:p>
        </w:tc>
        <w:tc>
          <w:tcPr>
            <w:tcW w:w="1200" w:type="dxa"/>
            <w:vAlign w:val="center"/>
          </w:tcPr>
          <w:p>
            <w:pPr>
              <w:jc w:val="left"/>
            </w:pPr>
            <w:r>
              <w:t>住所</w:t>
            </w:r>
          </w:p>
        </w:tc>
        <w:tc>
          <w:tcPr>
            <w:tcW w:w="3800" w:type="dxa"/>
            <w:vAlign w:val="center"/>
          </w:tcPr>
          <w:p>
            <w:pPr>
              <w:jc w:val="center"/>
            </w:pPr>
            <w:r>
              <w:t>江苏省宝应县文津路1号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江苏张家港农村商业银行股份有限公司</w:t>
            </w:r>
          </w:p>
        </w:tc>
        <w:tc>
          <w:tcPr>
            <w:tcW w:w="1200" w:type="dxa"/>
            <w:vAlign w:val="center"/>
          </w:tcPr>
          <w:p>
            <w:pPr>
              <w:jc w:val="left"/>
            </w:pPr>
            <w:r>
              <w:t>住所</w:t>
            </w:r>
          </w:p>
        </w:tc>
        <w:tc>
          <w:tcPr>
            <w:tcW w:w="3800" w:type="dxa"/>
            <w:vAlign w:val="center"/>
          </w:tcPr>
          <w:p>
            <w:pPr>
              <w:jc w:val="center"/>
            </w:pPr>
            <w:r>
              <w:t>江苏省苏州市张家港市杨舍镇人民中路66号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江苏扬中农村商业银行股份有限公司</w:t>
            </w:r>
          </w:p>
        </w:tc>
        <w:tc>
          <w:tcPr>
            <w:tcW w:w="1200" w:type="dxa"/>
            <w:vAlign w:val="center"/>
          </w:tcPr>
          <w:p>
            <w:pPr>
              <w:jc w:val="left"/>
            </w:pPr>
            <w:r>
              <w:t>住所</w:t>
            </w:r>
          </w:p>
        </w:tc>
        <w:tc>
          <w:tcPr>
            <w:tcW w:w="3800" w:type="dxa"/>
            <w:vAlign w:val="center"/>
          </w:tcPr>
          <w:p>
            <w:pPr>
              <w:jc w:val="center"/>
            </w:pPr>
            <w:r>
              <w:t>江苏省扬中市扬子西路79号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江苏民丰农村商业银行股份有限公司</w:t>
            </w:r>
          </w:p>
        </w:tc>
        <w:tc>
          <w:tcPr>
            <w:tcW w:w="1200" w:type="dxa"/>
            <w:vAlign w:val="center"/>
          </w:tcPr>
          <w:p>
            <w:pPr>
              <w:jc w:val="left"/>
            </w:pPr>
            <w:r>
              <w:t>住所</w:t>
            </w:r>
          </w:p>
        </w:tc>
        <w:tc>
          <w:tcPr>
            <w:tcW w:w="3800" w:type="dxa"/>
            <w:vAlign w:val="center"/>
          </w:tcPr>
          <w:p>
            <w:pPr>
              <w:jc w:val="center"/>
            </w:pPr>
            <w:r>
              <w:t>江苏省宿迁市宿城区高宝湖路1号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江苏泗阳农村商业银行股份有限公司</w:t>
            </w:r>
          </w:p>
        </w:tc>
        <w:tc>
          <w:tcPr>
            <w:tcW w:w="1200" w:type="dxa"/>
            <w:vAlign w:val="center"/>
          </w:tcPr>
          <w:p>
            <w:pPr>
              <w:jc w:val="left"/>
            </w:pPr>
            <w:r>
              <w:t>住所</w:t>
            </w:r>
          </w:p>
        </w:tc>
        <w:tc>
          <w:tcPr>
            <w:tcW w:w="3800" w:type="dxa"/>
            <w:vAlign w:val="center"/>
          </w:tcPr>
          <w:p>
            <w:pPr>
              <w:jc w:val="center"/>
            </w:pPr>
            <w: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江苏滨海农村商业银行股份有限公司</w:t>
            </w:r>
          </w:p>
        </w:tc>
        <w:tc>
          <w:tcPr>
            <w:tcW w:w="1200" w:type="dxa"/>
            <w:vAlign w:val="center"/>
          </w:tcPr>
          <w:p>
            <w:pPr>
              <w:jc w:val="left"/>
            </w:pPr>
            <w:r>
              <w:t>住所</w:t>
            </w:r>
          </w:p>
        </w:tc>
        <w:tc>
          <w:tcPr>
            <w:tcW w:w="3800" w:type="dxa"/>
            <w:vAlign w:val="center"/>
          </w:tcPr>
          <w:p>
            <w:pPr>
              <w:jc w:val="center"/>
            </w:pPr>
            <w: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江苏灌南农村商业银行股份有限公司</w:t>
            </w:r>
          </w:p>
        </w:tc>
        <w:tc>
          <w:tcPr>
            <w:tcW w:w="1200" w:type="dxa"/>
            <w:vAlign w:val="center"/>
          </w:tcPr>
          <w:p>
            <w:pPr>
              <w:jc w:val="left"/>
            </w:pPr>
            <w:r>
              <w:t>住所</w:t>
            </w:r>
          </w:p>
        </w:tc>
        <w:tc>
          <w:tcPr>
            <w:tcW w:w="3800" w:type="dxa"/>
            <w:vAlign w:val="center"/>
          </w:tcPr>
          <w:p>
            <w:pPr>
              <w:jc w:val="center"/>
            </w:pPr>
            <w:r>
              <w:t>江苏省连云港市灌南县人民路29号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浙商银行股份有限公司</w:t>
            </w:r>
          </w:p>
        </w:tc>
        <w:tc>
          <w:tcPr>
            <w:tcW w:w="1200" w:type="dxa"/>
            <w:vAlign w:val="center"/>
          </w:tcPr>
          <w:p>
            <w:pPr>
              <w:jc w:val="left"/>
            </w:pPr>
            <w:r>
              <w:t>住所</w:t>
            </w:r>
          </w:p>
        </w:tc>
        <w:tc>
          <w:tcPr>
            <w:tcW w:w="3800" w:type="dxa"/>
            <w:vAlign w:val="center"/>
          </w:tcPr>
          <w:p>
            <w:pPr>
              <w:jc w:val="center"/>
            </w:pPr>
            <w: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秦皇岛银行股份有限公司</w:t>
            </w:r>
          </w:p>
        </w:tc>
        <w:tc>
          <w:tcPr>
            <w:tcW w:w="1200" w:type="dxa"/>
            <w:vAlign w:val="center"/>
          </w:tcPr>
          <w:p>
            <w:pPr>
              <w:jc w:val="left"/>
            </w:pPr>
            <w:r>
              <w:t>住所</w:t>
            </w:r>
          </w:p>
        </w:tc>
        <w:tc>
          <w:tcPr>
            <w:tcW w:w="3800" w:type="dxa"/>
            <w:vAlign w:val="center"/>
          </w:tcPr>
          <w:p>
            <w:pPr>
              <w:jc w:val="center"/>
            </w:pPr>
            <w:r>
              <w:t>河北省秦皇岛市海港区河北大街西段560号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0335-5911161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贵阳银行股份有限公司</w:t>
            </w:r>
          </w:p>
        </w:tc>
        <w:tc>
          <w:tcPr>
            <w:tcW w:w="1200" w:type="dxa"/>
            <w:vAlign w:val="center"/>
          </w:tcPr>
          <w:p>
            <w:pPr>
              <w:jc w:val="left"/>
            </w:pPr>
            <w:r>
              <w:t>住所</w:t>
            </w:r>
          </w:p>
        </w:tc>
        <w:tc>
          <w:tcPr>
            <w:tcW w:w="3800" w:type="dxa"/>
            <w:vAlign w:val="center"/>
          </w:tcPr>
          <w:p>
            <w:pPr>
              <w:jc w:val="center"/>
            </w:pPr>
            <w:r>
              <w:t>贵州省贵阳市观山湖区长岭北路中天·会展城B区金融商务区东区1-6栋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40011-96033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辽宁农村商业银行股份有限公司</w:t>
            </w:r>
          </w:p>
        </w:tc>
        <w:tc>
          <w:tcPr>
            <w:tcW w:w="1200" w:type="dxa"/>
            <w:vAlign w:val="center"/>
          </w:tcPr>
          <w:p>
            <w:pPr>
              <w:jc w:val="left"/>
            </w:pPr>
            <w:r>
              <w:t>住所</w:t>
            </w:r>
          </w:p>
        </w:tc>
        <w:tc>
          <w:tcPr>
            <w:tcW w:w="3800" w:type="dxa"/>
            <w:vAlign w:val="center"/>
          </w:tcPr>
          <w:p>
            <w:pPr>
              <w:jc w:val="center"/>
            </w:pPr>
            <w: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H份额〗、〖I份额〗、〖J份额〗、〖K份额〗、〖M份额〗、〖P份额〗、〖Q份额〗、〖V份额〗、〖X份额〗和销售服务费于产品成立日一次性收取的〖F份额〗、〖N份额〗、〖O份额〗、〖R份额〗、〖T份额〗、〖W份额〗、〖Y份额〗、〖Z份额〗、〖ZA份额〗、〖ZC份额〗、〖ZD份额〗、〖ZG份额〗、〖ZH份额〗、〖ZJ份额〗、〖ZL份额〗。A份额的年化销售服务费率为〖0.30%〗, B份额的年化销售服务费率为〖0.20%〗, C份额的年化销售服务费率为〖0.10%〗, D份额的年化销售服务费率为〖0.15%〗, E份额的年化销售服务费率为〖0.40%〗, F份额的年化销售服务费率为〖0.40%〗, G份额的年化销售服务费率为〖0.05%〗, H份额的年化销售服务费率为〖0.15%〗, I份额的年化销售服务费率为〖0.30%〗, J份额的年化销售服务费率为〖0.05%〗, K份额的年化销售服务费率为〖0.25%〗, M份额的年化销售服务费率为〖0.15%〗, N份额的年化销售服务费率为〖0.20%〗, O份额的年化销售服务费率为〖0.30%〗, P份额的年化销售服务费率为〖0.15%〗, Q份额的年化销售服务费率为〖0.25%〗, R份额的年化销售服务费率为〖0.20%〗, T份额的年化销售服务费率为〖0.15%〗,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ZC份额的年化销售服务费率为〖0.15%〗, ZD份额的年化销售服务费率为〖0.05%〗, ZG份额的年化销售服务费率为〖0.20%〗, ZH份额的年化销售服务费率为〖0.01%〗, ZJ份额的年化销售服务费率为〖0.20%〗, ZL份额的年化销售服务费率为〖0.05%〗。两种计算方法如下：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（1）销售服务费按日计提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（2）销售服务费一次性收取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H2＝E2×〖0.40%〗×P2÷365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H2为〖F份额〗应计提的销售服务费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E2为〖F份额〗成立日产品份额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P2为产品投资期限天数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F份额的年化固定管理费率为〖0.10%〗, G份额的年化固定管理费率为〖0.10%〗, H份额的年化固定管理费率为〖0.10%〗,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ZC份额的年化固定管理费率为〖0.10%〗, ZD份额的年化固定管理费率为〖0.10%〗, ZG份额的年化固定管理费率为〖0.05%〗, ZH份额的年化固定管理费率为〖0.01%〗, ZJ份额的年化固定管理费率为〖0.10%〗, ZL份额的年化固定管理费率为〖0.10%〗,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eastAsia="宋体" w:cs="宋体"/>
          <w:bCs/>
          <w:color w:val="000000"/>
          <w:kern w:val="2"/>
          <w:sz w:val="24"/>
          <w:szCs w:val="24"/>
          <w:highlight w:val="none"/>
          <w:lang w:val="en-US" w:eastAsia="zh-CN" w:bidi="ar-SA"/>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信息技术服务费</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理财计划财产的年化信息技术服务费为〖</w:t>
      </w:r>
      <w:r>
        <w:rPr>
          <w:rFonts w:hint="eastAsia" w:ascii="宋体" w:hAnsi="宋体" w:cs="宋体"/>
          <w:bCs/>
          <w:color w:val="000000"/>
          <w:sz w:val="24"/>
          <w:highlight w:val="none"/>
          <w:lang w:val="en-US" w:eastAsia="zh-CN"/>
        </w:rPr>
        <w:t>0.002</w:t>
      </w:r>
      <w:r>
        <w:rPr>
          <w:rFonts w:hint="eastAsia" w:ascii="宋体" w:hAnsi="宋体" w:cs="宋体"/>
          <w:bCs/>
          <w:color w:val="000000"/>
          <w:sz w:val="24"/>
          <w:highlight w:val="none"/>
          <w:lang w:eastAsia="zh-CN"/>
        </w:rPr>
        <w:t>%〗，计算方法如下：</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H＝E×〖</w:t>
      </w:r>
      <w:r>
        <w:rPr>
          <w:rFonts w:hint="eastAsia" w:ascii="宋体" w:hAnsi="宋体" w:cs="宋体"/>
          <w:bCs/>
          <w:color w:val="000000"/>
          <w:sz w:val="24"/>
          <w:highlight w:val="none"/>
          <w:lang w:val="en-US" w:eastAsia="zh-CN"/>
        </w:rPr>
        <w:t>0.002</w:t>
      </w:r>
      <w:r>
        <w:rPr>
          <w:rFonts w:hint="eastAsia" w:ascii="宋体" w:hAnsi="宋体" w:cs="宋体"/>
          <w:bCs/>
          <w:color w:val="000000"/>
          <w:sz w:val="24"/>
          <w:highlight w:val="none"/>
          <w:lang w:eastAsia="zh-CN"/>
        </w:rPr>
        <w:t>%〗÷365</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H为每日应计提的信息技术服务费</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E为本理财计划前一日资产净值</w:t>
      </w:r>
    </w:p>
    <w:p>
      <w:pPr>
        <w:spacing w:line="360" w:lineRule="auto"/>
        <w:ind w:firstLine="480" w:firstLineChars="200"/>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eastAsia="zh-CN"/>
        </w:rPr>
        <w:t>信息技术服务费原则上按日计提。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3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8"/>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lang w:eastAsia="zh-CN"/>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理财计划办理流程</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专业投资者及激进型的普通投资者</w:t>
            </w:r>
          </w:p>
        </w:tc>
      </w:tr>
    </w:tbl>
    <w:p>
      <w:pPr>
        <w:pStyle w:val="17"/>
        <w:adjustRightInd/>
        <w:spacing w:line="360" w:lineRule="auto"/>
        <w:ind w:firstLine="480" w:firstLineChars="200"/>
        <w:rPr>
          <w:rFonts w:hint="default" w:ascii="宋体" w:hAnsi="宋体" w:eastAsia="宋体" w:cs="宋体"/>
          <w:b/>
          <w:color w:val="000000"/>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55"/>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投资者风险承受能力评估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投资者对评估结果进行确认。</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六、投诉与建议</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联络</w:t>
      </w:r>
      <w:bookmarkStart w:id="0" w:name="_GoBack"/>
      <w:bookmarkEnd w:id="0"/>
      <w:r>
        <w:rPr>
          <w:rFonts w:hint="eastAsia" w:ascii="宋体" w:hAnsi="宋体" w:cs="宋体"/>
          <w:color w:val="000000"/>
          <w:kern w:val="0"/>
          <w:sz w:val="24"/>
          <w:highlight w:val="none"/>
        </w:rPr>
        <w:t>方式</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1"/>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1"/>
          <w:rFonts w:hint="eastAsia" w:ascii="宋体" w:hAnsi="宋体" w:cs="宋体"/>
          <w:color w:val="000000"/>
          <w:kern w:val="0"/>
          <w:sz w:val="24"/>
          <w:highlight w:val="none"/>
          <w:u w:val="none"/>
          <w:lang w:val="en-US" w:eastAsia="zh-CN"/>
        </w:rPr>
        <w:t>www.hzbank.com.cn</w:t>
      </w:r>
      <w:r>
        <w:rPr>
          <w:rStyle w:val="11"/>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color w:val="000000"/>
          <w:sz w:val="44"/>
          <w:szCs w:val="44"/>
          <w:highlight w:val="none"/>
        </w:rPr>
      </w:pPr>
      <w:r>
        <w:rPr>
          <w:rFonts w:hint="eastAsia"/>
          <w:b/>
          <w:color w:val="000000"/>
          <w:sz w:val="44"/>
          <w:szCs w:val="44"/>
          <w:highlight w:val="none"/>
        </w:rPr>
        <w:t>杭银理财理财计划投资协议书</w:t>
      </w:r>
    </w:p>
    <w:p>
      <w:pPr>
        <w:jc w:val="center"/>
        <w:rPr>
          <w:rFonts w:hint="eastAsia"/>
          <w:b/>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b/>
          <w:color w:val="000000"/>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color w:val="000000"/>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color w:val="000000"/>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color w:val="000000"/>
          <w:sz w:val="24"/>
          <w:highlight w:val="none"/>
        </w:rPr>
      </w:pPr>
    </w:p>
    <w:p>
      <w:pPr>
        <w:numPr>
          <w:ilvl w:val="0"/>
          <w:numId w:val="61"/>
        </w:numPr>
        <w:spacing w:line="360" w:lineRule="auto"/>
        <w:ind w:firstLine="482" w:firstLineChars="200"/>
        <w:outlineLvl w:val="9"/>
        <w:rPr>
          <w:rFonts w:hint="eastAsia" w:ascii="宋体" w:hAnsi="宋体"/>
          <w:b/>
          <w:bCs/>
          <w:color w:val="000000"/>
          <w:sz w:val="24"/>
          <w:highlight w:val="none"/>
        </w:rPr>
      </w:pPr>
      <w:r>
        <w:rPr>
          <w:rFonts w:hint="eastAsia"/>
          <w:b/>
          <w:bCs/>
          <w:color w:val="000000"/>
          <w:sz w:val="24"/>
          <w:highlight w:val="none"/>
        </w:rPr>
        <w:t>名词释义</w:t>
      </w:r>
    </w:p>
    <w:p>
      <w:pPr>
        <w:spacing w:line="360" w:lineRule="auto"/>
        <w:ind w:firstLine="480" w:firstLineChars="200"/>
        <w:rPr>
          <w:rFonts w:hint="eastAsia"/>
          <w:bCs/>
          <w:color w:val="000000"/>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投资者权利与义务</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管理人权利与义务</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color w:val="000000"/>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理财计划认（申）购、赎回及终止</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color w:val="000000"/>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违约责任及免责条款</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color w:val="000000"/>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协议生效和终止</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附则</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color w:val="000000"/>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rFonts w:hint="eastAsia" w:ascii="宋体" w:hAnsi="宋体"/>
          <w:b/>
          <w:bCs/>
          <w:color w:val="000000"/>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color w:val="000000"/>
          <w:sz w:val="24"/>
          <w:highlight w:val="none"/>
        </w:rPr>
      </w:pPr>
    </w:p>
    <w:p>
      <w:pPr>
        <w:spacing w:line="360" w:lineRule="auto"/>
        <w:rPr>
          <w:rFonts w:hint="eastAsia" w:ascii="宋体" w:hAnsi="宋体"/>
          <w:b/>
          <w:bCs/>
          <w:color w:val="000000"/>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color w:val="00000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202601</w:t>
      </w:r>
      <w:r>
        <w:rPr>
          <w:rFonts w:hint="eastAsia" w:ascii="宋体" w:hAnsi="宋体" w:eastAsia="宋体" w:cs="宋体"/>
          <w:color w:val="000000"/>
          <w:sz w:val="28"/>
          <w:szCs w:val="28"/>
          <w:highlight w:val="none"/>
        </w:rPr>
        <w:t>版）</w:t>
      </w:r>
    </w:p>
    <w:p>
      <w:pPr>
        <w:spacing w:line="360" w:lineRule="auto"/>
        <w:jc w:val="center"/>
        <w:rPr>
          <w:rFonts w:hint="default"/>
          <w:color w:val="000000"/>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color w:val="000000"/>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（202601</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color w:val="000000"/>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color w:val="000000"/>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color w:val="00000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color w:val="000000"/>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widowControl/>
        <w:spacing w:line="360" w:lineRule="auto"/>
        <w:jc w:val="right"/>
        <w:rPr>
          <w:rFonts w:hint="eastAsia" w:ascii="宋体" w:hAnsi="宋体" w:eastAsia="宋体" w:cs="黑体"/>
          <w:b w:val="0"/>
          <w:bCs w:val="0"/>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color w:val="000000"/>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8">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19">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0">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1">
    <w:nsid w:val="D8D75090"/>
    <w:multiLevelType w:val="singleLevel"/>
    <w:tmpl w:val="D8D75090"/>
    <w:lvl w:ilvl="0" w:tentative="0">
      <w:start w:val="1"/>
      <w:numFmt w:val="decimal"/>
      <w:suff w:val="nothing"/>
      <w:lvlText w:val="（%1）"/>
      <w:lvlJc w:val="left"/>
      <w:rPr>
        <w:rFonts w:hint="default"/>
        <w:b w:val="0"/>
        <w:bCs w:val="0"/>
      </w:rPr>
    </w:lvl>
  </w:abstractNum>
  <w:abstractNum w:abstractNumId="22">
    <w:nsid w:val="DD2251DF"/>
    <w:multiLevelType w:val="singleLevel"/>
    <w:tmpl w:val="DD2251DF"/>
    <w:lvl w:ilvl="0" w:tentative="0">
      <w:start w:val="1"/>
      <w:numFmt w:val="decimal"/>
      <w:suff w:val="nothing"/>
      <w:lvlText w:val="（%1）"/>
      <w:lvlJc w:val="left"/>
      <w:rPr>
        <w:rFonts w:hint="default"/>
        <w:b w:val="0"/>
        <w:bCs w:val="0"/>
      </w:rPr>
    </w:lvl>
  </w:abstractNum>
  <w:abstractNum w:abstractNumId="23">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4">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5">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6">
    <w:nsid w:val="F574F5B6"/>
    <w:multiLevelType w:val="singleLevel"/>
    <w:tmpl w:val="F574F5B6"/>
    <w:lvl w:ilvl="0" w:tentative="0">
      <w:start w:val="1"/>
      <w:numFmt w:val="decimal"/>
      <w:suff w:val="nothing"/>
      <w:lvlText w:val="（%1）"/>
      <w:lvlJc w:val="left"/>
    </w:lvl>
  </w:abstractNum>
  <w:abstractNum w:abstractNumId="27">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8">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9">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0">
    <w:nsid w:val="084A6179"/>
    <w:multiLevelType w:val="singleLevel"/>
    <w:tmpl w:val="084A6179"/>
    <w:lvl w:ilvl="0" w:tentative="0">
      <w:start w:val="1"/>
      <w:numFmt w:val="decimal"/>
      <w:suff w:val="nothing"/>
      <w:lvlText w:val="（%1）"/>
      <w:lvlJc w:val="left"/>
      <w:rPr>
        <w:rFonts w:hint="default"/>
        <w:highlight w:val="none"/>
      </w:rPr>
    </w:lvl>
  </w:abstractNum>
  <w:abstractNum w:abstractNumId="31">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4">
    <w:nsid w:val="167B0BB4"/>
    <w:multiLevelType w:val="singleLevel"/>
    <w:tmpl w:val="167B0BB4"/>
    <w:lvl w:ilvl="0" w:tentative="0">
      <w:start w:val="1"/>
      <w:numFmt w:val="decimal"/>
      <w:suff w:val="nothing"/>
      <w:lvlText w:val="（%1）"/>
      <w:lvlJc w:val="left"/>
    </w:lvl>
  </w:abstractNum>
  <w:abstractNum w:abstractNumId="35">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6">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7">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3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4">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5">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6">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7">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8">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9">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0">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1">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2">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3">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4">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5">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6">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7">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8">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59">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0">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1">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2">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3">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4">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5">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6">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7">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8">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69">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0">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1">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2">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abstractNum w:abstractNumId="73">
    <w:nsid w:val="7FFF73E0"/>
    <w:multiLevelType w:val="multilevel"/>
    <w:tmpl w:val="7FFF73E0"/>
    <w:lvl w:ilvl="0" w:tentative="0">
      <w:start w:val="1"/>
      <w:numFmt w:val="decimal"/>
      <w:suff w:val="space"/>
      <w:lvlText w:val="%1."/>
      <w:lvlJc w:val="left"/>
      <w:pPr>
        <w:ind w:left="0" w:firstLine="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4"/>
  </w:num>
  <w:num w:numId="2">
    <w:abstractNumId w:val="0"/>
  </w:num>
  <w:num w:numId="3">
    <w:abstractNumId w:val="41"/>
  </w:num>
  <w:num w:numId="4">
    <w:abstractNumId w:val="36"/>
  </w:num>
  <w:num w:numId="5">
    <w:abstractNumId w:val="48"/>
  </w:num>
  <w:num w:numId="6">
    <w:abstractNumId w:val="71"/>
  </w:num>
  <w:num w:numId="7">
    <w:abstractNumId w:val="31"/>
  </w:num>
  <w:num w:numId="8">
    <w:abstractNumId w:val="72"/>
  </w:num>
  <w:num w:numId="9">
    <w:abstractNumId w:val="73"/>
  </w:num>
  <w:num w:numId="10">
    <w:abstractNumId w:val="46"/>
  </w:num>
  <w:num w:numId="11">
    <w:abstractNumId w:val="43"/>
  </w:num>
  <w:num w:numId="12">
    <w:abstractNumId w:val="27"/>
  </w:num>
  <w:num w:numId="13">
    <w:abstractNumId w:val="25"/>
  </w:num>
  <w:num w:numId="14">
    <w:abstractNumId w:val="32"/>
  </w:num>
  <w:num w:numId="15">
    <w:abstractNumId w:val="24"/>
  </w:num>
  <w:num w:numId="16">
    <w:abstractNumId w:val="19"/>
  </w:num>
  <w:num w:numId="17">
    <w:abstractNumId w:val="11"/>
  </w:num>
  <w:num w:numId="18">
    <w:abstractNumId w:val="8"/>
  </w:num>
  <w:num w:numId="19">
    <w:abstractNumId w:val="9"/>
  </w:num>
  <w:num w:numId="20">
    <w:abstractNumId w:val="7"/>
  </w:num>
  <w:num w:numId="21">
    <w:abstractNumId w:val="69"/>
  </w:num>
  <w:num w:numId="22">
    <w:abstractNumId w:val="5"/>
  </w:num>
  <w:num w:numId="23">
    <w:abstractNumId w:val="1"/>
  </w:num>
  <w:num w:numId="24">
    <w:abstractNumId w:val="42"/>
  </w:num>
  <w:num w:numId="25">
    <w:abstractNumId w:val="26"/>
  </w:num>
  <w:num w:numId="26">
    <w:abstractNumId w:val="18"/>
  </w:num>
  <w:num w:numId="27">
    <w:abstractNumId w:val="37"/>
  </w:num>
  <w:num w:numId="28">
    <w:abstractNumId w:val="20"/>
  </w:num>
  <w:num w:numId="29">
    <w:abstractNumId w:val="6"/>
  </w:num>
  <w:num w:numId="30">
    <w:abstractNumId w:val="45"/>
  </w:num>
  <w:num w:numId="31">
    <w:abstractNumId w:val="4"/>
  </w:num>
  <w:num w:numId="32">
    <w:abstractNumId w:val="30"/>
  </w:num>
  <w:num w:numId="33">
    <w:abstractNumId w:val="35"/>
  </w:num>
  <w:num w:numId="34">
    <w:abstractNumId w:val="70"/>
  </w:num>
  <w:num w:numId="35">
    <w:abstractNumId w:val="29"/>
  </w:num>
  <w:num w:numId="36">
    <w:abstractNumId w:val="22"/>
  </w:num>
  <w:num w:numId="37">
    <w:abstractNumId w:val="40"/>
  </w:num>
  <w:num w:numId="38">
    <w:abstractNumId w:val="2"/>
  </w:num>
  <w:num w:numId="39">
    <w:abstractNumId w:val="23"/>
  </w:num>
  <w:num w:numId="40">
    <w:abstractNumId w:val="28"/>
  </w:num>
  <w:num w:numId="41">
    <w:abstractNumId w:val="44"/>
  </w:num>
  <w:num w:numId="42">
    <w:abstractNumId w:val="33"/>
  </w:num>
  <w:num w:numId="43">
    <w:abstractNumId w:val="17"/>
  </w:num>
  <w:num w:numId="44">
    <w:abstractNumId w:val="47"/>
  </w:num>
  <w:num w:numId="45">
    <w:abstractNumId w:val="12"/>
  </w:num>
  <w:num w:numId="46">
    <w:abstractNumId w:val="10"/>
  </w:num>
  <w:num w:numId="47">
    <w:abstractNumId w:val="13"/>
  </w:num>
  <w:num w:numId="48">
    <w:abstractNumId w:val="34"/>
  </w:num>
  <w:num w:numId="49">
    <w:abstractNumId w:val="21"/>
  </w:num>
  <w:num w:numId="50">
    <w:abstractNumId w:val="3"/>
  </w:num>
  <w:num w:numId="51">
    <w:abstractNumId w:val="39"/>
  </w:num>
  <w:num w:numId="52">
    <w:abstractNumId w:val="56"/>
  </w:num>
  <w:num w:numId="53">
    <w:abstractNumId w:val="55"/>
  </w:num>
  <w:num w:numId="54">
    <w:abstractNumId w:val="57"/>
  </w:num>
  <w:num w:numId="55">
    <w:abstractNumId w:val="58"/>
  </w:num>
  <w:num w:numId="56">
    <w:abstractNumId w:val="59"/>
  </w:num>
  <w:num w:numId="57">
    <w:abstractNumId w:val="60"/>
  </w:num>
  <w:num w:numId="58">
    <w:abstractNumId w:val="61"/>
  </w:num>
  <w:num w:numId="59">
    <w:abstractNumId w:val="62"/>
  </w:num>
  <w:num w:numId="60">
    <w:abstractNumId w:val="38"/>
  </w:num>
  <w:num w:numId="61">
    <w:abstractNumId w:val="16"/>
  </w:num>
  <w:num w:numId="62">
    <w:abstractNumId w:val="49"/>
  </w:num>
  <w:num w:numId="63">
    <w:abstractNumId w:val="50"/>
  </w:num>
  <w:num w:numId="64">
    <w:abstractNumId w:val="51"/>
  </w:num>
  <w:num w:numId="65">
    <w:abstractNumId w:val="52"/>
  </w:num>
  <w:num w:numId="66">
    <w:abstractNumId w:val="53"/>
  </w:num>
  <w:num w:numId="67">
    <w:abstractNumId w:val="54"/>
  </w:num>
  <w:num w:numId="68">
    <w:abstractNumId w:val="63"/>
  </w:num>
  <w:num w:numId="69">
    <w:abstractNumId w:val="64"/>
  </w:num>
  <w:num w:numId="70">
    <w:abstractNumId w:val="15"/>
  </w:num>
  <w:num w:numId="71">
    <w:abstractNumId w:val="65"/>
  </w:num>
  <w:num w:numId="72">
    <w:abstractNumId w:val="66"/>
  </w:num>
  <w:num w:numId="73">
    <w:abstractNumId w:val="67"/>
  </w:num>
  <w:num w:numId="74">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7BE29C7"/>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BB08DA"/>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7DD240"/>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7F23197"/>
    <w:rsid w:val="394B6E53"/>
    <w:rsid w:val="3B1C12F3"/>
    <w:rsid w:val="3BD53B5C"/>
    <w:rsid w:val="3CC57F13"/>
    <w:rsid w:val="3D4C282D"/>
    <w:rsid w:val="3D970F4E"/>
    <w:rsid w:val="3DE106C6"/>
    <w:rsid w:val="3E540971"/>
    <w:rsid w:val="3E786275"/>
    <w:rsid w:val="3E931F0D"/>
    <w:rsid w:val="3F7E2660"/>
    <w:rsid w:val="3FA31FDD"/>
    <w:rsid w:val="3FBF6D08"/>
    <w:rsid w:val="3FED5371"/>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5FFB426B"/>
    <w:rsid w:val="5FFFB2B7"/>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B5A206"/>
    <w:rsid w:val="6DFE35A5"/>
    <w:rsid w:val="6E9C369D"/>
    <w:rsid w:val="6EF41B11"/>
    <w:rsid w:val="6EF79B63"/>
    <w:rsid w:val="6FF79273"/>
    <w:rsid w:val="702573F3"/>
    <w:rsid w:val="70B57531"/>
    <w:rsid w:val="70FA499F"/>
    <w:rsid w:val="730C182D"/>
    <w:rsid w:val="7377A39E"/>
    <w:rsid w:val="73F5BB6D"/>
    <w:rsid w:val="73FC9A3F"/>
    <w:rsid w:val="751974A1"/>
    <w:rsid w:val="758B30E4"/>
    <w:rsid w:val="75F42331"/>
    <w:rsid w:val="761F7C3C"/>
    <w:rsid w:val="76683D2A"/>
    <w:rsid w:val="76C62D9E"/>
    <w:rsid w:val="76DF52A4"/>
    <w:rsid w:val="77FA47C2"/>
    <w:rsid w:val="78244617"/>
    <w:rsid w:val="7A923507"/>
    <w:rsid w:val="7AAFF850"/>
    <w:rsid w:val="7ACB640D"/>
    <w:rsid w:val="7BFF1A29"/>
    <w:rsid w:val="7C044D89"/>
    <w:rsid w:val="7C63442B"/>
    <w:rsid w:val="7D3AA22F"/>
    <w:rsid w:val="7D9F2F3F"/>
    <w:rsid w:val="7DC783FB"/>
    <w:rsid w:val="7DE35ECA"/>
    <w:rsid w:val="7DF186E2"/>
    <w:rsid w:val="7E1A0C5A"/>
    <w:rsid w:val="7E3212D3"/>
    <w:rsid w:val="7E4673EF"/>
    <w:rsid w:val="7E7F7BE9"/>
    <w:rsid w:val="7EFFF434"/>
    <w:rsid w:val="7F5F887D"/>
    <w:rsid w:val="7F9FC635"/>
    <w:rsid w:val="7FCC7D05"/>
    <w:rsid w:val="7FEF42B8"/>
    <w:rsid w:val="7FEFE414"/>
    <w:rsid w:val="7FF2B36D"/>
    <w:rsid w:val="7FF39E9A"/>
    <w:rsid w:val="7FFB28EC"/>
    <w:rsid w:val="7FFF0685"/>
    <w:rsid w:val="84392690"/>
    <w:rsid w:val="9FD01BC3"/>
    <w:rsid w:val="9FDF7357"/>
    <w:rsid w:val="B3FE25BF"/>
    <w:rsid w:val="BE6E0F8F"/>
    <w:rsid w:val="C679D4D5"/>
    <w:rsid w:val="C7EFAC2C"/>
    <w:rsid w:val="CFBD1285"/>
    <w:rsid w:val="D3FFF2E3"/>
    <w:rsid w:val="D4B948F0"/>
    <w:rsid w:val="D76FBC03"/>
    <w:rsid w:val="D7BE90C3"/>
    <w:rsid w:val="DFFBF81E"/>
    <w:rsid w:val="E2F2C526"/>
    <w:rsid w:val="E4FFD666"/>
    <w:rsid w:val="E5D7501E"/>
    <w:rsid w:val="E7F7B356"/>
    <w:rsid w:val="E9F39395"/>
    <w:rsid w:val="E9FFA600"/>
    <w:rsid w:val="EBF5BECB"/>
    <w:rsid w:val="ED6EA22C"/>
    <w:rsid w:val="F3F331A4"/>
    <w:rsid w:val="F3FF81F7"/>
    <w:rsid w:val="F5DBF1C3"/>
    <w:rsid w:val="F5E5AD98"/>
    <w:rsid w:val="F6D74091"/>
    <w:rsid w:val="F7EF100D"/>
    <w:rsid w:val="F7FE62B6"/>
    <w:rsid w:val="F8ADBDD7"/>
    <w:rsid w:val="FA543BA3"/>
    <w:rsid w:val="FD7F9463"/>
    <w:rsid w:val="FDFD4F0C"/>
    <w:rsid w:val="FEAED78B"/>
    <w:rsid w:val="FF3E6B15"/>
    <w:rsid w:val="FF5D960F"/>
    <w:rsid w:val="FF7C7432"/>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62</Pages>
  <Words>40485</Words>
  <Characters>43745</Characters>
  <Lines>1</Lines>
  <Paragraphs>1</Paragraphs>
  <TotalTime>1</TotalTime>
  <ScaleCrop>false</ScaleCrop>
  <LinksUpToDate>false</LinksUpToDate>
  <CharactersWithSpaces>44276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2014-11-07T12:08:00Z</dcterms:created>
  <dc:creator>Administrator</dc:creator>
  <cp:lastModifiedBy>hccb</cp:lastModifiedBy>
  <dcterms:modified xsi:type="dcterms:W3CDTF">2026-08-20T06:30:41Z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2C5DB8151322CCF39215846AD0A367E2_43</vt:lpwstr>
  </property>
  <property fmtid="{D5CDD505-2E9C-101B-9397-08002B2CF9AE}" pid="3" name="KSOProductBuildVer">
    <vt:lpwstr>2052-11.8.2.8411</vt:lpwstr>
  </property>
</Properties>
</file>