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ody>
    <w:p>
      <w:pPr>
        <w:widowControl/>
        <w:shd w:val="clear" w:color="auto" w:fill="FFFFFF"/>
        <w:spacing w:after="225" w:line="360" w:lineRule="atLeast"/>
        <w:jc w:val="center"/>
        <w:rPr>
          <w:rFonts w:asciiTheme="minorEastAsia" w:hAnsiTheme="minorEastAsia" w:cstheme="minorEastAsia" w:hint="eastAsia"/>
          <w:b/>
          <w:bCs/>
          <w:color w:val="004EA2"/>
          <w:kern w:val="0"/>
          <w:sz w:val="28"/>
          <w:szCs w:val="28"/>
        </w:rPr>
      </w:pPr>
      <w:r>
        <w:rPr>
          <w:rFonts w:asciiTheme="minorEastAsia" w:hAnsiTheme="minorEastAsia" w:cstheme="minorEastAsia" w:hint="eastAsia"/>
          <w:b/>
          <w:bCs/>
          <w:color w:val="004EA2"/>
          <w:kern w:val="0"/>
          <w:sz w:val="40"/>
          <w:szCs w:val="40"/>
        </w:rPr>
        <w:t>理财产品到期公告</w:t>
      </w:r>
    </w:p>
    <w:p>
      <w:pPr>
        <w:keepNext w:val="0"/>
        <w:keepLines w:val="0"/>
        <w:pageBreakBefore w:val="0"/>
        <w:widowControl/>
        <w:shd w:val="clear" w:color="auto" w:fill="FFFFFF"/>
        <w:kinsoku/>
        <w:wordWrap/>
        <w:overflowPunct/>
        <w:topLinePunct w:val="0"/>
        <w:autoSpaceDE/>
        <w:autoSpaceDN/>
        <w:bidi w:val="0"/>
        <w:adjustRightInd/>
        <w:snapToGrid/>
        <w:spacing w:after="0" w:line="837" w:lineRule="atLeast"/>
        <w:jc w:val="center"/>
        <w:textAlignment w:val="auto"/>
        <w:outlineLvl w:val="1"/>
        <w:rPr>
          <w:rFonts w:asciiTheme="majorEastAsia" w:eastAsiaTheme="majorEastAsia" w:hAnsiTheme="majorEastAsia" w:cs="宋体" w:hint="eastAsia"/>
          <w:b/>
          <w:bCs/>
          <w:kern w:val="0"/>
          <w:sz w:val="28"/>
          <w:szCs w:val="28"/>
        </w:rPr>
      </w:pPr>
      <w:r>
        <w:rPr>
          <w:rFonts w:asciiTheme="majorEastAsia" w:eastAsiaTheme="majorEastAsia" w:hAnsiTheme="majorEastAsia" w:cs="宋体" w:hint="eastAsia"/>
          <w:b/>
          <w:bCs/>
          <w:color w:val="004EA2"/>
          <w:kern w:val="0"/>
          <w:sz w:val="28"/>
          <w:szCs w:val="28"/>
        </w:rPr>
        <w:t>幸福99丰裕固收（稳利低波颐养款）386天25163期理财</w:t>
      </w:r>
      <w:r>
        <w:rPr>
          <w:b/>
          <w:color w:val="004EA2"/>
          <w:sz w:val="28"/>
        </w:rPr>
        <w:t>到期公告</w:t>
      </w:r>
    </w:p>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heme="minorEastAsia" w:hAnsiTheme="minorEastAsia" w:cstheme="minorEastAsia" w:hint="eastAsia"/>
          <w:sz w:val="28"/>
          <w:szCs w:val="28"/>
        </w:rPr>
      </w:pPr>
      <w:r>
        <w:rPr>
          <w:rFonts w:asciiTheme="minorEastAsia" w:hAnsiTheme="minorEastAsia" w:cstheme="minorEastAsia" w:hint="eastAsia"/>
          <w:sz w:val="28"/>
          <w:szCs w:val="28"/>
        </w:rPr>
        <w:t>尊敬的投资者：</w:t>
      </w:r>
    </w:p>
    <w:p>
      <w:pPr>
        <w:keepNext w:val="0"/>
        <w:keepLines w:val="0"/>
        <w:pageBreakBefore w:val="0"/>
        <w:widowControl w:val="0"/>
        <w:kinsoku/>
        <w:wordWrap/>
        <w:overflowPunct/>
        <w:topLinePunct w:val="0"/>
        <w:autoSpaceDE/>
        <w:autoSpaceDN/>
        <w:bidi w:val="0"/>
        <w:adjustRightInd/>
        <w:snapToGrid/>
        <w:spacing w:after="0" w:line="240" w:lineRule="auto"/>
        <w:ind w:firstLine="480"/>
        <w:textAlignment w:val="auto"/>
        <w:rPr>
          <w:rFonts w:asciiTheme="minorEastAsia" w:hAnsiTheme="minorEastAsia" w:cstheme="minorEastAsia" w:hint="eastAsia"/>
          <w:sz w:val="28"/>
          <w:szCs w:val="28"/>
        </w:rPr>
      </w:pPr>
      <w:r>
        <w:rPr>
          <w:rFonts w:asciiTheme="minorEastAsia" w:hAnsiTheme="minorEastAsia" w:cstheme="minorEastAsia" w:hint="eastAsia"/>
          <w:sz w:val="28"/>
          <w:szCs w:val="28"/>
        </w:rPr>
        <w:t>本公司发行的</w:t>
      </w:r>
      <w:r>
        <w:rPr>
          <w:sz w:val="28"/>
        </w:rPr>
        <w:t>幸福99丰裕固收（稳利低波颐养款）386天25163期理财</w:t>
      </w:r>
      <w:r>
        <w:rPr>
          <w:sz w:val="28"/>
        </w:rPr>
        <w:t>产品已到期，现将相关信息公告如下：</w:t>
      </w:r>
    </w:p>
    <w:tbl>
      <w:tblPr>
        <w:tblStyle w:val="TableNormal"/>
        <w:tblW w:w="859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926"/>
        <w:gridCol w:w="1446"/>
        <w:gridCol w:w="1469"/>
        <w:gridCol w:w="1799"/>
        <w:gridCol w:w="1957"/>
      </w:tblGrid>
      <w:tr>
        <w:tblPrEx>
          <w:tblW w:w="859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88"/>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产品名称</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幸福99丰裕固收（稳利低波颐养款）386天25163期理财</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产品代码</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FYG25163</w:t>
            </w:r>
          </w:p>
        </w:tc>
      </w:tr>
      <w:tr>
        <w:tblPrEx>
          <w:tblW w:w="8597" w:type="dxa"/>
          <w:tblInd w:w="0" w:type="dxa"/>
          <w:tblLayout w:type="fixed"/>
          <w:tblCellMar>
            <w:top w:w="0" w:type="dxa"/>
            <w:left w:w="108" w:type="dxa"/>
            <w:bottom w:w="0" w:type="dxa"/>
            <w:right w:w="108" w:type="dxa"/>
          </w:tblCellMar>
        </w:tblPrEx>
        <w:trPr>
          <w:trHeight w:val="740"/>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登记编码</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eastAsia="宋体" w:asciiTheme="minorEastAsia" w:hAnsiTheme="minorEastAsia" w:cstheme="minorEastAsia" w:hint="eastAsia"/>
                <w:sz w:val="24"/>
              </w:rPr>
            </w:pPr>
            <w:r>
              <w:rPr>
                <w:rFonts w:eastAsia="宋体" w:asciiTheme="minorEastAsia" w:hAnsiTheme="minorEastAsia" w:cstheme="minorEastAsia" w:hint="eastAsia"/>
                <w:sz w:val="24"/>
              </w:rPr>
              <w:t>Z7002225000306</w:t>
            </w:r>
          </w:p>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eastAsia="宋体" w:asciiTheme="minorEastAsia" w:hAnsiTheme="minorEastAsia" w:cstheme="minorEastAsia" w:hint="eastAsia"/>
                <w:sz w:val="24"/>
              </w:rPr>
              <w:t>（可在中国理财网 www.chinawealth.com.cn 查询产品信息）</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产品成立日期</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2025年9月2日</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产品到期日期</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2026年9月23日</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存续期限</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386</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募集币种</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eastAsia="宋体" w:asciiTheme="minorEastAsia" w:hAnsiTheme="minorEastAsia" w:cstheme="minorEastAsia" w:hint="eastAsia"/>
                <w:sz w:val="24"/>
              </w:rPr>
              <w:t>人民币</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restart"/>
            <w:vAlign w:val="center"/>
          </w:tcPr>
          <w:p>
            <w:pPr>
              <w:keepNext w:val="0"/>
              <w:keepLines w:val="0"/>
              <w:pageBreakBefore w:val="0"/>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收益分配情况</w:t>
            </w: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产品到期日份额净值</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1.0225</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产品到期日份额累计净值</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1.0225</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restart"/>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主要收费情况</w:t>
            </w: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固定管理费总额</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eastAsia="宋体" w:asciiTheme="minorEastAsia" w:hAnsiTheme="minorEastAsia" w:cstheme="minorEastAsia" w:hint="eastAsia"/>
                <w:sz w:val="24"/>
                <w:szCs w:val="22"/>
              </w:rPr>
              <w:t>38,239.23</w:t>
            </w:r>
            <w:r>
              <w:rPr>
                <w:sz w:val="24"/>
              </w:rPr>
              <w:t>元</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浮动管理费总额</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eastAsia="宋体" w:asciiTheme="minorEastAsia" w:hAnsiTheme="minorEastAsia" w:cstheme="minorEastAsia" w:hint="eastAsia"/>
                <w:sz w:val="24"/>
                <w:szCs w:val="22"/>
              </w:rPr>
              <w:t>209,265.48</w:t>
            </w:r>
            <w:r>
              <w:rPr>
                <w:sz w:val="24"/>
              </w:rPr>
              <w:t>元</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托管费总额</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eastAsia="宋体" w:asciiTheme="minorEastAsia" w:hAnsiTheme="minorEastAsia" w:cstheme="minorEastAsia" w:hint="eastAsia"/>
                <w:sz w:val="24"/>
                <w:szCs w:val="22"/>
              </w:rPr>
              <w:t>19,119.55</w:t>
            </w:r>
            <w:r>
              <w:rPr>
                <w:sz w:val="24"/>
              </w:rPr>
              <w:t>元</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销售服务费总额</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eastAsia="宋体" w:asciiTheme="minorEastAsia" w:hAnsiTheme="minorEastAsia" w:cstheme="minorEastAsia" w:hint="eastAsia"/>
                <w:sz w:val="24"/>
                <w:szCs w:val="22"/>
              </w:rPr>
              <w:t>148,433.82</w:t>
            </w:r>
            <w:r>
              <w:rPr>
                <w:sz w:val="24"/>
              </w:rPr>
              <w:t>元</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信息技术服务费</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eastAsia="宋体" w:asciiTheme="minorEastAsia" w:hAnsiTheme="minorEastAsia" w:cstheme="minorEastAsia" w:hint="eastAsia"/>
                <w:sz w:val="24"/>
                <w:szCs w:val="22"/>
              </w:rPr>
              <w:t>0.00</w:t>
            </w:r>
            <w:r>
              <w:rPr>
                <w:sz w:val="24"/>
              </w:rPr>
              <w:t>元</w:t>
            </w:r>
          </w:p>
        </w:tc>
      </w:tr>
      <w:tr>
        <w:tblPrEx>
          <w:tblW w:w="8601" w:type="dxa"/>
          <w:tblInd w:w="0" w:type="dxa"/>
          <w:tblLayout w:type="fixed"/>
          <w:tblCellMar>
            <w:top w:w="0" w:type="dxa"/>
            <w:left w:w="108" w:type="dxa"/>
            <w:bottom w:w="0" w:type="dxa"/>
            <w:right w:w="108" w:type="dxa"/>
          </w:tblCellMar>
        </w:tblPrEx>
        <w:trPr>
          <w:trHeight w:val="879"/>
        </w:trPr>
        <w:tc>
          <w:tcPr>
            <w:tcW w:w="1926"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份额代码</w:t>
            </w:r>
          </w:p>
        </w:tc>
        <w:tc>
          <w:tcPr>
            <w:tcW w:w="144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到期日份额净值</w:t>
            </w:r>
          </w:p>
        </w:tc>
        <w:tc>
          <w:tcPr>
            <w:tcW w:w="147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到期日份额累计净值</w:t>
            </w:r>
          </w:p>
        </w:tc>
        <w:tc>
          <w:tcPr>
            <w:tcW w:w="180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default"/>
                <w:color w:val="000000"/>
                <w:sz w:val="24"/>
                <w:lang w:val="en-US"/>
              </w:rPr>
            </w:pPr>
            <w:r>
              <w:rPr>
                <w:rFonts w:asciiTheme="minorEastAsia" w:hAnsiTheme="minorEastAsia" w:cstheme="minorEastAsia" w:hint="eastAsia"/>
                <w:color w:val="000000"/>
                <w:kern w:val="0"/>
                <w:sz w:val="24"/>
                <w:lang w:val="en-US" w:eastAsia="zh-CN" w:bidi="ar"/>
              </w:rPr>
              <w:t>业绩比较基准</w:t>
            </w:r>
          </w:p>
        </w:tc>
        <w:tc>
          <w:tcPr>
            <w:tcW w:w="195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折合年化收益率</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FYG25163A</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1.0214</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1.0214</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1.95%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2.0235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FYG25163B</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1.0225</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1.0225</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2.05%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2.1275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FYG25163C</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1.0235</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1.0235</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2.15%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2.2221</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FYG25163D</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1.0230</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1.0230</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2.10%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2.1748</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FYG25163E</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1.0225</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1.0225</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2.05%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2.1275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FYG25163G</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1.0203</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1.0203</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1.85%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1.9195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FYG25163W</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1.0214</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1.0214</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1.95%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2.0235</w:t>
            </w:r>
            <w:r>
              <w:rPr>
                <w:rFonts w:asciiTheme="minorEastAsia" w:eastAsiaTheme="minorEastAsia" w:hAnsiTheme="minorEastAsia" w:cstheme="minorEastAsia" w:hint="eastAsia"/>
                <w:color w:val="000000"/>
                <w:kern w:val="0"/>
                <w:sz w:val="24"/>
                <w:szCs w:val="24"/>
                <w:lang w:val="en-US" w:eastAsia="zh-CN" w:bidi="ar"/>
              </w:rPr>
              <w:t>%</w:t>
            </w:r>
          </w:p>
        </w:tc>
      </w:tr>
    </w:tbl>
    <w:p>
      <w:pPr>
        <w:pStyle w:val="a"/>
        <w:keepNext w:val="0"/>
        <w:keepLines w:val="0"/>
        <w:pageBreakBefore w:val="0"/>
        <w:widowControl w:val="0"/>
        <w:numPr>
          <w:ilvl w:val="0"/>
          <w:numId w:val="0"/>
        </w:numPr>
        <w:tabs>
          <w:tab w:val="left" w:pos="-2694"/>
        </w:tabs>
        <w:kinsoku/>
        <w:wordWrap/>
        <w:overflowPunct/>
        <w:topLinePunct w:val="0"/>
        <w:autoSpaceDE/>
        <w:autoSpaceDN/>
        <w:bidi w:val="0"/>
        <w:adjustRightInd/>
        <w:snapToGrid/>
        <w:spacing w:after="0" w:line="120" w:lineRule="auto"/>
        <w:jc w:val="left"/>
        <w:textAlignment w:val="auto"/>
        <w:rPr>
          <w:rFonts w:asciiTheme="minorEastAsia" w:hAnsiTheme="minorEastAsia" w:cstheme="minorEastAsia" w:hint="eastAsia"/>
          <w:sz w:val="24"/>
        </w:rPr>
      </w:pPr>
      <w:r>
        <w:rPr>
          <w:rFonts w:asciiTheme="minorEastAsia" w:hAnsiTheme="minorEastAsia" w:cstheme="minorEastAsia" w:hint="eastAsia"/>
          <w:sz w:val="24"/>
        </w:rPr>
        <w:t>注：</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1.本到期公告披露的相关净值数据已由理财产品托管人复核。</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2.根据产品说明书，因理财产品发行对象不同，或有不同的份额及份额代码，不同份额之间可能存在销售服务费收费条件、收费标准和收费方式等的不同，以及因计算过程产生尾差等原因，均可能导致各份额单位净值、单位累计净值不完全一致。</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3.理财计划财产在管理、运用、处分过程中产生的税费（包括但不限于增值税及相应的附加税费等），由理财计划财产承担；产品管理人对该等税费无垫付义务。前述税费（包括但不限于增值税及相应附加税费）的计算、提取及缴纳，由产品管理人按照应税行为发生时有效的相关法律法规的规定执行。支付给客户的理财收益的应纳税款由客户自行申报及缴纳。</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4.本理财产品终止日起，清算过程中各项清结算金额与实际结算金额的尾差由管理人承担。</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5.托管费：原则上按日计提，逐日累计至到期日从理财计划财产中扣除。</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6.固定管理费：原则上按日计提，逐日累计至到期日从理财计划财产中扣除。</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eastAsiaTheme="minorEastAsia" w:hAnsiTheme="minorEastAsia" w:cstheme="minorEastAsia" w:hint="default"/>
          <w:sz w:val="24"/>
          <w:lang w:val="en-US" w:eastAsia="zh-CN"/>
        </w:rPr>
      </w:pPr>
      <w:r>
        <w:rPr>
          <w:rFonts w:asciiTheme="minorEastAsia" w:hAnsiTheme="minorEastAsia" w:cstheme="minorEastAsia" w:hint="eastAsia"/>
          <w:sz w:val="24"/>
        </w:rPr>
        <w:t>7.</w:t>
      </w:r>
      <w:r>
        <w:rPr>
          <w:rFonts w:asciiTheme="minorEastAsia" w:hAnsiTheme="minorEastAsia" w:cstheme="minorEastAsia" w:hint="eastAsia"/>
          <w:sz w:val="24"/>
          <w:lang w:val="en-US" w:eastAsia="zh-CN"/>
        </w:rPr>
        <w:t>信息技术服务费：原则上按日计提，每季度从理财计划财产中扣除。</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8.各期理财产品详细信息可根据产品登记编码登录中国理财网进行查询。</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8"/>
        </w:rPr>
      </w:pPr>
    </w:p>
    <w:p>
      <w:pPr>
        <w:keepNext w:val="0"/>
        <w:keepLines w:val="0"/>
        <w:pageBreakBefore w:val="0"/>
        <w:widowControl w:val="0"/>
        <w:kinsoku/>
        <w:wordWrap/>
        <w:overflowPunct/>
        <w:topLinePunct w:val="0"/>
        <w:autoSpaceDE/>
        <w:autoSpaceDN/>
        <w:bidi w:val="0"/>
        <w:adjustRightInd/>
        <w:snapToGrid/>
        <w:spacing w:after="0" w:line="240" w:lineRule="auto"/>
        <w:ind w:firstLine="560" w:firstLineChars="200"/>
        <w:textAlignment w:val="auto"/>
        <w:rPr>
          <w:rFonts w:asciiTheme="minorEastAsia" w:hAnsiTheme="minorEastAsia" w:cstheme="minorEastAsia" w:hint="eastAsia"/>
          <w:sz w:val="28"/>
        </w:rPr>
      </w:pPr>
      <w:r>
        <w:rPr>
          <w:rFonts w:asciiTheme="minorEastAsia" w:hAnsiTheme="minorEastAsia" w:cstheme="minorEastAsia" w:hint="eastAsia"/>
          <w:sz w:val="28"/>
        </w:rPr>
        <w:t>特此公告。</w:t>
      </w:r>
    </w:p>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heme="minorEastAsia" w:hAnsiTheme="minorEastAsia" w:cstheme="minorEastAsia" w:hint="eastAsia"/>
          <w:sz w:val="24"/>
        </w:rPr>
      </w:pPr>
    </w:p>
    <w:p>
      <w:pPr>
        <w:keepNext w:val="0"/>
        <w:keepLines w:val="0"/>
        <w:pageBreakBefore w:val="0"/>
        <w:widowControl w:val="0"/>
        <w:kinsoku/>
        <w:wordWrap/>
        <w:overflowPunct/>
        <w:topLinePunct w:val="0"/>
        <w:autoSpaceDE/>
        <w:autoSpaceDN/>
        <w:bidi w:val="0"/>
        <w:adjustRightInd/>
        <w:snapToGrid/>
        <w:spacing w:after="0" w:line="240" w:lineRule="auto"/>
        <w:ind w:left="360"/>
        <w:jc w:val="right"/>
        <w:textAlignment w:val="auto"/>
        <w:rPr>
          <w:rFonts w:ascii="仿宋_GB2312" w:eastAsia="仿宋_GB2312" w:hAnsi="仿宋_GB2312" w:cs="仿宋_GB2312" w:hint="eastAsia"/>
          <w:sz w:val="24"/>
        </w:rPr>
      </w:pPr>
    </w:p>
    <w:p>
      <w:pPr>
        <w:keepNext w:val="0"/>
        <w:keepLines w:val="0"/>
        <w:pageBreakBefore w:val="0"/>
        <w:widowControl w:val="0"/>
        <w:kinsoku/>
        <w:wordWrap/>
        <w:overflowPunct/>
        <w:topLinePunct w:val="0"/>
        <w:autoSpaceDE/>
        <w:autoSpaceDN/>
        <w:bidi w:val="0"/>
        <w:adjustRightInd/>
        <w:snapToGrid/>
        <w:spacing w:after="0" w:line="240" w:lineRule="auto"/>
        <w:ind w:left="360"/>
        <w:jc w:val="right"/>
        <w:textAlignment w:val="auto"/>
        <w:rPr>
          <w:rFonts w:ascii="仿宋_GB2312" w:eastAsia="仿宋_GB2312" w:hAnsi="仿宋_GB2312" w:cs="仿宋_GB2312" w:hint="eastAsia"/>
          <w:sz w:val="28"/>
          <w:szCs w:val="28"/>
        </w:rPr>
      </w:pPr>
    </w:p>
    <w:p>
      <w:pPr>
        <w:keepNext w:val="0"/>
        <w:keepLines w:val="0"/>
        <w:pageBreakBefore w:val="0"/>
        <w:widowControl w:val="0"/>
        <w:kinsoku/>
        <w:wordWrap/>
        <w:overflowPunct/>
        <w:topLinePunct w:val="0"/>
        <w:autoSpaceDE/>
        <w:autoSpaceDN/>
        <w:bidi w:val="0"/>
        <w:adjustRightInd/>
        <w:snapToGrid/>
        <w:spacing w:after="0" w:line="240" w:lineRule="auto"/>
        <w:ind w:left="360"/>
        <w:jc w:val="right"/>
        <w:textAlignment w:val="auto"/>
        <w:rPr>
          <w:rFonts w:asciiTheme="minorEastAsia" w:hAnsiTheme="minorEastAsia" w:cstheme="minorEastAsia" w:hint="eastAsia"/>
          <w:sz w:val="28"/>
          <w:szCs w:val="28"/>
        </w:rPr>
      </w:pPr>
      <w:r>
        <w:rPr>
          <w:rFonts w:asciiTheme="minorEastAsia" w:hAnsiTheme="minorEastAsia" w:cstheme="minorEastAsia" w:hint="eastAsia"/>
          <w:sz w:val="28"/>
          <w:szCs w:val="28"/>
        </w:rPr>
        <w:t>杭银理财有限责任公司</w:t>
      </w:r>
    </w:p>
    <w:p>
      <w:pPr>
        <w:keepNext w:val="0"/>
        <w:keepLines w:val="0"/>
        <w:pageBreakBefore w:val="0"/>
        <w:widowControl w:val="0"/>
        <w:kinsoku/>
        <w:wordWrap/>
        <w:overflowPunct/>
        <w:topLinePunct w:val="0"/>
        <w:autoSpaceDE/>
        <w:autoSpaceDN/>
        <w:bidi w:val="0"/>
        <w:adjustRightInd/>
        <w:snapToGrid/>
        <w:spacing w:after="0" w:line="240" w:lineRule="auto"/>
        <w:jc w:val="right"/>
        <w:textAlignment w:val="auto"/>
        <w:rPr>
          <w:rFonts w:asciiTheme="minorEastAsia" w:hAnsiTheme="minorEastAsia" w:cstheme="minorEastAsia" w:hint="eastAsia"/>
          <w:sz w:val="28"/>
          <w:szCs w:val="28"/>
        </w:rPr>
      </w:pPr>
      <w:r>
        <w:rPr>
          <w:rFonts w:asciiTheme="minorEastAsia" w:hAnsiTheme="minorEastAsia" w:cstheme="minorEastAsia" w:hint="eastAsia"/>
          <w:sz w:val="28"/>
          <w:szCs w:val="28"/>
        </w:rPr>
        <w:t>2026年9月24日</w:t>
      </w:r>
    </w:p>
    <w:sectPr>
      <w:headerReference w:type="default" r:id="rId5"/>
      <w:pgSz w:w="11906" w:h="16838"/>
      <w:pgMar w:top="2551" w:right="1803" w:bottom="2551" w:left="1803" w:header="851" w:footer="992" w:gutter="0"/>
      <w:cols w:num="1" w:space="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7543800" cy="10671810"/>
          <wp:effectExtent l="0" t="0" r="0" b="15240"/>
          <wp:wrapNone/>
          <wp:docPr id="5" name="WordPictureWatermark140627" descr="微信图片_20220817144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40627" descr="微信图片_20220817144322"/>
                  <pic:cNvPicPr>
                    <a:picLocks noChangeAspect="1"/>
                  </pic:cNvPicPr>
                </pic:nvPicPr>
                <pic:blipFill>
                  <a:blip xmlns:r="http://schemas.openxmlformats.org/officeDocument/2006/relationships" r:embed="rId1"/>
                  <a:stretch>
                    <a:fillRect/>
                  </a:stretch>
                </pic:blipFill>
                <pic:spPr>
                  <a:xfrm>
                    <a:off x="0" y="0"/>
                    <a:ext cx="7543800" cy="1067181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DCADC43"/>
    <w:multiLevelType w:val="multilevel"/>
    <w:tmpl w:val="7DCADC43"/>
    <w:lvl w:ilvl="0">
      <w:start w:val="1"/>
      <w:numFmt w:val="chineseCounting"/>
      <w:pStyle w:val="a"/>
      <w:suff w:val="space"/>
      <w:lvlText w:val="第%1条"/>
      <w:lvlJc w:val="left"/>
      <w:pPr>
        <w:tabs>
          <w:tab w:val="left" w:pos="420"/>
        </w:tabs>
        <w:ind w:left="3114" w:hanging="420"/>
      </w:pPr>
      <w:rPr>
        <w:rFonts w:ascii="仿宋_GB2312" w:eastAsia="仿宋_GB2312" w:hAnsi="仿宋_GB2312" w:hint="eastAsia"/>
        <w:b/>
        <w:sz w:val="32"/>
        <w:szCs w:val="32"/>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embedSystemFonts/>
  <w:bordersDoNotSurroundHeader/>
  <w:bordersDoNotSurroundFooter/>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87052B"/>
    <w:rsid w:val="001E34DE"/>
    <w:rsid w:val="00200A72"/>
    <w:rsid w:val="002469CB"/>
    <w:rsid w:val="002B4BBF"/>
    <w:rsid w:val="003841A4"/>
    <w:rsid w:val="00412E97"/>
    <w:rsid w:val="005200AA"/>
    <w:rsid w:val="0053159C"/>
    <w:rsid w:val="00573563"/>
    <w:rsid w:val="00592C06"/>
    <w:rsid w:val="005E397D"/>
    <w:rsid w:val="00603D57"/>
    <w:rsid w:val="00632F14"/>
    <w:rsid w:val="006D7051"/>
    <w:rsid w:val="0073172D"/>
    <w:rsid w:val="00735747"/>
    <w:rsid w:val="00750505"/>
    <w:rsid w:val="007809D7"/>
    <w:rsid w:val="007A3E72"/>
    <w:rsid w:val="007B0559"/>
    <w:rsid w:val="00860348"/>
    <w:rsid w:val="00863721"/>
    <w:rsid w:val="008C68DB"/>
    <w:rsid w:val="008D2DFF"/>
    <w:rsid w:val="008F2835"/>
    <w:rsid w:val="009D66D1"/>
    <w:rsid w:val="00A00B94"/>
    <w:rsid w:val="00AC2AB6"/>
    <w:rsid w:val="00AC3F90"/>
    <w:rsid w:val="00B11AE6"/>
    <w:rsid w:val="00B21744"/>
    <w:rsid w:val="00BB5D37"/>
    <w:rsid w:val="00C10907"/>
    <w:rsid w:val="00C47DF8"/>
    <w:rsid w:val="00C87BF7"/>
    <w:rsid w:val="00D00D6A"/>
    <w:rsid w:val="00D259A1"/>
    <w:rsid w:val="00E846FF"/>
    <w:rsid w:val="00F965A1"/>
    <w:rsid w:val="00FA50AB"/>
    <w:rsid w:val="031040D2"/>
    <w:rsid w:val="046A679B"/>
    <w:rsid w:val="050F5184"/>
    <w:rsid w:val="0AB0656E"/>
    <w:rsid w:val="0C745E65"/>
    <w:rsid w:val="0CB459D4"/>
    <w:rsid w:val="0E6326C2"/>
    <w:rsid w:val="10435D82"/>
    <w:rsid w:val="10D07EDC"/>
    <w:rsid w:val="12297112"/>
    <w:rsid w:val="14B55489"/>
    <w:rsid w:val="151D7E14"/>
    <w:rsid w:val="178607BF"/>
    <w:rsid w:val="18462C74"/>
    <w:rsid w:val="190B63BC"/>
    <w:rsid w:val="1F0A0FE5"/>
    <w:rsid w:val="1F48553E"/>
    <w:rsid w:val="1FDC0923"/>
    <w:rsid w:val="20C27D8C"/>
    <w:rsid w:val="21F964F5"/>
    <w:rsid w:val="22984131"/>
    <w:rsid w:val="255822AB"/>
    <w:rsid w:val="28362D7D"/>
    <w:rsid w:val="288806AF"/>
    <w:rsid w:val="29116F14"/>
    <w:rsid w:val="2AB67C98"/>
    <w:rsid w:val="2D8542FF"/>
    <w:rsid w:val="3286081F"/>
    <w:rsid w:val="33D42F95"/>
    <w:rsid w:val="3529150B"/>
    <w:rsid w:val="35AE4436"/>
    <w:rsid w:val="39196DF2"/>
    <w:rsid w:val="3A5B7ED6"/>
    <w:rsid w:val="3BF50A6E"/>
    <w:rsid w:val="3C231661"/>
    <w:rsid w:val="3D001825"/>
    <w:rsid w:val="3E174A3C"/>
    <w:rsid w:val="3EAB6BEB"/>
    <w:rsid w:val="3ED86525"/>
    <w:rsid w:val="3F1275A9"/>
    <w:rsid w:val="3F221A4C"/>
    <w:rsid w:val="3FC04F0B"/>
    <w:rsid w:val="4045484E"/>
    <w:rsid w:val="42594A46"/>
    <w:rsid w:val="447B660D"/>
    <w:rsid w:val="462266D9"/>
    <w:rsid w:val="47605650"/>
    <w:rsid w:val="489D3BEC"/>
    <w:rsid w:val="4C037761"/>
    <w:rsid w:val="4C4A04BD"/>
    <w:rsid w:val="500B29EB"/>
    <w:rsid w:val="50B7489E"/>
    <w:rsid w:val="50DC0E7A"/>
    <w:rsid w:val="548E4345"/>
    <w:rsid w:val="54F6702C"/>
    <w:rsid w:val="5895744F"/>
    <w:rsid w:val="595715BE"/>
    <w:rsid w:val="5A7F5A78"/>
    <w:rsid w:val="5AB40990"/>
    <w:rsid w:val="5BE35356"/>
    <w:rsid w:val="5CE40C9B"/>
    <w:rsid w:val="5E8A1A31"/>
    <w:rsid w:val="5FBC45EF"/>
    <w:rsid w:val="600F7924"/>
    <w:rsid w:val="612B75BF"/>
    <w:rsid w:val="642664E4"/>
    <w:rsid w:val="650B0861"/>
    <w:rsid w:val="661D745C"/>
    <w:rsid w:val="6659648A"/>
    <w:rsid w:val="6687052B"/>
    <w:rsid w:val="670F12E2"/>
    <w:rsid w:val="683B78CE"/>
    <w:rsid w:val="6B6670CE"/>
    <w:rsid w:val="6C7E45F0"/>
    <w:rsid w:val="6D5B6E8B"/>
    <w:rsid w:val="6D623B7E"/>
    <w:rsid w:val="6E683E61"/>
    <w:rsid w:val="710019DD"/>
    <w:rsid w:val="71A11F5E"/>
    <w:rsid w:val="71B3167E"/>
    <w:rsid w:val="729B61A8"/>
    <w:rsid w:val="752B7242"/>
    <w:rsid w:val="78026722"/>
    <w:rsid w:val="79337090"/>
    <w:rsid w:val="7AD376CD"/>
    <w:rsid w:val="7D2C199A"/>
    <w:rsid w:val="7EA037DA"/>
    <w:rsid w:val="7EF7C949"/>
    <w:rsid w:val="7F2940C4"/>
  </w:rsids>
  <w:docVars>
    <w:docVar w:name="commondata" w:val="eyJoZGlkIjoiMDZlY2ZiYmExOWJmOTY5NWFmNzQwOWFhNmE0ZjgxMT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160" w:line="278" w:lineRule="auto"/>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line="400" w:lineRule="exact"/>
      <w:jc w:val="center"/>
      <w:outlineLvl w:val="0"/>
    </w:pPr>
    <w:rPr>
      <w:rFonts w:ascii="Times New Roman" w:eastAsia="宋体" w:hAnsi="Times New Roman"/>
      <w:b/>
      <w:kern w:val="44"/>
      <w:sz w:val="24"/>
    </w:rPr>
  </w:style>
  <w:style w:type="paragraph" w:styleId="Heading2">
    <w:name w:val="heading 2"/>
    <w:basedOn w:val="Normal"/>
    <w:next w:val="Normal"/>
    <w:unhideWhenUsed/>
    <w:qFormat/>
    <w:pPr>
      <w:keepNext/>
      <w:keepLines/>
      <w:spacing w:line="400" w:lineRule="exact"/>
      <w:jc w:val="left"/>
      <w:outlineLvl w:val="1"/>
    </w:pPr>
    <w:rPr>
      <w:rFonts w:ascii="Arial" w:eastAsia="宋体" w:hAnsi="Arial"/>
      <w:b/>
    </w:rPr>
  </w:style>
  <w:style w:type="paragraph" w:styleId="Heading3">
    <w:name w:val="heading 3"/>
    <w:basedOn w:val="Normal"/>
    <w:next w:val="Normal"/>
    <w:unhideWhenUsed/>
    <w:qFormat/>
    <w:pPr>
      <w:keepNext/>
      <w:keepLines/>
      <w:spacing w:line="400" w:lineRule="exact"/>
      <w:jc w:val="left"/>
      <w:outlineLvl w:val="2"/>
    </w:pPr>
    <w:rPr>
      <w:rFonts w:ascii="Times New Roman" w:eastAsia="宋体" w:hAnsi="Times New Roman"/>
      <w:b/>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TableGrid">
    <w:name w:val="Table Grid"/>
    <w:basedOn w:val="TableNormal"/>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条段落"/>
    <w:basedOn w:val="Normal"/>
    <w:qFormat/>
    <w:pPr>
      <w:numPr>
        <w:ilvl w:val="0"/>
        <w:numId w:val="1"/>
      </w:numPr>
      <w:ind w:left="0" w:firstLine="640"/>
    </w:pPr>
    <w:rPr>
      <w:rFonts w:ascii="宋体" w:hAnsi="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190</Words>
  <Characters>1085</Characters>
  <Application>Microsoft Office Word</Application>
  <DocSecurity>0</DocSecurity>
  <Lines>9</Lines>
  <Paragraphs>2</Paragraphs>
  <ScaleCrop>false</ScaleCrop>
  <Company/>
  <LinksUpToDate>false</LinksUpToDate>
  <CharactersWithSpaces>1273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yangbingfei</cp:lastModifiedBy>
  <cp:revision>2</cp:revision>
  <dcterms:created xsi:type="dcterms:W3CDTF">2026-05-27T09:33:00Z</dcterms:created>
  <dcterms:modified xsi:type="dcterms:W3CDTF">2026-09-15T12:59:48Z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156FBEF45315492997A928A82EDAEB25</vt:lpwstr>
  </property>
  <property fmtid="{D5CDD505-2E9C-101B-9397-08002B2CF9AE}" pid="3" name="KSOProductBuildVer">
    <vt:lpwstr>2052-11.8.2.8411</vt:lpwstr>
  </property>
</Properties>
</file>