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drawing>
          <wp:inline distT="0" distB="0" distL="0" distR="0">
            <wp:extent cx="1381125" cy="298450"/>
            <wp:effectExtent l="0" t="0" r="0" b="0"/>
            <wp:docPr id="1158" name="图片 1"/>
            <wp:cNvGraphicFramePr/>
            <a:graphic xmlns:a="http://schemas.openxmlformats.org/drawingml/2006/main">
              <a:graphicData uri="http://schemas.openxmlformats.org/drawingml/2006/picture">
                <pic:pic xmlns:pic="http://schemas.openxmlformats.org/drawingml/2006/picture">
                  <pic:nvPicPr>
                    <pic:cNvPr id="1158" name="图片 1"/>
                    <pic:cNvPicPr>
                      <a:picLocks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412727" cy="305618"/>
                    </a:xfrm>
                    <a:prstGeom prst="rect">
                      <a:avLst/>
                    </a:prstGeom>
                    <a:noFill/>
                    <a:ln>
                      <a:noFill/>
                    </a:ln>
                  </pic:spPr>
                </pic:pic>
              </a:graphicData>
            </a:graphic>
          </wp:inline>
        </w:drawing>
      </w:r>
    </w:p>
    <w:p>
      <w:pPr>
        <w:jc w:val="center"/>
        <w:rPr>
          <w:b/>
          <w:sz w:val="32"/>
          <w:szCs w:val="32"/>
        </w:rPr>
      </w:pPr>
      <w:r>
        <w:rPr>
          <w:rFonts w:hint="eastAsia"/>
          <w:b/>
          <w:sz w:val="32"/>
          <w:szCs w:val="32"/>
        </w:rPr>
        <w:t>天津银行个人人民币理财产品销售协议书</w:t>
      </w:r>
    </w:p>
    <w:tbl>
      <w:tblPr>
        <w:tblStyle w:val="9"/>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rPr>
            </w:pPr>
            <w:r>
              <w:rPr>
                <w:rFonts w:ascii="宋体" w:hAnsi="宋体"/>
                <w:b/>
                <w:szCs w:val="21"/>
              </w:rPr>
              <w:t>1.</w:t>
            </w:r>
            <w:r>
              <w:rPr>
                <w:rFonts w:hint="eastAsia" w:ascii="宋体" w:hAnsi="宋体"/>
                <w:b/>
                <w:szCs w:val="21"/>
              </w:rPr>
              <w:t>银行</w:t>
            </w:r>
            <w:r>
              <w:rPr>
                <w:rFonts w:ascii="宋体" w:hAnsi="宋体"/>
                <w:b/>
                <w:szCs w:val="21"/>
              </w:rPr>
              <w:t>已提请</w:t>
            </w:r>
            <w:r>
              <w:rPr>
                <w:rFonts w:hint="eastAsia" w:ascii="宋体" w:hAnsi="宋体"/>
                <w:b/>
                <w:szCs w:val="21"/>
              </w:rPr>
              <w:t>客户</w:t>
            </w:r>
            <w:r>
              <w:rPr>
                <w:rFonts w:ascii="宋体" w:hAnsi="宋体"/>
                <w:b/>
                <w:szCs w:val="21"/>
              </w:rPr>
              <w:t>注意对本协议各条款，特别是黑体字条款作全面、准确的理解，并作了相应条款的说明。签约</w:t>
            </w:r>
            <w:r>
              <w:rPr>
                <w:rFonts w:hint="eastAsia" w:ascii="宋体" w:hAnsi="宋体"/>
                <w:b/>
                <w:szCs w:val="21"/>
              </w:rPr>
              <w:t>双</w:t>
            </w:r>
            <w:r>
              <w:rPr>
                <w:rFonts w:ascii="宋体" w:hAnsi="宋体"/>
                <w:b/>
                <w:szCs w:val="21"/>
              </w:rPr>
              <w:t>方对本协议的含义认识一致，认同并接受本协议全部条款。</w:t>
            </w:r>
          </w:p>
          <w:p>
            <w:pPr>
              <w:ind w:firstLine="527" w:firstLineChars="250"/>
              <w:rPr>
                <w:rFonts w:ascii="宋体" w:hAnsi="宋体"/>
                <w:b/>
                <w:szCs w:val="21"/>
              </w:rPr>
            </w:pPr>
            <w:r>
              <w:rPr>
                <w:rFonts w:ascii="宋体" w:hAnsi="宋体"/>
                <w:b/>
                <w:szCs w:val="21"/>
              </w:rPr>
              <w:t>2.</w:t>
            </w:r>
            <w:r>
              <w:rPr>
                <w:rFonts w:hint="eastAsia" w:ascii="宋体" w:hAnsi="宋体"/>
                <w:b/>
                <w:szCs w:val="21"/>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rPr>
            </w:pPr>
          </w:p>
          <w:p>
            <w:pPr>
              <w:adjustRightInd w:val="0"/>
              <w:snapToGrid w:val="0"/>
              <w:ind w:firstLine="630" w:firstLineChars="300"/>
              <w:rPr>
                <w:rFonts w:ascii="宋体" w:hAnsi="宋体"/>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2022.1</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IOEj9oAAAAKAQAADwAAAAAA&#10;AAABACAAAAAiAAAAZHJzL2Rvd25yZXYueG1sUEsBAhQAFAAAAAgAh07iQAiYYzPYAQAAmwMAAA4A&#10;AAAAAAAAAQAgAAAAKQEAAGRycy9lMm9Eb2MueG1sUEsFBgAAAAAGAAYAWQEAAHMFAAAAAA==&#10;">
                      <v:fill on="t" focussize="0,0"/>
                      <v:stroke on="f"/>
                      <v:imagedata o:title=""/>
                      <o:lock v:ext="edit" aspectratio="f"/>
                      <v:textbox style="layout-flow:vertical-ideographic;">
                        <w:txbxContent>
                          <w:p>
                            <w:pPr>
                              <w:jc w:val="left"/>
                            </w:pPr>
                            <w:r>
                              <w:rPr>
                                <w:rFonts w:ascii="宋体" w:hAnsi="宋体"/>
                              </w:rPr>
                              <w:t>2022.1</w:t>
                            </w:r>
                            <w:r>
                              <w:rPr>
                                <w:rFonts w:hint="eastAsia"/>
                              </w:rPr>
                              <w:t>版</w:t>
                            </w:r>
                          </w:p>
                        </w:txbxContent>
                      </v:textbox>
                    </v:shape>
                  </w:pict>
                </mc:Fallback>
              </mc:AlternateContent>
            </w:r>
            <w:r>
              <w:rPr>
                <w:rFonts w:ascii="宋体" w:hAnsi="宋体"/>
                <w:szCs w:val="21"/>
              </w:rPr>
              <w:t xml:space="preserve">客户签章               </w:t>
            </w:r>
            <w:r>
              <w:rPr>
                <w:rFonts w:hint="eastAsia" w:ascii="宋体" w:hAnsi="宋体"/>
                <w:szCs w:val="21"/>
              </w:rPr>
              <w:t xml:space="preserve">   </w:t>
            </w:r>
            <w:r>
              <w:rPr>
                <w:rFonts w:ascii="宋体" w:hAnsi="宋体"/>
                <w:szCs w:val="21"/>
              </w:rPr>
              <w:t>银行签章</w:t>
            </w: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r>
              <w:rPr>
                <w:rFonts w:hint="eastAsia" w:ascii="宋体" w:hAnsi="宋体"/>
                <w:szCs w:val="21"/>
              </w:rPr>
              <w:t>客户手机号码：</w:t>
            </w:r>
          </w:p>
          <w:p>
            <w:pPr>
              <w:adjustRightInd w:val="0"/>
              <w:snapToGrid w:val="0"/>
              <w:ind w:firstLine="540" w:firstLineChars="300"/>
              <w:rPr>
                <w:rFonts w:ascii="宋体" w:hAnsi="宋体"/>
                <w:sz w:val="18"/>
                <w:szCs w:val="21"/>
              </w:rPr>
            </w:pPr>
            <w:r>
              <w:rPr>
                <w:rFonts w:hint="eastAsia" w:ascii="宋体" w:hAnsi="宋体"/>
                <w:sz w:val="18"/>
                <w:szCs w:val="21"/>
              </w:rPr>
              <w:t>（</w:t>
            </w:r>
            <w:r>
              <w:rPr>
                <w:rFonts w:ascii="宋体" w:hAnsi="宋体"/>
                <w:sz w:val="18"/>
                <w:szCs w:val="21"/>
              </w:rPr>
              <w:t>如</w:t>
            </w:r>
            <w:r>
              <w:rPr>
                <w:rFonts w:hint="eastAsia" w:ascii="宋体" w:hAnsi="宋体"/>
                <w:sz w:val="18"/>
                <w:szCs w:val="21"/>
              </w:rPr>
              <w:t>手机</w:t>
            </w:r>
            <w:r>
              <w:rPr>
                <w:rFonts w:ascii="宋体" w:hAnsi="宋体"/>
                <w:sz w:val="18"/>
                <w:szCs w:val="21"/>
              </w:rPr>
              <w:t>号码与我行金信通</w:t>
            </w:r>
            <w:r>
              <w:rPr>
                <w:rFonts w:hint="eastAsia" w:ascii="宋体" w:hAnsi="宋体"/>
                <w:sz w:val="18"/>
                <w:szCs w:val="21"/>
              </w:rPr>
              <w:t>业务</w:t>
            </w:r>
            <w:r>
              <w:rPr>
                <w:rFonts w:ascii="宋体" w:hAnsi="宋体"/>
                <w:sz w:val="18"/>
                <w:szCs w:val="21"/>
              </w:rPr>
              <w:t>登记手机号码不一致，请及时</w:t>
            </w:r>
            <w:r>
              <w:rPr>
                <w:rFonts w:hint="eastAsia" w:ascii="宋体" w:hAnsi="宋体"/>
                <w:sz w:val="18"/>
                <w:szCs w:val="21"/>
              </w:rPr>
              <w:t>另行</w:t>
            </w:r>
            <w:r>
              <w:rPr>
                <w:rFonts w:ascii="宋体" w:hAnsi="宋体"/>
                <w:sz w:val="18"/>
                <w:szCs w:val="21"/>
              </w:rPr>
              <w:t>办理金信通</w:t>
            </w:r>
            <w:r>
              <w:rPr>
                <w:rFonts w:hint="eastAsia" w:ascii="宋体" w:hAnsi="宋体"/>
                <w:sz w:val="18"/>
                <w:szCs w:val="21"/>
              </w:rPr>
              <w:t>业务相关</w:t>
            </w:r>
            <w:r>
              <w:rPr>
                <w:rFonts w:ascii="宋体" w:hAnsi="宋体"/>
                <w:sz w:val="18"/>
                <w:szCs w:val="21"/>
              </w:rPr>
              <w:t>变更</w:t>
            </w:r>
            <w:r>
              <w:rPr>
                <w:rFonts w:hint="eastAsia" w:ascii="宋体" w:hAnsi="宋体"/>
                <w:sz w:val="18"/>
                <w:szCs w:val="21"/>
              </w:rPr>
              <w:t>手续。）</w:t>
            </w:r>
          </w:p>
          <w:p>
            <w:pPr>
              <w:adjustRightInd w:val="0"/>
              <w:snapToGrid w:val="0"/>
              <w:ind w:firstLine="630" w:firstLineChars="300"/>
              <w:rPr>
                <w:rFonts w:ascii="宋体" w:hAnsi="宋体"/>
                <w:szCs w:val="21"/>
              </w:rPr>
            </w:pPr>
          </w:p>
          <w:p>
            <w:pPr>
              <w:adjustRightInd w:val="0"/>
              <w:snapToGrid w:val="0"/>
              <w:ind w:firstLine="2625" w:firstLineChars="1250"/>
              <w:rPr>
                <w:rFonts w:ascii="宋体" w:hAnsi="宋体"/>
                <w:szCs w:val="21"/>
              </w:rPr>
            </w:pPr>
          </w:p>
          <w:p>
            <w:pPr>
              <w:adjustRightInd w:val="0"/>
              <w:snapToGrid w:val="0"/>
              <w:jc w:val="left"/>
              <w:rPr>
                <w:rFonts w:ascii="宋体" w:hAnsi="宋体"/>
                <w:szCs w:val="21"/>
              </w:rPr>
            </w:pPr>
            <w:r>
              <w:rPr>
                <w:rFonts w:hint="eastAsia" w:ascii="宋体" w:hAnsi="宋体"/>
                <w:szCs w:val="21"/>
              </w:rPr>
              <w:t xml:space="preserve">      </w:t>
            </w:r>
            <w:r>
              <w:rPr>
                <w:rFonts w:ascii="宋体" w:hAnsi="宋体"/>
                <w:szCs w:val="21"/>
              </w:rPr>
              <w:t xml:space="preserve">签订日期：    </w:t>
            </w: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rPr>
            </w:pPr>
            <w:r>
              <w:rPr>
                <w:rFonts w:hint="eastAsia" w:ascii="宋体" w:hAnsi="宋体"/>
                <w:szCs w:val="21"/>
              </w:rPr>
              <w:t xml:space="preserve">     经办：                              复核: </w:t>
            </w:r>
          </w:p>
        </w:tc>
      </w:tr>
    </w:tbl>
    <w:p>
      <w:pPr>
        <w:spacing w:line="440" w:lineRule="exact"/>
        <w:ind w:right="-82"/>
        <w:jc w:val="center"/>
        <w:rPr>
          <w:rFonts w:ascii="黑体" w:hAnsi="宋体" w:eastAsia="黑体"/>
          <w:b/>
          <w:sz w:val="24"/>
          <w:szCs w:val="24"/>
        </w:rPr>
      </w:pPr>
      <w:r>
        <w:rPr>
          <w:rFonts w:ascii="宋体" w:hAnsi="宋体"/>
          <w:sz w:val="15"/>
          <w:szCs w:val="15"/>
        </w:rPr>
        <w:br w:type="page"/>
      </w:r>
      <w:r>
        <w:rPr>
          <w:rFonts w:hint="eastAsia" w:ascii="黑体" w:hAnsi="宋体" w:eastAsia="黑体"/>
          <w:b/>
          <w:sz w:val="24"/>
          <w:szCs w:val="24"/>
        </w:rPr>
        <w:t>理财产品销售协议条款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rPr>
        <w:t>资金</w:t>
      </w:r>
      <w:r>
        <w:rPr>
          <w:rFonts w:hint="eastAsia" w:ascii="黑体" w:hAnsi="宋体" w:eastAsia="黑体"/>
          <w:b/>
          <w:sz w:val="15"/>
          <w:szCs w:val="15"/>
        </w:rPr>
        <w:t>的产品。</w:t>
      </w:r>
      <w:r>
        <w:rPr>
          <w:rFonts w:hint="eastAsia" w:ascii="黑体" w:hAnsi="宋体" w:eastAsia="黑体"/>
          <w:sz w:val="15"/>
          <w:szCs w:val="15"/>
        </w:rPr>
        <w:t>理财资金账户：指客户在银行开立的用于完成理财合同项下交易的活期账户。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二、协议的构成和效力。</w:t>
      </w:r>
      <w:r>
        <w:rPr>
          <w:rFonts w:hint="eastAsia" w:ascii="黑体" w:hAnsi="宋体" w:eastAsia="黑体"/>
          <w:sz w:val="15"/>
          <w:szCs w:val="15"/>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三、双方的声明和保证。客户根据银行理财合同中标明的产品风险等级以及产品适合的客户类别等信息，结合自身风险承受能力谨慎选择投资产品，并保证自己为符合理财产品销售适用性原则的合格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银行及客户均应对本协议及其条款负有保密义务，除法律、法规另有规定或监管机构另有要求外，未经一方事先许可，不得向任何组织、个人提供或泄露与对方有关的业务资料及信息。根据相关法律</w:t>
      </w:r>
      <w:r>
        <w:rPr>
          <w:rFonts w:ascii="黑体" w:hAnsi="宋体" w:eastAsia="黑体"/>
          <w:b/>
          <w:sz w:val="15"/>
          <w:szCs w:val="15"/>
        </w:rPr>
        <w:t>、法规规定及监管部门要求，银行在</w:t>
      </w:r>
      <w:r>
        <w:rPr>
          <w:rFonts w:hint="eastAsia" w:ascii="黑体" w:hAnsi="宋体" w:eastAsia="黑体"/>
          <w:b/>
          <w:sz w:val="15"/>
          <w:szCs w:val="15"/>
        </w:rPr>
        <w:t>向</w:t>
      </w:r>
      <w:r>
        <w:rPr>
          <w:rFonts w:ascii="黑体" w:hAnsi="宋体" w:eastAsia="黑体"/>
          <w:b/>
          <w:sz w:val="15"/>
          <w:szCs w:val="15"/>
        </w:rPr>
        <w:t>客户销售理财产品时，会对产品销售过程</w:t>
      </w:r>
      <w:r>
        <w:rPr>
          <w:rFonts w:hint="eastAsia" w:ascii="黑体" w:hAnsi="宋体" w:eastAsia="黑体"/>
          <w:b/>
          <w:sz w:val="15"/>
          <w:szCs w:val="15"/>
        </w:rPr>
        <w:t>以及</w:t>
      </w:r>
      <w:r>
        <w:rPr>
          <w:rFonts w:ascii="黑体" w:hAnsi="宋体" w:eastAsia="黑体"/>
          <w:b/>
          <w:sz w:val="15"/>
          <w:szCs w:val="15"/>
        </w:rPr>
        <w:t>销售记录进行客观审慎的记录；其中，客户通过银行营业网点销售专区购买</w:t>
      </w:r>
      <w:r>
        <w:rPr>
          <w:rFonts w:hint="eastAsia" w:ascii="黑体" w:hAnsi="宋体" w:eastAsia="黑体"/>
          <w:b/>
          <w:sz w:val="15"/>
          <w:szCs w:val="15"/>
        </w:rPr>
        <w:t>理财</w:t>
      </w:r>
      <w:r>
        <w:rPr>
          <w:rFonts w:ascii="黑体" w:hAnsi="宋体" w:eastAsia="黑体"/>
          <w:b/>
          <w:sz w:val="15"/>
          <w:szCs w:val="15"/>
        </w:rPr>
        <w:t>产品的，即授权银行对销售行为进行</w:t>
      </w:r>
      <w:r>
        <w:rPr>
          <w:rFonts w:hint="eastAsia" w:ascii="黑体" w:hAnsi="宋体" w:eastAsia="黑体"/>
          <w:b/>
          <w:sz w:val="15"/>
          <w:szCs w:val="15"/>
        </w:rPr>
        <w:t>音像</w:t>
      </w:r>
      <w:r>
        <w:rPr>
          <w:rFonts w:ascii="黑体" w:hAnsi="宋体" w:eastAsia="黑体"/>
          <w:b/>
          <w:sz w:val="15"/>
          <w:szCs w:val="15"/>
        </w:rPr>
        <w:t>采集。</w:t>
      </w:r>
      <w:r>
        <w:rPr>
          <w:rFonts w:hint="eastAsia" w:ascii="黑体" w:hAnsi="宋体" w:eastAsia="黑体"/>
          <w:b/>
          <w:sz w:val="15"/>
          <w:szCs w:val="15"/>
        </w:rPr>
        <w:t>客户通过</w:t>
      </w:r>
      <w:r>
        <w:rPr>
          <w:rFonts w:ascii="黑体" w:hAnsi="宋体" w:eastAsia="黑体"/>
          <w:b/>
          <w:sz w:val="15"/>
          <w:szCs w:val="15"/>
        </w:rPr>
        <w:t>电子渠道（</w:t>
      </w:r>
      <w:r>
        <w:rPr>
          <w:rFonts w:hint="eastAsia" w:ascii="黑体" w:hAnsi="宋体" w:eastAsia="黑体"/>
          <w:b/>
          <w:sz w:val="15"/>
          <w:szCs w:val="15"/>
        </w:rPr>
        <w:t>含</w:t>
      </w:r>
      <w:r>
        <w:rPr>
          <w:rFonts w:ascii="黑体" w:hAnsi="宋体" w:eastAsia="黑体"/>
          <w:b/>
          <w:sz w:val="15"/>
          <w:szCs w:val="15"/>
        </w:rPr>
        <w:t>自助终端渠道）</w:t>
      </w:r>
      <w:r>
        <w:rPr>
          <w:rFonts w:hint="eastAsia" w:ascii="黑体" w:hAnsi="宋体" w:eastAsia="黑体"/>
          <w:b/>
          <w:sz w:val="15"/>
          <w:szCs w:val="15"/>
        </w:rPr>
        <w:t>购买</w:t>
      </w:r>
      <w:r>
        <w:rPr>
          <w:rFonts w:ascii="黑体" w:hAnsi="宋体" w:eastAsia="黑体"/>
          <w:b/>
          <w:sz w:val="15"/>
          <w:szCs w:val="15"/>
        </w:rPr>
        <w:t>银行销售的理财</w:t>
      </w:r>
      <w:r>
        <w:rPr>
          <w:rFonts w:hint="eastAsia" w:ascii="黑体" w:hAnsi="宋体" w:eastAsia="黑体"/>
          <w:b/>
          <w:sz w:val="15"/>
          <w:szCs w:val="15"/>
        </w:rPr>
        <w:t>产品</w:t>
      </w:r>
      <w:r>
        <w:rPr>
          <w:rFonts w:ascii="黑体" w:hAnsi="宋体" w:eastAsia="黑体"/>
          <w:b/>
          <w:sz w:val="15"/>
          <w:szCs w:val="15"/>
        </w:rPr>
        <w:t>的，即</w:t>
      </w:r>
      <w:r>
        <w:rPr>
          <w:rFonts w:hint="eastAsia" w:ascii="黑体" w:hAnsi="宋体" w:eastAsia="黑体"/>
          <w:b/>
          <w:sz w:val="15"/>
          <w:szCs w:val="15"/>
        </w:rPr>
        <w:t>客户</w:t>
      </w:r>
      <w:r>
        <w:rPr>
          <w:rFonts w:ascii="黑体" w:hAnsi="宋体" w:eastAsia="黑体"/>
          <w:b/>
          <w:sz w:val="15"/>
          <w:szCs w:val="15"/>
        </w:rPr>
        <w:t>授权银行完整客观记录营销推介、产品风险和相关提示、确认和反馈</w:t>
      </w:r>
      <w:r>
        <w:rPr>
          <w:rFonts w:hint="eastAsia" w:ascii="黑体" w:hAnsi="宋体" w:eastAsia="黑体"/>
          <w:b/>
          <w:sz w:val="15"/>
          <w:szCs w:val="15"/>
        </w:rPr>
        <w:t>等</w:t>
      </w:r>
      <w:r>
        <w:rPr>
          <w:rFonts w:ascii="黑体" w:hAnsi="宋体" w:eastAsia="黑体"/>
          <w:b/>
          <w:sz w:val="15"/>
          <w:szCs w:val="15"/>
        </w:rPr>
        <w:t>重点销售环节，用于回溯检查和核查取证用途。</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客户</w:t>
      </w:r>
      <w:r>
        <w:rPr>
          <w:rFonts w:ascii="黑体" w:hAnsi="宋体" w:eastAsia="黑体"/>
          <w:b/>
          <w:sz w:val="15"/>
          <w:szCs w:val="15"/>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rPr>
        <w:t>客户</w:t>
      </w:r>
      <w:r>
        <w:rPr>
          <w:rFonts w:ascii="黑体" w:hAnsi="宋体" w:eastAsia="黑体"/>
          <w:b/>
          <w:sz w:val="15"/>
          <w:szCs w:val="15"/>
        </w:rPr>
        <w:t>在银行营业网点销售专区内购买</w:t>
      </w:r>
      <w:r>
        <w:rPr>
          <w:rFonts w:hint="eastAsia" w:ascii="黑体" w:hAnsi="宋体" w:eastAsia="黑体"/>
          <w:b/>
          <w:sz w:val="15"/>
          <w:szCs w:val="15"/>
        </w:rPr>
        <w:t>理财</w:t>
      </w:r>
      <w:r>
        <w:rPr>
          <w:rFonts w:ascii="黑体" w:hAnsi="宋体" w:eastAsia="黑体"/>
          <w:b/>
          <w:sz w:val="15"/>
          <w:szCs w:val="15"/>
        </w:rPr>
        <w:t>产品的录音录像、电子渠道（</w:t>
      </w:r>
      <w:r>
        <w:rPr>
          <w:rFonts w:hint="eastAsia" w:ascii="黑体" w:hAnsi="宋体" w:eastAsia="黑体"/>
          <w:b/>
          <w:sz w:val="15"/>
          <w:szCs w:val="15"/>
        </w:rPr>
        <w:t>含自助</w:t>
      </w:r>
      <w:r>
        <w:rPr>
          <w:rFonts w:ascii="黑体" w:hAnsi="宋体" w:eastAsia="黑体"/>
          <w:b/>
          <w:sz w:val="15"/>
          <w:szCs w:val="15"/>
        </w:rPr>
        <w:t>终端渠道）</w:t>
      </w:r>
      <w:r>
        <w:rPr>
          <w:rFonts w:hint="eastAsia" w:ascii="黑体" w:hAnsi="宋体" w:eastAsia="黑体"/>
          <w:b/>
          <w:sz w:val="15"/>
          <w:szCs w:val="15"/>
        </w:rPr>
        <w:t>重点</w:t>
      </w:r>
      <w:r>
        <w:rPr>
          <w:rFonts w:ascii="黑体" w:hAnsi="宋体" w:eastAsia="黑体"/>
          <w:b/>
          <w:sz w:val="15"/>
          <w:szCs w:val="15"/>
        </w:rPr>
        <w:t>销售记录、交易凭证</w:t>
      </w:r>
      <w:r>
        <w:rPr>
          <w:rFonts w:hint="eastAsia" w:ascii="黑体" w:hAnsi="宋体" w:eastAsia="黑体"/>
          <w:b/>
          <w:sz w:val="15"/>
          <w:szCs w:val="15"/>
        </w:rPr>
        <w:t>影像</w:t>
      </w:r>
      <w:r>
        <w:rPr>
          <w:rFonts w:ascii="黑体" w:hAnsi="宋体" w:eastAsia="黑体"/>
          <w:b/>
          <w:sz w:val="15"/>
          <w:szCs w:val="15"/>
        </w:rPr>
        <w:t>、交易明细数据等资料</w:t>
      </w:r>
      <w:r>
        <w:rPr>
          <w:rFonts w:hint="eastAsia" w:ascii="黑体" w:hAnsi="宋体" w:eastAsia="黑体"/>
          <w:b/>
          <w:sz w:val="15"/>
          <w:szCs w:val="15"/>
        </w:rPr>
        <w:t>传递至</w:t>
      </w:r>
      <w:r>
        <w:rPr>
          <w:rFonts w:ascii="黑体" w:hAnsi="宋体" w:eastAsia="黑体"/>
          <w:b/>
          <w:sz w:val="15"/>
          <w:szCs w:val="15"/>
        </w:rPr>
        <w:t>监管机构、理财产品登记机构</w:t>
      </w:r>
      <w:r>
        <w:rPr>
          <w:rFonts w:hint="eastAsia" w:ascii="黑体" w:hAnsi="宋体" w:eastAsia="黑体"/>
          <w:b/>
          <w:sz w:val="15"/>
          <w:szCs w:val="15"/>
        </w:rPr>
        <w:t>。</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四、理财产品的认购。</w:t>
      </w:r>
      <w:r>
        <w:rPr>
          <w:rFonts w:hint="eastAsia" w:ascii="黑体" w:hAnsi="宋体" w:eastAsia="黑体"/>
          <w:sz w:val="15"/>
          <w:szCs w:val="15"/>
        </w:rPr>
        <w:t>银行根据理财产品特点和管理需要，对特定理财产品开放认购或预约。客户预约成功后可优先于未预约客户认购已预约的额度，但客户办理预约应遵守相关规定。</w:t>
      </w:r>
    </w:p>
    <w:p>
      <w:pPr>
        <w:adjustRightInd w:val="0"/>
        <w:snapToGrid w:val="0"/>
        <w:spacing w:line="170" w:lineRule="exact"/>
        <w:ind w:firstLine="300" w:firstLineChars="200"/>
        <w:rPr>
          <w:rFonts w:ascii="黑体" w:hAnsi="宋体" w:eastAsia="黑体"/>
          <w:b/>
          <w:sz w:val="15"/>
          <w:szCs w:val="15"/>
        </w:rPr>
      </w:pPr>
      <w:r>
        <w:rPr>
          <w:rFonts w:hint="eastAsia" w:ascii="黑体" w:hAnsi="宋体" w:eastAsia="黑体"/>
          <w:sz w:val="15"/>
          <w:szCs w:val="15"/>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rPr>
        <w:t>客户投资本</w:t>
      </w:r>
      <w:r>
        <w:rPr>
          <w:rFonts w:ascii="黑体" w:hAnsi="宋体" w:eastAsia="黑体"/>
          <w:b/>
          <w:sz w:val="15"/>
          <w:szCs w:val="15"/>
        </w:rPr>
        <w:t>理财产品并签署</w:t>
      </w:r>
      <w:r>
        <w:rPr>
          <w:rFonts w:hint="eastAsia" w:ascii="黑体" w:hAnsi="宋体" w:eastAsia="黑体"/>
          <w:b/>
          <w:sz w:val="15"/>
          <w:szCs w:val="15"/>
        </w:rPr>
        <w:t>本协议后</w:t>
      </w:r>
      <w:r>
        <w:rPr>
          <w:rFonts w:ascii="黑体" w:hAnsi="宋体" w:eastAsia="黑体"/>
          <w:b/>
          <w:sz w:val="15"/>
          <w:szCs w:val="15"/>
        </w:rPr>
        <w:t>，</w:t>
      </w:r>
      <w:r>
        <w:rPr>
          <w:rFonts w:hint="eastAsia" w:ascii="黑体" w:hAnsi="宋体" w:eastAsia="黑体"/>
          <w:b/>
          <w:sz w:val="15"/>
          <w:szCs w:val="15"/>
        </w:rPr>
        <w:t>即</w:t>
      </w:r>
      <w:r>
        <w:rPr>
          <w:rFonts w:ascii="黑体" w:hAnsi="宋体" w:eastAsia="黑体"/>
          <w:b/>
          <w:sz w:val="15"/>
          <w:szCs w:val="15"/>
        </w:rPr>
        <w:t>授权银行</w:t>
      </w:r>
      <w:r>
        <w:rPr>
          <w:rFonts w:hint="eastAsia" w:ascii="黑体" w:hAnsi="宋体" w:eastAsia="黑体"/>
          <w:b/>
          <w:sz w:val="15"/>
          <w:szCs w:val="15"/>
        </w:rPr>
        <w:t>在</w:t>
      </w:r>
      <w:r>
        <w:rPr>
          <w:rFonts w:ascii="黑体" w:hAnsi="宋体" w:eastAsia="黑体"/>
          <w:b/>
          <w:sz w:val="15"/>
          <w:szCs w:val="15"/>
        </w:rPr>
        <w:t>客户理财资金</w:t>
      </w:r>
      <w:r>
        <w:rPr>
          <w:rFonts w:hint="eastAsia" w:ascii="黑体" w:hAnsi="宋体" w:eastAsia="黑体"/>
          <w:b/>
          <w:sz w:val="15"/>
          <w:szCs w:val="15"/>
        </w:rPr>
        <w:t>账户</w:t>
      </w:r>
      <w:r>
        <w:rPr>
          <w:rFonts w:ascii="黑体" w:hAnsi="宋体" w:eastAsia="黑体"/>
          <w:b/>
          <w:sz w:val="15"/>
          <w:szCs w:val="15"/>
        </w:rPr>
        <w:t>中</w:t>
      </w:r>
      <w:r>
        <w:rPr>
          <w:rFonts w:hint="eastAsia" w:ascii="黑体" w:hAnsi="宋体" w:eastAsia="黑体"/>
          <w:b/>
          <w:sz w:val="15"/>
          <w:szCs w:val="15"/>
        </w:rPr>
        <w:t>扣划客户</w:t>
      </w:r>
      <w:r>
        <w:rPr>
          <w:rFonts w:ascii="黑体" w:hAnsi="宋体" w:eastAsia="黑体"/>
          <w:b/>
          <w:sz w:val="15"/>
          <w:szCs w:val="15"/>
        </w:rPr>
        <w:t>本协议项下</w:t>
      </w:r>
      <w:r>
        <w:rPr>
          <w:rFonts w:hint="eastAsia" w:ascii="黑体" w:hAnsi="宋体" w:eastAsia="黑体"/>
          <w:b/>
          <w:sz w:val="15"/>
          <w:szCs w:val="15"/>
        </w:rPr>
        <w:t>的</w:t>
      </w:r>
      <w:r>
        <w:rPr>
          <w:rFonts w:ascii="黑体" w:hAnsi="宋体" w:eastAsia="黑体"/>
          <w:b/>
          <w:sz w:val="15"/>
          <w:szCs w:val="15"/>
        </w:rPr>
        <w:t>理财款项</w:t>
      </w:r>
      <w:r>
        <w:rPr>
          <w:rFonts w:hint="eastAsia" w:ascii="黑体" w:hAnsi="宋体" w:eastAsia="黑体"/>
          <w:b/>
          <w:sz w:val="15"/>
          <w:szCs w:val="15"/>
        </w:rPr>
        <w:t>，</w:t>
      </w:r>
      <w:r>
        <w:rPr>
          <w:rFonts w:ascii="黑体" w:hAnsi="宋体" w:eastAsia="黑体"/>
          <w:b/>
          <w:sz w:val="15"/>
          <w:szCs w:val="15"/>
        </w:rPr>
        <w:t>银行划款</w:t>
      </w:r>
      <w:r>
        <w:rPr>
          <w:rFonts w:hint="eastAsia" w:ascii="黑体" w:hAnsi="宋体" w:eastAsia="黑体"/>
          <w:b/>
          <w:sz w:val="15"/>
          <w:szCs w:val="15"/>
        </w:rPr>
        <w:t>前</w:t>
      </w:r>
      <w:r>
        <w:rPr>
          <w:rFonts w:ascii="黑体" w:hAnsi="宋体" w:eastAsia="黑体"/>
          <w:b/>
          <w:sz w:val="15"/>
          <w:szCs w:val="15"/>
        </w:rPr>
        <w:t>无需</w:t>
      </w:r>
      <w:r>
        <w:rPr>
          <w:rFonts w:hint="eastAsia" w:ascii="黑体" w:hAnsi="宋体" w:eastAsia="黑体"/>
          <w:b/>
          <w:sz w:val="15"/>
          <w:szCs w:val="15"/>
        </w:rPr>
        <w:t>再同</w:t>
      </w:r>
      <w:r>
        <w:rPr>
          <w:rFonts w:ascii="黑体" w:hAnsi="宋体" w:eastAsia="黑体"/>
          <w:b/>
          <w:sz w:val="15"/>
          <w:szCs w:val="15"/>
        </w:rPr>
        <w:t>客户进行确认。</w:t>
      </w:r>
    </w:p>
    <w:p>
      <w:pPr>
        <w:tabs>
          <w:tab w:val="left" w:pos="1722"/>
        </w:tabs>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五、理财产品的起息。</w:t>
      </w:r>
      <w:r>
        <w:rPr>
          <w:rFonts w:hint="eastAsia" w:ascii="黑体" w:hAnsi="宋体" w:eastAsia="黑体"/>
          <w:sz w:val="15"/>
          <w:szCs w:val="15"/>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六、理财产品的投资管理。银行按照法律法规和产品说明书的约定诚实信用、谨慎勤勉地实施投资管理行为，以专业技能管理理财产品资产，依法维护理财产品全体客户的利益。除产品说明书明确约定保证本金或保证收益外，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预期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七、理财产品申购和赎回。银行根据各款理财产品的投资管理需要决定是否受理客户的申购和赎回。</w:t>
      </w:r>
      <w:r>
        <w:rPr>
          <w:rFonts w:hint="eastAsia" w:ascii="黑体" w:hAnsi="宋体" w:eastAsia="黑体"/>
          <w:sz w:val="15"/>
          <w:szCs w:val="15"/>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1、产品说明书列明的提前终止情形出现或提前终止条件成立；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2、因不可抗力原因导致理财产品无法继续运作；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4、因</w:t>
      </w:r>
      <w:r>
        <w:rPr>
          <w:rFonts w:hint="eastAsia" w:ascii="黑体" w:hAnsi="宋体" w:eastAsia="黑体"/>
          <w:b/>
          <w:sz w:val="15"/>
          <w:szCs w:val="15"/>
        </w:rPr>
        <w:t>客户</w:t>
      </w:r>
      <w:r>
        <w:rPr>
          <w:rFonts w:ascii="黑体" w:hAnsi="宋体" w:eastAsia="黑体"/>
          <w:b/>
          <w:sz w:val="15"/>
          <w:szCs w:val="15"/>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6、相关投资管理机构或运用理财资金的第三方主体实施符合法律法规规定或协议等相关法律文件约定的行为导致理财产品被动提前终止；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7、因法律法规变化或国家金融政策调整、紧急措施出台影响产品继续正常运作；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8、法律法规规定或监管部门认定的其他情形。</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十、资金清算和收益分配。</w:t>
      </w:r>
      <w:r>
        <w:rPr>
          <w:rFonts w:hint="eastAsia" w:ascii="黑体" w:hAnsi="宋体" w:eastAsia="黑体"/>
          <w:sz w:val="15"/>
          <w:szCs w:val="15"/>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十二、税收处理。</w:t>
      </w:r>
      <w:r>
        <w:rPr>
          <w:rFonts w:hint="eastAsia" w:ascii="黑体" w:hAnsi="宋体" w:eastAsia="黑体"/>
          <w:sz w:val="15"/>
          <w:szCs w:val="15"/>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十三、信息披露。</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十五、其他约定。</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5、客户因投资理财产品与银行及分支机构发生争议的，由双方协商解决；协商不成，以诉讼方式解决，由协议书上所载的</w:t>
      </w:r>
      <w:r>
        <w:rPr>
          <w:rFonts w:hint="eastAsia" w:ascii="黑体" w:hAnsi="宋体" w:eastAsia="黑体"/>
          <w:b/>
          <w:sz w:val="15"/>
          <w:szCs w:val="15"/>
        </w:rPr>
        <w:t>银行</w:t>
      </w:r>
      <w:r>
        <w:rPr>
          <w:rFonts w:ascii="黑体" w:hAnsi="宋体" w:eastAsia="黑体"/>
          <w:b/>
          <w:sz w:val="15"/>
          <w:szCs w:val="15"/>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6、其他需补充的条款。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温馨</w:t>
      </w:r>
      <w:r>
        <w:rPr>
          <w:rFonts w:ascii="黑体" w:hAnsi="宋体" w:eastAsia="黑体"/>
          <w:b/>
          <w:sz w:val="15"/>
          <w:szCs w:val="15"/>
        </w:rPr>
        <w:t>提示：</w:t>
      </w:r>
      <w:r>
        <w:rPr>
          <w:rFonts w:hint="eastAsia" w:ascii="黑体" w:hAnsi="宋体" w:eastAsia="黑体"/>
          <w:b/>
          <w:sz w:val="15"/>
          <w:szCs w:val="15"/>
        </w:rPr>
        <w:t>理财产品过往业绩不代表其未来表现，不等于理财产品实际收益，投资须谨慎。</w:t>
      </w:r>
    </w:p>
    <w:p>
      <w:pPr>
        <w:spacing w:line="360" w:lineRule="auto"/>
        <w:jc w:val="center"/>
        <w:rPr>
          <w:rFonts w:ascii="黑体" w:hAnsi="黑体" w:eastAsia="黑体"/>
          <w:b/>
          <w:bCs/>
          <w:sz w:val="28"/>
          <w:szCs w:val="28"/>
        </w:rPr>
      </w:pPr>
      <w:r>
        <w:rPr>
          <w:rFonts w:hint="eastAsia" w:ascii="黑体" w:hAnsi="黑体" w:eastAsia="黑体"/>
          <w:b/>
          <w:bCs/>
          <w:sz w:val="28"/>
          <w:szCs w:val="28"/>
        </w:rPr>
        <w:t>风险揭示书</w:t>
      </w:r>
    </w:p>
    <w:p>
      <w:pPr>
        <w:jc w:val="left"/>
        <w:rPr>
          <w:rFonts w:ascii="黑体" w:hAnsi="黑体" w:eastAsia="黑体"/>
          <w:bCs/>
          <w:sz w:val="18"/>
          <w:szCs w:val="18"/>
        </w:rPr>
      </w:pPr>
      <w:r>
        <w:rPr>
          <w:rFonts w:hint="eastAsia" w:ascii="黑体" w:hAnsi="黑体" w:eastAsia="黑体"/>
          <w:bCs/>
          <w:sz w:val="18"/>
          <w:szCs w:val="18"/>
        </w:rPr>
        <w:t>尊敬的客户：</w:t>
      </w:r>
    </w:p>
    <w:p>
      <w:pPr>
        <w:jc w:val="left"/>
        <w:rPr>
          <w:rFonts w:ascii="黑体" w:hAnsi="黑体" w:eastAsia="黑体"/>
          <w:b/>
          <w:bCs/>
          <w:sz w:val="18"/>
          <w:szCs w:val="18"/>
        </w:rPr>
      </w:pPr>
      <w:r>
        <w:rPr>
          <w:rFonts w:ascii="黑体" w:hAnsi="黑体" w:eastAsia="黑体"/>
          <w:bCs/>
          <w:sz w:val="18"/>
          <w:szCs w:val="18"/>
        </w:rPr>
        <w:t xml:space="preserve">    由于理财资金管理运用过程中，可能会面临多种风险因素，因此，根据中国银行</w:t>
      </w:r>
      <w:r>
        <w:rPr>
          <w:rFonts w:hint="eastAsia" w:ascii="黑体" w:hAnsi="黑体" w:eastAsia="黑体"/>
          <w:bCs/>
          <w:sz w:val="18"/>
          <w:szCs w:val="18"/>
        </w:rPr>
        <w:t>保险</w:t>
      </w:r>
      <w:r>
        <w:rPr>
          <w:rFonts w:ascii="黑体" w:hAnsi="黑体" w:eastAsia="黑体"/>
          <w:bCs/>
          <w:sz w:val="18"/>
          <w:szCs w:val="18"/>
        </w:rPr>
        <w:t>监督管理委员会相关监管规定的要求，在您选择购买本理财计划</w:t>
      </w:r>
      <w:r>
        <w:rPr>
          <w:rFonts w:hint="eastAsia" w:ascii="黑体" w:hAnsi="黑体" w:eastAsia="黑体"/>
          <w:bCs/>
          <w:sz w:val="18"/>
          <w:szCs w:val="18"/>
        </w:rPr>
        <w:t>前，请仔细阅读对应期次的理财销售文件和以下重要内容。</w:t>
      </w:r>
      <w:r>
        <w:rPr>
          <w:rFonts w:hint="eastAsia" w:ascii="黑体" w:hAnsi="黑体" w:eastAsia="黑体"/>
          <w:b/>
          <w:bCs/>
          <w:sz w:val="18"/>
          <w:szCs w:val="18"/>
        </w:rPr>
        <w:t>本理财产品是非保本浮动收益型理财产品，本理财产品不保证本金和收益，发生重大不利情况下有可能造成本金部分或全部损失及收益全部损失，理财销售文件中任何业绩比较基准、测算收益或类似表述均属不具有法律效力的用语，不代表客户可能获得实际收益，亦不构成银行对本理财产品的任何承诺，仅供客户期初进行投资决定时参考。理财产品过往业绩不代表其未来表现，不等于理财产品实际收益，投资须谨慎。您应当充分认识投资风险，谨慎投资：</w:t>
      </w:r>
    </w:p>
    <w:p>
      <w:pPr>
        <w:rPr>
          <w:rFonts w:ascii="黑体" w:hAnsi="黑体" w:eastAsia="黑体"/>
          <w:b/>
          <w:sz w:val="18"/>
          <w:szCs w:val="18"/>
        </w:rPr>
      </w:pPr>
      <w:r>
        <w:rPr>
          <w:rFonts w:ascii="黑体" w:hAnsi="黑体" w:eastAsia="黑体"/>
          <w:b/>
          <w:sz w:val="18"/>
          <w:szCs w:val="18"/>
        </w:rPr>
        <w:t>1.政策风险：</w:t>
      </w:r>
      <w:r>
        <w:rPr>
          <w:rFonts w:hint="eastAsia" w:ascii="黑体" w:hAnsi="黑体" w:eastAsia="黑体"/>
          <w:b/>
          <w:sz w:val="18"/>
          <w:szCs w:val="18"/>
        </w:rPr>
        <w:t>本理财产品是针对当前相关法律、法规和规定设计而成，如遇到国家宏观政策和市场相关法律法规发生变化，可能影响到本理财产品的发行、投资和兑付等工作正常进行，若出现上述情况，</w:t>
      </w:r>
    </w:p>
    <w:p>
      <w:pPr>
        <w:rPr>
          <w:rFonts w:ascii="黑体" w:hAnsi="黑体" w:eastAsia="黑体"/>
          <w:b/>
          <w:sz w:val="18"/>
          <w:szCs w:val="18"/>
        </w:rPr>
      </w:pPr>
      <w:r>
        <w:rPr>
          <w:rFonts w:hint="eastAsia" w:ascii="黑体" w:hAnsi="黑体" w:eastAsia="黑体"/>
          <w:b/>
          <w:sz w:val="18"/>
          <w:szCs w:val="18"/>
        </w:rPr>
        <w:t>可能会导致客户本金和收益减少甚至损失的政策风险。</w:t>
      </w:r>
    </w:p>
    <w:p>
      <w:pPr>
        <w:rPr>
          <w:rFonts w:ascii="黑体" w:hAnsi="黑体" w:eastAsia="黑体"/>
          <w:b/>
          <w:sz w:val="18"/>
          <w:szCs w:val="18"/>
        </w:rPr>
      </w:pPr>
      <w:r>
        <w:rPr>
          <w:rFonts w:ascii="黑体" w:hAnsi="黑体" w:eastAsia="黑体"/>
          <w:b/>
          <w:sz w:val="18"/>
          <w:szCs w:val="18"/>
        </w:rPr>
        <w:t>2.信用风险：</w:t>
      </w:r>
      <w:r>
        <w:rPr>
          <w:rFonts w:hint="eastAsia" w:ascii="黑体" w:hAnsi="黑体" w:eastAsia="黑体"/>
          <w:b/>
          <w:sz w:val="18"/>
          <w:szCs w:val="18"/>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rPr>
      </w:pPr>
      <w:r>
        <w:rPr>
          <w:rFonts w:ascii="黑体" w:hAnsi="黑体" w:eastAsia="黑体"/>
          <w:b/>
          <w:sz w:val="18"/>
          <w:szCs w:val="18"/>
        </w:rPr>
        <w:t>3.市场风险：</w:t>
      </w:r>
      <w:r>
        <w:rPr>
          <w:rFonts w:hint="eastAsia" w:ascii="黑体" w:hAnsi="黑体" w:eastAsia="黑体"/>
          <w:b/>
          <w:sz w:val="18"/>
          <w:szCs w:val="18"/>
        </w:rPr>
        <w:t>由于金融市场内在波动性，客户投资本产品将面临一定的市场风险。产品存续期间若银行存款和其他投资市场资产投资收益发生波动，则客户面临承担理财资金配置存款和其他投资市场资产配置的机会成本风险。</w:t>
      </w:r>
    </w:p>
    <w:p>
      <w:pPr>
        <w:rPr>
          <w:rFonts w:ascii="黑体" w:hAnsi="黑体" w:eastAsia="黑体"/>
          <w:b/>
          <w:sz w:val="18"/>
          <w:szCs w:val="18"/>
        </w:rPr>
      </w:pPr>
      <w:r>
        <w:rPr>
          <w:rFonts w:ascii="黑体" w:hAnsi="黑体" w:eastAsia="黑体"/>
          <w:b/>
          <w:sz w:val="18"/>
          <w:szCs w:val="18"/>
        </w:rPr>
        <w:t>4.交易对手管理风险：</w:t>
      </w:r>
      <w:r>
        <w:rPr>
          <w:rFonts w:hint="eastAsia" w:ascii="黑体" w:hAnsi="黑体" w:eastAsia="黑体"/>
          <w:b/>
          <w:sz w:val="18"/>
          <w:szCs w:val="18"/>
        </w:rPr>
        <w:t>由于合作的交易对手受经验、技能等综合因素的限制，可能会影响本理财产品的后续管理，从而导致本理财产品项下资金遭受损失。</w:t>
      </w:r>
    </w:p>
    <w:p>
      <w:pPr>
        <w:rPr>
          <w:rFonts w:ascii="黑体" w:hAnsi="黑体" w:eastAsia="黑体"/>
          <w:b/>
          <w:sz w:val="18"/>
          <w:szCs w:val="18"/>
        </w:rPr>
      </w:pPr>
      <w:r>
        <w:rPr>
          <w:rFonts w:ascii="黑体" w:hAnsi="黑体" w:eastAsia="黑体"/>
          <w:b/>
          <w:sz w:val="18"/>
          <w:szCs w:val="18"/>
        </w:rPr>
        <w:t>5.延期兑付风险：</w:t>
      </w:r>
      <w:r>
        <w:rPr>
          <w:rFonts w:hint="eastAsia" w:ascii="黑体" w:hAnsi="黑体" w:eastAsia="黑体"/>
          <w:b/>
          <w:sz w:val="18"/>
          <w:szCs w:val="18"/>
        </w:rPr>
        <w:t>如因本理财产品项下对应的投资标的变现不及时等原因造成本理财产品不能按时支付理财资金，则客户面临产品期限延期、调整等风险。</w:t>
      </w:r>
    </w:p>
    <w:p>
      <w:pPr>
        <w:rPr>
          <w:rFonts w:ascii="黑体" w:hAnsi="黑体" w:eastAsia="黑体"/>
          <w:b/>
          <w:sz w:val="18"/>
          <w:szCs w:val="18"/>
        </w:rPr>
      </w:pPr>
      <w:r>
        <w:rPr>
          <w:rFonts w:ascii="黑体" w:hAnsi="黑体" w:eastAsia="黑体"/>
          <w:b/>
          <w:sz w:val="18"/>
          <w:szCs w:val="18"/>
        </w:rPr>
        <w:t>6.提前终止风险：</w:t>
      </w:r>
      <w:r>
        <w:rPr>
          <w:rFonts w:hint="eastAsia" w:ascii="黑体" w:hAnsi="黑体" w:eastAsia="黑体"/>
          <w:b/>
          <w:sz w:val="18"/>
          <w:szCs w:val="18"/>
        </w:rPr>
        <w:t>如因理财产品提前终止可能导致客户收益损失。</w:t>
      </w:r>
      <w:r>
        <w:rPr>
          <w:rFonts w:ascii="黑体" w:hAnsi="黑体" w:eastAsia="黑体"/>
          <w:b/>
          <w:sz w:val="18"/>
          <w:szCs w:val="18"/>
        </w:rPr>
        <w:t xml:space="preserve">                                                                            </w:t>
      </w:r>
    </w:p>
    <w:p>
      <w:pPr>
        <w:rPr>
          <w:rFonts w:ascii="黑体" w:hAnsi="黑体" w:eastAsia="黑体"/>
          <w:b/>
          <w:sz w:val="18"/>
          <w:szCs w:val="18"/>
        </w:rPr>
      </w:pPr>
      <w:r>
        <w:rPr>
          <w:rFonts w:ascii="黑体" w:hAnsi="黑体" w:eastAsia="黑体"/>
          <w:b/>
          <w:sz w:val="18"/>
          <w:szCs w:val="18"/>
        </w:rPr>
        <w:t>7.流动性风险：</w:t>
      </w:r>
      <w:r>
        <w:rPr>
          <w:rFonts w:hint="eastAsia" w:ascii="黑体" w:hAnsi="黑体" w:eastAsia="黑体"/>
          <w:b/>
          <w:sz w:val="18"/>
          <w:szCs w:val="18"/>
        </w:rPr>
        <w:t>客户没有提前终止权。</w:t>
      </w:r>
    </w:p>
    <w:p>
      <w:pPr>
        <w:rPr>
          <w:rFonts w:ascii="黑体" w:hAnsi="黑体" w:eastAsia="黑体"/>
          <w:b/>
          <w:sz w:val="18"/>
          <w:szCs w:val="18"/>
        </w:rPr>
      </w:pPr>
      <w:r>
        <w:rPr>
          <w:b/>
        </w:rPr>
        <mc:AlternateContent>
          <mc:Choice Requires="wps">
            <w:drawing>
              <wp:anchor distT="0" distB="0" distL="114300" distR="114300" simplePos="0" relativeHeight="251660288" behindDoc="0" locked="0" layoutInCell="1" allowOverlap="1">
                <wp:simplePos x="0" y="0"/>
                <wp:positionH relativeFrom="leftMargin">
                  <wp:align>right</wp:align>
                </wp:positionH>
                <wp:positionV relativeFrom="paragraph">
                  <wp:posOffset>365125</wp:posOffset>
                </wp:positionV>
                <wp:extent cx="374015" cy="867410"/>
                <wp:effectExtent l="0" t="0" r="6985" b="8890"/>
                <wp:wrapNone/>
                <wp:docPr id="4" name="文本框 7"/>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wps:spPr>
                      <wps:txbx>
                        <w:txbxContent>
                          <w:p>
                            <w:pPr>
                              <w:jc w:val="left"/>
                            </w:pPr>
                            <w:r>
                              <w:rPr>
                                <w:rFonts w:asciiTheme="majorEastAsia" w:hAnsiTheme="majorEastAsia" w:eastAsiaTheme="majorEastAsia"/>
                              </w:rPr>
                              <w:t>2022.1</w:t>
                            </w:r>
                            <w:r>
                              <w:rPr>
                                <w:rFonts w:hint="eastAsia"/>
                              </w:rPr>
                              <w:t>版本</w:t>
                            </w:r>
                          </w:p>
                        </w:txbxContent>
                      </wps:txbx>
                      <wps:bodyPr vert="eaVert" upright="1"/>
                    </wps:wsp>
                  </a:graphicData>
                </a:graphic>
              </wp:anchor>
            </w:drawing>
          </mc:Choice>
          <mc:Fallback>
            <w:pict>
              <v:shape id="文本框 7" o:spid="_x0000_s1026" o:spt="202" type="#_x0000_t202" style="position:absolute;left:0pt;margin-left:9.7pt;margin-top:438.9pt;height:68.3pt;width:29.45pt;mso-position-horizontal-relative:page;mso-position-vertical-relative:page;z-index:251660288;mso-width-relative:page;mso-height-relative:page;" fillcolor="#FFFFFF" filled="t" stroked="f" coordsize="21600,21600" o:gfxdata="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wT3LvXAAAABgEAAA8AAAAAAAAAAQAgAAAA&#10;IgAAAGRycy9kb3ducmV2LnhtbFBLAQIUABQAAAAIAIdO4kA3pQJR0wEAAI0DAAAOAAAAAAAAAAEA&#10;IAAAACYBAABkcnMvZTJvRG9jLnhtbFBLBQYAAAAABgAGAFkBAABrBQAAAAA=&#10;">
                <v:fill on="t" focussize="0,0"/>
                <v:stroke on="f"/>
                <v:imagedata o:title=""/>
                <o:lock v:ext="edit" aspectratio="f"/>
                <v:textbox style="layout-flow:vertical-ideographic;">
                  <w:txbxContent>
                    <w:p>
                      <w:pPr>
                        <w:jc w:val="left"/>
                      </w:pPr>
                      <w:r>
                        <w:rPr>
                          <w:rFonts w:asciiTheme="majorEastAsia" w:hAnsiTheme="majorEastAsia" w:eastAsiaTheme="majorEastAsia"/>
                        </w:rPr>
                        <w:t>2022.1</w:t>
                      </w:r>
                      <w:r>
                        <w:rPr>
                          <w:rFonts w:hint="eastAsia"/>
                        </w:rPr>
                        <w:t>版本</w:t>
                      </w:r>
                    </w:p>
                  </w:txbxContent>
                </v:textbox>
              </v:shape>
            </w:pict>
          </mc:Fallback>
        </mc:AlternateContent>
      </w:r>
      <w:r>
        <w:rPr>
          <w:rFonts w:ascii="黑体" w:hAnsi="黑体" w:eastAsia="黑体"/>
          <w:b/>
          <w:sz w:val="18"/>
          <w:szCs w:val="18"/>
        </w:rPr>
        <w:t>8.信息传递风险：</w:t>
      </w:r>
      <w:r>
        <w:rPr>
          <w:rFonts w:hint="eastAsia" w:ascii="黑体" w:hAnsi="黑体" w:eastAsia="黑体"/>
          <w:b/>
          <w:sz w:val="18"/>
          <w:szCs w:val="18"/>
        </w:rPr>
        <w:t>我行将最迟在到期日后</w:t>
      </w:r>
      <w:r>
        <w:rPr>
          <w:rFonts w:ascii="黑体" w:hAnsi="黑体" w:eastAsia="黑体"/>
          <w:b/>
          <w:sz w:val="18"/>
          <w:szCs w:val="18"/>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rPr>
      </w:pPr>
      <w:r>
        <w:rPr>
          <w:rFonts w:hint="eastAsia" w:ascii="黑体" w:hAnsi="黑体" w:eastAsia="黑体"/>
          <w:b/>
          <w:sz w:val="18"/>
          <w:szCs w:val="18"/>
        </w:rPr>
        <w:t>9．产品不成立风险：如因募集规模低于说明书约定的最低规模或其他因素导致我行宣布本理财产品不成立的情形，客户将面临再投资风险。</w:t>
      </w:r>
    </w:p>
    <w:p>
      <w:pPr>
        <w:rPr>
          <w:rFonts w:ascii="黑体" w:hAnsi="黑体" w:eastAsia="黑体"/>
          <w:b/>
          <w:sz w:val="18"/>
          <w:szCs w:val="18"/>
        </w:rPr>
      </w:pPr>
      <w:r>
        <w:rPr>
          <w:rFonts w:ascii="黑体" w:hAnsi="黑体" w:eastAsia="黑体"/>
          <w:b/>
          <w:sz w:val="18"/>
          <w:szCs w:val="18"/>
        </w:rPr>
        <w:t>10.不可抗力风险：</w:t>
      </w:r>
      <w:r>
        <w:rPr>
          <w:rFonts w:hint="eastAsia" w:ascii="黑体" w:hAnsi="黑体" w:eastAsia="黑体"/>
          <w:b/>
          <w:sz w:val="18"/>
          <w:szCs w:val="18"/>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rPr>
      </w:pPr>
      <w:r>
        <w:rPr>
          <w:rFonts w:ascii="黑体" w:hAnsi="黑体" w:eastAsia="黑体"/>
          <w:b/>
          <w:sz w:val="18"/>
          <w:szCs w:val="18"/>
        </w:rPr>
        <w:t>11.最不利的投资情形：</w:t>
      </w:r>
      <w:r>
        <w:rPr>
          <w:rFonts w:hint="eastAsia" w:ascii="黑体" w:hAnsi="黑体" w:eastAsia="黑体"/>
          <w:b/>
          <w:sz w:val="18"/>
          <w:szCs w:val="18"/>
        </w:rPr>
        <w:t>如因金融市场发生重大不利变动，或交易对手、债券发行主体到期无力兑付本息，则有可能造成本金部分或全部损失及收益全部损失。</w:t>
      </w:r>
    </w:p>
    <w:p>
      <w:pPr>
        <w:spacing w:line="440" w:lineRule="exact"/>
        <w:rPr>
          <w:rFonts w:ascii="黑体" w:hAnsi="黑体" w:eastAsia="黑体"/>
          <w:b/>
          <w:sz w:val="18"/>
          <w:szCs w:val="18"/>
        </w:rPr>
      </w:pPr>
      <w:r>
        <w:rPr>
          <w:rFonts w:hint="eastAsia" w:ascii="黑体" w:hAnsi="黑体" w:eastAsia="黑体"/>
          <w:sz w:val="18"/>
          <w:szCs w:val="18"/>
        </w:rPr>
        <w:t>本理财产品编号</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2024</w:t>
      </w:r>
      <w:r>
        <w:rPr>
          <w:rFonts w:hint="eastAsia" w:ascii="黑体" w:hAnsi="黑体" w:eastAsia="黑体"/>
          <w:sz w:val="18"/>
          <w:szCs w:val="18"/>
          <w:u w:val="single"/>
          <w:lang w:val="en-US" w:eastAsia="zh-CN"/>
        </w:rPr>
        <w:t>GW330B</w:t>
      </w:r>
      <w:r>
        <w:rPr>
          <w:rFonts w:hint="eastAsia" w:ascii="黑体" w:hAnsi="黑体" w:eastAsia="黑体"/>
          <w:sz w:val="18"/>
          <w:szCs w:val="18"/>
          <w:u w:val="single"/>
          <w:lang w:eastAsia="zh-CN"/>
        </w:rPr>
        <w:t xml:space="preserve"> </w:t>
      </w:r>
      <w:r>
        <w:rPr>
          <w:rFonts w:hint="eastAsia" w:ascii="黑体" w:hAnsi="黑体" w:eastAsia="黑体"/>
          <w:sz w:val="18"/>
          <w:szCs w:val="18"/>
          <w:u w:val="single"/>
        </w:rPr>
        <w:t xml:space="preserve"> </w:t>
      </w:r>
      <w:r>
        <w:rPr>
          <w:rFonts w:hint="eastAsia" w:ascii="黑体" w:hAnsi="黑体" w:eastAsia="黑体"/>
          <w:sz w:val="18"/>
          <w:szCs w:val="18"/>
        </w:rPr>
        <w:t>，产品内部评价为</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中低</w:t>
      </w:r>
      <w:r>
        <w:rPr>
          <w:rFonts w:hint="eastAsia" w:ascii="黑体" w:hAnsi="黑体" w:eastAsia="黑体"/>
          <w:sz w:val="18"/>
          <w:szCs w:val="18"/>
          <w:u w:val="single"/>
        </w:rPr>
        <w:t xml:space="preserve"> </w:t>
      </w:r>
      <w:r>
        <w:rPr>
          <w:rFonts w:hint="eastAsia" w:ascii="黑体" w:hAnsi="黑体" w:eastAsia="黑体"/>
          <w:sz w:val="18"/>
          <w:szCs w:val="18"/>
        </w:rPr>
        <w:t>风险级别，产品期限为□最短持有期</w:t>
      </w:r>
      <w:r>
        <w:rPr>
          <w:rFonts w:ascii="黑体" w:hAnsi="黑体" w:eastAsia="黑体"/>
          <w:sz w:val="18"/>
          <w:szCs w:val="18"/>
          <w:u w:val="single"/>
        </w:rPr>
        <w:t xml:space="preserve">    </w:t>
      </w:r>
      <w:r>
        <w:rPr>
          <w:rFonts w:hint="eastAsia" w:ascii="黑体" w:hAnsi="黑体" w:eastAsia="黑体"/>
          <w:sz w:val="18"/>
          <w:szCs w:val="18"/>
        </w:rPr>
        <w:t>天型产品，</w:t>
      </w:r>
      <w:r>
        <w:rPr>
          <w:rFonts w:hint="eastAsia" w:ascii="黑体" w:hAnsi="黑体" w:eastAsia="黑体"/>
          <w:sz w:val="18"/>
          <w:szCs w:val="18"/>
        </w:rPr>
        <w:sym w:font="Wingdings 2" w:char="00A3"/>
      </w:r>
      <w:r>
        <w:rPr>
          <w:rFonts w:hint="eastAsia" w:ascii="黑体" w:hAnsi="黑体" w:eastAsia="黑体"/>
          <w:sz w:val="18"/>
          <w:szCs w:val="18"/>
        </w:rPr>
        <w:t>周期型产品以</w:t>
      </w:r>
      <w:r>
        <w:rPr>
          <w:rFonts w:hint="eastAsia" w:ascii="黑体" w:hAnsi="黑体" w:eastAsia="黑体"/>
          <w:sz w:val="18"/>
          <w:szCs w:val="18"/>
          <w:u w:val="single"/>
        </w:rPr>
        <w:t xml:space="preserve">   </w:t>
      </w:r>
      <w:r>
        <w:rPr>
          <w:rFonts w:hint="eastAsia" w:ascii="黑体" w:hAnsi="黑体" w:eastAsia="黑体"/>
          <w:sz w:val="18"/>
          <w:szCs w:val="18"/>
        </w:rPr>
        <w:t>天为周期开放，</w:t>
      </w:r>
      <w:r>
        <w:rPr>
          <w:rFonts w:hint="eastAsia" w:ascii="黑体" w:hAnsi="黑体" w:eastAsia="黑体"/>
          <w:sz w:val="18"/>
          <w:szCs w:val="18"/>
        </w:rPr>
        <w:sym w:font="Wingdings 2" w:char="0052"/>
      </w:r>
      <w:r>
        <w:rPr>
          <w:rFonts w:hint="eastAsia" w:ascii="黑体" w:hAnsi="黑体" w:eastAsia="黑体"/>
          <w:sz w:val="18"/>
          <w:szCs w:val="18"/>
        </w:rPr>
        <w:t>封闭型产品封闭期</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723</w:t>
      </w:r>
      <w:r>
        <w:rPr>
          <w:rFonts w:hint="eastAsia" w:ascii="黑体" w:hAnsi="黑体" w:eastAsia="黑体"/>
          <w:sz w:val="18"/>
          <w:szCs w:val="18"/>
          <w:u w:val="single"/>
        </w:rPr>
        <w:t xml:space="preserve"> </w:t>
      </w:r>
      <w:r>
        <w:rPr>
          <w:rFonts w:hint="eastAsia" w:ascii="黑体" w:hAnsi="黑体" w:eastAsia="黑体"/>
          <w:sz w:val="18"/>
          <w:szCs w:val="18"/>
        </w:rPr>
        <w:t>天，产品类型为</w:t>
      </w:r>
      <w:r>
        <w:rPr>
          <w:rFonts w:hint="eastAsia" w:ascii="黑体" w:hAnsi="黑体" w:eastAsia="黑体"/>
          <w:sz w:val="18"/>
          <w:szCs w:val="18"/>
        </w:rPr>
        <w:sym w:font="Wingdings 2" w:char="0052"/>
      </w:r>
      <w:r>
        <w:rPr>
          <w:rFonts w:hint="eastAsia" w:ascii="黑体" w:hAnsi="黑体" w:eastAsia="黑体"/>
          <w:sz w:val="18"/>
          <w:szCs w:val="18"/>
        </w:rPr>
        <w:t>固定收益类□权益类</w:t>
      </w:r>
      <w:r>
        <w:rPr>
          <w:rFonts w:hint="eastAsia" w:ascii="黑体" w:hAnsi="黑体" w:eastAsia="黑体"/>
          <w:sz w:val="18"/>
          <w:szCs w:val="18"/>
        </w:rPr>
        <w:sym w:font="Wingdings 2" w:char="0052"/>
      </w:r>
      <w:r>
        <w:rPr>
          <w:rFonts w:hint="eastAsia" w:ascii="黑体" w:hAnsi="黑体" w:eastAsia="黑体"/>
          <w:sz w:val="18"/>
          <w:szCs w:val="18"/>
        </w:rPr>
        <w:t>商品及金融衍生品类</w:t>
      </w:r>
      <w:r>
        <w:rPr>
          <w:rFonts w:hint="eastAsia" w:ascii="黑体" w:hAnsi="黑体" w:eastAsia="黑体"/>
          <w:sz w:val="18"/>
          <w:szCs w:val="18"/>
        </w:rPr>
        <w:sym w:font="Wingdings 2" w:char="00A3"/>
      </w:r>
      <w:r>
        <w:rPr>
          <w:rFonts w:hint="eastAsia" w:ascii="黑体" w:hAnsi="黑体" w:eastAsia="黑体"/>
          <w:sz w:val="18"/>
          <w:szCs w:val="18"/>
        </w:rPr>
        <w:t>混合类非保本浮动收益</w:t>
      </w:r>
      <w:r>
        <w:rPr>
          <w:rFonts w:hint="eastAsia" w:ascii="黑体" w:hAnsi="黑体" w:eastAsia="黑体"/>
          <w:sz w:val="18"/>
          <w:szCs w:val="18"/>
        </w:rPr>
        <w:sym w:font="Wingdings 2" w:char="0052"/>
      </w:r>
      <w:r>
        <w:rPr>
          <w:rFonts w:hint="eastAsia" w:ascii="黑体" w:hAnsi="黑体" w:eastAsia="黑体"/>
          <w:sz w:val="18"/>
          <w:szCs w:val="18"/>
        </w:rPr>
        <w:t>封闭式</w:t>
      </w:r>
      <w:r>
        <w:rPr>
          <w:rFonts w:hint="eastAsia" w:ascii="黑体" w:hAnsi="黑体" w:eastAsia="黑体"/>
          <w:sz w:val="18"/>
          <w:szCs w:val="18"/>
        </w:rPr>
        <w:sym w:font="Wingdings 2" w:char="00A3"/>
      </w:r>
      <w:r>
        <w:rPr>
          <w:rFonts w:hint="eastAsia" w:ascii="黑体" w:hAnsi="黑体" w:eastAsia="黑体"/>
          <w:sz w:val="18"/>
          <w:szCs w:val="18"/>
        </w:rPr>
        <w:t>开放式净值型，适合□保守型</w:t>
      </w:r>
      <w:r>
        <w:rPr>
          <w:rFonts w:hint="eastAsia" w:ascii="黑体" w:hAnsi="黑体" w:eastAsia="黑体"/>
          <w:sz w:val="18"/>
          <w:szCs w:val="18"/>
        </w:rPr>
        <w:sym w:font="Wingdings 2" w:char="0052"/>
      </w:r>
      <w:r>
        <w:rPr>
          <w:rFonts w:hint="eastAsia" w:ascii="黑体" w:hAnsi="黑体" w:eastAsia="黑体"/>
          <w:sz w:val="18"/>
          <w:szCs w:val="18"/>
        </w:rPr>
        <w:t>谨慎型</w:t>
      </w:r>
      <w:r>
        <w:rPr>
          <w:rFonts w:hint="eastAsia" w:ascii="黑体" w:hAnsi="黑体" w:eastAsia="黑体"/>
          <w:sz w:val="18"/>
          <w:szCs w:val="18"/>
        </w:rPr>
        <w:sym w:font="Wingdings 2" w:char="0052"/>
      </w:r>
      <w:r>
        <w:rPr>
          <w:rFonts w:hint="eastAsia" w:ascii="黑体" w:hAnsi="黑体" w:eastAsia="黑体"/>
          <w:sz w:val="18"/>
          <w:szCs w:val="18"/>
        </w:rPr>
        <w:t>稳健型</w:t>
      </w:r>
      <w:r>
        <w:rPr>
          <w:rFonts w:hint="eastAsia" w:ascii="黑体" w:hAnsi="黑体" w:eastAsia="黑体"/>
          <w:sz w:val="18"/>
          <w:szCs w:val="18"/>
        </w:rPr>
        <w:sym w:font="Wingdings 2" w:char="0052"/>
      </w:r>
      <w:r>
        <w:rPr>
          <w:rFonts w:hint="eastAsia" w:ascii="黑体" w:hAnsi="黑体" w:eastAsia="黑体"/>
          <w:sz w:val="18"/>
          <w:szCs w:val="18"/>
        </w:rPr>
        <w:t>进取型</w:t>
      </w:r>
      <w:r>
        <w:rPr>
          <w:rFonts w:hint="eastAsia" w:ascii="黑体" w:hAnsi="黑体" w:eastAsia="黑体"/>
          <w:sz w:val="18"/>
          <w:szCs w:val="18"/>
        </w:rPr>
        <w:sym w:font="Wingdings 2" w:char="0052"/>
      </w:r>
      <w:r>
        <w:rPr>
          <w:rFonts w:hint="eastAsia" w:ascii="黑体" w:hAnsi="黑体" w:eastAsia="黑体"/>
          <w:sz w:val="18"/>
          <w:szCs w:val="18"/>
        </w:rPr>
        <w:t>激进型的客户认购。</w:t>
      </w:r>
      <w:r>
        <w:rPr>
          <w:rFonts w:hint="eastAsia" w:ascii="黑体" w:hAnsi="黑体" w:eastAsia="黑体"/>
          <w:b/>
          <w:sz w:val="18"/>
          <w:szCs w:val="18"/>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rPr>
        <w:t>客户可根据实际需求选择持续持有多个周期，</w:t>
      </w:r>
      <w:r>
        <w:rPr>
          <w:rFonts w:hint="eastAsia" w:ascii="黑体" w:hAnsi="黑体" w:eastAsia="黑体"/>
          <w:b/>
          <w:sz w:val="18"/>
          <w:szCs w:val="18"/>
        </w:rPr>
        <w:t>理财</w:t>
      </w:r>
      <w:r>
        <w:rPr>
          <w:rFonts w:ascii="黑体" w:hAnsi="黑体" w:eastAsia="黑体"/>
          <w:b/>
          <w:sz w:val="18"/>
          <w:szCs w:val="18"/>
        </w:rPr>
        <w:t>天数</w:t>
      </w:r>
      <w:r>
        <w:rPr>
          <w:rFonts w:hint="eastAsia" w:ascii="黑体" w:hAnsi="黑体" w:eastAsia="黑体"/>
          <w:b/>
          <w:sz w:val="18"/>
          <w:szCs w:val="18"/>
        </w:rPr>
        <w:t>最终</w:t>
      </w:r>
      <w:r>
        <w:rPr>
          <w:rFonts w:ascii="黑体" w:hAnsi="黑体" w:eastAsia="黑体"/>
          <w:b/>
          <w:sz w:val="18"/>
          <w:szCs w:val="18"/>
        </w:rPr>
        <w:t>以实际持有天数为准。</w:t>
      </w:r>
    </w:p>
    <w:p>
      <w:pPr>
        <w:spacing w:line="440" w:lineRule="exact"/>
        <w:rPr>
          <w:rFonts w:ascii="仿宋_GB2312"/>
          <w:sz w:val="24"/>
          <w:szCs w:val="24"/>
          <w:u w:val="single"/>
        </w:rPr>
      </w:pPr>
      <w:r>
        <w:rPr>
          <w:rFonts w:ascii="仿宋_GB2312"/>
          <w:sz w:val="24"/>
          <w:szCs w:val="24"/>
        </w:rPr>
        <w:t>客户投资风险承受能力评级结果（客户本人填写）：</w:t>
      </w:r>
      <w:r>
        <w:rPr>
          <w:rFonts w:ascii="仿宋_GB2312"/>
          <w:sz w:val="24"/>
          <w:szCs w:val="24"/>
          <w:u w:val="single"/>
        </w:rPr>
        <w:t xml:space="preserve">              </w:t>
      </w:r>
    </w:p>
    <w:p>
      <w:pPr>
        <w:spacing w:line="440" w:lineRule="exact"/>
        <w:rPr>
          <w:rFonts w:ascii="黑体" w:hAnsi="黑体" w:eastAsia="黑体"/>
          <w:b/>
          <w:sz w:val="18"/>
          <w:szCs w:val="18"/>
        </w:rPr>
      </w:pPr>
      <w:r>
        <w:rPr>
          <w:rFonts w:hint="eastAsia" w:ascii="黑体" w:hAnsi="黑体" w:eastAsia="黑体"/>
          <w:b/>
          <w:sz w:val="18"/>
          <w:szCs w:val="18"/>
        </w:rPr>
        <w:t>（如影响您风险承受能力的因素发生变化，请您再次购买理财产品时主动要求我行重新进行风险承受能力评估。）</w:t>
      </w:r>
    </w:p>
    <w:p>
      <w:pPr>
        <w:spacing w:line="440" w:lineRule="exact"/>
        <w:rPr>
          <w:rFonts w:ascii="仿宋_GB2312"/>
          <w:sz w:val="24"/>
          <w:szCs w:val="24"/>
        </w:rPr>
      </w:pPr>
      <w:r>
        <w:rPr>
          <w:rFonts w:ascii="仿宋_GB2312"/>
          <w:sz w:val="24"/>
          <w:szCs w:val="24"/>
        </w:rPr>
        <w:t>请您抄录以下语句：</w:t>
      </w:r>
      <w:r>
        <w:rPr>
          <w:rFonts w:ascii="仿宋_GB2312"/>
          <w:b/>
          <w:sz w:val="24"/>
          <w:szCs w:val="24"/>
        </w:rPr>
        <w:t>“本人已经阅读风险揭示，愿意承担投资风险。”</w:t>
      </w:r>
    </w:p>
    <w:p>
      <w:pPr>
        <w:spacing w:line="440" w:lineRule="exact"/>
        <w:rPr>
          <w:rFonts w:ascii="仿宋_GB2312" w:hAnsi="宋体" w:cs="宋体"/>
          <w:sz w:val="28"/>
          <w:szCs w:val="28"/>
        </w:rPr>
      </w:pPr>
      <w:r>
        <w:rPr>
          <w:rFonts w:ascii="仿宋_GB2312"/>
          <w:sz w:val="24"/>
          <w:szCs w:val="24"/>
        </w:rPr>
        <w:t>本人郑重声明：＿＿＿＿＿＿＿＿＿＿＿＿＿＿＿＿＿＿＿＿＿＿＿＿＿＿＿＿＿＿＿＿</w:t>
      </w:r>
    </w:p>
    <w:p>
      <w:pPr>
        <w:autoSpaceDE w:val="0"/>
        <w:ind w:right="1120"/>
        <w:rPr>
          <w:rFonts w:ascii="仿宋_GB2312"/>
          <w:szCs w:val="21"/>
        </w:rPr>
      </w:pPr>
      <w:r>
        <w:rPr>
          <w:rFonts w:ascii="仿宋_GB2312"/>
          <w:szCs w:val="21"/>
        </w:rPr>
        <w:t>客户签字：                            日期：</w:t>
      </w:r>
      <w:r>
        <w:rPr>
          <w:rFonts w:hint="eastAsia" w:ascii="仿宋_GB2312"/>
          <w:szCs w:val="21"/>
        </w:rPr>
        <w:t xml:space="preserve">  年  月  日</w:t>
      </w:r>
    </w:p>
    <w:p>
      <w:pPr>
        <w:rPr>
          <w:rFonts w:ascii="仿宋_GB2312"/>
          <w:szCs w:val="21"/>
        </w:rPr>
      </w:pPr>
    </w:p>
    <w:p>
      <w:pPr>
        <w:rPr>
          <w:rFonts w:ascii="黑体" w:hAnsi="黑体" w:eastAsia="黑体"/>
          <w:b/>
          <w:bCs/>
          <w:sz w:val="18"/>
          <w:szCs w:val="18"/>
        </w:rPr>
      </w:pPr>
      <w:r>
        <w:rPr>
          <w:rFonts w:ascii="仿宋_GB2312"/>
          <w:szCs w:val="21"/>
        </w:rPr>
        <w:t>银行签章：</w:t>
      </w:r>
      <w:r>
        <w:rPr>
          <w:rFonts w:hint="eastAsia" w:ascii="黑体" w:hAnsi="黑体" w:eastAsia="黑体"/>
          <w:b/>
          <w:bCs/>
          <w:sz w:val="18"/>
          <w:szCs w:val="18"/>
        </w:rPr>
        <w:t xml:space="preserve">                                </w:t>
      </w:r>
      <w:r>
        <w:rPr>
          <w:rFonts w:hint="eastAsia" w:ascii="仿宋_GB2312"/>
          <w:szCs w:val="21"/>
        </w:rPr>
        <w:t xml:space="preserve">销售人员：     </w:t>
      </w:r>
      <w:r>
        <w:rPr>
          <w:rFonts w:hint="eastAsia" w:ascii="黑体" w:hAnsi="黑体" w:eastAsia="黑体"/>
          <w:b/>
          <w:bCs/>
          <w:sz w:val="18"/>
          <w:szCs w:val="18"/>
        </w:rPr>
        <w:t xml:space="preserve">            风险提示方：天津银行股份有限公司</w:t>
      </w:r>
    </w:p>
    <w:p>
      <w:pPr>
        <w:spacing w:line="360" w:lineRule="auto"/>
        <w:jc w:val="center"/>
        <w:rPr>
          <w:rFonts w:ascii="宋体" w:hAnsi="宋体"/>
          <w:b/>
          <w:sz w:val="24"/>
          <w:szCs w:val="24"/>
        </w:rPr>
      </w:pPr>
      <w:r>
        <w:rPr>
          <w:rFonts w:hint="eastAsia" w:ascii="宋体" w:hAnsi="宋体"/>
          <w:b/>
          <w:sz w:val="24"/>
          <w:szCs w:val="24"/>
        </w:rPr>
        <w:t>客户权益须知</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尊敬的客户：</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一、客户购买理财产品的流程：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二、客户风险承受能力评估流程及评级。</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1.</w:t>
      </w:r>
      <w:r>
        <w:rPr>
          <w:rFonts w:hint="eastAsia"/>
        </w:rPr>
        <w:t xml:space="preserve"> </w:t>
      </w:r>
      <w:r>
        <w:rPr>
          <w:rFonts w:hint="eastAsia" w:ascii="黑体" w:hAnsi="宋体" w:eastAsia="黑体"/>
          <w:sz w:val="18"/>
          <w:szCs w:val="18"/>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w:t>
      </w:r>
      <w:r>
        <w:rPr>
          <w:rFonts w:hint="eastAsia"/>
        </w:rPr>
        <w:t xml:space="preserve"> </w:t>
      </w:r>
      <w:r>
        <w:rPr>
          <w:rFonts w:hint="eastAsia" w:ascii="黑体" w:hAnsi="宋体" w:eastAsia="黑体"/>
          <w:sz w:val="18"/>
          <w:szCs w:val="18"/>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rPr>
      </w:pPr>
      <w:r>
        <w:rPr>
          <w:rFonts w:hint="eastAsia" w:ascii="黑体" w:hAnsi="宋体" w:eastAsia="黑体"/>
          <w:b/>
          <w:sz w:val="18"/>
          <w:szCs w:val="18"/>
        </w:rPr>
        <w:t>3.</w:t>
      </w:r>
      <w:r>
        <w:rPr>
          <w:rFonts w:hint="eastAsia"/>
          <w:b/>
        </w:rPr>
        <w:t xml:space="preserve"> </w:t>
      </w:r>
      <w:r>
        <w:rPr>
          <w:rFonts w:hint="eastAsia" w:ascii="黑体" w:hAnsi="宋体" w:eastAsia="黑体"/>
          <w:b/>
          <w:sz w:val="18"/>
          <w:szCs w:val="18"/>
        </w:rPr>
        <w:t>根据投资者风险承受能力与理财产品风险等级相匹配的原则，您只能购买不超过自身风险承受能力的理财产品。</w:t>
      </w:r>
      <w:r>
        <w:rPr>
          <w:rFonts w:hint="eastAsia" w:ascii="黑体" w:hAnsi="宋体" w:eastAsia="黑体"/>
          <w:sz w:val="18"/>
          <w:szCs w:val="18"/>
        </w:rPr>
        <w:t>（详见下表）</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4.</w:t>
      </w:r>
      <w:r>
        <w:rPr>
          <w:rFonts w:hint="eastAsia"/>
        </w:rPr>
        <w:t xml:space="preserve"> </w:t>
      </w:r>
      <w:r>
        <w:rPr>
          <w:rFonts w:hint="eastAsia" w:ascii="黑体" w:hAnsi="宋体" w:eastAsia="黑体"/>
          <w:sz w:val="18"/>
          <w:szCs w:val="18"/>
        </w:rPr>
        <w:t>您如需购买中高风险（R4）以上理财产品，请到天津银行营业网点进行购买。</w:t>
      </w:r>
    </w:p>
    <w:p>
      <w:pPr>
        <w:adjustRightInd w:val="0"/>
        <w:snapToGrid w:val="0"/>
        <w:ind w:firstLine="420" w:firstLineChars="200"/>
        <w:rPr>
          <w:rFonts w:ascii="黑体" w:hAnsi="宋体" w:eastAsia="黑体"/>
          <w:sz w:val="18"/>
          <w:szCs w:val="18"/>
        </w:rPr>
      </w:pPr>
      <w:r>
        <mc:AlternateContent>
          <mc:Choice Requires="wps">
            <w:drawing>
              <wp:anchor distT="0" distB="0" distL="114300" distR="114300" simplePos="0" relativeHeight="251661312" behindDoc="0" locked="0" layoutInCell="1" allowOverlap="1">
                <wp:simplePos x="0" y="0"/>
                <wp:positionH relativeFrom="page">
                  <wp:posOffset>209550</wp:posOffset>
                </wp:positionH>
                <wp:positionV relativeFrom="paragraph">
                  <wp:posOffset>688340</wp:posOffset>
                </wp:positionV>
                <wp:extent cx="374015" cy="867410"/>
                <wp:effectExtent l="0" t="0" r="6985" b="8890"/>
                <wp:wrapNone/>
                <wp:docPr id="2" name="文本框 7"/>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wps:spPr>
                      <wps:txbx>
                        <w:txbxContent>
                          <w:p>
                            <w:pPr>
                              <w:jc w:val="left"/>
                            </w:pPr>
                            <w:r>
                              <w:rPr>
                                <w:rFonts w:asciiTheme="majorEastAsia" w:hAnsiTheme="majorEastAsia" w:eastAsiaTheme="majorEastAsia"/>
                              </w:rPr>
                              <w:t>2022.1</w:t>
                            </w:r>
                            <w:r>
                              <w:rPr>
                                <w:rFonts w:hint="eastAsia"/>
                              </w:rPr>
                              <w:t>版本</w:t>
                            </w:r>
                          </w:p>
                        </w:txbxContent>
                      </wps:txbx>
                      <wps:bodyPr vert="eaVert" upright="1"/>
                    </wps:wsp>
                  </a:graphicData>
                </a:graphic>
              </wp:anchor>
            </w:drawing>
          </mc:Choice>
          <mc:Fallback>
            <w:pict>
              <v:shape id="文本框 7" o:spid="_x0000_s1026" o:spt="202" type="#_x0000_t202" style="position:absolute;left:0pt;margin-left:16.5pt;margin-top:54.2pt;height:68.3pt;width:29.45pt;mso-position-horizontal-relative:page;z-index:251661312;mso-width-relative:page;mso-height-relative:page;" fillcolor="#FFFFFF" filled="t" stroked="f" coordsize="21600,21600" o:gfxdata="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XdlRHaAAAACQEAAA8AAAAAAAAAAQAg&#10;AAAAIgAAAGRycy9kb3ducmV2LnhtbFBLAQIUABQAAAAIAIdO4kBTmbZW0wEAAI0DAAAOAAAAAAAA&#10;AAEAIAAAACkBAABkcnMvZTJvRG9jLnhtbFBLBQYAAAAABgAGAFkBAABuBQAAAAA=&#10;">
                <v:fill on="t" focussize="0,0"/>
                <v:stroke on="f"/>
                <v:imagedata o:title=""/>
                <o:lock v:ext="edit" aspectratio="f"/>
                <v:textbox style="layout-flow:vertical-ideographic;">
                  <w:txbxContent>
                    <w:p>
                      <w:pPr>
                        <w:jc w:val="left"/>
                      </w:pPr>
                      <w:r>
                        <w:rPr>
                          <w:rFonts w:asciiTheme="majorEastAsia" w:hAnsiTheme="majorEastAsia" w:eastAsiaTheme="majorEastAsia"/>
                        </w:rPr>
                        <w:t>2022.1</w:t>
                      </w:r>
                      <w:r>
                        <w:rPr>
                          <w:rFonts w:hint="eastAsia"/>
                        </w:rPr>
                        <w:t>版本</w:t>
                      </w:r>
                    </w:p>
                  </w:txbxContent>
                </v:textbox>
              </v:shape>
            </w:pict>
          </mc:Fallback>
        </mc:AlternateContent>
      </w:r>
      <w:r>
        <w:rPr>
          <w:rFonts w:ascii="黑体" w:hAnsi="宋体" w:eastAsia="黑体"/>
          <w:sz w:val="18"/>
          <w:szCs w:val="18"/>
        </w:rPr>
        <w:t>5</w:t>
      </w:r>
      <w:r>
        <w:rPr>
          <w:rFonts w:hint="eastAsia" w:ascii="黑体" w:hAnsi="宋体" w:eastAsia="黑体"/>
          <w:sz w:val="18"/>
          <w:szCs w:val="18"/>
        </w:rPr>
        <w:t>.</w:t>
      </w:r>
      <w:r>
        <w:rPr>
          <w:rFonts w:hint="eastAsia"/>
        </w:rPr>
        <w:t xml:space="preserve"> </w:t>
      </w:r>
      <w:r>
        <w:rPr>
          <w:rFonts w:hint="eastAsia" w:ascii="黑体" w:hAnsi="宋体" w:eastAsia="黑体"/>
          <w:sz w:val="18"/>
          <w:szCs w:val="18"/>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0"/>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rPr>
            </w:pPr>
            <w:r>
              <w:rPr>
                <w:rFonts w:hint="eastAsia" w:ascii="黑体" w:hAnsi="宋体" w:eastAsia="黑体"/>
                <w:kern w:val="0"/>
                <w:sz w:val="13"/>
                <w:szCs w:val="13"/>
              </w:rPr>
              <w:t>产品风险情况</w:t>
            </w:r>
          </w:p>
          <w:p>
            <w:pPr>
              <w:adjustRightInd w:val="0"/>
              <w:snapToGrid w:val="0"/>
              <w:rPr>
                <w:rFonts w:ascii="黑体" w:hAnsi="宋体" w:eastAsia="黑体"/>
                <w:kern w:val="0"/>
                <w:sz w:val="13"/>
                <w:szCs w:val="13"/>
              </w:rPr>
            </w:pPr>
            <w:r>
              <w:rPr>
                <w:rFonts w:hint="eastAsia" w:ascii="黑体" w:hAnsi="宋体" w:eastAsia="黑体"/>
                <w:kern w:val="0"/>
                <w:sz w:val="13"/>
                <w:szCs w:val="13"/>
              </w:rPr>
              <w:t>客户</w:t>
            </w:r>
          </w:p>
          <w:p>
            <w:pPr>
              <w:adjustRightInd w:val="0"/>
              <w:snapToGrid w:val="0"/>
              <w:rPr>
                <w:rFonts w:ascii="黑体" w:hAnsi="宋体" w:eastAsia="黑体"/>
                <w:kern w:val="0"/>
                <w:sz w:val="13"/>
                <w:szCs w:val="13"/>
              </w:rPr>
            </w:pPr>
            <w:r>
              <w:rPr>
                <w:rFonts w:hint="eastAsia" w:ascii="黑体" w:hAnsi="宋体" w:eastAsia="黑体"/>
                <w:kern w:val="0"/>
                <w:sz w:val="13"/>
                <w:szCs w:val="13"/>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bl>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三、信息披露的方式、渠道和频率。</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四、因金融</w:t>
      </w:r>
      <w:r>
        <w:rPr>
          <w:rFonts w:ascii="黑体" w:hAnsi="宋体" w:eastAsia="黑体"/>
          <w:b/>
          <w:sz w:val="18"/>
          <w:szCs w:val="18"/>
        </w:rPr>
        <w:t>产品或者服务</w:t>
      </w:r>
      <w:r>
        <w:rPr>
          <w:rFonts w:hint="eastAsia" w:ascii="黑体" w:hAnsi="宋体" w:eastAsia="黑体"/>
          <w:b/>
          <w:sz w:val="18"/>
          <w:szCs w:val="18"/>
        </w:rPr>
        <w:t>产生</w:t>
      </w:r>
      <w:r>
        <w:rPr>
          <w:rFonts w:ascii="黑体" w:hAnsi="宋体" w:eastAsia="黑体"/>
          <w:b/>
          <w:sz w:val="18"/>
          <w:szCs w:val="18"/>
        </w:rPr>
        <w:t>纠纷的处理</w:t>
      </w:r>
      <w:r>
        <w:rPr>
          <w:rFonts w:hint="eastAsia" w:ascii="黑体" w:hAnsi="宋体" w:eastAsia="黑体"/>
          <w:b/>
          <w:sz w:val="18"/>
          <w:szCs w:val="18"/>
        </w:rPr>
        <w:t>及</w:t>
      </w:r>
      <w:r>
        <w:rPr>
          <w:rFonts w:ascii="黑体" w:hAnsi="宋体" w:eastAsia="黑体"/>
          <w:b/>
          <w:sz w:val="18"/>
          <w:szCs w:val="18"/>
        </w:rPr>
        <w:t>投诉途径</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五、天津银行联络方式及其他需要向客户说明的内容</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网址：www.bankoftianjin.com</w:t>
      </w:r>
    </w:p>
    <w:p>
      <w:pPr>
        <w:adjustRightInd w:val="0"/>
        <w:snapToGrid w:val="0"/>
        <w:ind w:firstLine="360" w:firstLineChars="200"/>
        <w:rPr>
          <w:rFonts w:ascii="黑体" w:hAnsi="宋体" w:eastAsia="黑体"/>
          <w:sz w:val="18"/>
          <w:szCs w:val="18"/>
        </w:rPr>
        <w:sectPr>
          <w:headerReference r:id="rId3" w:type="default"/>
          <w:footerReference r:id="rId4" w:type="default"/>
          <w:pgSz w:w="11906" w:h="16838"/>
          <w:pgMar w:top="794" w:right="794" w:bottom="794" w:left="794" w:header="851" w:footer="851" w:gutter="0"/>
          <w:cols w:space="425" w:num="1"/>
          <w:docGrid w:type="lines" w:linePitch="312" w:charSpace="0"/>
        </w:sectPr>
      </w:pPr>
      <w:r>
        <w:rPr>
          <w:rFonts w:hint="eastAsia" w:ascii="黑体" w:hAnsi="宋体" w:eastAsia="黑体"/>
          <w:sz w:val="18"/>
          <w:szCs w:val="18"/>
        </w:rPr>
        <w:t>24小时客户服务</w:t>
      </w:r>
      <w:r>
        <w:rPr>
          <w:rFonts w:ascii="黑体" w:hAnsi="宋体" w:eastAsia="黑体"/>
          <w:sz w:val="18"/>
          <w:szCs w:val="18"/>
        </w:rPr>
        <w:t>热线</w:t>
      </w:r>
      <w:r>
        <w:rPr>
          <w:rFonts w:hint="eastAsia" w:ascii="黑体" w:hAnsi="宋体" w:eastAsia="黑体"/>
          <w:sz w:val="18"/>
          <w:szCs w:val="18"/>
        </w:rPr>
        <w:t>：</w:t>
      </w:r>
      <w:r>
        <w:rPr>
          <w:rFonts w:ascii="黑体" w:hAnsi="宋体" w:eastAsia="黑体"/>
          <w:sz w:val="18"/>
          <w:szCs w:val="18"/>
        </w:rPr>
        <w:t>956056</w:t>
      </w:r>
    </w:p>
    <w:p>
      <w:pPr>
        <w:ind w:left="-178" w:leftChars="-85" w:right="-120" w:rightChars="-57"/>
        <w:jc w:val="center"/>
        <w:rPr>
          <w:rFonts w:ascii="仿宋" w:hAnsi="仿宋" w:eastAsia="仿宋"/>
          <w:b/>
          <w:kern w:val="0"/>
          <w:sz w:val="32"/>
          <w:szCs w:val="32"/>
        </w:rPr>
      </w:pPr>
      <w:r>
        <w:rPr>
          <w:rFonts w:hint="eastAsia" w:ascii="仿宋" w:hAnsi="仿宋" w:eastAsia="仿宋"/>
          <w:b/>
          <w:kern w:val="0"/>
          <w:sz w:val="32"/>
          <w:szCs w:val="32"/>
          <w:lang w:val="en-US" w:eastAsia="zh-CN"/>
        </w:rPr>
        <w:t>2024年</w:t>
      </w:r>
      <w:r>
        <w:rPr>
          <w:rFonts w:hint="eastAsia" w:ascii="仿宋" w:hAnsi="仿宋" w:eastAsia="仿宋"/>
          <w:b/>
          <w:kern w:val="0"/>
          <w:sz w:val="32"/>
          <w:szCs w:val="32"/>
          <w:lang w:eastAsia="zh-CN"/>
        </w:rPr>
        <w:t>港湾财富330期</w:t>
      </w:r>
      <w:r>
        <w:rPr>
          <w:rFonts w:hint="eastAsia" w:ascii="仿宋" w:hAnsi="仿宋" w:eastAsia="仿宋"/>
          <w:b/>
          <w:kern w:val="0"/>
          <w:sz w:val="32"/>
          <w:szCs w:val="32"/>
        </w:rPr>
        <w:t>封闭式净值型理财</w:t>
      </w:r>
      <w:r>
        <w:rPr>
          <w:rFonts w:ascii="仿宋" w:hAnsi="仿宋" w:eastAsia="仿宋"/>
          <w:b/>
          <w:kern w:val="0"/>
          <w:sz w:val="32"/>
          <w:szCs w:val="32"/>
        </w:rPr>
        <w:t>产品说明书</w:t>
      </w:r>
    </w:p>
    <w:p>
      <w:pPr>
        <w:ind w:left="-178" w:leftChars="-85" w:right="-120" w:rightChars="-57"/>
        <w:jc w:val="center"/>
        <w:rPr>
          <w:rFonts w:ascii="仿宋" w:hAnsi="仿宋" w:eastAsia="仿宋"/>
          <w:b/>
          <w:kern w:val="0"/>
          <w:sz w:val="28"/>
          <w:szCs w:val="28"/>
        </w:rPr>
      </w:pPr>
      <w:r>
        <w:rPr>
          <w:rFonts w:hint="eastAsia" w:ascii="仿宋" w:hAnsi="仿宋" w:eastAsia="仿宋"/>
          <w:b/>
          <w:sz w:val="24"/>
        </w:rPr>
        <w:t>理财非存款 产品有风险 投资须谨慎</w:t>
      </w:r>
    </w:p>
    <w:tbl>
      <w:tblPr>
        <w:tblStyle w:val="9"/>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951" w:type="dxa"/>
            <w:vAlign w:val="center"/>
          </w:tcPr>
          <w:p>
            <w:pPr>
              <w:jc w:val="center"/>
              <w:rPr>
                <w:rFonts w:ascii="仿宋" w:hAnsi="仿宋" w:eastAsia="仿宋"/>
                <w:sz w:val="24"/>
                <w:szCs w:val="24"/>
              </w:rPr>
            </w:pPr>
            <w:r>
              <w:rPr>
                <w:rFonts w:hint="eastAsia" w:ascii="仿宋" w:hAnsi="仿宋" w:eastAsia="仿宋"/>
                <w:b/>
                <w:kern w:val="0"/>
                <w:sz w:val="24"/>
                <w:szCs w:val="24"/>
              </w:rPr>
              <w:t>产品名称</w:t>
            </w:r>
          </w:p>
        </w:tc>
        <w:tc>
          <w:tcPr>
            <w:tcW w:w="1961" w:type="dxa"/>
            <w:gridSpan w:val="3"/>
            <w:vAlign w:val="center"/>
          </w:tcPr>
          <w:p>
            <w:pPr>
              <w:jc w:val="center"/>
              <w:rPr>
                <w:rFonts w:ascii="仿宋" w:hAnsi="仿宋" w:eastAsia="仿宋"/>
                <w:kern w:val="0"/>
                <w:szCs w:val="21"/>
              </w:rPr>
            </w:pPr>
            <w:r>
              <w:rPr>
                <w:rFonts w:hint="eastAsia" w:ascii="仿宋" w:hAnsi="仿宋" w:eastAsia="仿宋"/>
                <w:color w:val="000000"/>
                <w:kern w:val="0"/>
                <w:szCs w:val="21"/>
                <w:highlight w:val="none"/>
                <w:lang w:eastAsia="zh-CN"/>
              </w:rPr>
              <w:t>2024港湾财富330期-B</w:t>
            </w:r>
          </w:p>
        </w:tc>
        <w:tc>
          <w:tcPr>
            <w:tcW w:w="1785"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产品币种</w:t>
            </w:r>
          </w:p>
          <w:p>
            <w:pPr>
              <w:jc w:val="center"/>
              <w:rPr>
                <w:rFonts w:ascii="仿宋" w:hAnsi="仿宋" w:eastAsia="仿宋"/>
                <w:b/>
                <w:kern w:val="0"/>
                <w:sz w:val="24"/>
                <w:szCs w:val="24"/>
              </w:rPr>
            </w:pPr>
            <w:r>
              <w:rPr>
                <w:rFonts w:hint="eastAsia" w:ascii="仿宋" w:hAnsi="仿宋" w:eastAsia="仿宋"/>
                <w:b/>
                <w:kern w:val="0"/>
                <w:sz w:val="24"/>
                <w:szCs w:val="24"/>
              </w:rPr>
              <w:t>类型及流动性</w:t>
            </w:r>
          </w:p>
        </w:tc>
        <w:tc>
          <w:tcPr>
            <w:tcW w:w="4711" w:type="dxa"/>
            <w:gridSpan w:val="4"/>
            <w:vAlign w:val="center"/>
          </w:tcPr>
          <w:p>
            <w:pPr>
              <w:jc w:val="center"/>
              <w:rPr>
                <w:rFonts w:ascii="仿宋" w:hAnsi="仿宋" w:eastAsia="仿宋"/>
                <w:kern w:val="0"/>
                <w:szCs w:val="21"/>
              </w:rPr>
            </w:pPr>
            <w:r>
              <w:rPr>
                <w:rFonts w:hint="eastAsia" w:ascii="仿宋" w:hAnsi="仿宋" w:eastAsia="仿宋"/>
                <w:kern w:val="0"/>
                <w:szCs w:val="21"/>
              </w:rPr>
              <w:t>人民币</w:t>
            </w:r>
          </w:p>
          <w:p>
            <w:pPr>
              <w:jc w:val="center"/>
              <w:rPr>
                <w:rFonts w:ascii="仿宋" w:hAnsi="仿宋" w:eastAsia="仿宋"/>
                <w:kern w:val="0"/>
                <w:szCs w:val="21"/>
                <w:u w:val="wave"/>
              </w:rPr>
            </w:pPr>
            <w:r>
              <w:rPr>
                <w:rFonts w:hint="eastAsia" w:ascii="仿宋" w:hAnsi="仿宋" w:eastAsia="仿宋"/>
                <w:kern w:val="0"/>
                <w:szCs w:val="21"/>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产品编号</w:t>
            </w:r>
          </w:p>
        </w:tc>
        <w:tc>
          <w:tcPr>
            <w:tcW w:w="1961" w:type="dxa"/>
            <w:gridSpan w:val="3"/>
            <w:vAlign w:val="center"/>
          </w:tcPr>
          <w:p>
            <w:pPr>
              <w:jc w:val="center"/>
              <w:rPr>
                <w:rFonts w:hint="default" w:ascii="仿宋" w:hAnsi="仿宋" w:eastAsia="仿宋"/>
                <w:color w:val="000000"/>
                <w:kern w:val="0"/>
                <w:szCs w:val="21"/>
                <w:lang w:val="en-US"/>
              </w:rPr>
            </w:pPr>
            <w:r>
              <w:rPr>
                <w:rFonts w:hint="eastAsia" w:ascii="仿宋" w:hAnsi="仿宋" w:eastAsia="仿宋"/>
                <w:color w:val="000000"/>
                <w:kern w:val="0"/>
                <w:szCs w:val="21"/>
                <w:highlight w:val="none"/>
                <w:lang w:eastAsia="zh-CN"/>
              </w:rPr>
              <w:t>2024GW330B</w:t>
            </w:r>
          </w:p>
        </w:tc>
        <w:tc>
          <w:tcPr>
            <w:tcW w:w="1785"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产品登记编码</w:t>
            </w:r>
          </w:p>
        </w:tc>
        <w:tc>
          <w:tcPr>
            <w:tcW w:w="4711" w:type="dxa"/>
            <w:gridSpan w:val="4"/>
            <w:vAlign w:val="center"/>
          </w:tcPr>
          <w:p>
            <w:pPr>
              <w:jc w:val="center"/>
              <w:rPr>
                <w:rFonts w:hint="default" w:ascii="仿宋" w:hAnsi="仿宋" w:eastAsia="仿宋"/>
                <w:bCs/>
                <w:color w:val="000000"/>
                <w:szCs w:val="21"/>
                <w:highlight w:val="yellow"/>
                <w:lang w:val="en-US"/>
              </w:rPr>
            </w:pPr>
            <w:r>
              <w:rPr>
                <w:rFonts w:hint="eastAsia" w:ascii="仿宋" w:hAnsi="仿宋" w:eastAsia="仿宋"/>
                <w:bCs/>
                <w:color w:val="000000"/>
                <w:szCs w:val="21"/>
                <w:highlight w:val="none"/>
                <w:lang w:eastAsia="zh-CN"/>
              </w:rPr>
              <w:t>C1080324000595</w:t>
            </w:r>
          </w:p>
          <w:p>
            <w:pPr>
              <w:jc w:val="center"/>
              <w:rPr>
                <w:rFonts w:ascii="仿宋" w:hAnsi="仿宋" w:eastAsia="仿宋"/>
                <w:kern w:val="0"/>
                <w:szCs w:val="21"/>
              </w:rPr>
            </w:pPr>
            <w:r>
              <w:rPr>
                <w:rFonts w:hint="eastAsia" w:eastAsia="仿宋_GB2312"/>
                <w:szCs w:val="16"/>
              </w:rPr>
              <w:t>可登陆中国理财网</w:t>
            </w:r>
            <w:r>
              <w:rPr>
                <w:rFonts w:eastAsia="仿宋_GB2312"/>
                <w:szCs w:val="16"/>
              </w:rPr>
              <w:t>www.chinawealth.com.cn</w:t>
            </w:r>
            <w:r>
              <w:rPr>
                <w:rFonts w:hint="eastAsia" w:eastAsia="仿宋_GB2312"/>
                <w:szCs w:val="16"/>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jc w:val="center"/>
              <w:rPr>
                <w:rFonts w:ascii="仿宋" w:hAnsi="仿宋" w:eastAsia="仿宋"/>
                <w:b/>
                <w:kern w:val="0"/>
                <w:sz w:val="24"/>
                <w:szCs w:val="24"/>
              </w:rPr>
            </w:pPr>
            <w:r>
              <w:rPr>
                <w:rFonts w:hint="eastAsia" w:ascii="仿宋_GB2312" w:eastAsia="仿宋_GB2312"/>
                <w:b/>
                <w:kern w:val="0"/>
                <w:sz w:val="24"/>
                <w:szCs w:val="24"/>
              </w:rPr>
              <w:t>募集</w:t>
            </w:r>
            <w:r>
              <w:rPr>
                <w:rFonts w:ascii="仿宋_GB2312" w:eastAsia="仿宋_GB2312"/>
                <w:b/>
                <w:kern w:val="0"/>
                <w:sz w:val="24"/>
                <w:szCs w:val="24"/>
              </w:rPr>
              <w:t>方式</w:t>
            </w:r>
          </w:p>
        </w:tc>
        <w:tc>
          <w:tcPr>
            <w:tcW w:w="8457" w:type="dxa"/>
            <w:gridSpan w:val="8"/>
            <w:vAlign w:val="center"/>
          </w:tcPr>
          <w:p>
            <w:pPr>
              <w:jc w:val="center"/>
              <w:rPr>
                <w:rFonts w:ascii="仿宋" w:hAnsi="仿宋" w:eastAsia="仿宋"/>
                <w:bCs/>
                <w:color w:val="000000"/>
                <w:szCs w:val="21"/>
              </w:rPr>
            </w:pPr>
            <w:r>
              <w:rPr>
                <w:rFonts w:hint="eastAsia" w:ascii="仿宋" w:hAnsi="仿宋" w:eastAsia="仿宋"/>
                <w:bCs/>
                <w:color w:val="000000"/>
                <w:szCs w:val="21"/>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产品风险等级</w:t>
            </w:r>
          </w:p>
          <w:p>
            <w:pPr>
              <w:jc w:val="center"/>
              <w:rPr>
                <w:rFonts w:ascii="仿宋" w:hAnsi="仿宋" w:eastAsia="仿宋"/>
                <w:b/>
                <w:kern w:val="0"/>
                <w:sz w:val="24"/>
                <w:szCs w:val="24"/>
              </w:rPr>
            </w:pPr>
            <w:r>
              <w:rPr>
                <w:rFonts w:hint="eastAsia" w:ascii="仿宋" w:hAnsi="仿宋" w:eastAsia="仿宋"/>
                <w:b/>
                <w:kern w:val="0"/>
                <w:sz w:val="24"/>
                <w:szCs w:val="24"/>
              </w:rPr>
              <w:t>及适合客户</w:t>
            </w:r>
          </w:p>
        </w:tc>
        <w:tc>
          <w:tcPr>
            <w:tcW w:w="8457" w:type="dxa"/>
            <w:gridSpan w:val="8"/>
            <w:vAlign w:val="center"/>
          </w:tcPr>
          <w:p>
            <w:pPr>
              <w:rPr>
                <w:rFonts w:ascii="仿宋" w:hAnsi="仿宋" w:eastAsia="仿宋"/>
                <w:kern w:val="0"/>
                <w:szCs w:val="21"/>
              </w:rPr>
            </w:pPr>
            <w:r>
              <w:rPr>
                <w:rFonts w:hint="eastAsia" w:ascii="仿宋" w:hAnsi="仿宋" w:eastAsia="仿宋"/>
                <w:kern w:val="0"/>
                <w:szCs w:val="21"/>
              </w:rPr>
              <w:t>本产品内部评价为</w:t>
            </w:r>
            <w:r>
              <w:rPr>
                <w:rFonts w:hint="eastAsia" w:ascii="仿宋" w:hAnsi="仿宋" w:eastAsia="仿宋"/>
                <w:kern w:val="0"/>
                <w:szCs w:val="21"/>
                <w:lang w:eastAsia="zh-CN"/>
              </w:rPr>
              <w:t>R2</w:t>
            </w:r>
            <w:r>
              <w:rPr>
                <w:rFonts w:hint="eastAsia" w:ascii="仿宋" w:hAnsi="仿宋" w:eastAsia="仿宋"/>
                <w:kern w:val="0"/>
                <w:szCs w:val="21"/>
              </w:rPr>
              <w:t>(</w:t>
            </w:r>
            <w:r>
              <w:rPr>
                <w:rFonts w:hint="eastAsia" w:ascii="仿宋" w:hAnsi="仿宋" w:eastAsia="仿宋"/>
                <w:kern w:val="0"/>
                <w:szCs w:val="21"/>
                <w:lang w:val="en-US" w:eastAsia="zh-CN"/>
              </w:rPr>
              <w:t>中低</w:t>
            </w:r>
            <w:r>
              <w:rPr>
                <w:rFonts w:hint="eastAsia" w:ascii="仿宋" w:hAnsi="仿宋" w:eastAsia="仿宋"/>
                <w:kern w:val="0"/>
                <w:szCs w:val="21"/>
              </w:rPr>
              <w:t>风险)</w:t>
            </w:r>
            <w:r>
              <w:rPr>
                <w:rFonts w:hint="eastAsia" w:ascii="仿宋" w:hAnsi="仿宋" w:eastAsia="仿宋"/>
                <w:kern w:val="0"/>
                <w:szCs w:val="21"/>
                <w:lang w:val="en-US" w:eastAsia="zh-CN"/>
              </w:rPr>
              <w:t>级别</w:t>
            </w:r>
            <w:r>
              <w:rPr>
                <w:rFonts w:hint="eastAsia" w:ascii="仿宋" w:hAnsi="仿宋" w:eastAsia="仿宋"/>
                <w:kern w:val="0"/>
                <w:szCs w:val="21"/>
              </w:rPr>
              <w:t>，适合谨慎型、稳健型、进取型和激进型型客户认购。</w:t>
            </w:r>
          </w:p>
          <w:p>
            <w:pPr>
              <w:rPr>
                <w:rFonts w:ascii="仿宋" w:hAnsi="仿宋" w:eastAsia="仿宋"/>
                <w:kern w:val="0"/>
                <w:szCs w:val="21"/>
              </w:rPr>
            </w:pPr>
            <w:r>
              <w:rPr>
                <w:rFonts w:hint="eastAsia" w:ascii="仿宋" w:hAnsi="仿宋" w:eastAsia="仿宋"/>
                <w:b/>
                <w:kern w:val="0"/>
                <w:szCs w:val="21"/>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产品规模及认购起点</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Cs/>
                <w:szCs w:val="21"/>
              </w:rPr>
              <w:t>初始计划发行量</w:t>
            </w:r>
            <w:r>
              <w:rPr>
                <w:rFonts w:hint="eastAsia" w:ascii="仿宋" w:hAnsi="仿宋" w:eastAsia="仿宋"/>
                <w:bCs/>
                <w:szCs w:val="21"/>
                <w:highlight w:val="none"/>
                <w:lang w:val="en-US" w:eastAsia="zh-CN"/>
              </w:rPr>
              <w:t>1亿</w:t>
            </w:r>
            <w:r>
              <w:rPr>
                <w:rFonts w:hint="eastAsia" w:ascii="仿宋" w:hAnsi="仿宋" w:eastAsia="仿宋"/>
                <w:bCs/>
                <w:szCs w:val="21"/>
              </w:rPr>
              <w:t>元，天津银行有权根据实际情况进行调整，本产品最终发行规模以实际发行金额为准。</w:t>
            </w:r>
          </w:p>
          <w:p>
            <w:pPr>
              <w:spacing w:line="240" w:lineRule="exact"/>
              <w:rPr>
                <w:rFonts w:ascii="仿宋" w:hAnsi="仿宋" w:eastAsia="仿宋"/>
                <w:bCs/>
                <w:szCs w:val="21"/>
              </w:rPr>
            </w:pPr>
            <w:r>
              <w:rPr>
                <w:rFonts w:hint="eastAsia" w:ascii="仿宋" w:hAnsi="仿宋" w:eastAsia="仿宋"/>
                <w:bCs/>
                <w:szCs w:val="21"/>
              </w:rPr>
              <w:t>首次认购起点金额</w:t>
            </w:r>
            <w:r>
              <w:rPr>
                <w:rFonts w:hint="eastAsia" w:ascii="仿宋" w:hAnsi="仿宋" w:eastAsia="仿宋"/>
                <w:bCs/>
                <w:szCs w:val="21"/>
                <w:lang w:val="en-US" w:eastAsia="zh-CN"/>
              </w:rPr>
              <w:t>1万</w:t>
            </w:r>
            <w:r>
              <w:rPr>
                <w:rFonts w:hint="eastAsia" w:ascii="仿宋" w:hAnsi="仿宋" w:eastAsia="仿宋"/>
                <w:bCs/>
                <w:szCs w:val="21"/>
              </w:rPr>
              <w:t>元，高于起点金额以</w:t>
            </w:r>
            <w:r>
              <w:rPr>
                <w:rFonts w:hint="eastAsia" w:ascii="仿宋" w:hAnsi="仿宋" w:eastAsia="仿宋"/>
                <w:bCs/>
                <w:szCs w:val="21"/>
                <w:lang w:val="en-US" w:eastAsia="zh-CN"/>
              </w:rPr>
              <w:t>1000</w:t>
            </w:r>
            <w:r>
              <w:rPr>
                <w:rFonts w:hint="eastAsia" w:ascii="仿宋" w:hAnsi="仿宋" w:eastAsia="仿宋"/>
                <w:bCs/>
                <w:szCs w:val="21"/>
              </w:rPr>
              <w:t>元整数倍递增；追加投资时，追加申购金额按照</w:t>
            </w:r>
            <w:r>
              <w:rPr>
                <w:rFonts w:hint="eastAsia" w:ascii="仿宋" w:hAnsi="仿宋" w:eastAsia="仿宋"/>
                <w:bCs/>
                <w:szCs w:val="21"/>
                <w:lang w:val="en-US" w:eastAsia="zh-CN"/>
              </w:rPr>
              <w:t>1000</w:t>
            </w:r>
            <w:r>
              <w:rPr>
                <w:rFonts w:hint="eastAsia" w:ascii="仿宋" w:hAnsi="仿宋" w:eastAsia="仿宋"/>
                <w:bCs/>
                <w:szCs w:val="21"/>
              </w:rPr>
              <w:t>元的整数倍递增。</w:t>
            </w:r>
          </w:p>
          <w:p>
            <w:pPr>
              <w:spacing w:line="240" w:lineRule="exact"/>
              <w:rPr>
                <w:rFonts w:ascii="仿宋" w:hAnsi="仿宋" w:eastAsia="仿宋"/>
                <w:kern w:val="0"/>
                <w:szCs w:val="21"/>
              </w:rPr>
            </w:pPr>
            <w:r>
              <w:rPr>
                <w:rFonts w:hint="eastAsia" w:ascii="仿宋" w:hAnsi="仿宋" w:eastAsia="仿宋"/>
                <w:bCs/>
                <w:szCs w:val="21"/>
              </w:rPr>
              <w:t>如果产品募集期结束前认购规模达到</w:t>
            </w:r>
            <w:r>
              <w:rPr>
                <w:rFonts w:hint="eastAsia" w:ascii="仿宋" w:hAnsi="仿宋" w:eastAsia="仿宋"/>
                <w:bCs/>
                <w:szCs w:val="21"/>
                <w:highlight w:val="none"/>
                <w:lang w:val="en-US" w:eastAsia="zh-CN"/>
              </w:rPr>
              <w:t>1亿</w:t>
            </w:r>
            <w:r>
              <w:rPr>
                <w:rFonts w:hint="eastAsia" w:ascii="仿宋" w:hAnsi="仿宋" w:eastAsia="仿宋"/>
                <w:bCs/>
                <w:szCs w:val="21"/>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restart"/>
            <w:vAlign w:val="center"/>
          </w:tcPr>
          <w:p>
            <w:pPr>
              <w:jc w:val="center"/>
              <w:rPr>
                <w:rFonts w:ascii="仿宋" w:hAnsi="仿宋" w:eastAsia="仿宋"/>
                <w:b/>
                <w:kern w:val="0"/>
                <w:sz w:val="24"/>
                <w:szCs w:val="24"/>
              </w:rPr>
            </w:pPr>
            <w:r>
              <w:rPr>
                <w:rFonts w:hint="eastAsia" w:ascii="仿宋" w:hAnsi="仿宋" w:eastAsia="仿宋"/>
                <w:b/>
                <w:kern w:val="0"/>
                <w:sz w:val="24"/>
                <w:szCs w:val="24"/>
              </w:rPr>
              <w:t>名词</w:t>
            </w:r>
            <w:r>
              <w:rPr>
                <w:rFonts w:ascii="仿宋" w:hAnsi="仿宋" w:eastAsia="仿宋"/>
                <w:b/>
                <w:kern w:val="0"/>
                <w:sz w:val="24"/>
                <w:szCs w:val="24"/>
              </w:rPr>
              <w:t>解释</w:t>
            </w:r>
          </w:p>
        </w:tc>
        <w:tc>
          <w:tcPr>
            <w:tcW w:w="3831" w:type="dxa"/>
            <w:gridSpan w:val="6"/>
            <w:vAlign w:val="center"/>
          </w:tcPr>
          <w:p>
            <w:pPr>
              <w:spacing w:line="240" w:lineRule="exact"/>
              <w:rPr>
                <w:rFonts w:ascii="仿宋" w:hAnsi="仿宋" w:eastAsia="仿宋"/>
                <w:bCs/>
                <w:szCs w:val="21"/>
              </w:rPr>
            </w:pPr>
            <w:r>
              <w:rPr>
                <w:rFonts w:hint="eastAsia" w:ascii="仿宋" w:hAnsi="仿宋" w:eastAsia="仿宋"/>
                <w:bCs/>
                <w:szCs w:val="21"/>
              </w:rPr>
              <w:t>募集期：投资者认购产品的时间段。</w:t>
            </w:r>
          </w:p>
        </w:tc>
        <w:tc>
          <w:tcPr>
            <w:tcW w:w="4626" w:type="dxa"/>
            <w:gridSpan w:val="2"/>
            <w:vAlign w:val="center"/>
          </w:tcPr>
          <w:p>
            <w:pPr>
              <w:spacing w:line="240" w:lineRule="exact"/>
              <w:rPr>
                <w:rFonts w:ascii="仿宋" w:hAnsi="仿宋" w:eastAsia="仿宋"/>
                <w:bCs/>
                <w:szCs w:val="21"/>
              </w:rPr>
            </w:pPr>
            <w:r>
              <w:rPr>
                <w:rFonts w:hint="eastAsia" w:ascii="仿宋" w:hAnsi="仿宋" w:eastAsia="仿宋"/>
                <w:bCs/>
                <w:szCs w:val="21"/>
              </w:rPr>
              <w:t>产品成立日</w:t>
            </w:r>
            <w:r>
              <w:rPr>
                <w:rFonts w:ascii="仿宋" w:hAnsi="仿宋" w:eastAsia="仿宋"/>
                <w:bCs/>
                <w:szCs w:val="21"/>
              </w:rPr>
              <w:t>：</w:t>
            </w:r>
            <w:r>
              <w:rPr>
                <w:rFonts w:hint="eastAsia" w:ascii="仿宋" w:hAnsi="仿宋" w:eastAsia="仿宋"/>
                <w:bCs/>
                <w:szCs w:val="21"/>
              </w:rPr>
              <w:t>产品开始</w:t>
            </w:r>
            <w:r>
              <w:rPr>
                <w:rFonts w:ascii="仿宋" w:hAnsi="仿宋" w:eastAsia="仿宋"/>
                <w:bCs/>
                <w:szCs w:val="21"/>
              </w:rPr>
              <w:t>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continue"/>
            <w:vAlign w:val="center"/>
          </w:tcPr>
          <w:p>
            <w:pPr>
              <w:jc w:val="center"/>
              <w:rPr>
                <w:rFonts w:ascii="仿宋" w:hAnsi="仿宋" w:eastAsia="仿宋"/>
                <w:b/>
                <w:kern w:val="0"/>
                <w:sz w:val="24"/>
                <w:szCs w:val="24"/>
              </w:rPr>
            </w:pPr>
          </w:p>
        </w:tc>
        <w:tc>
          <w:tcPr>
            <w:tcW w:w="8457" w:type="dxa"/>
            <w:gridSpan w:val="8"/>
            <w:vAlign w:val="center"/>
          </w:tcPr>
          <w:p>
            <w:pPr>
              <w:spacing w:line="240" w:lineRule="exact"/>
              <w:rPr>
                <w:rFonts w:ascii="仿宋" w:hAnsi="仿宋" w:eastAsia="仿宋"/>
                <w:bCs/>
                <w:szCs w:val="21"/>
              </w:rPr>
            </w:pPr>
            <w:r>
              <w:rPr>
                <w:rFonts w:hint="eastAsia" w:ascii="仿宋" w:hAnsi="仿宋" w:eastAsia="仿宋"/>
                <w:bCs/>
                <w:szCs w:val="21"/>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jc w:val="center"/>
              <w:rPr>
                <w:rFonts w:ascii="仿宋" w:hAnsi="仿宋" w:eastAsia="仿宋"/>
                <w:b/>
                <w:kern w:val="0"/>
                <w:sz w:val="24"/>
                <w:szCs w:val="24"/>
              </w:rPr>
            </w:pPr>
            <w:r>
              <w:rPr>
                <w:rFonts w:hint="eastAsia" w:ascii="仿宋" w:hAnsi="仿宋" w:eastAsia="仿宋"/>
                <w:b/>
                <w:kern w:val="0"/>
                <w:sz w:val="24"/>
                <w:szCs w:val="24"/>
              </w:rPr>
              <w:t>产品期限</w:t>
            </w:r>
          </w:p>
        </w:tc>
        <w:tc>
          <w:tcPr>
            <w:tcW w:w="1599" w:type="dxa"/>
            <w:vAlign w:val="center"/>
          </w:tcPr>
          <w:p>
            <w:pPr>
              <w:rPr>
                <w:rFonts w:ascii="仿宋" w:hAnsi="仿宋" w:eastAsia="仿宋"/>
                <w:b/>
                <w:kern w:val="0"/>
                <w:sz w:val="24"/>
                <w:szCs w:val="24"/>
              </w:rPr>
            </w:pPr>
            <w:r>
              <w:rPr>
                <w:rFonts w:hint="eastAsia" w:ascii="仿宋" w:hAnsi="仿宋" w:eastAsia="仿宋"/>
                <w:b/>
                <w:kern w:val="0"/>
                <w:sz w:val="24"/>
                <w:szCs w:val="24"/>
              </w:rPr>
              <w:t xml:space="preserve">募集期 </w:t>
            </w:r>
          </w:p>
        </w:tc>
        <w:tc>
          <w:tcPr>
            <w:tcW w:w="6858" w:type="dxa"/>
            <w:gridSpan w:val="7"/>
            <w:vAlign w:val="center"/>
          </w:tcPr>
          <w:p>
            <w:pPr>
              <w:jc w:val="center"/>
              <w:rPr>
                <w:rFonts w:ascii="仿宋" w:hAnsi="仿宋" w:eastAsia="仿宋"/>
                <w:kern w:val="0"/>
                <w:szCs w:val="21"/>
              </w:rPr>
            </w:pPr>
            <w:r>
              <w:rPr>
                <w:rFonts w:hint="eastAsia" w:ascii="仿宋" w:hAnsi="仿宋" w:eastAsia="仿宋"/>
                <w:szCs w:val="21"/>
                <w:highlight w:val="none"/>
                <w:lang w:eastAsia="zh-CN"/>
              </w:rPr>
              <w:t>2024年11月12日起至2024年11月18日止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951" w:type="dxa"/>
            <w:vMerge w:val="continue"/>
            <w:vAlign w:val="center"/>
          </w:tcPr>
          <w:p>
            <w:pPr>
              <w:jc w:val="center"/>
              <w:rPr>
                <w:rFonts w:ascii="仿宋" w:hAnsi="仿宋" w:eastAsia="仿宋"/>
                <w:b/>
                <w:kern w:val="0"/>
                <w:sz w:val="24"/>
                <w:szCs w:val="24"/>
              </w:rPr>
            </w:pPr>
          </w:p>
        </w:tc>
        <w:tc>
          <w:tcPr>
            <w:tcW w:w="1599" w:type="dxa"/>
            <w:vAlign w:val="center"/>
          </w:tcPr>
          <w:p>
            <w:pPr>
              <w:rPr>
                <w:rFonts w:ascii="仿宋" w:hAnsi="仿宋" w:eastAsia="仿宋"/>
                <w:b/>
                <w:sz w:val="24"/>
                <w:szCs w:val="24"/>
              </w:rPr>
            </w:pPr>
            <w:r>
              <w:rPr>
                <w:rFonts w:hint="eastAsia" w:ascii="仿宋" w:hAnsi="仿宋" w:eastAsia="仿宋"/>
                <w:b/>
                <w:sz w:val="24"/>
                <w:szCs w:val="24"/>
              </w:rPr>
              <w:t>产品成立日</w:t>
            </w:r>
          </w:p>
        </w:tc>
        <w:tc>
          <w:tcPr>
            <w:tcW w:w="2183" w:type="dxa"/>
            <w:gridSpan w:val="4"/>
            <w:vAlign w:val="center"/>
          </w:tcPr>
          <w:p>
            <w:pPr>
              <w:jc w:val="left"/>
              <w:rPr>
                <w:rFonts w:ascii="仿宋" w:hAnsi="仿宋" w:eastAsia="仿宋"/>
                <w:szCs w:val="21"/>
              </w:rPr>
            </w:pPr>
            <w:r>
              <w:rPr>
                <w:rFonts w:hint="eastAsia" w:ascii="仿宋" w:hAnsi="仿宋" w:eastAsia="仿宋"/>
                <w:szCs w:val="21"/>
                <w:highlight w:val="none"/>
                <w:lang w:eastAsia="zh-CN"/>
              </w:rPr>
              <w:t>2024年11月19日</w:t>
            </w:r>
          </w:p>
        </w:tc>
        <w:tc>
          <w:tcPr>
            <w:tcW w:w="1503" w:type="dxa"/>
            <w:gridSpan w:val="2"/>
            <w:vAlign w:val="center"/>
          </w:tcPr>
          <w:p>
            <w:pPr>
              <w:rPr>
                <w:rFonts w:ascii="仿宋" w:hAnsi="仿宋" w:eastAsia="仿宋"/>
                <w:b/>
                <w:sz w:val="24"/>
                <w:szCs w:val="24"/>
              </w:rPr>
            </w:pPr>
            <w:r>
              <w:rPr>
                <w:rFonts w:hint="eastAsia" w:ascii="仿宋" w:hAnsi="仿宋" w:eastAsia="仿宋"/>
                <w:b/>
                <w:sz w:val="24"/>
                <w:szCs w:val="24"/>
              </w:rPr>
              <w:t>产品到期日</w:t>
            </w:r>
          </w:p>
        </w:tc>
        <w:tc>
          <w:tcPr>
            <w:tcW w:w="3172" w:type="dxa"/>
            <w:vAlign w:val="center"/>
          </w:tcPr>
          <w:p>
            <w:pPr>
              <w:ind w:firstLine="420" w:firstLineChars="0"/>
              <w:jc w:val="center"/>
              <w:rPr>
                <w:rFonts w:ascii="仿宋" w:hAnsi="仿宋" w:eastAsia="仿宋"/>
                <w:szCs w:val="21"/>
              </w:rPr>
            </w:pPr>
            <w:r>
              <w:rPr>
                <w:rFonts w:hint="eastAsia" w:ascii="仿宋" w:hAnsi="仿宋" w:eastAsia="仿宋"/>
                <w:szCs w:val="21"/>
                <w:highlight w:val="none"/>
                <w:lang w:eastAsia="zh-CN"/>
              </w:rPr>
              <w:t>2026年11月12日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trPr>
        <w:tc>
          <w:tcPr>
            <w:tcW w:w="1951" w:type="dxa"/>
            <w:vMerge w:val="continue"/>
            <w:vAlign w:val="center"/>
          </w:tcPr>
          <w:p>
            <w:pPr>
              <w:jc w:val="center"/>
              <w:rPr>
                <w:rFonts w:ascii="仿宋" w:hAnsi="仿宋" w:eastAsia="仿宋"/>
                <w:b/>
                <w:kern w:val="0"/>
                <w:sz w:val="24"/>
                <w:szCs w:val="24"/>
              </w:rPr>
            </w:pPr>
          </w:p>
        </w:tc>
        <w:tc>
          <w:tcPr>
            <w:tcW w:w="1599" w:type="dxa"/>
            <w:vAlign w:val="center"/>
          </w:tcPr>
          <w:p>
            <w:pPr>
              <w:rPr>
                <w:rFonts w:ascii="仿宋" w:hAnsi="仿宋" w:eastAsia="仿宋"/>
                <w:b/>
                <w:kern w:val="0"/>
                <w:sz w:val="24"/>
                <w:szCs w:val="24"/>
              </w:rPr>
            </w:pPr>
            <w:r>
              <w:rPr>
                <w:rFonts w:hint="eastAsia" w:ascii="仿宋" w:hAnsi="仿宋" w:eastAsia="仿宋"/>
                <w:b/>
                <w:kern w:val="0"/>
                <w:sz w:val="24"/>
                <w:szCs w:val="24"/>
              </w:rPr>
              <w:t xml:space="preserve">理财期限 </w:t>
            </w:r>
          </w:p>
        </w:tc>
        <w:tc>
          <w:tcPr>
            <w:tcW w:w="6858" w:type="dxa"/>
            <w:gridSpan w:val="7"/>
            <w:vAlign w:val="center"/>
          </w:tcPr>
          <w:p>
            <w:pPr>
              <w:rPr>
                <w:rFonts w:ascii="仿宋" w:hAnsi="仿宋" w:eastAsia="仿宋"/>
                <w:kern w:val="0"/>
                <w:szCs w:val="21"/>
              </w:rPr>
            </w:pPr>
            <w:r>
              <w:rPr>
                <w:rFonts w:hint="eastAsia" w:ascii="仿宋" w:hAnsi="仿宋" w:eastAsia="仿宋"/>
                <w:szCs w:val="21"/>
                <w:highlight w:val="none"/>
                <w:lang w:val="en-US" w:eastAsia="zh-CN"/>
              </w:rPr>
              <w:t>723</w:t>
            </w:r>
            <w:r>
              <w:rPr>
                <w:rFonts w:hint="eastAsia" w:ascii="仿宋" w:hAnsi="仿宋" w:eastAsia="仿宋"/>
                <w:szCs w:val="21"/>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1951" w:type="dxa"/>
            <w:vMerge w:val="continue"/>
            <w:vAlign w:val="center"/>
          </w:tcPr>
          <w:p>
            <w:pPr>
              <w:jc w:val="center"/>
              <w:rPr>
                <w:rFonts w:ascii="仿宋" w:hAnsi="仿宋" w:eastAsia="仿宋"/>
                <w:b/>
                <w:kern w:val="0"/>
                <w:sz w:val="24"/>
                <w:szCs w:val="24"/>
              </w:rPr>
            </w:pPr>
          </w:p>
        </w:tc>
        <w:tc>
          <w:tcPr>
            <w:tcW w:w="1599" w:type="dxa"/>
            <w:vAlign w:val="center"/>
          </w:tcPr>
          <w:p>
            <w:pPr>
              <w:rPr>
                <w:rFonts w:ascii="仿宋" w:hAnsi="仿宋" w:eastAsia="仿宋"/>
                <w:b/>
                <w:sz w:val="24"/>
                <w:szCs w:val="24"/>
              </w:rPr>
            </w:pPr>
            <w:r>
              <w:rPr>
                <w:rFonts w:hint="eastAsia" w:ascii="仿宋" w:hAnsi="仿宋" w:eastAsia="仿宋"/>
                <w:b/>
                <w:sz w:val="24"/>
                <w:szCs w:val="24"/>
              </w:rPr>
              <w:t>工作日</w:t>
            </w:r>
          </w:p>
        </w:tc>
        <w:tc>
          <w:tcPr>
            <w:tcW w:w="6858" w:type="dxa"/>
            <w:gridSpan w:val="7"/>
            <w:vAlign w:val="center"/>
          </w:tcPr>
          <w:p>
            <w:pPr>
              <w:rPr>
                <w:rFonts w:ascii="仿宋" w:hAnsi="仿宋" w:eastAsia="仿宋"/>
                <w:szCs w:val="21"/>
              </w:rPr>
            </w:pPr>
            <w:r>
              <w:rPr>
                <w:rFonts w:hint="eastAsia" w:ascii="仿宋" w:hAnsi="仿宋" w:eastAsia="仿宋"/>
                <w:szCs w:val="21"/>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Merge w:val="continue"/>
            <w:vAlign w:val="center"/>
          </w:tcPr>
          <w:p>
            <w:pPr>
              <w:jc w:val="center"/>
              <w:rPr>
                <w:rFonts w:ascii="仿宋" w:hAnsi="仿宋" w:eastAsia="仿宋"/>
                <w:b/>
                <w:kern w:val="0"/>
                <w:sz w:val="24"/>
                <w:szCs w:val="24"/>
              </w:rPr>
            </w:pPr>
          </w:p>
        </w:tc>
        <w:tc>
          <w:tcPr>
            <w:tcW w:w="1599" w:type="dxa"/>
            <w:vAlign w:val="center"/>
          </w:tcPr>
          <w:p>
            <w:pPr>
              <w:rPr>
                <w:rFonts w:ascii="仿宋" w:hAnsi="仿宋" w:eastAsia="仿宋"/>
                <w:b/>
                <w:sz w:val="24"/>
                <w:szCs w:val="24"/>
              </w:rPr>
            </w:pPr>
            <w:r>
              <w:rPr>
                <w:rFonts w:hint="eastAsia" w:ascii="仿宋" w:hAnsi="仿宋" w:eastAsia="仿宋"/>
                <w:b/>
                <w:sz w:val="24"/>
                <w:szCs w:val="24"/>
              </w:rPr>
              <w:t>清算期</w:t>
            </w:r>
          </w:p>
        </w:tc>
        <w:tc>
          <w:tcPr>
            <w:tcW w:w="6858" w:type="dxa"/>
            <w:gridSpan w:val="7"/>
            <w:vAlign w:val="center"/>
          </w:tcPr>
          <w:p>
            <w:pPr>
              <w:spacing w:line="240" w:lineRule="exact"/>
              <w:rPr>
                <w:rFonts w:ascii="仿宋" w:hAnsi="仿宋" w:eastAsia="仿宋"/>
                <w:bCs/>
                <w:szCs w:val="21"/>
              </w:rPr>
            </w:pPr>
            <w:r>
              <w:rPr>
                <w:rFonts w:hint="eastAsia" w:ascii="仿宋" w:hAnsi="仿宋" w:eastAsia="仿宋"/>
                <w:bCs/>
                <w:szCs w:val="21"/>
              </w:rPr>
              <w:t>产品到期日或提前终止日至理财资金返还到账日之间，最迟不超过</w:t>
            </w:r>
            <w:r>
              <w:rPr>
                <w:rFonts w:hint="eastAsia" w:ascii="仿宋" w:hAnsi="仿宋" w:eastAsia="仿宋"/>
                <w:bCs/>
                <w:szCs w:val="21"/>
                <w:lang w:val="en-US" w:eastAsia="zh-CN"/>
              </w:rPr>
              <w:t>两</w:t>
            </w:r>
            <w:r>
              <w:rPr>
                <w:rFonts w:hint="eastAsia" w:ascii="仿宋" w:hAnsi="仿宋" w:eastAsia="仿宋"/>
                <w:bCs/>
                <w:szCs w:val="21"/>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计息说明</w:t>
            </w:r>
          </w:p>
        </w:tc>
        <w:tc>
          <w:tcPr>
            <w:tcW w:w="8457" w:type="dxa"/>
            <w:gridSpan w:val="8"/>
            <w:vAlign w:val="center"/>
          </w:tcPr>
          <w:p>
            <w:pPr>
              <w:spacing w:line="240" w:lineRule="exact"/>
              <w:rPr>
                <w:rFonts w:ascii="仿宋" w:hAnsi="仿宋" w:eastAsia="仿宋"/>
                <w:b/>
                <w:bCs/>
                <w:szCs w:val="21"/>
              </w:rPr>
            </w:pPr>
            <w:r>
              <w:rPr>
                <w:rFonts w:hint="eastAsia" w:ascii="仿宋" w:hAnsi="仿宋" w:eastAsia="仿宋"/>
                <w:b/>
                <w:bCs/>
                <w:szCs w:val="21"/>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u w:val="wave"/>
              </w:rPr>
            </w:pPr>
            <w:r>
              <w:rPr>
                <w:rFonts w:hint="eastAsia" w:ascii="仿宋" w:hAnsi="仿宋" w:eastAsia="仿宋"/>
                <w:b/>
                <w:kern w:val="0"/>
                <w:sz w:val="24"/>
                <w:szCs w:val="24"/>
              </w:rPr>
              <w:t>产品净值及份额说明</w:t>
            </w:r>
          </w:p>
        </w:tc>
        <w:tc>
          <w:tcPr>
            <w:tcW w:w="8457" w:type="dxa"/>
            <w:gridSpan w:val="8"/>
            <w:vAlign w:val="center"/>
          </w:tcPr>
          <w:p>
            <w:pPr>
              <w:pStyle w:val="20"/>
              <w:numPr>
                <w:ilvl w:val="0"/>
                <w:numId w:val="1"/>
              </w:numPr>
              <w:spacing w:line="240" w:lineRule="exact"/>
              <w:ind w:firstLine="0" w:firstLineChars="0"/>
              <w:rPr>
                <w:rFonts w:ascii="仿宋" w:hAnsi="仿宋" w:eastAsia="仿宋"/>
                <w:bCs/>
                <w:szCs w:val="21"/>
              </w:rPr>
            </w:pPr>
            <w:r>
              <w:rPr>
                <w:rFonts w:hint="eastAsia" w:ascii="仿宋" w:hAnsi="仿宋" w:eastAsia="仿宋"/>
                <w:bCs/>
                <w:szCs w:val="21"/>
              </w:rPr>
              <w:t>产品单位净值指每份产品单位的净资产价值，此为扣除期间相关税费后的净值，将四舍五入保留至小数点后第六位。计算公式为：产品单位净值=产品净资产÷产品份额。</w:t>
            </w:r>
          </w:p>
          <w:p>
            <w:pPr>
              <w:pStyle w:val="20"/>
              <w:numPr>
                <w:ilvl w:val="0"/>
                <w:numId w:val="1"/>
              </w:numPr>
              <w:spacing w:line="240" w:lineRule="exact"/>
              <w:ind w:firstLine="0" w:firstLineChars="0"/>
              <w:rPr>
                <w:rFonts w:ascii="仿宋" w:hAnsi="仿宋" w:eastAsia="仿宋"/>
                <w:bCs/>
                <w:szCs w:val="21"/>
              </w:rPr>
            </w:pPr>
            <w:r>
              <w:rPr>
                <w:rFonts w:hint="eastAsia" w:ascii="仿宋" w:hAnsi="仿宋" w:eastAsia="仿宋"/>
                <w:bCs/>
                <w:szCs w:val="21"/>
              </w:rPr>
              <w:t>产品将于成立日对募集期内客户认购产品份额进行确认，初始单位净值1元/份。</w:t>
            </w:r>
          </w:p>
          <w:p>
            <w:pPr>
              <w:pStyle w:val="20"/>
              <w:numPr>
                <w:ilvl w:val="0"/>
                <w:numId w:val="1"/>
              </w:numPr>
              <w:spacing w:line="240" w:lineRule="exact"/>
              <w:ind w:firstLine="0" w:firstLineChars="0"/>
              <w:rPr>
                <w:rFonts w:ascii="仿宋" w:hAnsi="仿宋" w:eastAsia="仿宋"/>
                <w:bCs/>
                <w:szCs w:val="21"/>
              </w:rPr>
            </w:pPr>
            <w:r>
              <w:rPr>
                <w:rFonts w:hint="eastAsia" w:ascii="仿宋" w:hAnsi="仿宋" w:eastAsia="仿宋"/>
                <w:bCs/>
                <w:szCs w:val="21"/>
              </w:rPr>
              <w:t>认购份额＝认购金额</w:t>
            </w:r>
            <w:r>
              <w:rPr>
                <w:rFonts w:ascii="仿宋" w:hAnsi="仿宋" w:eastAsia="仿宋"/>
                <w:bCs/>
                <w:szCs w:val="21"/>
              </w:rPr>
              <w:t>÷</w:t>
            </w:r>
            <w:r>
              <w:rPr>
                <w:rFonts w:hint="eastAsia" w:ascii="仿宋" w:hAnsi="仿宋" w:eastAsia="仿宋"/>
                <w:bCs/>
                <w:szCs w:val="21"/>
              </w:rPr>
              <w:t>1</w:t>
            </w:r>
          </w:p>
          <w:p>
            <w:pPr>
              <w:pStyle w:val="20"/>
              <w:spacing w:line="240" w:lineRule="exact"/>
              <w:ind w:firstLine="0" w:firstLineChars="0"/>
              <w:rPr>
                <w:rFonts w:ascii="仿宋" w:hAnsi="仿宋"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客户收益</w:t>
            </w:r>
          </w:p>
          <w:p>
            <w:pPr>
              <w:jc w:val="center"/>
              <w:rPr>
                <w:rFonts w:ascii="仿宋" w:hAnsi="仿宋" w:eastAsia="仿宋"/>
                <w:b/>
                <w:kern w:val="0"/>
                <w:sz w:val="24"/>
                <w:szCs w:val="24"/>
              </w:rPr>
            </w:pPr>
            <w:r>
              <w:rPr>
                <w:rFonts w:hint="eastAsia" w:ascii="仿宋" w:hAnsi="仿宋" w:eastAsia="仿宋"/>
                <w:b/>
                <w:kern w:val="0"/>
                <w:sz w:val="24"/>
                <w:szCs w:val="24"/>
              </w:rPr>
              <w:t>计算规则</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Cs/>
                <w:szCs w:val="21"/>
              </w:rPr>
              <w:t>客户收益=客户认购份额X（产品到期日或提前终止日产品单位净值-期初产品单位净值），即客户收益=客户认购份额X（产品到期日或提前终止日产品单位净值-1）。</w:t>
            </w:r>
          </w:p>
          <w:p>
            <w:pPr>
              <w:spacing w:line="240" w:lineRule="exact"/>
              <w:rPr>
                <w:rFonts w:ascii="仿宋" w:hAnsi="仿宋"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投资对象、投资范围及投资团队</w:t>
            </w:r>
          </w:p>
        </w:tc>
        <w:tc>
          <w:tcPr>
            <w:tcW w:w="8457" w:type="dxa"/>
            <w:gridSpan w:val="8"/>
            <w:vAlign w:val="center"/>
          </w:tcPr>
          <w:p>
            <w:pPr>
              <w:pStyle w:val="20"/>
              <w:numPr>
                <w:ilvl w:val="0"/>
                <w:numId w:val="2"/>
              </w:numPr>
              <w:spacing w:line="240" w:lineRule="exact"/>
              <w:ind w:firstLine="0" w:firstLineChars="0"/>
              <w:rPr>
                <w:rFonts w:ascii="仿宋" w:hAnsi="仿宋" w:eastAsia="仿宋"/>
                <w:bCs/>
                <w:szCs w:val="21"/>
              </w:rPr>
            </w:pPr>
            <w:r>
              <w:rPr>
                <w:rFonts w:hint="eastAsia" w:ascii="仿宋" w:hAnsi="仿宋" w:eastAsia="仿宋"/>
                <w:bCs/>
                <w:szCs w:val="21"/>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 w:hAnsi="仿宋" w:eastAsia="仿宋"/>
                <w:b/>
                <w:bCs/>
                <w:szCs w:val="21"/>
              </w:rPr>
              <w:t>产品面临投资债券利率、汇率变化等市场风险以及债券价格波动风险。</w:t>
            </w:r>
          </w:p>
          <w:p>
            <w:pPr>
              <w:pStyle w:val="20"/>
              <w:numPr>
                <w:ilvl w:val="0"/>
                <w:numId w:val="2"/>
              </w:numPr>
              <w:spacing w:line="240" w:lineRule="exact"/>
              <w:ind w:firstLine="0" w:firstLineChars="0"/>
              <w:rPr>
                <w:rFonts w:ascii="仿宋" w:hAnsi="仿宋" w:eastAsia="仿宋"/>
                <w:bCs/>
                <w:szCs w:val="21"/>
              </w:rPr>
            </w:pPr>
            <w:r>
              <w:rPr>
                <w:rFonts w:hint="eastAsia" w:ascii="仿宋" w:hAnsi="仿宋" w:eastAsia="仿宋"/>
                <w:bCs/>
                <w:szCs w:val="21"/>
              </w:rPr>
              <w:t>投资</w:t>
            </w:r>
            <w:r>
              <w:rPr>
                <w:rFonts w:ascii="仿宋" w:hAnsi="仿宋" w:eastAsia="仿宋"/>
                <w:bCs/>
                <w:szCs w:val="21"/>
              </w:rPr>
              <w:t>比例：</w:t>
            </w:r>
            <w:r>
              <w:rPr>
                <w:rFonts w:hint="eastAsia" w:ascii="仿宋" w:hAnsi="仿宋" w:eastAsia="仿宋"/>
                <w:bCs/>
                <w:szCs w:val="21"/>
              </w:rPr>
              <w:t>固定收益类资产、货币市场工具以及以前述资产为投资标的的金融产品占比</w:t>
            </w:r>
            <w:r>
              <w:rPr>
                <w:rFonts w:ascii="仿宋" w:hAnsi="仿宋" w:eastAsia="仿宋"/>
                <w:bCs/>
                <w:szCs w:val="21"/>
              </w:rPr>
              <w:t>80%-100%，</w:t>
            </w:r>
            <w:r>
              <w:rPr>
                <w:rFonts w:hint="eastAsia" w:ascii="仿宋" w:hAnsi="仿宋" w:eastAsia="仿宋"/>
                <w:bCs/>
                <w:szCs w:val="21"/>
              </w:rPr>
              <w:t>权益类及其他资产占比</w:t>
            </w:r>
            <w:r>
              <w:rPr>
                <w:rFonts w:ascii="仿宋" w:hAnsi="仿宋" w:eastAsia="仿宋"/>
                <w:bCs/>
                <w:szCs w:val="21"/>
              </w:rPr>
              <w:t>0%-20%</w:t>
            </w:r>
            <w:r>
              <w:rPr>
                <w:rFonts w:hint="eastAsia" w:ascii="仿宋" w:hAnsi="仿宋" w:eastAsia="仿宋"/>
                <w:bCs/>
                <w:szCs w:val="21"/>
              </w:rPr>
              <w:t>。本产品杠杆水平上限为</w:t>
            </w:r>
            <w:r>
              <w:rPr>
                <w:rFonts w:ascii="仿宋" w:hAnsi="仿宋" w:eastAsia="仿宋"/>
                <w:bCs/>
                <w:szCs w:val="21"/>
              </w:rPr>
              <w:t>200</w:t>
            </w:r>
            <w:r>
              <w:rPr>
                <w:rFonts w:hint="eastAsia" w:ascii="仿宋" w:hAnsi="仿宋" w:eastAsia="仿宋"/>
                <w:bCs/>
                <w:szCs w:val="21"/>
              </w:rPr>
              <w:t>%。</w:t>
            </w:r>
          </w:p>
          <w:p>
            <w:pPr>
              <w:pStyle w:val="20"/>
              <w:numPr>
                <w:ilvl w:val="0"/>
                <w:numId w:val="2"/>
              </w:numPr>
              <w:spacing w:line="240" w:lineRule="exact"/>
              <w:ind w:left="0" w:firstLine="0" w:firstLineChars="0"/>
              <w:rPr>
                <w:rFonts w:ascii="仿宋" w:hAnsi="仿宋" w:eastAsia="仿宋"/>
                <w:bCs/>
                <w:szCs w:val="21"/>
              </w:rPr>
            </w:pPr>
            <w:r>
              <w:rPr>
                <w:rFonts w:hint="eastAsia" w:ascii="仿宋" w:hAnsi="仿宋" w:eastAsia="仿宋"/>
                <w:bCs/>
                <w:szCs w:val="21"/>
              </w:rPr>
              <w:t xml:space="preserve">投资团队为： </w:t>
            </w:r>
          </w:p>
          <w:p>
            <w:pPr>
              <w:pStyle w:val="20"/>
              <w:spacing w:line="240" w:lineRule="exact"/>
              <w:ind w:firstLine="0" w:firstLineChars="0"/>
              <w:rPr>
                <w:rFonts w:ascii="仿宋" w:hAnsi="仿宋" w:eastAsia="仿宋"/>
                <w:bCs/>
                <w:szCs w:val="21"/>
              </w:rPr>
            </w:pPr>
            <w:r>
              <w:rPr>
                <w:rFonts w:hint="eastAsia" w:ascii="仿宋" w:hAnsi="仿宋" w:eastAsia="仿宋"/>
                <w:bCs/>
                <w:szCs w:val="21"/>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0"/>
              <w:spacing w:line="240" w:lineRule="exact"/>
              <w:ind w:firstLine="0" w:firstLineChars="0"/>
              <w:rPr>
                <w:rFonts w:ascii="仿宋" w:hAnsi="仿宋" w:eastAsia="仿宋"/>
                <w:bCs/>
                <w:szCs w:val="21"/>
              </w:rPr>
            </w:pPr>
            <w:r>
              <w:rPr>
                <w:rFonts w:hint="eastAsia" w:ascii="仿宋" w:hAnsi="仿宋" w:eastAsia="仿宋"/>
                <w:bCs/>
                <w:szCs w:val="21"/>
              </w:rPr>
              <w:t>投资人在此授权并同意天津银行享有以下权利：</w:t>
            </w:r>
          </w:p>
          <w:p>
            <w:pPr>
              <w:pStyle w:val="20"/>
              <w:spacing w:line="240" w:lineRule="exact"/>
              <w:ind w:firstLine="0" w:firstLineChars="0"/>
              <w:rPr>
                <w:rFonts w:ascii="仿宋" w:hAnsi="仿宋" w:eastAsia="仿宋"/>
                <w:bCs/>
                <w:szCs w:val="21"/>
              </w:rPr>
            </w:pPr>
            <w:r>
              <w:rPr>
                <w:rFonts w:hint="eastAsia" w:ascii="仿宋" w:hAnsi="仿宋" w:eastAsia="仿宋"/>
                <w:bCs/>
                <w:szCs w:val="21"/>
              </w:rPr>
              <w:t>以理财产品投资管理人的名义，依照法律法规相关规定以及为理财产品投资人的利益，对被投资的各类投资对象代为行使出资人/投资人权利以及其他相关权利。</w:t>
            </w:r>
          </w:p>
          <w:p>
            <w:pPr>
              <w:pStyle w:val="20"/>
              <w:spacing w:line="240" w:lineRule="exact"/>
              <w:ind w:firstLine="0" w:firstLineChars="0"/>
              <w:rPr>
                <w:rFonts w:ascii="仿宋" w:hAnsi="仿宋" w:eastAsia="仿宋"/>
                <w:bCs/>
                <w:szCs w:val="21"/>
              </w:rPr>
            </w:pPr>
            <w:r>
              <w:rPr>
                <w:rFonts w:hint="eastAsia" w:ascii="仿宋" w:hAnsi="仿宋" w:eastAsia="仿宋"/>
                <w:bCs/>
                <w:szCs w:val="21"/>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0"/>
              <w:spacing w:line="240" w:lineRule="exact"/>
              <w:ind w:firstLine="0" w:firstLineChars="0"/>
            </w:pPr>
            <w:r>
              <w:rPr>
                <w:rFonts w:hint="eastAsia" w:ascii="仿宋" w:hAnsi="仿宋" w:eastAsia="仿宋"/>
                <w:bCs/>
                <w:szCs w:val="21"/>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业绩比较基准</w:t>
            </w:r>
          </w:p>
        </w:tc>
        <w:tc>
          <w:tcPr>
            <w:tcW w:w="8457" w:type="dxa"/>
            <w:gridSpan w:val="8"/>
            <w:vAlign w:val="center"/>
          </w:tcPr>
          <w:p>
            <w:pPr>
              <w:spacing w:line="360" w:lineRule="exact"/>
              <w:rPr>
                <w:rFonts w:ascii="仿宋" w:hAnsi="仿宋" w:eastAsia="仿宋"/>
                <w:b/>
                <w:bCs/>
                <w:color w:val="000000"/>
                <w:szCs w:val="21"/>
              </w:rPr>
            </w:pPr>
            <w:r>
              <w:rPr>
                <w:rFonts w:hint="eastAsia" w:ascii="仿宋" w:hAnsi="仿宋" w:eastAsia="仿宋"/>
                <w:b/>
                <w:bCs/>
                <w:color w:val="000000"/>
                <w:szCs w:val="21"/>
              </w:rPr>
              <w:t>1</w:t>
            </w:r>
            <w:r>
              <w:rPr>
                <w:rFonts w:ascii="仿宋" w:hAnsi="仿宋" w:eastAsia="仿宋"/>
                <w:b/>
                <w:bCs/>
                <w:color w:val="000000"/>
                <w:szCs w:val="21"/>
              </w:rPr>
              <w:t>.</w:t>
            </w:r>
            <w:r>
              <w:rPr>
                <w:rFonts w:hint="eastAsia" w:ascii="仿宋" w:hAnsi="仿宋" w:eastAsia="仿宋"/>
                <w:b/>
                <w:bCs/>
                <w:color w:val="000000"/>
                <w:szCs w:val="21"/>
              </w:rPr>
              <w:t>本产品为净值型产品，业绩表现将随市场波动，具有不确定性。</w:t>
            </w:r>
          </w:p>
          <w:p>
            <w:pPr>
              <w:spacing w:line="360" w:lineRule="exact"/>
              <w:rPr>
                <w:rFonts w:ascii="仿宋" w:hAnsi="仿宋" w:eastAsia="仿宋"/>
                <w:bCs/>
                <w:color w:val="000000"/>
                <w:szCs w:val="21"/>
              </w:rPr>
            </w:pPr>
            <w:r>
              <w:rPr>
                <w:rFonts w:hint="eastAsia" w:ascii="仿宋" w:hAnsi="仿宋" w:eastAsia="仿宋"/>
                <w:bCs/>
                <w:color w:val="000000"/>
                <w:szCs w:val="21"/>
              </w:rPr>
              <w:t>2</w:t>
            </w:r>
            <w:r>
              <w:rPr>
                <w:rFonts w:ascii="仿宋" w:hAnsi="仿宋" w:eastAsia="仿宋"/>
                <w:bCs/>
                <w:color w:val="000000"/>
                <w:szCs w:val="21"/>
              </w:rPr>
              <w:t>.</w:t>
            </w:r>
            <w:r>
              <w:rPr>
                <w:rFonts w:hint="eastAsia" w:ascii="仿宋" w:hAnsi="仿宋" w:eastAsia="仿宋"/>
                <w:bCs/>
                <w:color w:val="000000"/>
                <w:szCs w:val="21"/>
              </w:rPr>
              <w:t>本产品业绩比较基准为</w:t>
            </w:r>
            <w:r>
              <w:rPr>
                <w:rFonts w:hint="eastAsia" w:ascii="仿宋" w:hAnsi="仿宋" w:eastAsia="仿宋"/>
                <w:b/>
                <w:bCs w:val="0"/>
                <w:color w:val="000000"/>
                <w:szCs w:val="21"/>
                <w:highlight w:val="none"/>
                <w:lang w:val="en-US" w:eastAsia="zh-CN"/>
              </w:rPr>
              <w:t>2.90%-3.73%</w:t>
            </w:r>
            <w:r>
              <w:rPr>
                <w:rFonts w:hint="eastAsia" w:ascii="仿宋" w:hAnsi="仿宋" w:eastAsia="仿宋"/>
                <w:b/>
                <w:bCs w:val="0"/>
                <w:color w:val="000000"/>
                <w:szCs w:val="21"/>
                <w:lang w:eastAsia="zh-CN"/>
              </w:rPr>
              <w:t>（</w:t>
            </w:r>
            <w:r>
              <w:rPr>
                <w:rFonts w:hint="eastAsia" w:ascii="仿宋" w:hAnsi="仿宋" w:eastAsia="仿宋"/>
                <w:b/>
                <w:bCs w:val="0"/>
                <w:color w:val="000000"/>
                <w:szCs w:val="21"/>
                <w:lang w:val="en-US" w:eastAsia="zh-CN"/>
              </w:rPr>
              <w:t>年化</w:t>
            </w:r>
            <w:r>
              <w:rPr>
                <w:rFonts w:hint="eastAsia" w:ascii="仿宋" w:hAnsi="仿宋" w:eastAsia="仿宋"/>
                <w:b/>
                <w:bCs w:val="0"/>
                <w:color w:val="000000"/>
                <w:szCs w:val="21"/>
                <w:lang w:eastAsia="zh-CN"/>
              </w:rPr>
              <w:t>）</w:t>
            </w:r>
            <w:r>
              <w:rPr>
                <w:rFonts w:hint="eastAsia" w:ascii="仿宋" w:hAnsi="仿宋" w:eastAsia="仿宋"/>
                <w:bCs/>
                <w:color w:val="000000"/>
                <w:szCs w:val="21"/>
              </w:rPr>
              <w:t>。</w:t>
            </w:r>
            <w:r>
              <w:rPr>
                <w:rFonts w:hint="eastAsia" w:ascii="仿宋" w:hAnsi="仿宋" w:eastAsia="仿宋"/>
                <w:b/>
                <w:bCs/>
                <w:color w:val="000000"/>
                <w:szCs w:val="21"/>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0"/>
              <w:spacing w:line="240" w:lineRule="exact"/>
              <w:ind w:firstLine="0" w:firstLineChars="0"/>
              <w:rPr>
                <w:rFonts w:ascii="仿宋" w:hAnsi="仿宋" w:eastAsia="仿宋"/>
                <w:bCs/>
                <w:szCs w:val="21"/>
              </w:rPr>
            </w:pPr>
            <w:r>
              <w:rPr>
                <w:rFonts w:hint="eastAsia" w:ascii="仿宋" w:hAnsi="仿宋" w:eastAsia="仿宋"/>
                <w:bCs/>
                <w:color w:val="000000"/>
                <w:szCs w:val="21"/>
              </w:rPr>
              <w:t>3</w:t>
            </w:r>
            <w:r>
              <w:rPr>
                <w:rFonts w:ascii="仿宋" w:hAnsi="仿宋" w:eastAsia="仿宋"/>
                <w:bCs/>
                <w:color w:val="000000"/>
                <w:szCs w:val="21"/>
              </w:rPr>
              <w:t>.</w:t>
            </w:r>
            <w:r>
              <w:rPr>
                <w:rFonts w:hint="eastAsia" w:ascii="仿宋" w:hAnsi="仿宋" w:eastAsia="仿宋"/>
                <w:bCs/>
                <w:color w:val="000000"/>
                <w:szCs w:val="21"/>
              </w:rPr>
              <w:t>天津银行作为产品管理人，</w:t>
            </w:r>
            <w:r>
              <w:rPr>
                <w:rFonts w:hint="eastAsia" w:ascii="仿宋" w:hAnsi="仿宋" w:eastAsia="仿宋"/>
                <w:b/>
                <w:bCs/>
                <w:color w:val="000000"/>
                <w:szCs w:val="21"/>
              </w:rPr>
              <w:t>将根据市场利率变动及资金运作情况不定期调整业绩比较基准，并通过天津银行营业网点或官方网站告知投资人。</w:t>
            </w:r>
            <w:r>
              <w:rPr>
                <w:rFonts w:hint="eastAsia" w:ascii="仿宋" w:hAnsi="仿宋" w:eastAsia="仿宋"/>
                <w:bCs/>
                <w:color w:val="000000"/>
                <w:szCs w:val="21"/>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相关税费</w:t>
            </w:r>
          </w:p>
        </w:tc>
        <w:tc>
          <w:tcPr>
            <w:tcW w:w="8457" w:type="dxa"/>
            <w:gridSpan w:val="8"/>
            <w:vAlign w:val="center"/>
          </w:tcPr>
          <w:p>
            <w:pPr>
              <w:pStyle w:val="20"/>
              <w:spacing w:line="240" w:lineRule="exact"/>
              <w:ind w:firstLine="0" w:firstLineChars="0"/>
              <w:rPr>
                <w:rFonts w:ascii="仿宋" w:hAnsi="仿宋" w:eastAsia="仿宋"/>
                <w:bCs/>
                <w:szCs w:val="21"/>
              </w:rPr>
            </w:pPr>
            <w:r>
              <w:rPr>
                <w:rFonts w:hint="eastAsia" w:ascii="仿宋" w:hAnsi="仿宋" w:eastAsia="仿宋"/>
                <w:bCs/>
                <w:szCs w:val="21"/>
              </w:rPr>
              <w:t>1.期间费用：销售手续费年化费率：</w:t>
            </w:r>
            <w:r>
              <w:rPr>
                <w:rFonts w:hint="eastAsia" w:ascii="仿宋" w:hAnsi="仿宋" w:eastAsia="仿宋"/>
                <w:bCs/>
                <w:szCs w:val="21"/>
                <w:highlight w:val="none"/>
                <w:lang w:val="en-US" w:eastAsia="zh-CN"/>
              </w:rPr>
              <w:t>0.100</w:t>
            </w:r>
            <w:r>
              <w:rPr>
                <w:rFonts w:hint="eastAsia" w:ascii="仿宋" w:hAnsi="仿宋" w:eastAsia="仿宋"/>
                <w:bCs/>
                <w:szCs w:val="21"/>
                <w:highlight w:val="none"/>
              </w:rPr>
              <w:t>%</w:t>
            </w:r>
            <w:r>
              <w:rPr>
                <w:rFonts w:hint="eastAsia" w:ascii="仿宋" w:hAnsi="仿宋" w:eastAsia="仿宋"/>
                <w:bCs/>
                <w:szCs w:val="21"/>
              </w:rPr>
              <w:t>，投资管理费：</w:t>
            </w:r>
            <w:r>
              <w:rPr>
                <w:rFonts w:hint="eastAsia" w:ascii="仿宋" w:hAnsi="仿宋" w:eastAsia="仿宋"/>
                <w:bCs/>
                <w:szCs w:val="21"/>
                <w:highlight w:val="none"/>
                <w:lang w:val="en-US" w:eastAsia="zh-CN"/>
              </w:rPr>
              <w:t>0.100</w:t>
            </w:r>
            <w:r>
              <w:rPr>
                <w:rFonts w:hint="eastAsia" w:ascii="仿宋" w:hAnsi="仿宋" w:eastAsia="仿宋"/>
                <w:bCs/>
                <w:szCs w:val="21"/>
                <w:highlight w:val="none"/>
              </w:rPr>
              <w:t>%</w:t>
            </w:r>
            <w:r>
              <w:rPr>
                <w:rFonts w:hint="eastAsia" w:ascii="仿宋" w:hAnsi="仿宋" w:eastAsia="仿宋"/>
                <w:bCs/>
                <w:szCs w:val="21"/>
              </w:rPr>
              <w:t>，托管费年化费率</w:t>
            </w:r>
            <w:r>
              <w:rPr>
                <w:rFonts w:hint="eastAsia" w:ascii="仿宋" w:hAnsi="仿宋" w:eastAsia="仿宋"/>
                <w:bCs/>
                <w:szCs w:val="21"/>
                <w:highlight w:val="none"/>
              </w:rPr>
              <w:t>：</w:t>
            </w:r>
            <w:r>
              <w:rPr>
                <w:rFonts w:hint="eastAsia" w:ascii="仿宋" w:hAnsi="仿宋" w:eastAsia="仿宋"/>
                <w:bCs/>
                <w:szCs w:val="21"/>
                <w:highlight w:val="none"/>
                <w:lang w:val="en-US" w:eastAsia="zh-CN"/>
              </w:rPr>
              <w:t>0.004</w:t>
            </w:r>
            <w:r>
              <w:rPr>
                <w:rFonts w:hint="eastAsia" w:ascii="仿宋" w:hAnsi="仿宋" w:eastAsia="仿宋"/>
                <w:bCs/>
                <w:szCs w:val="21"/>
                <w:highlight w:val="none"/>
              </w:rPr>
              <w:t>%，</w:t>
            </w:r>
            <w:r>
              <w:rPr>
                <w:rFonts w:hint="eastAsia" w:ascii="仿宋" w:hAnsi="仿宋" w:eastAsia="仿宋"/>
                <w:bCs/>
                <w:szCs w:val="21"/>
              </w:rPr>
              <w:t>产品运营管理费：</w:t>
            </w:r>
            <w:r>
              <w:rPr>
                <w:rFonts w:hint="eastAsia" w:ascii="仿宋" w:hAnsi="仿宋" w:eastAsia="仿宋"/>
                <w:bCs/>
                <w:szCs w:val="21"/>
                <w:highlight w:val="none"/>
                <w:lang w:val="en-US" w:eastAsia="zh-CN"/>
              </w:rPr>
              <w:t>0.005</w:t>
            </w:r>
            <w:r>
              <w:rPr>
                <w:rFonts w:hint="eastAsia" w:ascii="仿宋" w:hAnsi="仿宋" w:eastAsia="仿宋"/>
                <w:bCs/>
                <w:szCs w:val="21"/>
                <w:highlight w:val="none"/>
              </w:rPr>
              <w:t>%</w:t>
            </w:r>
            <w:r>
              <w:rPr>
                <w:rFonts w:hint="eastAsia" w:ascii="仿宋" w:hAnsi="仿宋" w:eastAsia="仿宋"/>
                <w:bCs/>
                <w:szCs w:val="21"/>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rPr>
              <w:t xml:space="preserve"> </w:t>
            </w:r>
          </w:p>
          <w:p>
            <w:pPr>
              <w:pStyle w:val="20"/>
              <w:spacing w:line="240" w:lineRule="exact"/>
              <w:ind w:firstLine="0" w:firstLineChars="0"/>
              <w:rPr>
                <w:rFonts w:ascii="仿宋" w:hAnsi="仿宋" w:eastAsia="仿宋"/>
                <w:bCs/>
                <w:szCs w:val="21"/>
              </w:rPr>
            </w:pPr>
            <w:r>
              <w:rPr>
                <w:rFonts w:hint="eastAsia" w:ascii="仿宋" w:hAnsi="仿宋" w:eastAsia="仿宋"/>
                <w:bCs/>
                <w:szCs w:val="21"/>
              </w:rPr>
              <w:t>公式计算：</w:t>
            </w:r>
          </w:p>
          <w:p>
            <w:pPr>
              <w:pStyle w:val="20"/>
              <w:spacing w:line="240" w:lineRule="exact"/>
              <w:rPr>
                <w:rFonts w:ascii="仿宋" w:hAnsi="仿宋" w:eastAsia="仿宋"/>
                <w:bCs/>
                <w:szCs w:val="21"/>
              </w:rPr>
            </w:pPr>
            <w:r>
              <w:rPr>
                <w:rFonts w:hint="eastAsia" w:ascii="仿宋" w:hAnsi="仿宋" w:eastAsia="仿宋"/>
                <w:bCs/>
                <w:szCs w:val="21"/>
              </w:rPr>
              <w:t>每日销售手续费=产品本金×</w:t>
            </w:r>
            <w:r>
              <w:rPr>
                <w:rFonts w:hint="eastAsia" w:ascii="仿宋" w:hAnsi="仿宋" w:eastAsia="仿宋"/>
                <w:bCs/>
                <w:szCs w:val="21"/>
                <w:highlight w:val="none"/>
                <w:lang w:val="en-US" w:eastAsia="zh-CN"/>
              </w:rPr>
              <w:t>0.100</w:t>
            </w:r>
            <w:r>
              <w:rPr>
                <w:rFonts w:hint="eastAsia" w:ascii="仿宋" w:hAnsi="仿宋" w:eastAsia="仿宋"/>
                <w:bCs/>
                <w:szCs w:val="21"/>
                <w:highlight w:val="none"/>
              </w:rPr>
              <w:t>%</w:t>
            </w:r>
            <w:r>
              <w:rPr>
                <w:rFonts w:hint="eastAsia" w:ascii="仿宋" w:hAnsi="仿宋" w:eastAsia="仿宋"/>
                <w:bCs/>
                <w:szCs w:val="21"/>
              </w:rPr>
              <w:t>/365，按自然日计提；</w:t>
            </w:r>
          </w:p>
          <w:p>
            <w:pPr>
              <w:pStyle w:val="20"/>
              <w:spacing w:line="240" w:lineRule="exact"/>
              <w:rPr>
                <w:rFonts w:ascii="仿宋" w:hAnsi="仿宋" w:eastAsia="仿宋"/>
                <w:bCs/>
                <w:szCs w:val="21"/>
              </w:rPr>
            </w:pPr>
            <w:r>
              <w:rPr>
                <w:rFonts w:hint="eastAsia" w:ascii="仿宋" w:hAnsi="仿宋" w:eastAsia="仿宋"/>
                <w:bCs/>
                <w:szCs w:val="21"/>
              </w:rPr>
              <w:t>每日投资管理费=产品本金×</w:t>
            </w:r>
            <w:r>
              <w:rPr>
                <w:rFonts w:hint="eastAsia" w:ascii="仿宋" w:hAnsi="仿宋" w:eastAsia="仿宋"/>
                <w:bCs/>
                <w:szCs w:val="21"/>
                <w:highlight w:val="none"/>
                <w:lang w:val="en-US" w:eastAsia="zh-CN"/>
              </w:rPr>
              <w:t>0.100</w:t>
            </w:r>
            <w:r>
              <w:rPr>
                <w:rFonts w:hint="eastAsia" w:ascii="仿宋" w:hAnsi="仿宋" w:eastAsia="仿宋"/>
                <w:bCs/>
                <w:szCs w:val="21"/>
                <w:highlight w:val="none"/>
              </w:rPr>
              <w:t>%</w:t>
            </w:r>
            <w:r>
              <w:rPr>
                <w:rFonts w:hint="eastAsia" w:ascii="仿宋" w:hAnsi="仿宋" w:eastAsia="仿宋"/>
                <w:bCs/>
                <w:szCs w:val="21"/>
              </w:rPr>
              <w:t>/365，按自然日计提；</w:t>
            </w:r>
          </w:p>
          <w:p>
            <w:pPr>
              <w:pStyle w:val="20"/>
              <w:spacing w:line="240" w:lineRule="exact"/>
              <w:rPr>
                <w:rFonts w:ascii="仿宋" w:hAnsi="仿宋" w:eastAsia="仿宋"/>
                <w:bCs/>
                <w:szCs w:val="21"/>
              </w:rPr>
            </w:pPr>
            <w:r>
              <w:rPr>
                <w:rFonts w:hint="eastAsia" w:ascii="仿宋" w:hAnsi="仿宋" w:eastAsia="仿宋"/>
                <w:bCs/>
                <w:szCs w:val="21"/>
              </w:rPr>
              <w:t>每日托管费=产品本金×</w:t>
            </w:r>
            <w:r>
              <w:rPr>
                <w:rFonts w:hint="eastAsia" w:ascii="仿宋" w:hAnsi="仿宋" w:eastAsia="仿宋"/>
                <w:bCs/>
                <w:szCs w:val="21"/>
                <w:highlight w:val="none"/>
                <w:lang w:val="en-US" w:eastAsia="zh-CN"/>
              </w:rPr>
              <w:t>0.004</w:t>
            </w:r>
            <w:r>
              <w:rPr>
                <w:rFonts w:hint="eastAsia" w:ascii="仿宋" w:hAnsi="仿宋" w:eastAsia="仿宋"/>
                <w:bCs/>
                <w:szCs w:val="21"/>
                <w:highlight w:val="none"/>
              </w:rPr>
              <w:t>%</w:t>
            </w:r>
            <w:r>
              <w:rPr>
                <w:rFonts w:hint="eastAsia" w:ascii="仿宋" w:hAnsi="仿宋" w:eastAsia="仿宋"/>
                <w:bCs/>
                <w:szCs w:val="21"/>
              </w:rPr>
              <w:t>/365，按自然日计提；</w:t>
            </w:r>
          </w:p>
          <w:p>
            <w:pPr>
              <w:pStyle w:val="20"/>
              <w:spacing w:line="240" w:lineRule="exact"/>
              <w:rPr>
                <w:rFonts w:ascii="仿宋" w:hAnsi="仿宋" w:eastAsia="仿宋"/>
                <w:bCs/>
                <w:szCs w:val="21"/>
              </w:rPr>
            </w:pPr>
            <w:r>
              <w:rPr>
                <w:rFonts w:hint="eastAsia" w:ascii="仿宋" w:hAnsi="仿宋" w:eastAsia="仿宋"/>
                <w:bCs/>
                <w:szCs w:val="21"/>
              </w:rPr>
              <w:t>每日产品运营管理费=产品本金×</w:t>
            </w:r>
            <w:r>
              <w:rPr>
                <w:rFonts w:hint="eastAsia" w:ascii="仿宋" w:hAnsi="仿宋" w:eastAsia="仿宋"/>
                <w:bCs/>
                <w:szCs w:val="21"/>
                <w:highlight w:val="none"/>
                <w:lang w:val="en-US" w:eastAsia="zh-CN"/>
              </w:rPr>
              <w:t>0.005</w:t>
            </w:r>
            <w:r>
              <w:rPr>
                <w:rFonts w:hint="eastAsia" w:ascii="仿宋" w:hAnsi="仿宋" w:eastAsia="仿宋"/>
                <w:bCs/>
                <w:szCs w:val="21"/>
                <w:highlight w:val="none"/>
              </w:rPr>
              <w:t>%</w:t>
            </w:r>
            <w:r>
              <w:rPr>
                <w:rFonts w:hint="eastAsia" w:ascii="仿宋" w:hAnsi="仿宋" w:eastAsia="仿宋"/>
                <w:bCs/>
                <w:szCs w:val="21"/>
              </w:rPr>
              <w:t>/365，按自然日计提。</w:t>
            </w:r>
          </w:p>
          <w:p>
            <w:pPr>
              <w:pStyle w:val="20"/>
              <w:numPr>
                <w:ilvl w:val="0"/>
                <w:numId w:val="3"/>
              </w:numPr>
              <w:spacing w:line="240" w:lineRule="exact"/>
              <w:ind w:firstLine="0" w:firstLineChars="0"/>
              <w:rPr>
                <w:rFonts w:hint="eastAsia" w:ascii="仿宋" w:hAnsi="仿宋" w:eastAsia="仿宋"/>
                <w:bCs/>
                <w:szCs w:val="21"/>
              </w:rPr>
            </w:pPr>
            <w:r>
              <w:rPr>
                <w:rFonts w:hint="eastAsia" w:ascii="仿宋" w:hAnsi="仿宋" w:eastAsia="仿宋"/>
                <w:bCs/>
                <w:szCs w:val="21"/>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50%作为产品管理人超额业绩管理费。天津银行有权根据市场情况调整超额业绩分配方案并及时公告。</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K=L*（M-N）*P/365*R</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K为产品成立日至估值日的期间超额业绩报酬；</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L为本产品总份额；</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N为超额业绩报酬计提基准；</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P为产品成立日（含）至估值日（含）的期间天数；</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420" w:firstLineChars="200"/>
              <w:textAlignment w:val="auto"/>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R为产品管理人收取超额业绩报酬的比例。</w:t>
            </w:r>
          </w:p>
          <w:p>
            <w:pPr>
              <w:pStyle w:val="20"/>
              <w:spacing w:line="240" w:lineRule="exact"/>
              <w:ind w:firstLine="0" w:firstLineChars="0"/>
              <w:rPr>
                <w:rFonts w:ascii="仿宋" w:hAnsi="仿宋" w:eastAsia="仿宋"/>
                <w:bCs/>
                <w:szCs w:val="21"/>
              </w:rPr>
            </w:pPr>
            <w:r>
              <w:rPr>
                <w:rFonts w:hint="eastAsia" w:ascii="仿宋" w:hAnsi="仿宋" w:eastAsia="仿宋"/>
                <w:bCs/>
                <w:szCs w:val="21"/>
              </w:rPr>
              <w:t>3．天津银行</w:t>
            </w:r>
            <w:r>
              <w:rPr>
                <w:rFonts w:ascii="仿宋" w:hAnsi="仿宋" w:eastAsia="仿宋"/>
                <w:bCs/>
                <w:szCs w:val="21"/>
              </w:rPr>
              <w:t>暂不负责代扣代缴客户购买本产品所得收益应缴纳的各项税款</w:t>
            </w:r>
            <w:r>
              <w:rPr>
                <w:rFonts w:hint="eastAsia" w:ascii="仿宋" w:hAnsi="仿宋" w:eastAsia="仿宋"/>
                <w:bCs/>
                <w:szCs w:val="21"/>
              </w:rPr>
              <w:t>。若</w:t>
            </w:r>
            <w:r>
              <w:rPr>
                <w:rFonts w:ascii="仿宋" w:hAnsi="仿宋" w:eastAsia="仿宋"/>
                <w:bCs/>
                <w:szCs w:val="21"/>
              </w:rPr>
              <w:t>相关法律法规、税收政策规定产品管理人应代扣代缴相关税款，天津</w:t>
            </w:r>
            <w:r>
              <w:rPr>
                <w:rFonts w:hint="eastAsia" w:ascii="仿宋" w:hAnsi="仿宋" w:eastAsia="仿宋"/>
                <w:bCs/>
                <w:szCs w:val="21"/>
              </w:rPr>
              <w:t>银行</w:t>
            </w:r>
            <w:r>
              <w:rPr>
                <w:rFonts w:ascii="仿宋" w:hAnsi="仿宋" w:eastAsia="仿宋"/>
                <w:bCs/>
                <w:szCs w:val="21"/>
              </w:rPr>
              <w:t>有权依法履行</w:t>
            </w:r>
            <w:r>
              <w:rPr>
                <w:rFonts w:hint="eastAsia" w:ascii="仿宋" w:hAnsi="仿宋" w:eastAsia="仿宋"/>
                <w:bCs/>
                <w:szCs w:val="21"/>
              </w:rPr>
              <w:t>代扣代缴</w:t>
            </w:r>
            <w:r>
              <w:rPr>
                <w:rFonts w:ascii="仿宋" w:hAnsi="仿宋" w:eastAsia="仿宋"/>
                <w:bCs/>
                <w:szCs w:val="21"/>
              </w:rPr>
              <w:t>义务。</w:t>
            </w:r>
          </w:p>
          <w:p>
            <w:pPr>
              <w:pStyle w:val="20"/>
              <w:spacing w:line="240" w:lineRule="exact"/>
              <w:ind w:firstLine="0" w:firstLineChars="0"/>
              <w:rPr>
                <w:rFonts w:ascii="仿宋" w:hAnsi="仿宋" w:eastAsia="仿宋"/>
                <w:b/>
                <w:kern w:val="0"/>
                <w:szCs w:val="21"/>
              </w:rPr>
            </w:pPr>
            <w:r>
              <w:rPr>
                <w:rFonts w:hint="eastAsia" w:ascii="仿宋" w:hAnsi="仿宋" w:eastAsia="仿宋"/>
                <w:b/>
                <w:kern w:val="0"/>
                <w:szCs w:val="21"/>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理财产品</w:t>
            </w:r>
          </w:p>
          <w:p>
            <w:pPr>
              <w:jc w:val="center"/>
              <w:rPr>
                <w:rFonts w:ascii="仿宋" w:hAnsi="仿宋" w:eastAsia="仿宋"/>
                <w:b/>
                <w:kern w:val="0"/>
                <w:sz w:val="24"/>
                <w:szCs w:val="24"/>
              </w:rPr>
            </w:pPr>
            <w:r>
              <w:rPr>
                <w:rFonts w:hint="eastAsia" w:ascii="仿宋" w:hAnsi="仿宋" w:eastAsia="仿宋"/>
                <w:b/>
                <w:kern w:val="0"/>
                <w:sz w:val="24"/>
                <w:szCs w:val="24"/>
              </w:rPr>
              <w:t>份额转让</w:t>
            </w:r>
          </w:p>
        </w:tc>
        <w:tc>
          <w:tcPr>
            <w:tcW w:w="8457" w:type="dxa"/>
            <w:gridSpan w:val="8"/>
            <w:vAlign w:val="center"/>
          </w:tcPr>
          <w:p>
            <w:pPr>
              <w:pStyle w:val="20"/>
              <w:spacing w:line="240" w:lineRule="exact"/>
              <w:ind w:firstLine="0" w:firstLineChars="0"/>
              <w:rPr>
                <w:rFonts w:ascii="仿宋" w:hAnsi="仿宋" w:eastAsia="仿宋"/>
                <w:bCs/>
                <w:szCs w:val="21"/>
              </w:rPr>
            </w:pPr>
            <w:r>
              <w:rPr>
                <w:rFonts w:hint="eastAsia" w:ascii="仿宋_GB2312" w:eastAsia="仿宋_GB2312"/>
                <w:kern w:val="0"/>
                <w:szCs w:val="21"/>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4" w:hRule="atLeast"/>
        </w:trPr>
        <w:tc>
          <w:tcPr>
            <w:tcW w:w="1951" w:type="dxa"/>
            <w:vAlign w:val="center"/>
          </w:tcPr>
          <w:p>
            <w:pPr>
              <w:jc w:val="center"/>
              <w:rPr>
                <w:rFonts w:ascii="仿宋" w:hAnsi="仿宋" w:eastAsia="仿宋"/>
                <w:b/>
                <w:kern w:val="0"/>
                <w:sz w:val="24"/>
                <w:szCs w:val="24"/>
                <w:u w:val="wave"/>
              </w:rPr>
            </w:pPr>
            <w:r>
              <w:rPr>
                <w:rFonts w:hint="eastAsia" w:ascii="仿宋" w:hAnsi="仿宋" w:eastAsia="仿宋"/>
                <w:b/>
                <w:kern w:val="0"/>
                <w:sz w:val="24"/>
                <w:szCs w:val="24"/>
              </w:rPr>
              <w:t>收益测算</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Cs/>
                <w:szCs w:val="21"/>
              </w:rPr>
              <w:t>1.客户收益=客户认购份额×（产品到期日或提前终止日产品单位净值-期初产品单位净值），即客户收益=客户认购份额×（产品到期日或提前终止日产品单位净值-1）</w:t>
            </w:r>
          </w:p>
          <w:p>
            <w:pPr>
              <w:spacing w:line="240" w:lineRule="exact"/>
              <w:rPr>
                <w:rFonts w:hint="eastAsia" w:ascii="仿宋" w:hAnsi="仿宋" w:eastAsia="仿宋"/>
                <w:bCs/>
                <w:szCs w:val="21"/>
              </w:rPr>
            </w:pPr>
            <w:r>
              <w:rPr>
                <w:rFonts w:hint="eastAsia" w:ascii="仿宋" w:hAnsi="仿宋" w:eastAsia="仿宋"/>
                <w:bCs/>
                <w:szCs w:val="21"/>
              </w:rPr>
              <w:t>2.收益测算示例（测算结果精确到分位）：</w:t>
            </w:r>
          </w:p>
          <w:p>
            <w:pPr>
              <w:spacing w:line="240" w:lineRule="exact"/>
              <w:rPr>
                <w:rFonts w:ascii="仿宋" w:hAnsi="仿宋" w:eastAsia="仿宋"/>
                <w:b/>
                <w:bCs/>
                <w:szCs w:val="21"/>
              </w:rPr>
            </w:pPr>
            <w:r>
              <w:rPr>
                <w:rFonts w:hint="eastAsia" w:ascii="仿宋" w:hAnsi="仿宋" w:eastAsia="仿宋"/>
                <w:b/>
                <w:bCs/>
                <w:szCs w:val="21"/>
              </w:rPr>
              <w:t>情景一：扣除销售手续费、投资管理费、托管费、产品运营管理费后，年化收益率为业绩</w:t>
            </w:r>
            <w:r>
              <w:rPr>
                <w:rFonts w:ascii="仿宋" w:hAnsi="仿宋" w:eastAsia="仿宋"/>
                <w:b/>
                <w:bCs/>
                <w:szCs w:val="21"/>
              </w:rPr>
              <w:t>比较基准下限。</w:t>
            </w:r>
          </w:p>
          <w:p>
            <w:pPr>
              <w:spacing w:line="240" w:lineRule="exact"/>
              <w:rPr>
                <w:rFonts w:ascii="仿宋" w:hAnsi="仿宋" w:eastAsia="仿宋"/>
                <w:bCs/>
                <w:szCs w:val="21"/>
              </w:rPr>
            </w:pPr>
            <w:r>
              <w:rPr>
                <w:rFonts w:hint="eastAsia" w:ascii="仿宋" w:hAnsi="仿宋" w:eastAsia="仿宋"/>
                <w:bCs/>
                <w:szCs w:val="21"/>
              </w:rPr>
              <w:t>以客户投资</w:t>
            </w:r>
            <w:r>
              <w:rPr>
                <w:rFonts w:ascii="仿宋" w:hAnsi="仿宋" w:eastAsia="仿宋"/>
                <w:bCs/>
                <w:szCs w:val="21"/>
              </w:rPr>
              <w:t>1</w:t>
            </w:r>
            <w:r>
              <w:rPr>
                <w:rFonts w:hint="eastAsia" w:ascii="仿宋" w:hAnsi="仿宋" w:eastAsia="仿宋"/>
                <w:bCs/>
                <w:szCs w:val="21"/>
              </w:rPr>
              <w:t>万元为例，购买时产品净值为1.00元，折算份额为10000份。产品到期时，扣除销售</w:t>
            </w:r>
            <w:r>
              <w:rPr>
                <w:rFonts w:ascii="仿宋" w:hAnsi="仿宋" w:eastAsia="仿宋"/>
                <w:bCs/>
                <w:szCs w:val="21"/>
              </w:rPr>
              <w:t>手续费、</w:t>
            </w:r>
            <w:r>
              <w:rPr>
                <w:rFonts w:hint="eastAsia" w:ascii="仿宋" w:hAnsi="仿宋" w:eastAsia="仿宋"/>
                <w:bCs/>
                <w:szCs w:val="21"/>
              </w:rPr>
              <w:t>投资管理费、托管费、产品</w:t>
            </w:r>
            <w:r>
              <w:rPr>
                <w:rFonts w:ascii="仿宋" w:hAnsi="仿宋" w:eastAsia="仿宋"/>
                <w:bCs/>
                <w:szCs w:val="21"/>
              </w:rPr>
              <w:t>运营管理费</w:t>
            </w:r>
            <w:r>
              <w:rPr>
                <w:rFonts w:hint="eastAsia" w:ascii="仿宋" w:hAnsi="仿宋" w:eastAsia="仿宋"/>
                <w:bCs/>
                <w:szCs w:val="21"/>
              </w:rPr>
              <w:t>后，若产品净值为</w:t>
            </w:r>
            <w:r>
              <w:rPr>
                <w:rFonts w:hint="eastAsia" w:ascii="仿宋" w:hAnsi="仿宋" w:eastAsia="仿宋"/>
                <w:bCs/>
                <w:szCs w:val="21"/>
                <w:highlight w:val="none"/>
                <w:lang w:eastAsia="zh-CN"/>
              </w:rPr>
              <w:t>1.057444</w:t>
            </w:r>
            <w:r>
              <w:rPr>
                <w:rFonts w:hint="eastAsia" w:ascii="仿宋" w:hAnsi="仿宋" w:eastAsia="仿宋"/>
                <w:bCs/>
                <w:szCs w:val="21"/>
              </w:rPr>
              <w:t>，此时年化</w:t>
            </w:r>
            <w:r>
              <w:rPr>
                <w:rFonts w:ascii="仿宋" w:hAnsi="仿宋" w:eastAsia="仿宋"/>
                <w:bCs/>
                <w:szCs w:val="21"/>
              </w:rPr>
              <w:t>收益率为</w:t>
            </w:r>
            <w:r>
              <w:rPr>
                <w:rFonts w:hint="eastAsia" w:ascii="仿宋" w:hAnsi="仿宋" w:eastAsia="仿宋"/>
                <w:bCs/>
                <w:szCs w:val="21"/>
              </w:rPr>
              <w:t>(</w:t>
            </w:r>
            <w:r>
              <w:rPr>
                <w:rFonts w:hint="eastAsia" w:ascii="仿宋" w:hAnsi="仿宋" w:eastAsia="仿宋"/>
                <w:bCs/>
                <w:szCs w:val="21"/>
                <w:highlight w:val="none"/>
                <w:lang w:eastAsia="zh-CN"/>
              </w:rPr>
              <w:t>1.057444</w:t>
            </w:r>
            <w:r>
              <w:rPr>
                <w:rFonts w:hint="eastAsia" w:ascii="仿宋" w:hAnsi="仿宋" w:eastAsia="仿宋"/>
                <w:bCs/>
                <w:szCs w:val="21"/>
              </w:rPr>
              <w:t>-1)×</w:t>
            </w:r>
            <w:r>
              <w:rPr>
                <w:rFonts w:ascii="仿宋" w:hAnsi="仿宋" w:eastAsia="仿宋"/>
                <w:bCs/>
                <w:szCs w:val="21"/>
              </w:rPr>
              <w:t>365</w:t>
            </w:r>
            <w:r>
              <w:rPr>
                <w:rFonts w:hint="eastAsia" w:ascii="仿宋" w:hAnsi="仿宋" w:eastAsia="仿宋"/>
                <w:bCs/>
                <w:szCs w:val="21"/>
                <w:lang w:val="en-US" w:eastAsia="zh-CN"/>
              </w:rPr>
              <w:t>/723</w:t>
            </w:r>
            <w:r>
              <w:rPr>
                <w:rFonts w:hint="eastAsia" w:ascii="仿宋" w:hAnsi="仿宋" w:eastAsia="仿宋"/>
                <w:bCs/>
                <w:szCs w:val="21"/>
              </w:rPr>
              <w:t>=</w:t>
            </w:r>
            <w:r>
              <w:rPr>
                <w:rFonts w:hint="eastAsia" w:ascii="仿宋" w:hAnsi="仿宋" w:eastAsia="仿宋"/>
                <w:bCs/>
                <w:szCs w:val="21"/>
                <w:lang w:val="en-US" w:eastAsia="zh-CN"/>
              </w:rPr>
              <w:t>2.90</w:t>
            </w:r>
            <w:r>
              <w:rPr>
                <w:rFonts w:ascii="仿宋" w:hAnsi="仿宋" w:eastAsia="仿宋"/>
                <w:bCs/>
                <w:szCs w:val="21"/>
              </w:rPr>
              <w:t>%</w:t>
            </w:r>
            <w:r>
              <w:rPr>
                <w:rFonts w:hint="eastAsia" w:ascii="仿宋" w:hAnsi="仿宋" w:eastAsia="仿宋"/>
                <w:bCs/>
                <w:szCs w:val="21"/>
              </w:rPr>
              <w:t>，客户最终收益为：</w:t>
            </w:r>
          </w:p>
          <w:p>
            <w:pPr>
              <w:spacing w:line="240" w:lineRule="exact"/>
              <w:rPr>
                <w:rFonts w:ascii="仿宋" w:hAnsi="仿宋" w:eastAsia="仿宋"/>
                <w:bCs/>
                <w:szCs w:val="21"/>
              </w:rPr>
            </w:pPr>
            <w:r>
              <w:rPr>
                <w:rFonts w:hint="eastAsia" w:ascii="仿宋" w:hAnsi="仿宋" w:eastAsia="仿宋"/>
                <w:bCs/>
                <w:szCs w:val="21"/>
              </w:rPr>
              <w:t>10000×(</w:t>
            </w:r>
            <w:r>
              <w:rPr>
                <w:rFonts w:hint="eastAsia" w:ascii="仿宋" w:hAnsi="仿宋" w:eastAsia="仿宋"/>
                <w:bCs/>
                <w:szCs w:val="21"/>
                <w:highlight w:val="none"/>
                <w:lang w:eastAsia="zh-CN"/>
              </w:rPr>
              <w:t>1.057444</w:t>
            </w:r>
            <w:r>
              <w:rPr>
                <w:rFonts w:hint="eastAsia" w:ascii="仿宋" w:hAnsi="仿宋" w:eastAsia="仿宋"/>
                <w:bCs/>
                <w:szCs w:val="21"/>
              </w:rPr>
              <w:t>-1）=</w:t>
            </w:r>
            <w:r>
              <w:rPr>
                <w:rFonts w:hint="eastAsia" w:ascii="仿宋" w:hAnsi="仿宋" w:eastAsia="仿宋"/>
                <w:bCs/>
                <w:szCs w:val="21"/>
                <w:highlight w:val="none"/>
                <w:lang w:val="en-US" w:eastAsia="zh-CN"/>
              </w:rPr>
              <w:t>574.44</w:t>
            </w:r>
            <w:r>
              <w:rPr>
                <w:rFonts w:hint="eastAsia" w:ascii="仿宋" w:hAnsi="仿宋" w:eastAsia="仿宋"/>
                <w:bCs/>
                <w:szCs w:val="21"/>
              </w:rPr>
              <w:t>（元）</w:t>
            </w:r>
          </w:p>
          <w:p>
            <w:pPr>
              <w:spacing w:line="240" w:lineRule="exact"/>
              <w:rPr>
                <w:rFonts w:ascii="仿宋" w:hAnsi="仿宋" w:eastAsia="仿宋"/>
                <w:b/>
                <w:bCs/>
                <w:szCs w:val="21"/>
              </w:rPr>
            </w:pPr>
            <w:r>
              <w:rPr>
                <w:rFonts w:hint="eastAsia" w:ascii="仿宋" w:hAnsi="仿宋" w:eastAsia="仿宋"/>
                <w:b/>
                <w:bCs/>
                <w:szCs w:val="21"/>
              </w:rPr>
              <w:t>情景二：扣除销售手续费、投资管理费、托管费、产品运营管理费后，年化收益率为</w:t>
            </w:r>
            <w:r>
              <w:rPr>
                <w:rFonts w:ascii="仿宋" w:hAnsi="仿宋" w:eastAsia="仿宋"/>
                <w:b/>
                <w:bCs/>
                <w:szCs w:val="21"/>
              </w:rPr>
              <w:t>业绩比较基准</w:t>
            </w:r>
            <w:r>
              <w:rPr>
                <w:rFonts w:hint="eastAsia" w:ascii="仿宋" w:hAnsi="仿宋" w:eastAsia="仿宋"/>
                <w:b/>
                <w:bCs/>
                <w:szCs w:val="21"/>
              </w:rPr>
              <w:t>上限。</w:t>
            </w:r>
          </w:p>
          <w:p>
            <w:pPr>
              <w:spacing w:line="240" w:lineRule="exact"/>
              <w:rPr>
                <w:rFonts w:ascii="仿宋" w:hAnsi="仿宋" w:eastAsia="仿宋"/>
                <w:bCs/>
                <w:szCs w:val="21"/>
              </w:rPr>
            </w:pPr>
            <w:r>
              <w:rPr>
                <w:rFonts w:hint="eastAsia" w:ascii="仿宋" w:hAnsi="仿宋" w:eastAsia="仿宋"/>
                <w:bCs/>
                <w:szCs w:val="21"/>
              </w:rPr>
              <w:t>以客户投资1万元为例，购买时产品净值为1.00元，折算份额为10000份。产品到期时，扣除销售手续费、投资管理费、托管费、产品运营管理费后，若产品净值为</w:t>
            </w:r>
            <w:r>
              <w:rPr>
                <w:rFonts w:hint="eastAsia" w:ascii="仿宋" w:hAnsi="仿宋" w:eastAsia="仿宋"/>
                <w:bCs/>
                <w:szCs w:val="21"/>
                <w:highlight w:val="none"/>
                <w:lang w:val="en-US" w:eastAsia="zh-CN"/>
              </w:rPr>
              <w:t>1.073885</w:t>
            </w:r>
            <w:r>
              <w:rPr>
                <w:rFonts w:hint="eastAsia" w:ascii="仿宋" w:hAnsi="仿宋" w:eastAsia="仿宋"/>
                <w:bCs/>
                <w:szCs w:val="21"/>
              </w:rPr>
              <w:t>，此时年化</w:t>
            </w:r>
            <w:r>
              <w:rPr>
                <w:rFonts w:ascii="仿宋" w:hAnsi="仿宋" w:eastAsia="仿宋"/>
                <w:bCs/>
                <w:szCs w:val="21"/>
              </w:rPr>
              <w:t>收益率为</w:t>
            </w:r>
            <w:r>
              <w:rPr>
                <w:rFonts w:hint="eastAsia" w:ascii="仿宋" w:hAnsi="仿宋" w:eastAsia="仿宋"/>
                <w:bCs/>
                <w:szCs w:val="21"/>
                <w:highlight w:val="none"/>
              </w:rPr>
              <w:t>(</w:t>
            </w:r>
            <w:r>
              <w:rPr>
                <w:rFonts w:hint="eastAsia" w:ascii="仿宋" w:hAnsi="仿宋" w:eastAsia="仿宋"/>
                <w:bCs/>
                <w:szCs w:val="21"/>
                <w:highlight w:val="none"/>
                <w:lang w:eastAsia="zh-CN"/>
              </w:rPr>
              <w:t>1.073885</w:t>
            </w:r>
            <w:r>
              <w:rPr>
                <w:rFonts w:hint="eastAsia" w:ascii="仿宋" w:hAnsi="仿宋" w:eastAsia="仿宋"/>
                <w:bCs/>
                <w:szCs w:val="21"/>
                <w:highlight w:val="none"/>
                <w:lang w:val="en-US" w:eastAsia="zh-CN"/>
              </w:rPr>
              <w:t>-</w:t>
            </w:r>
            <w:r>
              <w:rPr>
                <w:rFonts w:hint="eastAsia" w:ascii="仿宋" w:hAnsi="仿宋" w:eastAsia="仿宋"/>
                <w:bCs/>
                <w:szCs w:val="21"/>
              </w:rPr>
              <w:t>1)×365/</w:t>
            </w:r>
            <w:r>
              <w:rPr>
                <w:rFonts w:hint="eastAsia" w:ascii="仿宋" w:hAnsi="仿宋" w:eastAsia="仿宋"/>
                <w:bCs/>
                <w:szCs w:val="21"/>
                <w:highlight w:val="none"/>
                <w:lang w:val="en-US" w:eastAsia="zh-CN"/>
              </w:rPr>
              <w:t>723</w:t>
            </w:r>
            <w:r>
              <w:rPr>
                <w:rFonts w:hint="eastAsia" w:ascii="仿宋" w:hAnsi="仿宋" w:eastAsia="仿宋"/>
                <w:bCs/>
                <w:szCs w:val="21"/>
              </w:rPr>
              <w:t>=</w:t>
            </w:r>
            <w:r>
              <w:rPr>
                <w:rFonts w:hint="eastAsia" w:ascii="仿宋" w:hAnsi="仿宋" w:eastAsia="仿宋"/>
                <w:bCs/>
                <w:szCs w:val="21"/>
                <w:lang w:val="en-US" w:eastAsia="zh-CN"/>
              </w:rPr>
              <w:t>3.73</w:t>
            </w:r>
            <w:r>
              <w:rPr>
                <w:rFonts w:hint="eastAsia" w:ascii="仿宋" w:hAnsi="仿宋" w:eastAsia="仿宋"/>
                <w:bCs/>
                <w:szCs w:val="21"/>
              </w:rPr>
              <w:t>%，客户</w:t>
            </w:r>
            <w:r>
              <w:rPr>
                <w:rFonts w:ascii="仿宋" w:hAnsi="仿宋" w:eastAsia="仿宋"/>
                <w:bCs/>
                <w:szCs w:val="21"/>
              </w:rPr>
              <w:t>最终</w:t>
            </w:r>
            <w:r>
              <w:rPr>
                <w:rFonts w:hint="eastAsia" w:ascii="仿宋" w:hAnsi="仿宋" w:eastAsia="仿宋"/>
                <w:bCs/>
                <w:szCs w:val="21"/>
              </w:rPr>
              <w:t>收益</w:t>
            </w:r>
            <w:r>
              <w:rPr>
                <w:rFonts w:ascii="仿宋" w:hAnsi="仿宋" w:eastAsia="仿宋"/>
                <w:bCs/>
                <w:szCs w:val="21"/>
              </w:rPr>
              <w:t>为：</w:t>
            </w:r>
            <w:r>
              <w:rPr>
                <w:rFonts w:hint="eastAsia" w:ascii="仿宋" w:hAnsi="仿宋" w:eastAsia="仿宋"/>
                <w:bCs/>
                <w:szCs w:val="21"/>
              </w:rPr>
              <w:t xml:space="preserve"> </w:t>
            </w:r>
          </w:p>
          <w:p>
            <w:pPr>
              <w:spacing w:line="240" w:lineRule="exact"/>
              <w:rPr>
                <w:rFonts w:ascii="仿宋" w:hAnsi="仿宋" w:eastAsia="仿宋"/>
                <w:bCs/>
                <w:szCs w:val="21"/>
              </w:rPr>
            </w:pPr>
            <w:r>
              <w:rPr>
                <w:rFonts w:hint="eastAsia" w:ascii="仿宋" w:hAnsi="仿宋" w:eastAsia="仿宋"/>
                <w:bCs/>
                <w:szCs w:val="21"/>
              </w:rPr>
              <w:t>10000×（</w:t>
            </w:r>
            <w:r>
              <w:rPr>
                <w:rFonts w:hint="eastAsia" w:ascii="仿宋" w:hAnsi="仿宋" w:eastAsia="仿宋"/>
                <w:bCs/>
                <w:szCs w:val="21"/>
                <w:highlight w:val="none"/>
                <w:lang w:eastAsia="zh-CN"/>
              </w:rPr>
              <w:t>1.073885</w:t>
            </w:r>
            <w:r>
              <w:rPr>
                <w:rFonts w:hint="eastAsia" w:ascii="仿宋" w:hAnsi="仿宋" w:eastAsia="仿宋"/>
                <w:bCs/>
                <w:szCs w:val="21"/>
              </w:rPr>
              <w:t>-1）=</w:t>
            </w:r>
            <w:r>
              <w:rPr>
                <w:rFonts w:hint="eastAsia" w:ascii="仿宋" w:hAnsi="仿宋" w:eastAsia="仿宋"/>
                <w:bCs/>
                <w:szCs w:val="21"/>
                <w:highlight w:val="none"/>
                <w:lang w:val="en-US" w:eastAsia="zh-CN"/>
              </w:rPr>
              <w:t>738.85（</w:t>
            </w:r>
            <w:r>
              <w:rPr>
                <w:rFonts w:hint="eastAsia" w:ascii="仿宋" w:hAnsi="仿宋" w:eastAsia="仿宋"/>
                <w:bCs/>
                <w:szCs w:val="21"/>
              </w:rPr>
              <w:t>元）</w:t>
            </w:r>
          </w:p>
          <w:p>
            <w:pPr>
              <w:spacing w:line="240" w:lineRule="exact"/>
              <w:rPr>
                <w:rFonts w:ascii="仿宋" w:hAnsi="仿宋" w:eastAsia="仿宋"/>
                <w:b/>
                <w:bCs/>
                <w:szCs w:val="21"/>
              </w:rPr>
            </w:pPr>
            <w:r>
              <w:rPr>
                <w:rFonts w:hint="eastAsia" w:ascii="仿宋" w:hAnsi="仿宋" w:eastAsia="仿宋"/>
                <w:b/>
                <w:bCs/>
                <w:szCs w:val="21"/>
              </w:rPr>
              <w:t>情景三</w:t>
            </w:r>
            <w:r>
              <w:rPr>
                <w:rFonts w:ascii="仿宋" w:hAnsi="仿宋" w:eastAsia="仿宋"/>
                <w:b/>
                <w:bCs/>
                <w:szCs w:val="21"/>
              </w:rPr>
              <w:t>：</w:t>
            </w:r>
            <w:r>
              <w:rPr>
                <w:rFonts w:hint="eastAsia" w:ascii="仿宋" w:hAnsi="仿宋" w:eastAsia="仿宋"/>
                <w:b/>
                <w:bCs/>
                <w:szCs w:val="21"/>
              </w:rPr>
              <w:t>最不利情况，扣除销售手续费、投资管理费、托管费、产品运营管理费后，收益率为负</w:t>
            </w:r>
            <w:r>
              <w:rPr>
                <w:rFonts w:ascii="仿宋" w:hAnsi="仿宋" w:eastAsia="仿宋"/>
                <w:b/>
                <w:bCs/>
                <w:szCs w:val="21"/>
              </w:rPr>
              <w:t>。</w:t>
            </w:r>
          </w:p>
          <w:p>
            <w:pPr>
              <w:spacing w:line="240" w:lineRule="exact"/>
              <w:rPr>
                <w:rFonts w:ascii="仿宋" w:hAnsi="仿宋" w:eastAsia="仿宋"/>
                <w:bCs/>
                <w:szCs w:val="21"/>
              </w:rPr>
            </w:pPr>
            <w:r>
              <w:rPr>
                <w:rFonts w:hint="eastAsia" w:ascii="仿宋" w:hAnsi="仿宋" w:eastAsia="仿宋"/>
                <w:bCs/>
                <w:szCs w:val="21"/>
              </w:rPr>
              <w:t>以客户投资</w:t>
            </w:r>
            <w:r>
              <w:rPr>
                <w:rFonts w:ascii="仿宋" w:hAnsi="仿宋" w:eastAsia="仿宋"/>
                <w:bCs/>
                <w:szCs w:val="21"/>
              </w:rPr>
              <w:t>1</w:t>
            </w:r>
            <w:r>
              <w:rPr>
                <w:rFonts w:hint="eastAsia" w:ascii="仿宋" w:hAnsi="仿宋" w:eastAsia="仿宋"/>
                <w:bCs/>
                <w:szCs w:val="21"/>
              </w:rPr>
              <w:t>万元为例，购买时产品净值为1.00元，折算份额为10000份。产品到期时，扣除销售手续费、投资管理费、托管费、产品运营管理费后，若产品净值为0.99</w:t>
            </w:r>
            <w:r>
              <w:rPr>
                <w:rFonts w:ascii="仿宋" w:hAnsi="仿宋" w:eastAsia="仿宋"/>
                <w:bCs/>
                <w:szCs w:val="21"/>
              </w:rPr>
              <w:t>8</w:t>
            </w:r>
            <w:r>
              <w:rPr>
                <w:rFonts w:hint="eastAsia" w:ascii="仿宋" w:hAnsi="仿宋" w:eastAsia="仿宋"/>
                <w:bCs/>
                <w:szCs w:val="21"/>
                <w:lang w:val="en-US" w:eastAsia="zh-CN"/>
              </w:rPr>
              <w:t>000</w:t>
            </w:r>
            <w:r>
              <w:rPr>
                <w:rFonts w:hint="eastAsia" w:ascii="仿宋" w:hAnsi="仿宋" w:eastAsia="仿宋"/>
                <w:bCs/>
                <w:szCs w:val="21"/>
              </w:rPr>
              <w:t>，客户最终收益为：</w:t>
            </w:r>
          </w:p>
          <w:p>
            <w:pPr>
              <w:spacing w:line="240" w:lineRule="exact"/>
              <w:rPr>
                <w:rFonts w:ascii="仿宋" w:hAnsi="仿宋" w:eastAsia="仿宋"/>
                <w:bCs/>
                <w:szCs w:val="21"/>
              </w:rPr>
            </w:pPr>
            <w:r>
              <w:rPr>
                <w:rFonts w:hint="eastAsia" w:ascii="仿宋" w:hAnsi="仿宋" w:eastAsia="仿宋"/>
                <w:bCs/>
                <w:szCs w:val="21"/>
              </w:rPr>
              <w:t>10000×（0.99</w:t>
            </w:r>
            <w:r>
              <w:rPr>
                <w:rFonts w:ascii="仿宋" w:hAnsi="仿宋" w:eastAsia="仿宋"/>
                <w:bCs/>
                <w:szCs w:val="21"/>
              </w:rPr>
              <w:t>8</w:t>
            </w:r>
            <w:r>
              <w:rPr>
                <w:rFonts w:hint="eastAsia" w:ascii="仿宋" w:hAnsi="仿宋" w:eastAsia="仿宋"/>
                <w:bCs/>
                <w:szCs w:val="21"/>
                <w:lang w:val="en-US" w:eastAsia="zh-CN"/>
              </w:rPr>
              <w:t>000</w:t>
            </w:r>
            <w:r>
              <w:rPr>
                <w:rFonts w:hint="eastAsia" w:ascii="仿宋" w:hAnsi="仿宋" w:eastAsia="仿宋"/>
                <w:bCs/>
                <w:szCs w:val="21"/>
              </w:rPr>
              <w:t>-1）=-</w:t>
            </w:r>
            <w:r>
              <w:rPr>
                <w:rFonts w:ascii="仿宋" w:hAnsi="仿宋" w:eastAsia="仿宋"/>
                <w:bCs/>
                <w:szCs w:val="21"/>
              </w:rPr>
              <w:t>20</w:t>
            </w:r>
            <w:r>
              <w:rPr>
                <w:rFonts w:hint="eastAsia" w:ascii="仿宋" w:hAnsi="仿宋" w:eastAsia="仿宋"/>
                <w:bCs/>
                <w:szCs w:val="21"/>
              </w:rPr>
              <w:t>（元）。</w:t>
            </w:r>
          </w:p>
          <w:p>
            <w:pPr>
              <w:pStyle w:val="21"/>
              <w:spacing w:line="240" w:lineRule="exact"/>
              <w:jc w:val="both"/>
              <w:rPr>
                <w:rFonts w:ascii="仿宋" w:hAnsi="仿宋" w:eastAsia="仿宋" w:cs="Times New Roman"/>
                <w:bCs/>
                <w:color w:val="auto"/>
                <w:kern w:val="2"/>
                <w:sz w:val="21"/>
                <w:szCs w:val="21"/>
              </w:rPr>
            </w:pPr>
            <w:r>
              <w:rPr>
                <w:rFonts w:ascii="仿宋" w:hAnsi="仿宋" w:eastAsia="仿宋" w:cs="Times New Roman"/>
                <w:bCs/>
                <w:color w:val="auto"/>
                <w:kern w:val="2"/>
                <w:sz w:val="21"/>
                <w:szCs w:val="21"/>
              </w:rPr>
              <w:t>说明：</w:t>
            </w:r>
            <w:r>
              <w:rPr>
                <w:rFonts w:hint="eastAsia" w:ascii="仿宋" w:hAnsi="仿宋" w:eastAsia="仿宋" w:cs="Times New Roman"/>
                <w:bCs/>
                <w:color w:val="auto"/>
                <w:kern w:val="2"/>
                <w:sz w:val="21"/>
                <w:szCs w:val="21"/>
              </w:rPr>
              <w:t>折算年化收益率公式为（产品到期单位净值－期初单位净值）×</w:t>
            </w:r>
            <w:r>
              <w:rPr>
                <w:rFonts w:ascii="仿宋" w:hAnsi="仿宋" w:eastAsia="仿宋" w:cs="Times New Roman"/>
                <w:bCs/>
                <w:color w:val="auto"/>
                <w:kern w:val="2"/>
                <w:sz w:val="21"/>
                <w:szCs w:val="21"/>
              </w:rPr>
              <w:t xml:space="preserve">365÷(产品到期单位净值对应日期 </w:t>
            </w:r>
            <w:r>
              <w:rPr>
                <w:rFonts w:hint="eastAsia" w:ascii="仿宋" w:hAnsi="仿宋" w:eastAsia="仿宋" w:cs="Times New Roman"/>
                <w:bCs/>
                <w:color w:val="auto"/>
                <w:kern w:val="2"/>
                <w:sz w:val="21"/>
                <w:szCs w:val="21"/>
              </w:rPr>
              <w:t>－期初单位净值对应日期</w:t>
            </w:r>
            <w:r>
              <w:rPr>
                <w:rFonts w:ascii="仿宋" w:hAnsi="仿宋" w:eastAsia="仿宋" w:cs="Times New Roman"/>
                <w:bCs/>
                <w:color w:val="auto"/>
                <w:kern w:val="2"/>
                <w:sz w:val="21"/>
                <w:szCs w:val="21"/>
              </w:rPr>
              <w:t>)，理财产品计息基础为365。</w:t>
            </w:r>
          </w:p>
          <w:p>
            <w:pPr>
              <w:pStyle w:val="21"/>
              <w:spacing w:line="240" w:lineRule="exact"/>
              <w:ind w:firstLine="422" w:firstLineChars="200"/>
              <w:jc w:val="both"/>
              <w:rPr>
                <w:rFonts w:ascii="仿宋" w:hAnsi="仿宋" w:eastAsia="仿宋" w:cs="Times New Roman"/>
                <w:b/>
                <w:bCs/>
                <w:color w:val="auto"/>
                <w:kern w:val="2"/>
                <w:sz w:val="21"/>
                <w:szCs w:val="21"/>
              </w:rPr>
            </w:pPr>
            <w:r>
              <w:rPr>
                <w:rFonts w:hint="eastAsia" w:ascii="仿宋" w:hAnsi="仿宋" w:eastAsia="仿宋" w:cs="Times New Roman"/>
                <w:b/>
                <w:bCs/>
                <w:color w:val="auto"/>
                <w:kern w:val="2"/>
                <w:sz w:val="21"/>
                <w:szCs w:val="21"/>
              </w:rPr>
              <w:t>上述情况</w:t>
            </w:r>
            <w:r>
              <w:rPr>
                <w:rFonts w:ascii="仿宋" w:hAnsi="仿宋" w:eastAsia="仿宋" w:cs="Times New Roman"/>
                <w:b/>
                <w:bCs/>
                <w:color w:val="auto"/>
                <w:kern w:val="2"/>
                <w:sz w:val="21"/>
                <w:szCs w:val="21"/>
              </w:rPr>
              <w:t>与举例</w:t>
            </w:r>
            <w:r>
              <w:rPr>
                <w:rFonts w:hint="eastAsia" w:ascii="仿宋" w:hAnsi="仿宋" w:eastAsia="仿宋" w:cs="Times New Roman"/>
                <w:b/>
                <w:bCs/>
                <w:color w:val="auto"/>
                <w:kern w:val="2"/>
                <w:sz w:val="21"/>
                <w:szCs w:val="21"/>
              </w:rPr>
              <w:t>仅</w:t>
            </w:r>
            <w:r>
              <w:rPr>
                <w:rFonts w:ascii="仿宋" w:hAnsi="仿宋" w:eastAsia="仿宋" w:cs="Times New Roman"/>
                <w:b/>
                <w:bCs/>
                <w:color w:val="auto"/>
                <w:kern w:val="2"/>
                <w:sz w:val="21"/>
                <w:szCs w:val="21"/>
              </w:rPr>
              <w:t>为向客户介绍</w:t>
            </w:r>
            <w:r>
              <w:rPr>
                <w:rFonts w:hint="eastAsia" w:ascii="仿宋" w:hAnsi="仿宋" w:eastAsia="仿宋" w:cs="Times New Roman"/>
                <w:b/>
                <w:bCs/>
                <w:color w:val="auto"/>
                <w:kern w:val="2"/>
                <w:sz w:val="21"/>
                <w:szCs w:val="21"/>
              </w:rPr>
              <w:t>收</w:t>
            </w:r>
            <w:r>
              <w:rPr>
                <w:rFonts w:ascii="仿宋" w:hAnsi="仿宋" w:eastAsia="仿宋" w:cs="Times New Roman"/>
                <w:b/>
                <w:bCs/>
                <w:color w:val="auto"/>
                <w:kern w:val="2"/>
                <w:sz w:val="21"/>
                <w:szCs w:val="21"/>
              </w:rPr>
              <w:t>益计算方法</w:t>
            </w:r>
            <w:r>
              <w:rPr>
                <w:rFonts w:hint="eastAsia" w:ascii="仿宋" w:hAnsi="仿宋" w:eastAsia="仿宋" w:cs="Times New Roman"/>
                <w:b/>
                <w:bCs/>
                <w:color w:val="auto"/>
                <w:kern w:val="2"/>
                <w:sz w:val="21"/>
                <w:szCs w:val="21"/>
              </w:rPr>
              <w:t>之用</w:t>
            </w:r>
            <w:r>
              <w:rPr>
                <w:rFonts w:ascii="仿宋" w:hAnsi="仿宋" w:eastAsia="仿宋" w:cs="Times New Roman"/>
                <w:b/>
                <w:bCs/>
                <w:color w:val="auto"/>
                <w:kern w:val="2"/>
                <w:sz w:val="21"/>
                <w:szCs w:val="21"/>
              </w:rPr>
              <w:t>，并不代表以上的所有</w:t>
            </w:r>
            <w:r>
              <w:rPr>
                <w:rFonts w:hint="eastAsia" w:ascii="仿宋" w:hAnsi="仿宋" w:eastAsia="仿宋" w:cs="Times New Roman"/>
                <w:b/>
                <w:bCs/>
                <w:color w:val="auto"/>
                <w:kern w:val="2"/>
                <w:sz w:val="21"/>
                <w:szCs w:val="21"/>
              </w:rPr>
              <w:t>情景</w:t>
            </w:r>
            <w:r>
              <w:rPr>
                <w:rFonts w:ascii="仿宋" w:hAnsi="仿宋" w:eastAsia="仿宋" w:cs="Times New Roman"/>
                <w:b/>
                <w:bCs/>
                <w:color w:val="auto"/>
                <w:kern w:val="2"/>
                <w:sz w:val="21"/>
                <w:szCs w:val="21"/>
              </w:rPr>
              <w:t>或某一</w:t>
            </w:r>
            <w:r>
              <w:rPr>
                <w:rFonts w:hint="eastAsia" w:ascii="仿宋" w:hAnsi="仿宋" w:eastAsia="仿宋" w:cs="Times New Roman"/>
                <w:b/>
                <w:bCs/>
                <w:color w:val="auto"/>
                <w:kern w:val="2"/>
                <w:sz w:val="21"/>
                <w:szCs w:val="21"/>
              </w:rPr>
              <w:t>情景</w:t>
            </w:r>
            <w:r>
              <w:rPr>
                <w:rFonts w:ascii="仿宋" w:hAnsi="仿宋" w:eastAsia="仿宋" w:cs="Times New Roman"/>
                <w:b/>
                <w:bCs/>
                <w:color w:val="auto"/>
                <w:kern w:val="2"/>
                <w:sz w:val="21"/>
                <w:szCs w:val="21"/>
              </w:rPr>
              <w:t>一定会发</w:t>
            </w:r>
            <w:r>
              <w:rPr>
                <w:rFonts w:hint="eastAsia" w:ascii="仿宋" w:hAnsi="仿宋" w:eastAsia="仿宋" w:cs="Times New Roman"/>
                <w:b/>
                <w:bCs/>
                <w:color w:val="auto"/>
                <w:kern w:val="2"/>
                <w:sz w:val="21"/>
                <w:szCs w:val="21"/>
              </w:rPr>
              <w:t>生</w:t>
            </w:r>
            <w:r>
              <w:rPr>
                <w:rFonts w:ascii="仿宋" w:hAnsi="仿宋" w:eastAsia="仿宋" w:cs="Times New Roman"/>
                <w:b/>
                <w:bCs/>
                <w:color w:val="auto"/>
                <w:kern w:val="2"/>
                <w:sz w:val="21"/>
                <w:szCs w:val="21"/>
              </w:rPr>
              <w:t>，或天津银行</w:t>
            </w:r>
            <w:r>
              <w:rPr>
                <w:rFonts w:hint="eastAsia" w:ascii="仿宋" w:hAnsi="仿宋" w:eastAsia="仿宋" w:cs="Times New Roman"/>
                <w:b/>
                <w:bCs/>
                <w:color w:val="auto"/>
                <w:kern w:val="2"/>
                <w:sz w:val="21"/>
                <w:szCs w:val="21"/>
              </w:rPr>
              <w:t>认为</w:t>
            </w:r>
            <w:r>
              <w:rPr>
                <w:rFonts w:ascii="仿宋" w:hAnsi="仿宋" w:eastAsia="仿宋" w:cs="Times New Roman"/>
                <w:b/>
                <w:bCs/>
                <w:color w:val="auto"/>
                <w:kern w:val="2"/>
                <w:sz w:val="21"/>
                <w:szCs w:val="21"/>
              </w:rPr>
              <w:t>发生的可能性很大</w:t>
            </w:r>
            <w:r>
              <w:rPr>
                <w:rFonts w:hint="eastAsia" w:ascii="仿宋" w:hAnsi="仿宋" w:eastAsia="仿宋" w:cs="Times New Roman"/>
                <w:b/>
                <w:bCs/>
                <w:color w:val="auto"/>
                <w:kern w:val="2"/>
                <w:sz w:val="21"/>
                <w:szCs w:val="21"/>
              </w:rPr>
              <w:t>。</w:t>
            </w:r>
          </w:p>
          <w:p>
            <w:pPr>
              <w:spacing w:line="240" w:lineRule="exact"/>
              <w:rPr>
                <w:rFonts w:ascii="仿宋" w:hAnsi="仿宋" w:eastAsia="仿宋"/>
                <w:bCs/>
                <w:szCs w:val="21"/>
              </w:rPr>
            </w:pPr>
            <w:r>
              <w:rPr>
                <w:rFonts w:hint="eastAsia" w:ascii="仿宋" w:hAnsi="仿宋" w:eastAsia="仿宋"/>
                <w:b/>
                <w:bCs/>
                <w:szCs w:val="21"/>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估值管理</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Cs/>
                <w:szCs w:val="21"/>
              </w:rPr>
              <w:t>一、估值原则</w:t>
            </w:r>
          </w:p>
          <w:p>
            <w:pPr>
              <w:spacing w:line="240" w:lineRule="exact"/>
              <w:rPr>
                <w:rFonts w:ascii="仿宋" w:hAnsi="仿宋" w:eastAsia="仿宋"/>
                <w:bCs/>
                <w:szCs w:val="21"/>
              </w:rPr>
            </w:pPr>
            <w:r>
              <w:rPr>
                <w:rFonts w:hint="eastAsia" w:ascii="仿宋" w:hAnsi="仿宋" w:eastAsia="仿宋"/>
                <w:bCs/>
                <w:szCs w:val="21"/>
              </w:rPr>
              <w:t>（一）适配性原则。金融资产的公允价值确定方法应与理财产品的类型相匹配。</w:t>
            </w:r>
          </w:p>
          <w:p>
            <w:pPr>
              <w:spacing w:line="240" w:lineRule="exact"/>
              <w:rPr>
                <w:rFonts w:ascii="仿宋" w:hAnsi="仿宋" w:eastAsia="仿宋"/>
                <w:bCs/>
                <w:szCs w:val="21"/>
              </w:rPr>
            </w:pPr>
            <w:r>
              <w:rPr>
                <w:rFonts w:hint="eastAsia" w:ascii="仿宋" w:hAnsi="仿宋" w:eastAsia="仿宋"/>
                <w:bCs/>
                <w:szCs w:val="21"/>
              </w:rPr>
              <w:t>（二）审慎性原则。审慎确认和计量金融资产的公允价值时，不高估公允价值收益，不低估公允 价值损失。</w:t>
            </w:r>
          </w:p>
          <w:p>
            <w:pPr>
              <w:spacing w:line="240" w:lineRule="exact"/>
              <w:rPr>
                <w:rFonts w:ascii="仿宋" w:hAnsi="仿宋" w:eastAsia="仿宋"/>
                <w:bCs/>
                <w:szCs w:val="21"/>
              </w:rPr>
            </w:pPr>
            <w:r>
              <w:rPr>
                <w:rFonts w:hint="eastAsia" w:ascii="仿宋" w:hAnsi="仿宋" w:eastAsia="仿宋"/>
                <w:bCs/>
                <w:szCs w:val="21"/>
              </w:rPr>
              <w:t>（三）充分性原则。估值过程中充分考虑金融资产的性质、重要性及复杂程度等因素。</w:t>
            </w:r>
          </w:p>
          <w:p>
            <w:pPr>
              <w:spacing w:line="240" w:lineRule="exact"/>
              <w:rPr>
                <w:rFonts w:ascii="仿宋" w:hAnsi="仿宋" w:eastAsia="仿宋"/>
                <w:bCs/>
                <w:szCs w:val="21"/>
              </w:rPr>
            </w:pPr>
            <w:r>
              <w:rPr>
                <w:rFonts w:hint="eastAsia" w:ascii="仿宋" w:hAnsi="仿宋" w:eastAsia="仿宋"/>
                <w:bCs/>
                <w:szCs w:val="21"/>
              </w:rPr>
              <w:t>（四）清晰性原则。估值方法应清晰明了，便于理解和应用，能清晰反应金融资产的性质。</w:t>
            </w:r>
          </w:p>
          <w:p>
            <w:pPr>
              <w:spacing w:line="240" w:lineRule="exact"/>
              <w:rPr>
                <w:rFonts w:ascii="仿宋" w:hAnsi="仿宋" w:eastAsia="仿宋"/>
                <w:bCs/>
                <w:szCs w:val="21"/>
              </w:rPr>
            </w:pPr>
            <w:r>
              <w:rPr>
                <w:rFonts w:hint="eastAsia" w:ascii="仿宋" w:hAnsi="仿宋" w:eastAsia="仿宋"/>
                <w:bCs/>
                <w:szCs w:val="21"/>
              </w:rPr>
              <w:t>二、估值对象</w:t>
            </w:r>
          </w:p>
          <w:p>
            <w:pPr>
              <w:spacing w:line="240" w:lineRule="exact"/>
              <w:rPr>
                <w:rFonts w:ascii="仿宋" w:hAnsi="仿宋" w:eastAsia="仿宋"/>
                <w:bCs/>
                <w:szCs w:val="21"/>
              </w:rPr>
            </w:pPr>
            <w:r>
              <w:rPr>
                <w:rFonts w:hint="eastAsia" w:ascii="仿宋" w:hAnsi="仿宋" w:eastAsia="仿宋"/>
                <w:bCs/>
                <w:szCs w:val="21"/>
              </w:rPr>
              <w:t>本理财产品所持有的所有资产。</w:t>
            </w:r>
          </w:p>
          <w:p>
            <w:pPr>
              <w:spacing w:line="240" w:lineRule="exact"/>
              <w:rPr>
                <w:rFonts w:ascii="仿宋" w:hAnsi="仿宋" w:eastAsia="仿宋"/>
                <w:bCs/>
                <w:szCs w:val="21"/>
              </w:rPr>
            </w:pPr>
            <w:r>
              <w:rPr>
                <w:rFonts w:hint="eastAsia" w:ascii="仿宋" w:hAnsi="仿宋" w:eastAsia="仿宋"/>
                <w:bCs/>
                <w:szCs w:val="21"/>
              </w:rPr>
              <w:t>三、估值方法</w:t>
            </w:r>
          </w:p>
          <w:p>
            <w:pPr>
              <w:spacing w:line="240" w:lineRule="exact"/>
              <w:rPr>
                <w:rFonts w:ascii="仿宋" w:hAnsi="仿宋" w:eastAsia="仿宋"/>
                <w:bCs/>
                <w:szCs w:val="21"/>
              </w:rPr>
            </w:pPr>
            <w:r>
              <w:rPr>
                <w:rFonts w:hint="eastAsia" w:ascii="仿宋" w:hAnsi="仿宋" w:eastAsia="仿宋"/>
                <w:bCs/>
                <w:szCs w:val="21"/>
              </w:rPr>
              <w:t>（一）现金、银行存款</w:t>
            </w:r>
          </w:p>
          <w:p>
            <w:pPr>
              <w:spacing w:line="240" w:lineRule="exact"/>
              <w:rPr>
                <w:rFonts w:ascii="仿宋" w:hAnsi="仿宋" w:eastAsia="仿宋"/>
                <w:bCs/>
                <w:szCs w:val="21"/>
              </w:rPr>
            </w:pPr>
            <w:r>
              <w:rPr>
                <w:rFonts w:hint="eastAsia" w:ascii="仿宋" w:hAnsi="仿宋" w:eastAsia="仿宋"/>
                <w:bCs/>
                <w:szCs w:val="21"/>
              </w:rPr>
              <w:t>以本金列示，逐日计提银行存款利息，按商定利率确认存款利息收入。</w:t>
            </w:r>
          </w:p>
          <w:p>
            <w:pPr>
              <w:spacing w:line="240" w:lineRule="exact"/>
              <w:rPr>
                <w:rFonts w:ascii="仿宋" w:hAnsi="仿宋" w:eastAsia="仿宋"/>
                <w:bCs/>
                <w:szCs w:val="21"/>
              </w:rPr>
            </w:pPr>
            <w:r>
              <w:rPr>
                <w:rFonts w:hint="eastAsia" w:ascii="仿宋" w:hAnsi="仿宋" w:eastAsia="仿宋"/>
                <w:bCs/>
                <w:szCs w:val="21"/>
              </w:rPr>
              <w:t>（二）货币市场工具（质押式回购、同业拆借等）</w:t>
            </w:r>
          </w:p>
          <w:p>
            <w:pPr>
              <w:spacing w:line="240" w:lineRule="exact"/>
              <w:rPr>
                <w:rFonts w:ascii="仿宋" w:hAnsi="仿宋" w:eastAsia="仿宋"/>
                <w:bCs/>
                <w:szCs w:val="21"/>
              </w:rPr>
            </w:pPr>
            <w:r>
              <w:rPr>
                <w:rFonts w:hint="eastAsia" w:ascii="仿宋" w:hAnsi="仿宋" w:eastAsia="仿宋"/>
                <w:bCs/>
                <w:szCs w:val="21"/>
              </w:rPr>
              <w:t>以本金列示，按商定利率逐日计提利息收入/支出。</w:t>
            </w:r>
          </w:p>
          <w:p>
            <w:pPr>
              <w:spacing w:line="240" w:lineRule="exact"/>
              <w:rPr>
                <w:rFonts w:ascii="仿宋" w:hAnsi="仿宋" w:eastAsia="仿宋"/>
                <w:bCs/>
                <w:szCs w:val="21"/>
              </w:rPr>
            </w:pPr>
            <w:r>
              <w:rPr>
                <w:rFonts w:hint="eastAsia" w:ascii="仿宋" w:hAnsi="仿宋" w:eastAsia="仿宋"/>
                <w:bCs/>
                <w:szCs w:val="21"/>
              </w:rPr>
              <w:t>（三）银行间市场和证券交易所流通的债券等标准化固定收益类资产</w:t>
            </w:r>
          </w:p>
          <w:p>
            <w:pPr>
              <w:spacing w:line="240" w:lineRule="exact"/>
              <w:rPr>
                <w:rFonts w:ascii="仿宋" w:hAnsi="仿宋" w:eastAsia="仿宋"/>
                <w:bCs/>
                <w:szCs w:val="21"/>
              </w:rPr>
            </w:pPr>
            <w:r>
              <w:rPr>
                <w:rFonts w:hint="eastAsia" w:ascii="仿宋" w:hAnsi="仿宋" w:eastAsia="仿宋"/>
                <w:bCs/>
                <w:szCs w:val="21"/>
              </w:rPr>
              <w:t>1、银行间固定收益类证券</w:t>
            </w:r>
          </w:p>
          <w:p>
            <w:pPr>
              <w:spacing w:line="240" w:lineRule="exact"/>
              <w:rPr>
                <w:rFonts w:ascii="仿宋" w:hAnsi="仿宋" w:eastAsia="仿宋"/>
                <w:bCs/>
                <w:szCs w:val="21"/>
              </w:rPr>
            </w:pPr>
            <w:r>
              <w:rPr>
                <w:rFonts w:hint="eastAsia" w:ascii="仿宋" w:hAnsi="仿宋" w:eastAsia="仿宋"/>
                <w:bCs/>
                <w:szCs w:val="21"/>
              </w:rPr>
              <w:t>以公允价值估值，主要依据为第三方估值机构即中央国债登记结算公司（以下简称“中债”）提供的价格数据。</w:t>
            </w:r>
          </w:p>
          <w:p>
            <w:pPr>
              <w:spacing w:line="240" w:lineRule="exact"/>
              <w:rPr>
                <w:rFonts w:ascii="仿宋" w:hAnsi="仿宋" w:eastAsia="仿宋"/>
                <w:bCs/>
                <w:szCs w:val="21"/>
              </w:rPr>
            </w:pPr>
            <w:r>
              <w:rPr>
                <w:rFonts w:hint="eastAsia" w:ascii="仿宋" w:hAnsi="仿宋" w:eastAsia="仿宋"/>
                <w:bCs/>
                <w:szCs w:val="21"/>
              </w:rPr>
              <w:t>（1）对银行间市场上不含权的固定收益品种，选取中债提供的相应品种当日的估值净价。</w:t>
            </w:r>
          </w:p>
          <w:p>
            <w:pPr>
              <w:spacing w:line="240" w:lineRule="exact"/>
              <w:rPr>
                <w:rFonts w:ascii="仿宋" w:hAnsi="仿宋" w:eastAsia="仿宋"/>
                <w:bCs/>
                <w:szCs w:val="21"/>
              </w:rPr>
            </w:pPr>
            <w:r>
              <w:rPr>
                <w:rFonts w:hint="eastAsia" w:ascii="仿宋" w:hAnsi="仿宋" w:eastAsia="仿宋"/>
                <w:bCs/>
                <w:szCs w:val="21"/>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spacing w:line="240" w:lineRule="exact"/>
              <w:rPr>
                <w:rFonts w:ascii="仿宋" w:hAnsi="仿宋" w:eastAsia="仿宋"/>
                <w:bCs/>
                <w:szCs w:val="21"/>
              </w:rPr>
            </w:pPr>
            <w:r>
              <w:rPr>
                <w:rFonts w:hint="eastAsia" w:ascii="仿宋" w:hAnsi="仿宋" w:eastAsia="仿宋"/>
                <w:bCs/>
                <w:szCs w:val="21"/>
              </w:rPr>
              <w:t>（3）对银行间市场未上市，且中债未提供估值价格的固定收益品种，在发行利率和二级市场利率不存在明显差异、未上市期间市场利率没有发生大的变动的情况下，按成本估值。</w:t>
            </w:r>
          </w:p>
          <w:p>
            <w:pPr>
              <w:spacing w:line="240" w:lineRule="exact"/>
              <w:rPr>
                <w:rFonts w:ascii="仿宋" w:hAnsi="仿宋" w:eastAsia="仿宋"/>
                <w:bCs/>
                <w:szCs w:val="21"/>
              </w:rPr>
            </w:pPr>
            <w:r>
              <w:rPr>
                <w:rFonts w:hint="eastAsia" w:ascii="仿宋" w:hAnsi="仿宋" w:eastAsia="仿宋"/>
                <w:bCs/>
                <w:szCs w:val="21"/>
              </w:rPr>
              <w:t>2、交易所固定收益类证券</w:t>
            </w:r>
          </w:p>
          <w:p>
            <w:pPr>
              <w:spacing w:line="240" w:lineRule="exact"/>
              <w:rPr>
                <w:rFonts w:ascii="仿宋" w:hAnsi="仿宋" w:eastAsia="仿宋"/>
                <w:bCs/>
                <w:szCs w:val="21"/>
              </w:rPr>
            </w:pPr>
            <w:r>
              <w:rPr>
                <w:rFonts w:hint="eastAsia" w:ascii="仿宋" w:hAnsi="仿宋" w:eastAsia="仿宋"/>
                <w:bCs/>
                <w:szCs w:val="21"/>
              </w:rPr>
              <w:t>以公允价值估值，主要依据为第三方估值机构即中证指数有限公司（以下简称“中证”）提供的价格数据。</w:t>
            </w:r>
          </w:p>
          <w:p>
            <w:pPr>
              <w:spacing w:line="240" w:lineRule="exact"/>
              <w:rPr>
                <w:rFonts w:ascii="仿宋" w:hAnsi="仿宋" w:eastAsia="仿宋"/>
                <w:bCs/>
                <w:szCs w:val="21"/>
              </w:rPr>
            </w:pPr>
            <w:r>
              <w:rPr>
                <w:rFonts w:hint="eastAsia" w:ascii="仿宋" w:hAnsi="仿宋" w:eastAsia="仿宋"/>
                <w:bCs/>
                <w:szCs w:val="21"/>
              </w:rPr>
              <w:t>（1）对在交易所上市交易或挂牌转让的不含权固定收益品种，选取中证提供的相应品种当日的估值净价。</w:t>
            </w:r>
          </w:p>
          <w:p>
            <w:pPr>
              <w:spacing w:line="240" w:lineRule="exact"/>
              <w:rPr>
                <w:rFonts w:ascii="仿宋" w:hAnsi="仿宋" w:eastAsia="仿宋"/>
                <w:bCs/>
                <w:szCs w:val="21"/>
              </w:rPr>
            </w:pPr>
            <w:r>
              <w:rPr>
                <w:rFonts w:hint="eastAsia" w:ascii="仿宋" w:hAnsi="仿宋" w:eastAsia="仿宋"/>
                <w:bCs/>
                <w:szCs w:val="21"/>
              </w:rPr>
              <w:t>（2）对在交易所上市交易或挂牌转让的含权固定收益品种，选取中证提供的相应品种当日的唯一估值净价或推荐估值净价。</w:t>
            </w:r>
          </w:p>
          <w:p>
            <w:pPr>
              <w:spacing w:line="240" w:lineRule="exact"/>
              <w:rPr>
                <w:rFonts w:ascii="仿宋" w:hAnsi="仿宋" w:eastAsia="仿宋"/>
                <w:bCs/>
                <w:szCs w:val="21"/>
              </w:rPr>
            </w:pPr>
            <w:r>
              <w:rPr>
                <w:rFonts w:hint="eastAsia" w:ascii="仿宋" w:hAnsi="仿宋" w:eastAsia="仿宋"/>
                <w:bCs/>
                <w:szCs w:val="21"/>
              </w:rPr>
              <w:t>（3）第三方估值机构提供的估值价格与收盘价存在差异的，若产品管理人认定交易所收盘价更能体现公允价值，可与托管人协商一致后采用收盘价进行估值。</w:t>
            </w:r>
          </w:p>
          <w:p>
            <w:pPr>
              <w:spacing w:line="240" w:lineRule="exact"/>
              <w:rPr>
                <w:rFonts w:ascii="仿宋" w:hAnsi="仿宋" w:eastAsia="仿宋"/>
                <w:bCs/>
                <w:szCs w:val="21"/>
              </w:rPr>
            </w:pPr>
            <w:r>
              <w:rPr>
                <w:rFonts w:hint="eastAsia" w:ascii="仿宋" w:hAnsi="仿宋" w:eastAsia="仿宋"/>
                <w:bCs/>
                <w:szCs w:val="21"/>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spacing w:line="240" w:lineRule="exact"/>
              <w:rPr>
                <w:rFonts w:ascii="仿宋" w:hAnsi="仿宋" w:eastAsia="仿宋"/>
                <w:bCs/>
                <w:szCs w:val="21"/>
              </w:rPr>
            </w:pPr>
            <w:r>
              <w:rPr>
                <w:rFonts w:hint="eastAsia" w:ascii="仿宋" w:hAnsi="仿宋" w:eastAsia="仿宋"/>
                <w:bCs/>
                <w:szCs w:val="21"/>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spacing w:line="240" w:lineRule="exact"/>
              <w:rPr>
                <w:rFonts w:ascii="仿宋" w:hAnsi="仿宋" w:eastAsia="仿宋"/>
                <w:bCs/>
                <w:szCs w:val="21"/>
              </w:rPr>
            </w:pPr>
            <w:r>
              <w:rPr>
                <w:rFonts w:hint="eastAsia" w:ascii="仿宋" w:hAnsi="仿宋" w:eastAsia="仿宋"/>
                <w:bCs/>
                <w:szCs w:val="21"/>
              </w:rPr>
              <w:t>3、资产支持证券（ABS）、资产支持票据（ABN）、信贷资产证券化（MBS）、私募债等资产，存在可以确定公允价值的，以公允价值估值，公允价值不能确定的，按照成本估值。</w:t>
            </w:r>
          </w:p>
          <w:p>
            <w:pPr>
              <w:spacing w:line="240" w:lineRule="exact"/>
              <w:rPr>
                <w:rFonts w:ascii="仿宋" w:hAnsi="仿宋" w:eastAsia="仿宋"/>
                <w:bCs/>
                <w:szCs w:val="21"/>
              </w:rPr>
            </w:pPr>
            <w:r>
              <w:rPr>
                <w:rFonts w:hint="eastAsia" w:ascii="仿宋" w:hAnsi="仿宋" w:eastAsia="仿宋"/>
                <w:bCs/>
                <w:szCs w:val="21"/>
              </w:rPr>
              <w:t>4、同时在多个市场交易的证券</w:t>
            </w:r>
          </w:p>
          <w:p>
            <w:pPr>
              <w:spacing w:line="240" w:lineRule="exact"/>
              <w:rPr>
                <w:rFonts w:ascii="仿宋" w:hAnsi="仿宋" w:eastAsia="仿宋"/>
                <w:bCs/>
                <w:szCs w:val="21"/>
              </w:rPr>
            </w:pPr>
            <w:r>
              <w:rPr>
                <w:rFonts w:hint="eastAsia" w:ascii="仿宋" w:hAnsi="仿宋" w:eastAsia="仿宋"/>
                <w:bCs/>
                <w:szCs w:val="21"/>
              </w:rPr>
              <w:t>对于具备同时在多个不同市场交易条件的证券，以其实际发生交易所处市场及相应估值标准进行估值。</w:t>
            </w:r>
          </w:p>
          <w:p>
            <w:pPr>
              <w:spacing w:line="240" w:lineRule="exact"/>
              <w:rPr>
                <w:rFonts w:ascii="仿宋" w:hAnsi="仿宋" w:eastAsia="仿宋"/>
                <w:bCs/>
                <w:szCs w:val="21"/>
              </w:rPr>
            </w:pPr>
            <w:r>
              <w:rPr>
                <w:rFonts w:hint="eastAsia" w:ascii="仿宋" w:hAnsi="仿宋" w:eastAsia="仿宋"/>
                <w:bCs/>
                <w:szCs w:val="21"/>
              </w:rPr>
              <w:t>（四）非标准化债权类资产</w:t>
            </w:r>
          </w:p>
          <w:p>
            <w:pPr>
              <w:spacing w:line="240" w:lineRule="exact"/>
              <w:rPr>
                <w:rFonts w:ascii="仿宋" w:hAnsi="仿宋" w:eastAsia="仿宋"/>
                <w:bCs/>
                <w:szCs w:val="21"/>
              </w:rPr>
            </w:pPr>
            <w:r>
              <w:rPr>
                <w:rFonts w:hint="eastAsia" w:ascii="仿宋" w:hAnsi="仿宋" w:eastAsia="仿宋"/>
                <w:bCs/>
                <w:szCs w:val="21"/>
              </w:rPr>
              <w:t>按照公允价值估值，不能确定公允价值的，采用估值技术进行估值。</w:t>
            </w:r>
          </w:p>
          <w:p>
            <w:pPr>
              <w:spacing w:line="240" w:lineRule="exact"/>
              <w:rPr>
                <w:rFonts w:ascii="仿宋" w:hAnsi="仿宋" w:eastAsia="仿宋"/>
                <w:bCs/>
                <w:szCs w:val="21"/>
              </w:rPr>
            </w:pPr>
            <w:r>
              <w:rPr>
                <w:rFonts w:hint="eastAsia" w:ascii="仿宋" w:hAnsi="仿宋" w:eastAsia="仿宋"/>
                <w:bCs/>
                <w:szCs w:val="21"/>
              </w:rPr>
              <w:t>（五）证券投资基金</w:t>
            </w:r>
          </w:p>
          <w:p>
            <w:pPr>
              <w:spacing w:line="240" w:lineRule="exact"/>
              <w:rPr>
                <w:rFonts w:ascii="仿宋" w:hAnsi="仿宋" w:eastAsia="仿宋"/>
                <w:bCs/>
                <w:szCs w:val="21"/>
              </w:rPr>
            </w:pPr>
            <w:r>
              <w:rPr>
                <w:rFonts w:hint="eastAsia" w:ascii="仿宋" w:hAnsi="仿宋" w:eastAsia="仿宋"/>
                <w:bCs/>
                <w:szCs w:val="21"/>
              </w:rPr>
              <w:t>以公允价值进行估值。</w:t>
            </w:r>
          </w:p>
          <w:p>
            <w:pPr>
              <w:spacing w:line="240" w:lineRule="exact"/>
              <w:rPr>
                <w:rFonts w:ascii="仿宋" w:hAnsi="仿宋" w:eastAsia="仿宋"/>
                <w:bCs/>
                <w:szCs w:val="21"/>
              </w:rPr>
            </w:pPr>
            <w:r>
              <w:rPr>
                <w:rFonts w:hint="eastAsia" w:ascii="仿宋" w:hAnsi="仿宋" w:eastAsia="仿宋"/>
                <w:bCs/>
                <w:szCs w:val="21"/>
              </w:rPr>
              <w:t>1、非上市基金估值</w:t>
            </w:r>
          </w:p>
          <w:p>
            <w:pPr>
              <w:spacing w:line="240" w:lineRule="exact"/>
              <w:rPr>
                <w:rFonts w:ascii="仿宋" w:hAnsi="仿宋" w:eastAsia="仿宋"/>
                <w:bCs/>
                <w:szCs w:val="21"/>
              </w:rPr>
            </w:pPr>
            <w:r>
              <w:rPr>
                <w:rFonts w:hint="eastAsia" w:ascii="仿宋" w:hAnsi="仿宋" w:eastAsia="仿宋"/>
                <w:bCs/>
                <w:szCs w:val="21"/>
              </w:rPr>
              <w:t>（1）理财产品投资的境内非货币市场基金，按所投资基金估值日的份额净值估值。</w:t>
            </w:r>
          </w:p>
          <w:p>
            <w:pPr>
              <w:spacing w:line="240" w:lineRule="exact"/>
              <w:rPr>
                <w:rFonts w:ascii="仿宋" w:hAnsi="仿宋" w:eastAsia="仿宋"/>
                <w:bCs/>
                <w:szCs w:val="21"/>
              </w:rPr>
            </w:pPr>
            <w:r>
              <w:rPr>
                <w:rFonts w:hint="eastAsia" w:ascii="仿宋" w:hAnsi="仿宋" w:eastAsia="仿宋"/>
                <w:bCs/>
                <w:szCs w:val="21"/>
              </w:rPr>
              <w:t>（2）理财产品投资的境内货币市场基金，按所投资基金前一估值日后至估值日期间（含节假日）的万份收益计提估值日基金收益。</w:t>
            </w:r>
          </w:p>
          <w:p>
            <w:pPr>
              <w:spacing w:line="240" w:lineRule="exact"/>
              <w:rPr>
                <w:rFonts w:ascii="仿宋" w:hAnsi="仿宋" w:eastAsia="仿宋"/>
                <w:bCs/>
                <w:szCs w:val="21"/>
              </w:rPr>
            </w:pPr>
            <w:r>
              <w:rPr>
                <w:rFonts w:hint="eastAsia" w:ascii="仿宋" w:hAnsi="仿宋" w:eastAsia="仿宋"/>
                <w:bCs/>
                <w:szCs w:val="21"/>
              </w:rPr>
              <w:t>2、上市基金估值</w:t>
            </w:r>
          </w:p>
          <w:p>
            <w:pPr>
              <w:spacing w:line="240" w:lineRule="exact"/>
              <w:rPr>
                <w:rFonts w:ascii="仿宋" w:hAnsi="仿宋" w:eastAsia="仿宋"/>
                <w:bCs/>
                <w:szCs w:val="21"/>
              </w:rPr>
            </w:pPr>
            <w:r>
              <w:rPr>
                <w:rFonts w:hint="eastAsia" w:ascii="仿宋" w:hAnsi="仿宋" w:eastAsia="仿宋"/>
                <w:bCs/>
                <w:szCs w:val="21"/>
              </w:rPr>
              <w:t>（1）理财产品投资的ETF基金，按所投资ETF基金估值日的收盘价估值。</w:t>
            </w:r>
          </w:p>
          <w:p>
            <w:pPr>
              <w:spacing w:line="240" w:lineRule="exact"/>
              <w:rPr>
                <w:rFonts w:ascii="仿宋" w:hAnsi="仿宋" w:eastAsia="仿宋"/>
                <w:bCs/>
                <w:szCs w:val="21"/>
              </w:rPr>
            </w:pPr>
            <w:r>
              <w:rPr>
                <w:rFonts w:hint="eastAsia" w:ascii="仿宋" w:hAnsi="仿宋" w:eastAsia="仿宋"/>
                <w:bCs/>
                <w:szCs w:val="21"/>
              </w:rPr>
              <w:t>（2）理财产品投资的境内上市开放式基金（LOF），按所投资基金估值日的份额净值估值。</w:t>
            </w:r>
          </w:p>
          <w:p>
            <w:pPr>
              <w:spacing w:line="240" w:lineRule="exact"/>
              <w:rPr>
                <w:rFonts w:ascii="仿宋" w:hAnsi="仿宋" w:eastAsia="仿宋"/>
                <w:bCs/>
                <w:szCs w:val="21"/>
              </w:rPr>
            </w:pPr>
            <w:r>
              <w:rPr>
                <w:rFonts w:hint="eastAsia" w:ascii="仿宋" w:hAnsi="仿宋" w:eastAsia="仿宋"/>
                <w:bCs/>
                <w:szCs w:val="21"/>
              </w:rPr>
              <w:t>（3）理财产品投资的境内上市定期开放式基金、封闭式基金，按所投资基金估值日的收盘价估值。</w:t>
            </w:r>
          </w:p>
          <w:p>
            <w:pPr>
              <w:spacing w:line="240" w:lineRule="exact"/>
              <w:rPr>
                <w:rFonts w:ascii="仿宋" w:hAnsi="仿宋" w:eastAsia="仿宋"/>
                <w:bCs/>
                <w:szCs w:val="21"/>
              </w:rPr>
            </w:pPr>
            <w:r>
              <w:rPr>
                <w:rFonts w:hint="eastAsia" w:ascii="仿宋" w:hAnsi="仿宋" w:eastAsia="仿宋"/>
                <w:bCs/>
                <w:szCs w:val="21"/>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spacing w:line="240" w:lineRule="exact"/>
              <w:rPr>
                <w:rFonts w:ascii="仿宋" w:hAnsi="仿宋" w:eastAsia="仿宋"/>
                <w:bCs/>
                <w:szCs w:val="21"/>
              </w:rPr>
            </w:pPr>
            <w:r>
              <w:rPr>
                <w:rFonts w:hint="eastAsia" w:ascii="仿宋" w:hAnsi="仿宋" w:eastAsia="仿宋"/>
                <w:bCs/>
                <w:szCs w:val="21"/>
              </w:rPr>
              <w:t>3.特殊情况处理</w:t>
            </w:r>
          </w:p>
          <w:p>
            <w:pPr>
              <w:spacing w:line="240" w:lineRule="exact"/>
              <w:rPr>
                <w:rFonts w:ascii="仿宋" w:hAnsi="仿宋" w:eastAsia="仿宋"/>
                <w:bCs/>
                <w:szCs w:val="21"/>
              </w:rPr>
            </w:pPr>
            <w:r>
              <w:rPr>
                <w:rFonts w:hint="eastAsia" w:ascii="仿宋" w:hAnsi="仿宋" w:eastAsia="仿宋"/>
                <w:bCs/>
                <w:szCs w:val="21"/>
              </w:rPr>
              <w:t>如遇所投资基金不公布基金份额净值、进行折算或拆分、估值日无交易等特殊情况，产品管理人根据以下原则进行估值。</w:t>
            </w:r>
          </w:p>
          <w:p>
            <w:pPr>
              <w:spacing w:line="240" w:lineRule="exact"/>
              <w:rPr>
                <w:rFonts w:ascii="仿宋" w:hAnsi="仿宋" w:eastAsia="仿宋"/>
                <w:bCs/>
                <w:szCs w:val="21"/>
              </w:rPr>
            </w:pPr>
            <w:r>
              <w:rPr>
                <w:rFonts w:hint="eastAsia" w:ascii="仿宋" w:hAnsi="仿宋" w:eastAsia="仿宋"/>
                <w:bCs/>
                <w:szCs w:val="21"/>
              </w:rPr>
              <w:t>（1）以所投资基金的基金份额净值估值的，若所投资基金与理财产品估值频率一致但未公布估值日基金份额净值，按其最近公布的基金份额净值为基础估值。</w:t>
            </w:r>
          </w:p>
          <w:p>
            <w:pPr>
              <w:spacing w:line="240" w:lineRule="exact"/>
              <w:rPr>
                <w:rFonts w:ascii="仿宋" w:hAnsi="仿宋" w:eastAsia="仿宋"/>
                <w:bCs/>
                <w:szCs w:val="21"/>
              </w:rPr>
            </w:pPr>
            <w:r>
              <w:rPr>
                <w:rFonts w:hint="eastAsia" w:ascii="仿宋" w:hAnsi="仿宋" w:eastAsia="仿宋"/>
                <w:bCs/>
                <w:szCs w:val="21"/>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spacing w:line="240" w:lineRule="exact"/>
              <w:rPr>
                <w:rFonts w:ascii="仿宋" w:hAnsi="仿宋" w:eastAsia="仿宋"/>
                <w:bCs/>
                <w:szCs w:val="21"/>
              </w:rPr>
            </w:pPr>
            <w:r>
              <w:rPr>
                <w:rFonts w:hint="eastAsia" w:ascii="仿宋" w:hAnsi="仿宋" w:eastAsia="仿宋"/>
                <w:bCs/>
                <w:szCs w:val="21"/>
              </w:rPr>
              <w:t>（3）如果所投资基金前一估值日至估值日期间发生分红除权、折算或拆分，理财产品管理人应根据基金份额净值或收盘价、单位基金份额分红金额、折算拆分比例、持仓份额等因素合理确定公允价值。</w:t>
            </w:r>
          </w:p>
          <w:p>
            <w:pPr>
              <w:spacing w:line="240" w:lineRule="exact"/>
              <w:rPr>
                <w:rFonts w:ascii="仿宋" w:hAnsi="仿宋" w:eastAsia="仿宋"/>
                <w:bCs/>
                <w:szCs w:val="21"/>
              </w:rPr>
            </w:pPr>
            <w:r>
              <w:rPr>
                <w:rFonts w:hint="eastAsia" w:ascii="仿宋" w:hAnsi="仿宋" w:eastAsia="仿宋"/>
                <w:bCs/>
                <w:szCs w:val="21"/>
              </w:rPr>
              <w:t>（4）当产品管理人认为所投资基金按上述方法存在不公允时，在法律法规允许的范围内，可与托管人协商一致采用合理的估值技术或估值标准确定其公允价值。</w:t>
            </w:r>
          </w:p>
          <w:p>
            <w:pPr>
              <w:spacing w:line="240" w:lineRule="exact"/>
              <w:rPr>
                <w:rFonts w:ascii="仿宋" w:hAnsi="仿宋" w:eastAsia="仿宋"/>
                <w:bCs/>
                <w:szCs w:val="21"/>
              </w:rPr>
            </w:pPr>
            <w:r>
              <w:rPr>
                <w:rFonts w:hint="eastAsia" w:ascii="仿宋" w:hAnsi="仿宋" w:eastAsia="仿宋"/>
                <w:bCs/>
                <w:szCs w:val="21"/>
              </w:rPr>
              <w:t>（六）摊余成本及减值计提：</w:t>
            </w:r>
          </w:p>
          <w:p>
            <w:pPr>
              <w:spacing w:line="240" w:lineRule="exact"/>
              <w:rPr>
                <w:rFonts w:ascii="仿宋" w:hAnsi="仿宋" w:eastAsia="仿宋"/>
                <w:bCs/>
                <w:szCs w:val="21"/>
              </w:rPr>
            </w:pPr>
            <w:r>
              <w:rPr>
                <w:rFonts w:hint="eastAsia" w:ascii="仿宋" w:hAnsi="仿宋" w:eastAsia="仿宋"/>
                <w:bCs/>
                <w:szCs w:val="21"/>
              </w:rPr>
              <w:t>对于符合以下条件之一的资产，在通过SPPI测试的情况下，可按照企业会计准则以摊余成本进行计量：</w:t>
            </w:r>
          </w:p>
          <w:p>
            <w:pPr>
              <w:spacing w:line="240" w:lineRule="exact"/>
              <w:rPr>
                <w:rFonts w:ascii="仿宋" w:hAnsi="仿宋" w:eastAsia="仿宋"/>
                <w:bCs/>
                <w:szCs w:val="21"/>
              </w:rPr>
            </w:pPr>
            <w:r>
              <w:rPr>
                <w:rFonts w:hint="eastAsia" w:ascii="仿宋" w:hAnsi="仿宋" w:eastAsia="仿宋"/>
                <w:bCs/>
                <w:szCs w:val="21"/>
              </w:rPr>
              <w:t>1.所投资产以收取合同现金流为目的并持有到期；</w:t>
            </w:r>
          </w:p>
          <w:p>
            <w:pPr>
              <w:spacing w:line="240" w:lineRule="exact"/>
              <w:rPr>
                <w:rFonts w:ascii="仿宋" w:hAnsi="仿宋" w:eastAsia="仿宋"/>
                <w:bCs/>
                <w:szCs w:val="21"/>
              </w:rPr>
            </w:pPr>
            <w:r>
              <w:rPr>
                <w:rFonts w:hint="eastAsia" w:ascii="仿宋" w:hAnsi="仿宋" w:eastAsia="仿宋"/>
                <w:bCs/>
                <w:szCs w:val="21"/>
              </w:rPr>
              <w:t>2.所投资产暂不具备活跃交易市场，或者在活跃市场中没有报价、也不能采用估值技术可靠计量公允价值。</w:t>
            </w:r>
          </w:p>
          <w:p>
            <w:pPr>
              <w:spacing w:line="240" w:lineRule="exact"/>
              <w:rPr>
                <w:rFonts w:ascii="仿宋" w:hAnsi="仿宋" w:eastAsia="仿宋"/>
                <w:bCs/>
                <w:szCs w:val="21"/>
              </w:rPr>
            </w:pPr>
            <w:r>
              <w:rPr>
                <w:rFonts w:hint="eastAsia" w:ascii="仿宋" w:hAnsi="仿宋" w:eastAsia="仿宋"/>
                <w:bCs/>
                <w:szCs w:val="21"/>
              </w:rPr>
              <w:t>在使用摊余成本法进行估值时，需按照会计准则规定采用合理的减值计量模型或第三方减值计量结果进行减值计提。计提减值不等同于金融资产已发生损失，仅为对未来风险的审慎预期。</w:t>
            </w:r>
          </w:p>
          <w:p>
            <w:pPr>
              <w:spacing w:line="240" w:lineRule="exact"/>
              <w:rPr>
                <w:rFonts w:ascii="仿宋" w:hAnsi="仿宋" w:eastAsia="仿宋"/>
                <w:bCs/>
                <w:szCs w:val="21"/>
              </w:rPr>
            </w:pPr>
            <w:r>
              <w:rPr>
                <w:rFonts w:hint="eastAsia" w:ascii="仿宋" w:hAnsi="仿宋" w:eastAsia="仿宋"/>
                <w:bCs/>
                <w:szCs w:val="21"/>
              </w:rPr>
              <w:t xml:space="preserve">（七）若因国家规定或有确凿证据表明按上述方法进行估值不能客观反映其公允价值的，产品管理人可根据具体情况与托管人商定后，按最能反映公允价值的价格估值。 </w:t>
            </w:r>
          </w:p>
          <w:p>
            <w:pPr>
              <w:spacing w:line="240" w:lineRule="exact"/>
              <w:rPr>
                <w:rFonts w:ascii="仿宋" w:hAnsi="仿宋" w:eastAsia="仿宋"/>
                <w:bCs/>
                <w:szCs w:val="21"/>
              </w:rPr>
            </w:pPr>
            <w:r>
              <w:rPr>
                <w:rFonts w:hint="eastAsia" w:ascii="仿宋" w:hAnsi="仿宋" w:eastAsia="仿宋"/>
                <w:bCs/>
                <w:szCs w:val="21"/>
              </w:rPr>
              <w:t>（八）相关法律法规以及监管部门有其他规定的，从其规定。如有新增或调整事项，按国家相关政策最新规定估值。</w:t>
            </w:r>
          </w:p>
          <w:p>
            <w:pPr>
              <w:spacing w:line="240" w:lineRule="exact"/>
              <w:rPr>
                <w:rFonts w:ascii="仿宋" w:hAnsi="仿宋" w:eastAsia="仿宋"/>
                <w:bCs/>
                <w:szCs w:val="21"/>
              </w:rPr>
            </w:pPr>
            <w:r>
              <w:rPr>
                <w:rFonts w:hint="eastAsia" w:ascii="仿宋" w:hAnsi="仿宋" w:eastAsia="仿宋"/>
                <w:bCs/>
                <w:szCs w:val="21"/>
              </w:rPr>
              <w:t>（九）估值错误的处理</w:t>
            </w:r>
          </w:p>
          <w:p>
            <w:pPr>
              <w:spacing w:line="240" w:lineRule="exact"/>
              <w:rPr>
                <w:rFonts w:ascii="仿宋" w:hAnsi="仿宋" w:eastAsia="仿宋"/>
                <w:bCs/>
                <w:szCs w:val="21"/>
              </w:rPr>
            </w:pPr>
            <w:r>
              <w:rPr>
                <w:rFonts w:hint="eastAsia" w:ascii="仿宋" w:hAnsi="仿宋" w:eastAsia="仿宋"/>
                <w:bCs/>
                <w:szCs w:val="21"/>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spacing w:line="240" w:lineRule="exact"/>
              <w:rPr>
                <w:rFonts w:ascii="仿宋" w:hAnsi="仿宋" w:eastAsia="仿宋"/>
                <w:bCs/>
                <w:szCs w:val="21"/>
              </w:rPr>
            </w:pPr>
            <w:r>
              <w:rPr>
                <w:rFonts w:hint="eastAsia" w:ascii="仿宋" w:hAnsi="仿宋" w:eastAsia="仿宋"/>
                <w:bCs/>
                <w:szCs w:val="21"/>
              </w:rPr>
              <w:t>（十）暂停估值</w:t>
            </w:r>
          </w:p>
          <w:p>
            <w:pPr>
              <w:spacing w:line="240" w:lineRule="exact"/>
              <w:rPr>
                <w:rFonts w:ascii="仿宋" w:hAnsi="仿宋" w:eastAsia="仿宋"/>
                <w:bCs/>
                <w:szCs w:val="21"/>
              </w:rPr>
            </w:pPr>
            <w:r>
              <w:rPr>
                <w:rFonts w:hint="eastAsia" w:ascii="仿宋" w:hAnsi="仿宋" w:eastAsia="仿宋"/>
                <w:bCs/>
                <w:szCs w:val="21"/>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是否允许撤单</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
                <w:bCs/>
                <w:szCs w:val="21"/>
              </w:rPr>
              <w:t>认购申请在实际募集结束日当天闭市后不允许撤单。</w:t>
            </w:r>
            <w:r>
              <w:rPr>
                <w:rFonts w:ascii="仿宋" w:hAnsi="仿宋" w:eastAsia="仿宋"/>
                <w:b/>
                <w:bCs/>
                <w:szCs w:val="21"/>
              </w:rPr>
              <w:t>闭市时间为</w:t>
            </w:r>
            <w:r>
              <w:rPr>
                <w:rFonts w:hint="eastAsia" w:ascii="仿宋" w:hAnsi="仿宋" w:eastAsia="仿宋"/>
                <w:b/>
                <w:bCs/>
                <w:szCs w:val="21"/>
                <w:lang w:val="en-US" w:eastAsia="zh-CN"/>
              </w:rPr>
              <w:t>16:30</w:t>
            </w:r>
            <w:r>
              <w:rPr>
                <w:rFonts w:hint="eastAsia" w:ascii="仿宋" w:hAnsi="仿宋" w:eastAsia="仿宋"/>
                <w:b/>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jc w:val="center"/>
              <w:rPr>
                <w:rFonts w:ascii="仿宋" w:hAnsi="仿宋" w:eastAsia="仿宋"/>
                <w:b/>
                <w:kern w:val="0"/>
                <w:sz w:val="24"/>
                <w:szCs w:val="24"/>
              </w:rPr>
            </w:pPr>
            <w:r>
              <w:rPr>
                <w:rFonts w:hint="eastAsia" w:ascii="仿宋" w:hAnsi="仿宋" w:eastAsia="仿宋"/>
                <w:b/>
                <w:kern w:val="0"/>
                <w:sz w:val="24"/>
                <w:szCs w:val="24"/>
              </w:rPr>
              <w:t>销售及管理</w:t>
            </w:r>
          </w:p>
        </w:tc>
        <w:tc>
          <w:tcPr>
            <w:tcW w:w="1797" w:type="dxa"/>
            <w:gridSpan w:val="2"/>
            <w:vAlign w:val="center"/>
          </w:tcPr>
          <w:p>
            <w:pPr>
              <w:jc w:val="center"/>
              <w:rPr>
                <w:rFonts w:ascii="仿宋" w:hAnsi="仿宋" w:eastAsia="仿宋"/>
                <w:b/>
                <w:bCs/>
                <w:kern w:val="0"/>
                <w:sz w:val="24"/>
                <w:szCs w:val="24"/>
              </w:rPr>
            </w:pPr>
            <w:r>
              <w:rPr>
                <w:rFonts w:hint="eastAsia" w:ascii="仿宋" w:hAnsi="仿宋" w:eastAsia="仿宋"/>
                <w:b/>
                <w:bCs/>
                <w:kern w:val="0"/>
                <w:sz w:val="24"/>
                <w:szCs w:val="24"/>
              </w:rPr>
              <w:t>销售</w:t>
            </w:r>
            <w:r>
              <w:rPr>
                <w:rFonts w:hint="eastAsia" w:ascii="仿宋" w:hAnsi="仿宋" w:eastAsia="仿宋"/>
                <w:b/>
                <w:bCs/>
                <w:kern w:val="0"/>
                <w:sz w:val="24"/>
                <w:szCs w:val="24"/>
                <w:lang w:val="en-US" w:eastAsia="zh-CN"/>
              </w:rPr>
              <w:t>机构</w:t>
            </w:r>
          </w:p>
        </w:tc>
        <w:tc>
          <w:tcPr>
            <w:tcW w:w="6660" w:type="dxa"/>
            <w:gridSpan w:val="6"/>
            <w:vAlign w:val="center"/>
          </w:tcPr>
          <w:p>
            <w:pPr>
              <w:rPr>
                <w:rFonts w:hint="eastAsia" w:ascii="仿宋" w:hAnsi="仿宋" w:eastAsia="仿宋"/>
                <w:szCs w:val="21"/>
                <w:highlight w:val="none"/>
                <w:lang w:eastAsia="zh-CN"/>
              </w:rPr>
            </w:pPr>
            <w:r>
              <w:rPr>
                <w:rFonts w:hint="eastAsia" w:ascii="仿宋" w:hAnsi="仿宋" w:eastAsia="仿宋"/>
                <w:szCs w:val="21"/>
                <w:highlight w:val="none"/>
                <w:lang w:eastAsia="zh-CN"/>
              </w:rPr>
              <w:t>名称：沧州银行股份有限公司</w:t>
            </w:r>
          </w:p>
          <w:p>
            <w:pPr>
              <w:rPr>
                <w:rFonts w:hint="eastAsia" w:ascii="仿宋" w:hAnsi="仿宋" w:eastAsia="仿宋"/>
                <w:szCs w:val="21"/>
                <w:highlight w:val="none"/>
                <w:lang w:eastAsia="zh-CN"/>
              </w:rPr>
            </w:pPr>
            <w:r>
              <w:rPr>
                <w:rFonts w:hint="eastAsia" w:ascii="仿宋" w:hAnsi="仿宋" w:eastAsia="仿宋"/>
                <w:szCs w:val="21"/>
                <w:highlight w:val="none"/>
                <w:lang w:eastAsia="zh-CN"/>
              </w:rPr>
              <w:t>销售渠道：手机银行</w:t>
            </w:r>
          </w:p>
          <w:p>
            <w:pPr>
              <w:rPr>
                <w:rFonts w:hint="eastAsia" w:ascii="仿宋" w:hAnsi="仿宋" w:eastAsia="仿宋"/>
                <w:szCs w:val="21"/>
                <w:highlight w:val="none"/>
                <w:lang w:eastAsia="zh-CN"/>
              </w:rPr>
            </w:pPr>
            <w:r>
              <w:rPr>
                <w:rFonts w:hint="eastAsia" w:ascii="仿宋" w:hAnsi="仿宋" w:eastAsia="仿宋"/>
                <w:szCs w:val="21"/>
                <w:highlight w:val="none"/>
                <w:lang w:eastAsia="zh-CN"/>
              </w:rPr>
              <w:t>客服热线：0317-96328</w:t>
            </w:r>
          </w:p>
          <w:p>
            <w:pPr>
              <w:rPr>
                <w:rFonts w:hint="eastAsia" w:ascii="仿宋" w:hAnsi="仿宋" w:eastAsia="仿宋"/>
                <w:szCs w:val="21"/>
                <w:highlight w:val="none"/>
                <w:lang w:eastAsia="zh-CN"/>
              </w:rPr>
            </w:pPr>
            <w:r>
              <w:rPr>
                <w:rFonts w:hint="eastAsia" w:ascii="仿宋" w:hAnsi="仿宋" w:eastAsia="仿宋"/>
                <w:szCs w:val="21"/>
                <w:highlight w:val="none"/>
                <w:lang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jc w:val="center"/>
              <w:rPr>
                <w:rFonts w:ascii="仿宋" w:hAnsi="仿宋" w:eastAsia="仿宋"/>
                <w:b/>
                <w:kern w:val="0"/>
                <w:sz w:val="24"/>
                <w:szCs w:val="24"/>
              </w:rPr>
            </w:pPr>
          </w:p>
        </w:tc>
        <w:tc>
          <w:tcPr>
            <w:tcW w:w="1797" w:type="dxa"/>
            <w:gridSpan w:val="2"/>
            <w:vAlign w:val="center"/>
          </w:tcPr>
          <w:p>
            <w:pPr>
              <w:jc w:val="center"/>
              <w:rPr>
                <w:rFonts w:eastAsia="仿宋_GB2312"/>
                <w:b/>
                <w:sz w:val="24"/>
              </w:rPr>
            </w:pPr>
            <w:r>
              <w:rPr>
                <w:rFonts w:hint="eastAsia" w:eastAsia="仿宋_GB2312"/>
                <w:b/>
                <w:sz w:val="24"/>
              </w:rPr>
              <w:t>销售</w:t>
            </w:r>
            <w:r>
              <w:rPr>
                <w:rFonts w:eastAsia="仿宋_GB2312"/>
                <w:b/>
                <w:sz w:val="24"/>
              </w:rPr>
              <w:t>机构</w:t>
            </w:r>
          </w:p>
          <w:p>
            <w:pPr>
              <w:jc w:val="center"/>
              <w:rPr>
                <w:rFonts w:hint="eastAsia" w:ascii="仿宋" w:hAnsi="仿宋" w:eastAsia="仿宋"/>
                <w:b/>
                <w:bCs/>
                <w:kern w:val="0"/>
                <w:sz w:val="24"/>
                <w:szCs w:val="24"/>
              </w:rPr>
            </w:pPr>
            <w:r>
              <w:rPr>
                <w:rFonts w:hint="eastAsia" w:eastAsia="仿宋_GB2312"/>
                <w:b/>
                <w:sz w:val="24"/>
              </w:rPr>
              <w:t>主要</w:t>
            </w:r>
            <w:r>
              <w:rPr>
                <w:rFonts w:eastAsia="仿宋_GB2312"/>
                <w:b/>
                <w:sz w:val="24"/>
              </w:rPr>
              <w:t>职责</w:t>
            </w:r>
          </w:p>
        </w:tc>
        <w:tc>
          <w:tcPr>
            <w:tcW w:w="6660" w:type="dxa"/>
            <w:gridSpan w:val="6"/>
            <w:vAlign w:val="center"/>
          </w:tcPr>
          <w:p>
            <w:pPr>
              <w:rPr>
                <w:rFonts w:hint="eastAsia" w:ascii="仿宋" w:hAnsi="仿宋" w:eastAsia="仿宋"/>
                <w:bCs/>
                <w:kern w:val="0"/>
                <w:szCs w:val="21"/>
                <w:lang w:eastAsia="zh-CN"/>
              </w:rPr>
            </w:pPr>
            <w:r>
              <w:rPr>
                <w:rFonts w:hint="eastAsia" w:eastAsia="仿宋_GB2312"/>
                <w:sz w:val="24"/>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jc w:val="center"/>
              <w:rPr>
                <w:rFonts w:ascii="仿宋" w:hAnsi="仿宋" w:eastAsia="仿宋"/>
                <w:b/>
                <w:kern w:val="0"/>
                <w:sz w:val="24"/>
                <w:szCs w:val="24"/>
              </w:rPr>
            </w:pPr>
          </w:p>
        </w:tc>
        <w:tc>
          <w:tcPr>
            <w:tcW w:w="1797" w:type="dxa"/>
            <w:gridSpan w:val="2"/>
            <w:vAlign w:val="center"/>
          </w:tcPr>
          <w:p>
            <w:pPr>
              <w:jc w:val="center"/>
              <w:rPr>
                <w:rFonts w:ascii="仿宋" w:hAnsi="仿宋" w:eastAsia="仿宋"/>
                <w:b/>
                <w:bCs/>
                <w:kern w:val="0"/>
                <w:sz w:val="24"/>
                <w:szCs w:val="24"/>
              </w:rPr>
            </w:pPr>
            <w:r>
              <w:rPr>
                <w:rFonts w:hint="eastAsia" w:ascii="仿宋" w:hAnsi="仿宋" w:eastAsia="仿宋"/>
                <w:b/>
                <w:bCs/>
                <w:kern w:val="0"/>
                <w:sz w:val="24"/>
                <w:szCs w:val="24"/>
              </w:rPr>
              <w:t>资产管理人</w:t>
            </w:r>
          </w:p>
        </w:tc>
        <w:tc>
          <w:tcPr>
            <w:tcW w:w="6660" w:type="dxa"/>
            <w:gridSpan w:val="6"/>
            <w:vAlign w:val="center"/>
          </w:tcPr>
          <w:p>
            <w:pPr>
              <w:rPr>
                <w:rFonts w:ascii="仿宋" w:hAnsi="仿宋" w:eastAsia="仿宋"/>
                <w:bCs/>
                <w:kern w:val="0"/>
                <w:szCs w:val="21"/>
              </w:rPr>
            </w:pPr>
            <w:r>
              <w:rPr>
                <w:rFonts w:hint="eastAsia" w:ascii="仿宋" w:hAnsi="仿宋" w:eastAsia="仿宋"/>
                <w:bCs/>
                <w:kern w:val="0"/>
                <w:szCs w:val="21"/>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jc w:val="center"/>
              <w:rPr>
                <w:rFonts w:ascii="仿宋" w:hAnsi="仿宋" w:eastAsia="仿宋"/>
                <w:b/>
                <w:kern w:val="0"/>
                <w:sz w:val="24"/>
                <w:szCs w:val="24"/>
              </w:rPr>
            </w:pPr>
          </w:p>
        </w:tc>
        <w:tc>
          <w:tcPr>
            <w:tcW w:w="1797" w:type="dxa"/>
            <w:gridSpan w:val="2"/>
            <w:vAlign w:val="center"/>
          </w:tcPr>
          <w:p>
            <w:pPr>
              <w:jc w:val="center"/>
              <w:rPr>
                <w:rFonts w:ascii="仿宋" w:hAnsi="仿宋" w:eastAsia="仿宋"/>
                <w:b/>
                <w:bCs/>
                <w:kern w:val="0"/>
                <w:sz w:val="24"/>
                <w:szCs w:val="24"/>
              </w:rPr>
            </w:pPr>
            <w:r>
              <w:rPr>
                <w:rFonts w:hint="eastAsia" w:ascii="仿宋" w:hAnsi="仿宋" w:eastAsia="仿宋"/>
                <w:b/>
                <w:bCs/>
                <w:kern w:val="0"/>
                <w:sz w:val="24"/>
                <w:szCs w:val="24"/>
              </w:rPr>
              <w:t>资产托管人信息</w:t>
            </w:r>
          </w:p>
        </w:tc>
        <w:tc>
          <w:tcPr>
            <w:tcW w:w="6660" w:type="dxa"/>
            <w:gridSpan w:val="6"/>
            <w:vAlign w:val="center"/>
          </w:tcPr>
          <w:p>
            <w:pPr>
              <w:rPr>
                <w:rFonts w:hint="default" w:ascii="仿宋" w:hAnsi="仿宋" w:eastAsia="仿宋"/>
                <w:bCs/>
                <w:kern w:val="0"/>
                <w:szCs w:val="21"/>
                <w:lang w:val="en-US" w:eastAsia="zh-CN"/>
              </w:rPr>
            </w:pPr>
            <w:r>
              <w:rPr>
                <w:rFonts w:hint="eastAsia" w:ascii="仿宋" w:hAnsi="仿宋" w:eastAsia="仿宋"/>
                <w:bCs/>
                <w:kern w:val="0"/>
                <w:szCs w:val="21"/>
              </w:rPr>
              <w:t>名称：</w:t>
            </w:r>
            <w:r>
              <w:rPr>
                <w:rFonts w:hint="eastAsia" w:ascii="仿宋" w:hAnsi="仿宋" w:eastAsia="仿宋"/>
                <w:bCs/>
                <w:kern w:val="0"/>
                <w:szCs w:val="21"/>
                <w:lang w:val="en-US" w:eastAsia="zh-CN"/>
              </w:rPr>
              <w:t>招商银行天津分行</w:t>
            </w:r>
          </w:p>
          <w:p>
            <w:pPr>
              <w:rPr>
                <w:rFonts w:hint="default" w:ascii="仿宋" w:hAnsi="仿宋" w:eastAsia="仿宋"/>
                <w:bCs/>
                <w:kern w:val="0"/>
                <w:szCs w:val="21"/>
                <w:lang w:val="en-US" w:eastAsia="zh-CN"/>
              </w:rPr>
            </w:pPr>
            <w:r>
              <w:rPr>
                <w:rFonts w:hint="eastAsia" w:ascii="仿宋" w:hAnsi="仿宋" w:eastAsia="仿宋"/>
                <w:bCs/>
                <w:kern w:val="0"/>
                <w:szCs w:val="21"/>
              </w:rPr>
              <w:t>地址：</w:t>
            </w:r>
            <w:r>
              <w:rPr>
                <w:rFonts w:hint="eastAsia" w:ascii="仿宋" w:hAnsi="仿宋" w:eastAsia="仿宋"/>
                <w:bCs/>
                <w:kern w:val="0"/>
                <w:szCs w:val="21"/>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jc w:val="center"/>
              <w:rPr>
                <w:rFonts w:ascii="仿宋" w:hAnsi="仿宋" w:eastAsia="仿宋"/>
                <w:b/>
                <w:kern w:val="0"/>
                <w:sz w:val="24"/>
                <w:szCs w:val="24"/>
              </w:rPr>
            </w:pPr>
          </w:p>
        </w:tc>
        <w:tc>
          <w:tcPr>
            <w:tcW w:w="1797" w:type="dxa"/>
            <w:gridSpan w:val="2"/>
            <w:vAlign w:val="center"/>
          </w:tcPr>
          <w:p>
            <w:pPr>
              <w:jc w:val="center"/>
              <w:rPr>
                <w:rFonts w:eastAsia="仿宋_GB2312"/>
                <w:szCs w:val="21"/>
              </w:rPr>
            </w:pPr>
            <w:r>
              <w:rPr>
                <w:rFonts w:hint="eastAsia" w:eastAsia="仿宋_GB2312"/>
                <w:szCs w:val="21"/>
              </w:rPr>
              <w:t>资产托管人</w:t>
            </w:r>
          </w:p>
          <w:p>
            <w:pPr>
              <w:jc w:val="center"/>
              <w:rPr>
                <w:rFonts w:eastAsia="仿宋_GB2312"/>
                <w:szCs w:val="21"/>
              </w:rPr>
            </w:pPr>
            <w:r>
              <w:rPr>
                <w:rFonts w:hint="eastAsia" w:eastAsia="仿宋_GB2312"/>
                <w:szCs w:val="21"/>
              </w:rPr>
              <w:t>主要职责</w:t>
            </w:r>
          </w:p>
        </w:tc>
        <w:tc>
          <w:tcPr>
            <w:tcW w:w="6660" w:type="dxa"/>
            <w:gridSpan w:val="6"/>
            <w:vAlign w:val="center"/>
          </w:tcPr>
          <w:p>
            <w:pPr>
              <w:rPr>
                <w:rFonts w:ascii="仿宋" w:hAnsi="仿宋" w:eastAsia="仿宋"/>
                <w:bCs/>
                <w:kern w:val="0"/>
                <w:szCs w:val="21"/>
              </w:rPr>
            </w:pPr>
            <w:r>
              <w:rPr>
                <w:rFonts w:hint="eastAsia" w:eastAsia="仿宋_GB2312"/>
                <w:szCs w:val="21"/>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Align w:val="center"/>
          </w:tcPr>
          <w:p>
            <w:pPr>
              <w:jc w:val="center"/>
              <w:rPr>
                <w:rFonts w:ascii="仿宋" w:hAnsi="仿宋" w:eastAsia="仿宋"/>
                <w:b/>
                <w:kern w:val="0"/>
                <w:sz w:val="24"/>
                <w:szCs w:val="24"/>
              </w:rPr>
            </w:pPr>
            <w:r>
              <w:rPr>
                <w:rFonts w:hint="eastAsia" w:ascii="仿宋_GB2312" w:eastAsia="仿宋_GB2312"/>
                <w:b/>
                <w:kern w:val="0"/>
                <w:sz w:val="24"/>
                <w:szCs w:val="24"/>
              </w:rPr>
              <w:t>投资</w:t>
            </w:r>
            <w:r>
              <w:rPr>
                <w:rFonts w:ascii="仿宋_GB2312" w:eastAsia="仿宋_GB2312"/>
                <w:b/>
                <w:kern w:val="0"/>
                <w:sz w:val="24"/>
                <w:szCs w:val="24"/>
              </w:rPr>
              <w:t>合作机构</w:t>
            </w:r>
          </w:p>
        </w:tc>
        <w:tc>
          <w:tcPr>
            <w:tcW w:w="8457" w:type="dxa"/>
            <w:gridSpan w:val="8"/>
            <w:vAlign w:val="center"/>
          </w:tcPr>
          <w:p>
            <w:pPr>
              <w:rPr>
                <w:rFonts w:eastAsia="仿宋_GB2312"/>
                <w:szCs w:val="21"/>
              </w:rPr>
            </w:pPr>
            <w:r>
              <w:rPr>
                <w:rFonts w:hint="eastAsia" w:ascii="仿宋_GB2312" w:eastAsia="仿宋_GB2312"/>
                <w:b/>
                <w:kern w:val="0"/>
                <w:sz w:val="24"/>
                <w:szCs w:val="24"/>
              </w:rPr>
              <w:t>投资</w:t>
            </w:r>
            <w:r>
              <w:rPr>
                <w:rFonts w:ascii="仿宋_GB2312" w:eastAsia="仿宋_GB2312"/>
                <w:b/>
                <w:kern w:val="0"/>
                <w:sz w:val="24"/>
                <w:szCs w:val="24"/>
              </w:rPr>
              <w:t>合作机构</w:t>
            </w:r>
            <w:r>
              <w:rPr>
                <w:rFonts w:hint="eastAsia" w:eastAsia="仿宋_GB2312"/>
                <w:sz w:val="24"/>
              </w:rPr>
              <w:t>是</w:t>
            </w:r>
            <w:r>
              <w:rPr>
                <w:rFonts w:eastAsia="仿宋_GB2312"/>
                <w:sz w:val="24"/>
              </w:rPr>
              <w:t>指</w:t>
            </w:r>
            <w:r>
              <w:rPr>
                <w:rFonts w:hint="eastAsia" w:eastAsia="仿宋_GB2312"/>
                <w:sz w:val="24"/>
              </w:rPr>
              <w:t>理财</w:t>
            </w:r>
            <w:r>
              <w:rPr>
                <w:rFonts w:eastAsia="仿宋_GB2312"/>
                <w:sz w:val="24"/>
              </w:rPr>
              <w:t>产品</w:t>
            </w:r>
            <w:r>
              <w:rPr>
                <w:rFonts w:hint="eastAsia" w:eastAsia="仿宋_GB2312"/>
                <w:sz w:val="24"/>
              </w:rPr>
              <w:t>所</w:t>
            </w:r>
            <w:r>
              <w:rPr>
                <w:rFonts w:eastAsia="仿宋_GB2312"/>
                <w:sz w:val="24"/>
              </w:rPr>
              <w:t>投资资产管理产品的</w:t>
            </w:r>
            <w:r>
              <w:rPr>
                <w:rFonts w:hint="eastAsia" w:eastAsia="仿宋_GB2312"/>
                <w:sz w:val="24"/>
              </w:rPr>
              <w:t>发行机构</w:t>
            </w:r>
            <w:r>
              <w:rPr>
                <w:rFonts w:eastAsia="仿宋_GB2312"/>
                <w:sz w:val="24"/>
              </w:rPr>
              <w:t>、根据合同约定从事理财</w:t>
            </w:r>
            <w:r>
              <w:rPr>
                <w:rFonts w:hint="eastAsia" w:eastAsia="仿宋_GB2312"/>
                <w:sz w:val="24"/>
              </w:rPr>
              <w:t>产品</w:t>
            </w:r>
            <w:r>
              <w:rPr>
                <w:rFonts w:eastAsia="仿宋_GB2312"/>
                <w:sz w:val="24"/>
              </w:rPr>
              <w:t>受托投资的机构</w:t>
            </w:r>
            <w:r>
              <w:rPr>
                <w:rFonts w:hint="eastAsia" w:eastAsia="仿宋_GB2312"/>
                <w:sz w:val="24"/>
              </w:rPr>
              <w:t>以及</w:t>
            </w:r>
            <w:r>
              <w:rPr>
                <w:rFonts w:eastAsia="仿宋_GB2312"/>
                <w:sz w:val="24"/>
              </w:rPr>
              <w:t>与理财产品</w:t>
            </w:r>
            <w:r>
              <w:rPr>
                <w:rFonts w:hint="eastAsia" w:eastAsia="仿宋_GB2312"/>
                <w:sz w:val="24"/>
              </w:rPr>
              <w:t>投资</w:t>
            </w:r>
            <w:r>
              <w:rPr>
                <w:rFonts w:eastAsia="仿宋_GB2312"/>
                <w:sz w:val="24"/>
              </w:rPr>
              <w:t>管理相关的投资顾问等机构</w:t>
            </w:r>
            <w:r>
              <w:rPr>
                <w:rFonts w:hint="eastAsia" w:eastAsia="仿宋_GB2312"/>
                <w:sz w:val="24"/>
              </w:rPr>
              <w:t>。主要</w:t>
            </w:r>
            <w:r>
              <w:rPr>
                <w:rFonts w:eastAsia="仿宋_GB2312"/>
                <w:sz w:val="24"/>
              </w:rPr>
              <w:t>职责为进行受托资金的投资管理，根据合同约定从事受托投资或提供投资顾问</w:t>
            </w:r>
            <w:r>
              <w:rPr>
                <w:rFonts w:hint="eastAsia" w:eastAsia="仿宋_GB2312"/>
                <w:sz w:val="24"/>
              </w:rPr>
              <w:t>等</w:t>
            </w:r>
            <w:r>
              <w:rPr>
                <w:rFonts w:eastAsia="仿宋_GB2312"/>
                <w:sz w:val="24"/>
              </w:rPr>
              <w:t>服务，具体职责</w:t>
            </w:r>
            <w:r>
              <w:rPr>
                <w:rFonts w:hint="eastAsia" w:eastAsia="仿宋_GB2312"/>
                <w:sz w:val="24"/>
              </w:rPr>
              <w:t>以</w:t>
            </w:r>
            <w:r>
              <w:rPr>
                <w:rFonts w:eastAsia="仿宋_GB2312"/>
                <w:sz w:val="24"/>
              </w:rPr>
              <w:t>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1951" w:type="dxa"/>
            <w:vAlign w:val="center"/>
          </w:tcPr>
          <w:p>
            <w:pPr>
              <w:jc w:val="center"/>
              <w:rPr>
                <w:rFonts w:ascii="仿宋" w:hAnsi="仿宋" w:eastAsia="仿宋"/>
                <w:b/>
                <w:kern w:val="0"/>
                <w:sz w:val="24"/>
                <w:szCs w:val="24"/>
                <w:u w:val="wave"/>
              </w:rPr>
            </w:pPr>
            <w:r>
              <w:rPr>
                <w:rFonts w:hint="eastAsia" w:ascii="仿宋" w:hAnsi="仿宋" w:eastAsia="仿宋"/>
                <w:b/>
                <w:kern w:val="0"/>
                <w:sz w:val="24"/>
                <w:szCs w:val="24"/>
              </w:rPr>
              <w:t>提前终止条款及延期</w:t>
            </w:r>
            <w:r>
              <w:rPr>
                <w:rFonts w:ascii="仿宋" w:hAnsi="仿宋" w:eastAsia="仿宋"/>
                <w:b/>
                <w:kern w:val="0"/>
                <w:sz w:val="24"/>
                <w:szCs w:val="24"/>
              </w:rPr>
              <w:t>条款</w:t>
            </w:r>
          </w:p>
        </w:tc>
        <w:tc>
          <w:tcPr>
            <w:tcW w:w="8457" w:type="dxa"/>
            <w:gridSpan w:val="8"/>
            <w:vAlign w:val="center"/>
          </w:tcPr>
          <w:p>
            <w:pPr>
              <w:spacing w:line="240" w:lineRule="exact"/>
              <w:rPr>
                <w:rFonts w:ascii="仿宋" w:hAnsi="仿宋" w:eastAsia="仿宋"/>
                <w:bCs/>
                <w:szCs w:val="21"/>
              </w:rPr>
            </w:pPr>
            <w:r>
              <w:rPr>
                <w:rFonts w:hint="eastAsia" w:ascii="仿宋" w:hAnsi="仿宋" w:eastAsia="仿宋"/>
                <w:b/>
                <w:szCs w:val="21"/>
              </w:rPr>
              <w:t>1.本产品投资期内，客户无权提前终止本产品。</w:t>
            </w:r>
            <w:r>
              <w:rPr>
                <w:rFonts w:hint="eastAsia" w:ascii="仿宋" w:hAnsi="仿宋" w:eastAsia="仿宋"/>
                <w:bCs/>
                <w:szCs w:val="21"/>
              </w:rPr>
              <w:t>如出现以下情况，天津银行有权但无义务提前终止本理财产品：</w:t>
            </w:r>
          </w:p>
          <w:p>
            <w:pPr>
              <w:spacing w:line="240" w:lineRule="exact"/>
              <w:rPr>
                <w:rFonts w:ascii="仿宋" w:hAnsi="仿宋" w:eastAsia="仿宋"/>
                <w:bCs/>
                <w:szCs w:val="21"/>
              </w:rPr>
            </w:pPr>
            <w:r>
              <w:rPr>
                <w:rFonts w:hint="eastAsia" w:ascii="仿宋" w:hAnsi="仿宋" w:eastAsia="仿宋"/>
                <w:bCs/>
                <w:szCs w:val="21"/>
              </w:rPr>
              <w:t>（1）因不可抗力原因导致理财产品无法继续运作；</w:t>
            </w:r>
          </w:p>
          <w:p>
            <w:pPr>
              <w:spacing w:line="240" w:lineRule="exact"/>
              <w:rPr>
                <w:rFonts w:ascii="仿宋" w:hAnsi="仿宋" w:eastAsia="仿宋"/>
                <w:bCs/>
                <w:szCs w:val="21"/>
              </w:rPr>
            </w:pPr>
            <w:r>
              <w:rPr>
                <w:rFonts w:hint="eastAsia" w:ascii="仿宋" w:hAnsi="仿宋" w:eastAsia="仿宋"/>
                <w:bCs/>
                <w:szCs w:val="21"/>
              </w:rPr>
              <w:t>（2）遇市场出现剧烈波动、异常风险事件等情形导致理财产品收益出现大幅波动或严重影响理财产品的资产安全；</w:t>
            </w:r>
          </w:p>
          <w:p>
            <w:pPr>
              <w:spacing w:line="240" w:lineRule="exact"/>
              <w:rPr>
                <w:rFonts w:ascii="仿宋" w:hAnsi="仿宋" w:eastAsia="仿宋"/>
                <w:bCs/>
                <w:szCs w:val="21"/>
              </w:rPr>
            </w:pPr>
            <w:r>
              <w:rPr>
                <w:rFonts w:hint="eastAsia" w:ascii="仿宋" w:hAnsi="仿宋" w:eastAsia="仿宋"/>
                <w:bCs/>
                <w:szCs w:val="21"/>
              </w:rPr>
              <w:t>（3）因客户理财资金被有权机关扣划等原因导致理财产品剩余资产无法满足相关法律法规规定，所投资市场要求或协议等相关法律文件约定，或者继续存续无法实现投资目标；</w:t>
            </w:r>
          </w:p>
          <w:p>
            <w:pPr>
              <w:spacing w:line="240" w:lineRule="exact"/>
              <w:rPr>
                <w:rFonts w:ascii="仿宋" w:hAnsi="仿宋" w:eastAsia="仿宋"/>
                <w:bCs/>
                <w:szCs w:val="21"/>
              </w:rPr>
            </w:pPr>
            <w:r>
              <w:rPr>
                <w:rFonts w:hint="eastAsia" w:ascii="仿宋" w:hAnsi="仿宋" w:eastAsia="仿宋"/>
                <w:bCs/>
                <w:szCs w:val="21"/>
              </w:rPr>
              <w:t>（4）因法律法规变化或国家金融政策调整，影响本产品继续正常运作；</w:t>
            </w:r>
          </w:p>
          <w:p>
            <w:pPr>
              <w:spacing w:line="240" w:lineRule="exact"/>
              <w:rPr>
                <w:rFonts w:ascii="仿宋" w:hAnsi="仿宋" w:eastAsia="仿宋"/>
                <w:bCs/>
                <w:szCs w:val="21"/>
              </w:rPr>
            </w:pPr>
            <w:r>
              <w:rPr>
                <w:rFonts w:hint="eastAsia" w:ascii="仿宋" w:hAnsi="仿宋" w:eastAsia="仿宋"/>
                <w:bCs/>
                <w:szCs w:val="21"/>
              </w:rPr>
              <w:t>（5）理财资金所投资的金融资产或金融工具提前终止；</w:t>
            </w:r>
          </w:p>
          <w:p>
            <w:pPr>
              <w:spacing w:line="240" w:lineRule="exact"/>
              <w:rPr>
                <w:rFonts w:ascii="仿宋" w:hAnsi="仿宋" w:eastAsia="仿宋"/>
                <w:bCs/>
                <w:szCs w:val="21"/>
              </w:rPr>
            </w:pPr>
            <w:r>
              <w:rPr>
                <w:rFonts w:hint="eastAsia" w:ascii="仿宋" w:hAnsi="仿宋" w:eastAsia="仿宋"/>
                <w:bCs/>
                <w:szCs w:val="21"/>
              </w:rPr>
              <w:t>（6）提前终止产品比维持产品运作更有利于保护产品持有人的权益；</w:t>
            </w:r>
          </w:p>
          <w:p>
            <w:pPr>
              <w:spacing w:line="240" w:lineRule="exact"/>
              <w:rPr>
                <w:rFonts w:ascii="仿宋" w:hAnsi="仿宋" w:eastAsia="仿宋"/>
                <w:bCs/>
                <w:szCs w:val="21"/>
              </w:rPr>
            </w:pPr>
            <w:r>
              <w:rPr>
                <w:rFonts w:hint="eastAsia" w:ascii="仿宋" w:hAnsi="仿宋" w:eastAsia="仿宋"/>
                <w:bCs/>
                <w:szCs w:val="21"/>
              </w:rPr>
              <w:t>（7）法律法规规定的其他情形。</w:t>
            </w:r>
          </w:p>
          <w:p>
            <w:pPr>
              <w:spacing w:line="240" w:lineRule="exact"/>
              <w:rPr>
                <w:rFonts w:ascii="仿宋" w:hAnsi="仿宋" w:eastAsia="仿宋"/>
                <w:b/>
                <w:bCs/>
                <w:szCs w:val="21"/>
              </w:rPr>
            </w:pPr>
            <w:r>
              <w:rPr>
                <w:rFonts w:hint="eastAsia" w:ascii="仿宋" w:hAnsi="仿宋" w:eastAsia="仿宋"/>
                <w:b/>
                <w:bCs/>
                <w:szCs w:val="21"/>
              </w:rPr>
              <w:t>2. 如出现以下</w:t>
            </w:r>
            <w:r>
              <w:rPr>
                <w:rFonts w:ascii="仿宋" w:hAnsi="仿宋" w:eastAsia="仿宋"/>
                <w:b/>
                <w:bCs/>
                <w:szCs w:val="21"/>
              </w:rPr>
              <w:t>情况，天津银行有权延长本产品的终止日：</w:t>
            </w:r>
          </w:p>
          <w:p>
            <w:pPr>
              <w:spacing w:line="240" w:lineRule="exact"/>
              <w:rPr>
                <w:rFonts w:ascii="仿宋" w:hAnsi="仿宋" w:eastAsia="仿宋"/>
                <w:bCs/>
                <w:szCs w:val="21"/>
              </w:rPr>
            </w:pPr>
            <w:r>
              <w:rPr>
                <w:rFonts w:hint="eastAsia" w:ascii="仿宋" w:hAnsi="仿宋" w:eastAsia="仿宋"/>
                <w:bCs/>
                <w:szCs w:val="21"/>
              </w:rPr>
              <w:t>（1</w:t>
            </w:r>
            <w:r>
              <w:rPr>
                <w:rFonts w:ascii="仿宋" w:hAnsi="仿宋" w:eastAsia="仿宋"/>
                <w:bCs/>
                <w:szCs w:val="21"/>
              </w:rPr>
              <w:t>）</w:t>
            </w:r>
            <w:r>
              <w:rPr>
                <w:rFonts w:hint="eastAsia" w:ascii="仿宋" w:hAnsi="仿宋" w:eastAsia="仿宋"/>
                <w:bCs/>
                <w:szCs w:val="21"/>
              </w:rPr>
              <w:t>产品</w:t>
            </w:r>
            <w:r>
              <w:rPr>
                <w:rFonts w:ascii="仿宋" w:hAnsi="仿宋" w:eastAsia="仿宋"/>
                <w:bCs/>
                <w:szCs w:val="21"/>
              </w:rPr>
              <w:t>终止日遇</w:t>
            </w:r>
            <w:r>
              <w:rPr>
                <w:rFonts w:hint="eastAsia" w:ascii="仿宋" w:hAnsi="仿宋" w:eastAsia="仿宋"/>
                <w:bCs/>
                <w:szCs w:val="21"/>
              </w:rPr>
              <w:t>非工作日</w:t>
            </w:r>
            <w:r>
              <w:rPr>
                <w:rFonts w:ascii="仿宋" w:hAnsi="仿宋" w:eastAsia="仿宋"/>
                <w:bCs/>
                <w:szCs w:val="21"/>
              </w:rPr>
              <w:t>则顺延至下一工作日，客户清算资金到账</w:t>
            </w:r>
            <w:r>
              <w:rPr>
                <w:rFonts w:hint="eastAsia" w:ascii="仿宋" w:hAnsi="仿宋" w:eastAsia="仿宋"/>
                <w:bCs/>
                <w:szCs w:val="21"/>
              </w:rPr>
              <w:t>日</w:t>
            </w:r>
            <w:r>
              <w:rPr>
                <w:rFonts w:ascii="仿宋" w:hAnsi="仿宋" w:eastAsia="仿宋"/>
                <w:bCs/>
                <w:szCs w:val="21"/>
              </w:rPr>
              <w:t>将相应调整；</w:t>
            </w:r>
          </w:p>
          <w:p>
            <w:pPr>
              <w:spacing w:line="240" w:lineRule="exact"/>
              <w:rPr>
                <w:rFonts w:ascii="仿宋" w:hAnsi="仿宋" w:eastAsia="仿宋"/>
                <w:bCs/>
                <w:szCs w:val="21"/>
              </w:rPr>
            </w:pPr>
            <w:r>
              <w:rPr>
                <w:rFonts w:hint="eastAsia" w:ascii="仿宋" w:hAnsi="仿宋" w:eastAsia="仿宋"/>
                <w:bCs/>
                <w:szCs w:val="21"/>
              </w:rPr>
              <w:t>（2</w:t>
            </w:r>
            <w:r>
              <w:rPr>
                <w:rFonts w:ascii="仿宋" w:hAnsi="仿宋" w:eastAsia="仿宋"/>
                <w:bCs/>
                <w:szCs w:val="21"/>
              </w:rPr>
              <w:t>）</w:t>
            </w:r>
            <w:r>
              <w:rPr>
                <w:rFonts w:hint="eastAsia" w:ascii="仿宋" w:hAnsi="仿宋" w:eastAsia="仿宋"/>
                <w:bCs/>
                <w:szCs w:val="21"/>
              </w:rPr>
              <w:t>因市场</w:t>
            </w:r>
            <w:r>
              <w:rPr>
                <w:rFonts w:ascii="仿宋" w:hAnsi="仿宋" w:eastAsia="仿宋"/>
                <w:bCs/>
                <w:szCs w:val="21"/>
              </w:rPr>
              <w:t>成交量不足、资产</w:t>
            </w:r>
            <w:r>
              <w:rPr>
                <w:rFonts w:hint="eastAsia" w:ascii="仿宋" w:hAnsi="仿宋" w:eastAsia="仿宋"/>
                <w:bCs/>
                <w:szCs w:val="21"/>
              </w:rPr>
              <w:t>限制</w:t>
            </w:r>
            <w:r>
              <w:rPr>
                <w:rFonts w:ascii="仿宋" w:hAnsi="仿宋" w:eastAsia="仿宋"/>
                <w:bCs/>
                <w:szCs w:val="21"/>
              </w:rPr>
              <w:t>赎回、暂停交易、缺乏</w:t>
            </w:r>
            <w:r>
              <w:rPr>
                <w:rFonts w:hint="eastAsia" w:ascii="仿宋" w:hAnsi="仿宋" w:eastAsia="仿宋"/>
                <w:bCs/>
                <w:szCs w:val="21"/>
              </w:rPr>
              <w:t>意愿</w:t>
            </w:r>
            <w:r>
              <w:rPr>
                <w:rFonts w:ascii="仿宋" w:hAnsi="仿宋" w:eastAsia="仿宋"/>
                <w:bCs/>
                <w:szCs w:val="21"/>
              </w:rPr>
              <w:t>交易对手等原因，导致产品项下对应的投资标的无法及时变现；</w:t>
            </w:r>
          </w:p>
          <w:p>
            <w:pPr>
              <w:spacing w:line="240" w:lineRule="exact"/>
              <w:rPr>
                <w:rFonts w:ascii="仿宋" w:hAnsi="仿宋" w:eastAsia="仿宋"/>
                <w:bCs/>
                <w:szCs w:val="21"/>
              </w:rPr>
            </w:pPr>
            <w:r>
              <w:rPr>
                <w:rFonts w:hint="eastAsia" w:ascii="仿宋" w:hAnsi="仿宋" w:eastAsia="仿宋"/>
                <w:bCs/>
                <w:szCs w:val="21"/>
              </w:rPr>
              <w:t>（3</w:t>
            </w:r>
            <w:r>
              <w:rPr>
                <w:rFonts w:ascii="仿宋" w:hAnsi="仿宋" w:eastAsia="仿宋"/>
                <w:bCs/>
                <w:szCs w:val="21"/>
              </w:rPr>
              <w:t>）</w:t>
            </w:r>
            <w:r>
              <w:rPr>
                <w:rFonts w:hint="eastAsia" w:ascii="仿宋" w:hAnsi="仿宋" w:eastAsia="仿宋"/>
                <w:bCs/>
                <w:szCs w:val="21"/>
              </w:rPr>
              <w:t>因资金</w:t>
            </w:r>
            <w:r>
              <w:rPr>
                <w:rFonts w:ascii="仿宋" w:hAnsi="仿宋" w:eastAsia="仿宋"/>
                <w:bCs/>
                <w:szCs w:val="21"/>
              </w:rPr>
              <w:t>在途等原因，导致未能及时收回资金；</w:t>
            </w:r>
          </w:p>
          <w:p>
            <w:pPr>
              <w:spacing w:line="240" w:lineRule="exact"/>
              <w:rPr>
                <w:rFonts w:ascii="仿宋" w:hAnsi="仿宋" w:eastAsia="仿宋"/>
                <w:bCs/>
                <w:szCs w:val="21"/>
              </w:rPr>
            </w:pPr>
            <w:r>
              <w:rPr>
                <w:rFonts w:hint="eastAsia" w:ascii="仿宋" w:hAnsi="仿宋" w:eastAsia="仿宋"/>
                <w:bCs/>
                <w:szCs w:val="21"/>
              </w:rPr>
              <w:t>（4</w:t>
            </w:r>
            <w:r>
              <w:rPr>
                <w:rFonts w:ascii="仿宋" w:hAnsi="仿宋" w:eastAsia="仿宋"/>
                <w:bCs/>
                <w:szCs w:val="21"/>
              </w:rPr>
              <w:t>）</w:t>
            </w:r>
            <w:r>
              <w:rPr>
                <w:rFonts w:hint="eastAsia" w:ascii="仿宋" w:hAnsi="仿宋" w:eastAsia="仿宋"/>
                <w:bCs/>
                <w:szCs w:val="21"/>
              </w:rPr>
              <w:t>其他</w:t>
            </w:r>
            <w:r>
              <w:rPr>
                <w:rFonts w:ascii="仿宋" w:hAnsi="仿宋" w:eastAsia="仿宋"/>
                <w:bCs/>
                <w:szCs w:val="21"/>
              </w:rPr>
              <w:t>天津银行认为需要延期兑付的情形。</w:t>
            </w:r>
          </w:p>
          <w:p>
            <w:pPr>
              <w:spacing w:line="240" w:lineRule="exact"/>
              <w:rPr>
                <w:rFonts w:ascii="仿宋" w:hAnsi="仿宋" w:eastAsia="仿宋"/>
                <w:bCs/>
                <w:szCs w:val="21"/>
              </w:rPr>
            </w:pPr>
            <w:r>
              <w:rPr>
                <w:rFonts w:ascii="仿宋" w:hAnsi="仿宋" w:eastAsia="仿宋"/>
                <w:bCs/>
                <w:szCs w:val="21"/>
              </w:rPr>
              <w:t>3.</w:t>
            </w:r>
            <w:r>
              <w:rPr>
                <w:rFonts w:hint="eastAsia"/>
              </w:rPr>
              <w:t xml:space="preserve"> </w:t>
            </w:r>
            <w:r>
              <w:rPr>
                <w:rFonts w:hint="eastAsia" w:ascii="仿宋" w:hAnsi="仿宋" w:eastAsia="仿宋"/>
                <w:bCs/>
                <w:szCs w:val="21"/>
              </w:rPr>
              <w:t>一旦天津银行提前终止/延期本理财产品，将提前</w:t>
            </w:r>
            <w:r>
              <w:rPr>
                <w:rFonts w:hint="eastAsia" w:ascii="仿宋" w:hAnsi="仿宋" w:eastAsia="仿宋"/>
                <w:bCs/>
                <w:szCs w:val="21"/>
                <w:lang w:eastAsia="zh-CN"/>
              </w:rPr>
              <w:t>一</w:t>
            </w:r>
            <w:r>
              <w:rPr>
                <w:rFonts w:hint="eastAsia" w:ascii="仿宋" w:hAnsi="仿宋" w:eastAsia="仿宋"/>
                <w:bCs/>
                <w:szCs w:val="21"/>
              </w:rPr>
              <w:t>个工作日以公告形式通知客户，并在提前终止日/延期</w:t>
            </w:r>
            <w:r>
              <w:rPr>
                <w:rFonts w:ascii="仿宋" w:hAnsi="仿宋" w:eastAsia="仿宋"/>
                <w:bCs/>
                <w:szCs w:val="21"/>
              </w:rPr>
              <w:t>到期日</w:t>
            </w:r>
            <w:r>
              <w:rPr>
                <w:rFonts w:hint="eastAsia" w:ascii="仿宋" w:hAnsi="仿宋" w:eastAsia="仿宋"/>
                <w:bCs/>
                <w:szCs w:val="21"/>
              </w:rPr>
              <w:t>后</w:t>
            </w:r>
            <w:r>
              <w:rPr>
                <w:rFonts w:hint="eastAsia" w:ascii="仿宋" w:hAnsi="仿宋" w:eastAsia="仿宋"/>
                <w:bCs/>
                <w:szCs w:val="21"/>
                <w:lang w:eastAsia="zh-CN"/>
              </w:rPr>
              <w:t>两</w:t>
            </w:r>
            <w:r>
              <w:rPr>
                <w:rFonts w:hint="eastAsia" w:ascii="仿宋" w:hAnsi="仿宋" w:eastAsia="仿宋"/>
                <w:bCs/>
                <w:szCs w:val="21"/>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Align w:val="center"/>
          </w:tcPr>
          <w:p>
            <w:pPr>
              <w:jc w:val="center"/>
              <w:rPr>
                <w:rFonts w:ascii="仿宋" w:hAnsi="仿宋" w:eastAsia="仿宋"/>
                <w:b/>
                <w:kern w:val="0"/>
                <w:sz w:val="24"/>
                <w:szCs w:val="24"/>
              </w:rPr>
            </w:pPr>
            <w:r>
              <w:rPr>
                <w:rFonts w:hint="eastAsia" w:ascii="仿宋" w:hAnsi="仿宋" w:eastAsia="仿宋"/>
                <w:b/>
                <w:kern w:val="0"/>
                <w:sz w:val="24"/>
                <w:szCs w:val="24"/>
              </w:rPr>
              <w:t>信息披露</w:t>
            </w:r>
          </w:p>
        </w:tc>
        <w:tc>
          <w:tcPr>
            <w:tcW w:w="8457" w:type="dxa"/>
            <w:gridSpan w:val="8"/>
            <w:vAlign w:val="center"/>
          </w:tcPr>
          <w:p>
            <w:pPr>
              <w:spacing w:line="240" w:lineRule="exact"/>
              <w:rPr>
                <w:rFonts w:ascii="仿宋" w:hAnsi="仿宋" w:eastAsia="仿宋"/>
                <w:b/>
                <w:bCs/>
                <w:szCs w:val="21"/>
              </w:rPr>
            </w:pPr>
            <w:r>
              <w:rPr>
                <w:rFonts w:ascii="仿宋" w:hAnsi="仿宋" w:eastAsia="仿宋"/>
                <w:b/>
                <w:bCs/>
                <w:szCs w:val="21"/>
              </w:rPr>
              <w:t>1.</w:t>
            </w:r>
            <w:r>
              <w:rPr>
                <w:b/>
              </w:rPr>
              <w:t xml:space="preserve"> </w:t>
            </w:r>
            <w:r>
              <w:rPr>
                <w:rFonts w:hint="eastAsia" w:ascii="仿宋" w:hAnsi="仿宋" w:eastAsia="仿宋"/>
                <w:b/>
                <w:bCs/>
                <w:szCs w:val="21"/>
              </w:rPr>
              <w:t>净值</w:t>
            </w:r>
            <w:r>
              <w:rPr>
                <w:rFonts w:ascii="仿宋" w:hAnsi="仿宋" w:eastAsia="仿宋"/>
                <w:b/>
                <w:bCs/>
                <w:szCs w:val="21"/>
              </w:rPr>
              <w:t>公告：</w:t>
            </w:r>
            <w:r>
              <w:rPr>
                <w:rFonts w:hint="eastAsia" w:ascii="仿宋" w:hAnsi="仿宋" w:eastAsia="仿宋"/>
                <w:b/>
                <w:bCs/>
                <w:szCs w:val="21"/>
              </w:rPr>
              <w:t>产品成立后，我行将于每周前</w:t>
            </w:r>
            <w:r>
              <w:rPr>
                <w:rFonts w:ascii="仿宋" w:hAnsi="仿宋" w:eastAsia="仿宋"/>
                <w:b/>
                <w:bCs/>
                <w:szCs w:val="21"/>
              </w:rPr>
              <w:t>2</w:t>
            </w:r>
            <w:r>
              <w:rPr>
                <w:rFonts w:hint="eastAsia" w:ascii="仿宋" w:hAnsi="仿宋" w:eastAsia="仿宋"/>
                <w:b/>
                <w:bCs/>
                <w:szCs w:val="21"/>
              </w:rPr>
              <w:t>个工作日内披露截至上周</w:t>
            </w:r>
            <w:r>
              <w:rPr>
                <w:rFonts w:ascii="仿宋" w:hAnsi="仿宋" w:eastAsia="仿宋"/>
                <w:b/>
                <w:bCs/>
                <w:szCs w:val="21"/>
              </w:rPr>
              <w:t>最后一个工作日</w:t>
            </w:r>
            <w:r>
              <w:rPr>
                <w:rFonts w:hint="eastAsia" w:ascii="仿宋" w:hAnsi="仿宋" w:eastAsia="仿宋"/>
                <w:b/>
                <w:bCs/>
                <w:szCs w:val="21"/>
              </w:rPr>
              <w:t>的资产净值和份额净值。产品到期或提前终止后，在产品到期日或提前终止日（遇节假日顺延至下一工作日）后的</w:t>
            </w:r>
            <w:r>
              <w:rPr>
                <w:rFonts w:ascii="仿宋" w:hAnsi="仿宋" w:eastAsia="仿宋"/>
                <w:b/>
                <w:bCs/>
                <w:szCs w:val="21"/>
              </w:rPr>
              <w:t>5</w:t>
            </w:r>
            <w:r>
              <w:rPr>
                <w:rFonts w:hint="eastAsia" w:ascii="仿宋" w:hAnsi="仿宋" w:eastAsia="仿宋"/>
                <w:b/>
                <w:bCs/>
                <w:szCs w:val="21"/>
              </w:rPr>
              <w:t>个工作日内披露产品到期或提前终止的资产净值和份额净值。信息披露渠道包括我行官方</w:t>
            </w:r>
            <w:r>
              <w:rPr>
                <w:rFonts w:ascii="仿宋" w:hAnsi="仿宋" w:eastAsia="仿宋"/>
                <w:b/>
                <w:bCs/>
                <w:szCs w:val="21"/>
              </w:rPr>
              <w:t>网站、</w:t>
            </w:r>
            <w:r>
              <w:rPr>
                <w:rFonts w:hint="eastAsia" w:ascii="仿宋" w:hAnsi="仿宋" w:eastAsia="仿宋"/>
                <w:b/>
                <w:bCs/>
                <w:szCs w:val="21"/>
              </w:rPr>
              <w:t>手机</w:t>
            </w:r>
            <w:r>
              <w:rPr>
                <w:rFonts w:ascii="仿宋" w:hAnsi="仿宋" w:eastAsia="仿宋"/>
                <w:b/>
                <w:bCs/>
                <w:szCs w:val="21"/>
              </w:rPr>
              <w:t>银行、网上银行</w:t>
            </w:r>
            <w:r>
              <w:rPr>
                <w:rFonts w:hint="eastAsia" w:ascii="仿宋" w:hAnsi="仿宋" w:eastAsia="仿宋"/>
                <w:b/>
                <w:bCs/>
                <w:szCs w:val="21"/>
              </w:rPr>
              <w:t>。</w:t>
            </w:r>
          </w:p>
          <w:p>
            <w:pPr>
              <w:spacing w:line="240" w:lineRule="exact"/>
              <w:rPr>
                <w:rFonts w:ascii="仿宋" w:hAnsi="仿宋" w:eastAsia="仿宋"/>
                <w:b/>
                <w:bCs/>
                <w:szCs w:val="21"/>
              </w:rPr>
            </w:pPr>
            <w:r>
              <w:rPr>
                <w:rFonts w:ascii="仿宋" w:hAnsi="仿宋" w:eastAsia="仿宋"/>
                <w:b/>
                <w:bCs/>
                <w:szCs w:val="21"/>
              </w:rPr>
              <w:t>2.发行及到期公告：天津银行将最迟于产品成立日/产品到期日后5个工作日内，通过官方网站或营业网点等渠道公布产品发行公告/产品到期公告。</w:t>
            </w:r>
          </w:p>
          <w:p>
            <w:pPr>
              <w:spacing w:line="240" w:lineRule="exact"/>
              <w:rPr>
                <w:rFonts w:ascii="仿宋" w:hAnsi="仿宋" w:eastAsia="仿宋"/>
                <w:b/>
                <w:bCs/>
                <w:szCs w:val="21"/>
              </w:rPr>
            </w:pPr>
            <w:r>
              <w:rPr>
                <w:rFonts w:ascii="仿宋" w:hAnsi="仿宋" w:eastAsia="仿宋"/>
                <w:b/>
                <w:bCs/>
                <w:szCs w:val="21"/>
              </w:rPr>
              <w:t>3．定期报告：天津银行在每季度结束之日起15</w:t>
            </w:r>
            <w:r>
              <w:rPr>
                <w:rFonts w:hint="eastAsia" w:ascii="仿宋" w:hAnsi="仿宋" w:eastAsia="仿宋"/>
                <w:b/>
                <w:bCs/>
                <w:szCs w:val="21"/>
              </w:rPr>
              <w:t>个工作</w:t>
            </w:r>
            <w:r>
              <w:rPr>
                <w:rFonts w:ascii="仿宋" w:hAnsi="仿宋" w:eastAsia="仿宋"/>
                <w:b/>
                <w:bCs/>
                <w:szCs w:val="21"/>
              </w:rPr>
              <w:t>日内，上半年结束之日起60</w:t>
            </w:r>
            <w:r>
              <w:rPr>
                <w:rFonts w:hint="eastAsia" w:ascii="仿宋" w:hAnsi="仿宋" w:eastAsia="仿宋"/>
                <w:b/>
                <w:bCs/>
                <w:szCs w:val="21"/>
              </w:rPr>
              <w:t>个工作</w:t>
            </w:r>
            <w:r>
              <w:rPr>
                <w:rFonts w:ascii="仿宋" w:hAnsi="仿宋" w:eastAsia="仿宋"/>
                <w:b/>
                <w:bCs/>
                <w:szCs w:val="21"/>
              </w:rPr>
              <w:t>日内、每年结束之日起90</w:t>
            </w:r>
            <w:r>
              <w:rPr>
                <w:rFonts w:hint="eastAsia" w:ascii="仿宋" w:hAnsi="仿宋" w:eastAsia="仿宋"/>
                <w:b/>
                <w:bCs/>
                <w:szCs w:val="21"/>
              </w:rPr>
              <w:t>个工作</w:t>
            </w:r>
            <w:r>
              <w:rPr>
                <w:rFonts w:ascii="仿宋" w:hAnsi="仿宋" w:eastAsia="仿宋"/>
                <w:b/>
                <w:bCs/>
                <w:szCs w:val="21"/>
              </w:rPr>
              <w:t>日内，编制完成产品季度、半年和年度报告等定期报告，在天津银行官方网站进行公告。理财产品成立不足90</w:t>
            </w:r>
            <w:r>
              <w:rPr>
                <w:rFonts w:hint="eastAsia" w:ascii="仿宋" w:hAnsi="仿宋" w:eastAsia="仿宋"/>
                <w:b/>
                <w:bCs/>
                <w:szCs w:val="21"/>
              </w:rPr>
              <w:t>个工作</w:t>
            </w:r>
            <w:r>
              <w:rPr>
                <w:rFonts w:ascii="仿宋" w:hAnsi="仿宋" w:eastAsia="仿宋"/>
                <w:b/>
                <w:bCs/>
                <w:szCs w:val="21"/>
              </w:rPr>
              <w:t>日或者剩余期限不超过90</w:t>
            </w:r>
            <w:r>
              <w:rPr>
                <w:rFonts w:hint="eastAsia" w:ascii="仿宋" w:hAnsi="仿宋" w:eastAsia="仿宋"/>
                <w:b/>
                <w:bCs/>
                <w:szCs w:val="21"/>
              </w:rPr>
              <w:t>个工作</w:t>
            </w:r>
            <w:r>
              <w:rPr>
                <w:rFonts w:ascii="仿宋" w:hAnsi="仿宋" w:eastAsia="仿宋"/>
                <w:b/>
                <w:bCs/>
                <w:szCs w:val="21"/>
              </w:rPr>
              <w:t>日的，可以不编制理财产品当期的季度、半年和年度报告。</w:t>
            </w:r>
          </w:p>
          <w:p>
            <w:pPr>
              <w:spacing w:line="240" w:lineRule="exact"/>
              <w:rPr>
                <w:rFonts w:ascii="仿宋" w:hAnsi="仿宋" w:eastAsia="仿宋"/>
                <w:b/>
                <w:bCs/>
                <w:szCs w:val="21"/>
              </w:rPr>
            </w:pPr>
            <w:r>
              <w:rPr>
                <w:rFonts w:ascii="仿宋" w:hAnsi="仿宋" w:eastAsia="仿宋"/>
                <w:b/>
                <w:bCs/>
                <w:szCs w:val="21"/>
              </w:rPr>
              <w:t>4．天津银行将通过官方网站、手机银行、</w:t>
            </w:r>
            <w:r>
              <w:rPr>
                <w:rFonts w:hint="eastAsia" w:ascii="仿宋" w:hAnsi="仿宋" w:eastAsia="仿宋"/>
                <w:b/>
                <w:bCs/>
                <w:szCs w:val="21"/>
              </w:rPr>
              <w:t>网上银行或其他天津银行认为适当的方式披露投资者持有的理财产品份额、认购金额、单位净值、累计净值、资产净值、收益情况、理财交易账户发生的交易明细等信息。</w:t>
            </w:r>
          </w:p>
          <w:p>
            <w:pPr>
              <w:spacing w:line="240" w:lineRule="exact"/>
              <w:rPr>
                <w:rFonts w:ascii="仿宋" w:hAnsi="仿宋" w:eastAsia="仿宋"/>
                <w:b/>
                <w:bCs/>
                <w:szCs w:val="21"/>
              </w:rPr>
            </w:pPr>
            <w:r>
              <w:rPr>
                <w:rFonts w:ascii="仿宋" w:hAnsi="仿宋" w:eastAsia="仿宋"/>
                <w:b/>
                <w:bCs/>
                <w:szCs w:val="21"/>
              </w:rPr>
              <w:t>5．重大事项公告：在产品重大事项发生后的2个工作日内通过官方网站或营业网点发布重大事项公告。产品重大事项包括但不限于如下事件：</w:t>
            </w:r>
          </w:p>
          <w:p>
            <w:pPr>
              <w:spacing w:line="240" w:lineRule="exact"/>
              <w:rPr>
                <w:rFonts w:ascii="仿宋" w:hAnsi="仿宋" w:eastAsia="仿宋"/>
                <w:b/>
                <w:bCs/>
                <w:szCs w:val="21"/>
              </w:rPr>
            </w:pPr>
            <w:r>
              <w:rPr>
                <w:rFonts w:hint="eastAsia" w:ascii="仿宋" w:hAnsi="仿宋" w:eastAsia="仿宋"/>
                <w:b/>
                <w:bCs/>
                <w:szCs w:val="21"/>
              </w:rPr>
              <w:t>（</w:t>
            </w:r>
            <w:r>
              <w:rPr>
                <w:rFonts w:ascii="仿宋" w:hAnsi="仿宋" w:eastAsia="仿宋"/>
                <w:b/>
                <w:bCs/>
                <w:szCs w:val="21"/>
              </w:rPr>
              <w:t>1）理财产品所投资资产对投资者权益或投资收益等产生重大影响的突发事件；</w:t>
            </w:r>
          </w:p>
          <w:p>
            <w:pPr>
              <w:spacing w:line="240" w:lineRule="exact"/>
              <w:rPr>
                <w:rFonts w:ascii="仿宋" w:hAnsi="仿宋" w:eastAsia="仿宋"/>
                <w:b/>
                <w:bCs/>
                <w:szCs w:val="21"/>
              </w:rPr>
            </w:pPr>
            <w:r>
              <w:rPr>
                <w:rFonts w:hint="eastAsia" w:ascii="仿宋" w:hAnsi="仿宋" w:eastAsia="仿宋"/>
                <w:b/>
                <w:bCs/>
                <w:szCs w:val="21"/>
              </w:rPr>
              <w:t>（</w:t>
            </w:r>
            <w:r>
              <w:rPr>
                <w:rFonts w:ascii="仿宋" w:hAnsi="仿宋" w:eastAsia="仿宋"/>
                <w:b/>
                <w:bCs/>
                <w:szCs w:val="21"/>
              </w:rPr>
              <w:t>2）金融市场发生重大变化导致理财产品投资比例暂时超出浮动区间且可能对理财产品收益产生重大影响的。</w:t>
            </w:r>
          </w:p>
          <w:p>
            <w:pPr>
              <w:spacing w:line="240" w:lineRule="exact"/>
              <w:rPr>
                <w:rFonts w:ascii="仿宋" w:hAnsi="仿宋" w:eastAsia="仿宋"/>
                <w:b/>
                <w:bCs/>
                <w:szCs w:val="21"/>
              </w:rPr>
            </w:pPr>
            <w:r>
              <w:rPr>
                <w:rFonts w:ascii="仿宋" w:hAnsi="仿宋" w:eastAsia="仿宋"/>
                <w:b/>
                <w:bCs/>
                <w:szCs w:val="21"/>
              </w:rPr>
              <w:t>6．临时性信息披露，包括但不限于如下事件：</w:t>
            </w:r>
          </w:p>
          <w:p>
            <w:pPr>
              <w:spacing w:line="240" w:lineRule="exact"/>
              <w:rPr>
                <w:rFonts w:ascii="仿宋" w:hAnsi="仿宋" w:eastAsia="仿宋"/>
                <w:b/>
                <w:bCs/>
                <w:szCs w:val="21"/>
              </w:rPr>
            </w:pPr>
            <w:r>
              <w:rPr>
                <w:rFonts w:hint="eastAsia" w:ascii="仿宋" w:hAnsi="仿宋" w:eastAsia="仿宋"/>
                <w:b/>
                <w:bCs/>
                <w:szCs w:val="21"/>
              </w:rPr>
              <w:t>（</w:t>
            </w:r>
            <w:r>
              <w:rPr>
                <w:rFonts w:ascii="仿宋" w:hAnsi="仿宋" w:eastAsia="仿宋"/>
                <w:b/>
                <w:bCs/>
                <w:szCs w:val="21"/>
              </w:rPr>
              <w:t>1）如本产品需延期清算，将最迟于到期日后5个工作日内在官方网站或营业网点等渠道发布相关信息公告。</w:t>
            </w:r>
          </w:p>
          <w:p>
            <w:pPr>
              <w:spacing w:line="240" w:lineRule="exact"/>
              <w:rPr>
                <w:rFonts w:ascii="仿宋" w:hAnsi="仿宋" w:eastAsia="仿宋"/>
                <w:b/>
                <w:bCs/>
                <w:szCs w:val="21"/>
              </w:rPr>
            </w:pPr>
            <w:r>
              <w:rPr>
                <w:rFonts w:hint="eastAsia" w:ascii="仿宋" w:hAnsi="仿宋" w:eastAsia="仿宋"/>
                <w:b/>
                <w:bCs/>
                <w:szCs w:val="21"/>
              </w:rPr>
              <w:t>（</w:t>
            </w:r>
            <w:r>
              <w:rPr>
                <w:rFonts w:ascii="仿宋" w:hAnsi="仿宋" w:eastAsia="仿宋"/>
                <w:b/>
                <w:bCs/>
                <w:szCs w:val="21"/>
              </w:rPr>
              <w:t>2）产品存续期间，天津银行如对本理财说明书条款进行补充、说明及修订，将提前2个工作日通过官方网站或营业网点予以披露，投资者应定期通过上述渠道获知有关本理财产品相关信息。</w:t>
            </w:r>
          </w:p>
          <w:p>
            <w:pPr>
              <w:spacing w:line="240" w:lineRule="exact"/>
              <w:rPr>
                <w:rFonts w:ascii="仿宋" w:hAnsi="仿宋" w:eastAsia="仿宋"/>
                <w:b/>
                <w:bCs/>
                <w:szCs w:val="21"/>
              </w:rPr>
            </w:pPr>
            <w:r>
              <w:rPr>
                <w:rFonts w:hint="eastAsia" w:ascii="仿宋" w:hAnsi="仿宋" w:eastAsia="仿宋"/>
                <w:b/>
                <w:bCs/>
                <w:szCs w:val="21"/>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spacing w:line="240" w:lineRule="exact"/>
              <w:rPr>
                <w:rFonts w:ascii="仿宋" w:hAnsi="仿宋" w:eastAsia="仿宋"/>
                <w:b/>
                <w:bCs/>
                <w:szCs w:val="21"/>
              </w:rPr>
            </w:pPr>
            <w:r>
              <w:rPr>
                <w:rFonts w:ascii="仿宋" w:hAnsi="仿宋" w:eastAsia="仿宋"/>
                <w:b/>
                <w:bCs/>
                <w:szCs w:val="21"/>
              </w:rPr>
              <w:t>8．客户不得利用金融产品和服务从事违法活动。</w:t>
            </w:r>
          </w:p>
          <w:p>
            <w:pPr>
              <w:spacing w:line="240" w:lineRule="exact"/>
              <w:rPr>
                <w:rFonts w:ascii="仿宋" w:hAnsi="仿宋" w:eastAsia="仿宋"/>
                <w:b/>
                <w:bCs w:val="0"/>
                <w:szCs w:val="21"/>
              </w:rPr>
            </w:pPr>
            <w:r>
              <w:rPr>
                <w:rFonts w:ascii="仿宋" w:hAnsi="仿宋" w:eastAsia="仿宋"/>
                <w:b/>
                <w:szCs w:val="21"/>
              </w:rPr>
              <w:t>9．客户如对本产品有任何建议、意见或投诉，请拨打我行</w:t>
            </w:r>
            <w:r>
              <w:rPr>
                <w:rFonts w:hint="eastAsia" w:ascii="仿宋" w:hAnsi="仿宋" w:eastAsia="仿宋"/>
                <w:b/>
                <w:szCs w:val="21"/>
              </w:rPr>
              <w:t>24小时客服电话</w:t>
            </w:r>
            <w:r>
              <w:rPr>
                <w:rFonts w:ascii="仿宋" w:hAnsi="仿宋" w:eastAsia="仿宋"/>
                <w:b/>
                <w:szCs w:val="21"/>
              </w:rPr>
              <w:t>956056</w:t>
            </w:r>
            <w:r>
              <w:rPr>
                <w:rFonts w:hint="eastAsia" w:ascii="仿宋" w:hAnsi="仿宋" w:eastAsia="仿宋"/>
                <w:b/>
                <w:szCs w:val="21"/>
              </w:rPr>
              <w:t>咨询</w:t>
            </w:r>
            <w:r>
              <w:rPr>
                <w:rFonts w:ascii="仿宋" w:hAnsi="仿宋" w:eastAsia="仿宋"/>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4" w:hRule="atLeast"/>
        </w:trPr>
        <w:tc>
          <w:tcPr>
            <w:tcW w:w="1951" w:type="dxa"/>
            <w:vAlign w:val="center"/>
          </w:tcPr>
          <w:p>
            <w:pPr>
              <w:jc w:val="center"/>
              <w:rPr>
                <w:rFonts w:ascii="仿宋" w:hAnsi="仿宋" w:eastAsia="仿宋"/>
                <w:b/>
                <w:bCs/>
                <w:sz w:val="24"/>
                <w:szCs w:val="24"/>
              </w:rPr>
            </w:pPr>
            <w:r>
              <w:rPr>
                <w:rFonts w:hint="eastAsia" w:ascii="仿宋" w:hAnsi="仿宋" w:eastAsia="仿宋"/>
                <w:b/>
                <w:bCs/>
                <w:sz w:val="24"/>
                <w:szCs w:val="24"/>
              </w:rPr>
              <w:t>特别提示</w:t>
            </w:r>
          </w:p>
        </w:tc>
        <w:tc>
          <w:tcPr>
            <w:tcW w:w="8457" w:type="dxa"/>
            <w:gridSpan w:val="8"/>
            <w:vAlign w:val="center"/>
          </w:tcPr>
          <w:p>
            <w:pPr>
              <w:spacing w:line="360" w:lineRule="exact"/>
              <w:jc w:val="left"/>
              <w:rPr>
                <w:rFonts w:ascii="仿宋" w:hAnsi="仿宋" w:eastAsia="仿宋"/>
                <w:b/>
                <w:szCs w:val="21"/>
              </w:rPr>
            </w:pPr>
            <w:r>
              <w:rPr>
                <w:rFonts w:hint="eastAsia" w:ascii="仿宋" w:hAnsi="仿宋" w:eastAsia="仿宋"/>
                <w:b/>
                <w:szCs w:val="21"/>
              </w:rPr>
              <w:t>1.根据中国人民银行、中国银行保险监督管理委员会、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w:t>
            </w:r>
            <w:r>
              <w:rPr>
                <w:rFonts w:ascii="仿宋" w:hAnsi="仿宋" w:eastAsia="仿宋"/>
                <w:b/>
                <w:szCs w:val="21"/>
              </w:rPr>
              <w:t>0%</w:t>
            </w:r>
            <w:r>
              <w:rPr>
                <w:rFonts w:hint="eastAsia" w:ascii="仿宋" w:hAnsi="仿宋" w:eastAsia="仿宋"/>
                <w:b/>
                <w:szCs w:val="21"/>
              </w:rPr>
              <w:t>，权益类产品投资于股票、未上市企业股权等权益类资产的比例不低于8</w:t>
            </w:r>
            <w:r>
              <w:rPr>
                <w:rFonts w:ascii="仿宋" w:hAnsi="仿宋" w:eastAsia="仿宋"/>
                <w:b/>
                <w:szCs w:val="21"/>
              </w:rPr>
              <w:t>0%</w:t>
            </w:r>
            <w:r>
              <w:rPr>
                <w:rFonts w:hint="eastAsia" w:ascii="仿宋" w:hAnsi="仿宋" w:eastAsia="仿宋"/>
                <w:b/>
                <w:szCs w:val="21"/>
              </w:rPr>
              <w:t>，商品及金融衍生品类产品投资于商品及金融衍生品的比例不低于8</w:t>
            </w:r>
            <w:r>
              <w:rPr>
                <w:rFonts w:ascii="仿宋" w:hAnsi="仿宋" w:eastAsia="仿宋"/>
                <w:b/>
                <w:szCs w:val="21"/>
              </w:rPr>
              <w:t>0%</w:t>
            </w:r>
            <w:r>
              <w:rPr>
                <w:rFonts w:hint="eastAsia" w:ascii="仿宋" w:hAnsi="仿宋" w:eastAsia="仿宋"/>
                <w:b/>
                <w:szCs w:val="21"/>
              </w:rPr>
              <w:t>，混合类产品投资于债权类资产、权益类资产、商品及金融衍生品类资产且任一资产的投资比例未达到前三类产品标准。”。据此，本产品属于</w:t>
            </w:r>
            <w:r>
              <w:rPr>
                <w:rFonts w:hint="eastAsia" w:ascii="仿宋" w:hAnsi="仿宋" w:eastAsia="仿宋"/>
                <w:b/>
                <w:szCs w:val="21"/>
                <w:lang w:val="en-US" w:eastAsia="zh-CN"/>
              </w:rPr>
              <w:t>固定收益</w:t>
            </w:r>
            <w:r>
              <w:rPr>
                <w:rFonts w:hint="eastAsia" w:ascii="仿宋" w:hAnsi="仿宋" w:eastAsia="仿宋"/>
                <w:b/>
                <w:szCs w:val="21"/>
              </w:rPr>
              <w:t>类理财产品。</w:t>
            </w:r>
          </w:p>
          <w:p>
            <w:pPr>
              <w:spacing w:line="360" w:lineRule="exact"/>
              <w:jc w:val="left"/>
              <w:rPr>
                <w:rFonts w:ascii="仿宋" w:hAnsi="仿宋" w:eastAsia="仿宋"/>
                <w:b/>
                <w:szCs w:val="21"/>
              </w:rPr>
            </w:pPr>
            <w:r>
              <w:rPr>
                <w:rFonts w:hint="eastAsia" w:ascii="仿宋" w:hAnsi="仿宋" w:eastAsia="仿宋"/>
                <w:b/>
                <w:szCs w:val="21"/>
              </w:rPr>
              <w:t>2</w:t>
            </w:r>
            <w:r>
              <w:rPr>
                <w:rFonts w:ascii="仿宋" w:hAnsi="仿宋" w:eastAsia="仿宋"/>
                <w:b/>
                <w:szCs w:val="21"/>
              </w:rPr>
              <w:t>.</w:t>
            </w:r>
            <w:r>
              <w:rPr>
                <w:rFonts w:hint="eastAsia" w:ascii="仿宋" w:hAnsi="仿宋" w:eastAsia="仿宋"/>
                <w:b/>
                <w:szCs w:val="21"/>
              </w:rPr>
              <w:t>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spacing w:line="360" w:lineRule="exact"/>
              <w:jc w:val="left"/>
              <w:rPr>
                <w:rFonts w:ascii="仿宋" w:hAnsi="仿宋" w:eastAsia="仿宋"/>
                <w:szCs w:val="21"/>
              </w:rPr>
            </w:pPr>
            <w:r>
              <w:rPr>
                <w:rFonts w:ascii="仿宋" w:hAnsi="仿宋" w:eastAsia="仿宋"/>
                <w:szCs w:val="21"/>
              </w:rPr>
              <w:t>3.</w:t>
            </w:r>
            <w:r>
              <w:rPr>
                <w:rFonts w:hint="eastAsia" w:ascii="仿宋" w:hAnsi="仿宋" w:eastAsia="仿宋"/>
                <w:szCs w:val="21"/>
              </w:rPr>
              <w:t>天津银行将恪守勤勉尽责的原则，合理配置资产组合，为客户提供专业化的理财服务。</w:t>
            </w:r>
          </w:p>
          <w:p>
            <w:pPr>
              <w:spacing w:line="360" w:lineRule="exact"/>
              <w:jc w:val="left"/>
              <w:rPr>
                <w:rFonts w:ascii="仿宋" w:hAnsi="仿宋" w:eastAsia="仿宋"/>
                <w:b/>
                <w:szCs w:val="21"/>
              </w:rPr>
            </w:pPr>
            <w:r>
              <w:rPr>
                <w:rFonts w:ascii="仿宋" w:hAnsi="仿宋" w:eastAsia="仿宋"/>
                <w:b/>
                <w:szCs w:val="21"/>
              </w:rPr>
              <w:t>4</w:t>
            </w:r>
            <w:r>
              <w:rPr>
                <w:rFonts w:hint="eastAsia" w:ascii="仿宋" w:hAnsi="仿宋" w:eastAsia="仿宋"/>
                <w:b/>
                <w:szCs w:val="21"/>
              </w:rPr>
              <w:t>.本产品面临的风险包括市场风险、提前终止风险、流动性风险等，将可能导致投资者收益到期蒙受部分或全部损失。由此产生的理财收益损失的风险由投资人自行承担，天津银行不承担任何付息的责任。</w:t>
            </w:r>
          </w:p>
          <w:p>
            <w:pPr>
              <w:spacing w:line="360" w:lineRule="exact"/>
              <w:rPr>
                <w:rFonts w:ascii="仿宋" w:hAnsi="仿宋" w:eastAsia="仿宋"/>
                <w:b/>
                <w:szCs w:val="21"/>
                <w:u w:val="single"/>
              </w:rPr>
            </w:pPr>
            <w:r>
              <w:rPr>
                <w:rFonts w:ascii="仿宋" w:hAnsi="仿宋" w:eastAsia="仿宋"/>
                <w:szCs w:val="21"/>
              </w:rPr>
              <w:t>5.</w:t>
            </w:r>
            <w:r>
              <w:rPr>
                <w:rFonts w:hint="eastAsia" w:ascii="仿宋" w:hAnsi="仿宋" w:eastAsia="仿宋"/>
                <w:b/>
                <w:szCs w:val="21"/>
                <w:u w:val="single"/>
              </w:rPr>
              <w:t>非保本</w:t>
            </w:r>
            <w:r>
              <w:rPr>
                <w:rFonts w:ascii="仿宋" w:hAnsi="仿宋" w:eastAsia="仿宋"/>
                <w:b/>
                <w:szCs w:val="21"/>
                <w:u w:val="single"/>
              </w:rPr>
              <w:t>理财产品不</w:t>
            </w:r>
            <w:r>
              <w:rPr>
                <w:rFonts w:hint="eastAsia" w:ascii="仿宋" w:hAnsi="仿宋" w:eastAsia="仿宋"/>
                <w:b/>
                <w:szCs w:val="21"/>
                <w:u w:val="single"/>
              </w:rPr>
              <w:t>保证</w:t>
            </w:r>
            <w:r>
              <w:rPr>
                <w:rFonts w:ascii="仿宋" w:hAnsi="仿宋" w:eastAsia="仿宋"/>
                <w:b/>
                <w:szCs w:val="21"/>
                <w:u w:val="single"/>
              </w:rPr>
              <w:t>本金，</w:t>
            </w:r>
            <w:r>
              <w:rPr>
                <w:rFonts w:hint="eastAsia" w:ascii="仿宋" w:hAnsi="仿宋" w:eastAsia="仿宋"/>
                <w:b/>
                <w:szCs w:val="21"/>
                <w:u w:val="single"/>
              </w:rPr>
              <w:t>天津银行对非保本理财产品本金不做任何承诺。</w:t>
            </w:r>
          </w:p>
          <w:p>
            <w:pPr>
              <w:spacing w:line="240" w:lineRule="exact"/>
              <w:rPr>
                <w:rFonts w:ascii="仿宋" w:hAnsi="仿宋" w:eastAsia="仿宋"/>
                <w:szCs w:val="21"/>
              </w:rPr>
            </w:pPr>
            <w:r>
              <w:rPr>
                <w:rFonts w:ascii="仿宋" w:hAnsi="仿宋" w:eastAsia="仿宋"/>
                <w:szCs w:val="21"/>
              </w:rPr>
              <w:t>6.</w:t>
            </w:r>
            <w:r>
              <w:rPr>
                <w:rFonts w:hint="eastAsia" w:ascii="仿宋" w:hAnsi="仿宋" w:eastAsia="仿宋"/>
                <w:szCs w:val="21"/>
              </w:rPr>
              <w:t>客户应密切关注我行与本产品有关的信息公告，以免造成不必要的损失。</w:t>
            </w:r>
          </w:p>
        </w:tc>
      </w:tr>
    </w:tbl>
    <w:p>
      <w:pPr>
        <w:rPr>
          <w:rFonts w:ascii="仿宋" w:hAnsi="仿宋" w:eastAsia="仿宋"/>
        </w:rPr>
      </w:pPr>
    </w:p>
    <w:p>
      <w:pPr>
        <w:spacing w:line="440" w:lineRule="exact"/>
        <w:ind w:right="98"/>
        <w:rPr>
          <w:rFonts w:ascii="仿宋_GB2312" w:eastAsia="仿宋_GB2312"/>
          <w:b/>
          <w:sz w:val="28"/>
          <w:szCs w:val="28"/>
          <w:u w:val="single"/>
        </w:rPr>
      </w:pPr>
      <w:r>
        <w:rPr>
          <w:rFonts w:hint="eastAsia" w:ascii="仿宋_GB2312" w:eastAsia="仿宋_GB2312"/>
          <w:b/>
          <w:sz w:val="28"/>
          <w:szCs w:val="28"/>
        </w:rPr>
        <w:t>□本人已经充分阅读说明书内容，清楚知晓产品全部信息。客户</w:t>
      </w:r>
      <w:r>
        <w:rPr>
          <w:rFonts w:ascii="仿宋_GB2312" w:eastAsia="仿宋_GB2312"/>
          <w:b/>
          <w:sz w:val="28"/>
          <w:szCs w:val="28"/>
        </w:rPr>
        <w:t>签字：</w:t>
      </w:r>
      <w:r>
        <w:rPr>
          <w:rFonts w:hint="eastAsia" w:ascii="仿宋_GB2312" w:eastAsia="仿宋_GB2312"/>
          <w:b/>
          <w:sz w:val="28"/>
          <w:szCs w:val="28"/>
          <w:u w:val="single"/>
        </w:rPr>
        <w:t xml:space="preserve">            </w:t>
      </w:r>
    </w:p>
    <w:p>
      <w:pPr>
        <w:rPr>
          <w:rFonts w:ascii="仿宋_GB2312" w:eastAsia="仿宋_GB2312"/>
          <w:b/>
          <w:szCs w:val="21"/>
        </w:rPr>
      </w:pPr>
    </w:p>
    <w:p>
      <w:pPr>
        <w:rPr>
          <w:rFonts w:ascii="仿宋_GB2312" w:eastAsia="仿宋_GB2312"/>
          <w:b/>
          <w:szCs w:val="21"/>
        </w:rPr>
      </w:pPr>
    </w:p>
    <w:p>
      <w:pPr>
        <w:rPr>
          <w:rFonts w:ascii="仿宋_GB2312"/>
          <w:b/>
          <w:szCs w:val="21"/>
        </w:rPr>
      </w:pPr>
      <w:r>
        <w:rPr>
          <w:rFonts w:hint="eastAsia" w:ascii="宋体" w:hAnsi="宋体"/>
          <w:b/>
          <w:szCs w:val="21"/>
        </w:rPr>
        <w:t>销售人员:                     日期:     年    月     日</w:t>
      </w:r>
    </w:p>
    <w:p>
      <w:pPr>
        <w:wordWrap w:val="0"/>
        <w:jc w:val="both"/>
        <w:rPr>
          <w:rFonts w:ascii="宋体" w:hAnsi="宋体"/>
          <w:szCs w:val="21"/>
        </w:rPr>
      </w:pPr>
      <w:bookmarkStart w:id="0" w:name="_GoBack"/>
      <w:bookmarkEnd w:id="0"/>
    </w:p>
    <w:sectPr>
      <w:headerReference r:id="rId5" w:type="default"/>
      <w:footerReference r:id="rId6"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5"/>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理财非存款、产品有风险、投资须谨慎。2022年1月版本</w:t>
    </w:r>
  </w:p>
  <w:p>
    <w:pPr>
      <w:pStyle w:val="6"/>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t>3</w:t>
    </w:r>
    <w:r>
      <w:rPr>
        <w:rFonts w:hint="eastAsia"/>
      </w:rPr>
      <w:t>年</w:t>
    </w:r>
    <w:r>
      <w:rPr>
        <w:rFonts w:hint="eastAsia"/>
        <w:lang w:val="en-US" w:eastAsia="zh-CN"/>
      </w:rPr>
      <w:t>12</w:t>
    </w:r>
    <w:r>
      <w:rPr>
        <w:rFonts w:hint="eastAsia"/>
      </w:rPr>
      <w:t>月版本</w:t>
    </w:r>
  </w:p>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zMzMzOGJiOGU1ZDc2YWY3Y2U3ODg5ZDY3N2UxYWMifQ=="/>
  </w:docVars>
  <w:rsids>
    <w:rsidRoot w:val="00E937DE"/>
    <w:rsid w:val="000050FC"/>
    <w:rsid w:val="00005C3D"/>
    <w:rsid w:val="0000677E"/>
    <w:rsid w:val="00006CCC"/>
    <w:rsid w:val="000105BD"/>
    <w:rsid w:val="000107DA"/>
    <w:rsid w:val="00025173"/>
    <w:rsid w:val="00026417"/>
    <w:rsid w:val="00031041"/>
    <w:rsid w:val="000438F1"/>
    <w:rsid w:val="000503C5"/>
    <w:rsid w:val="00056767"/>
    <w:rsid w:val="00060AA6"/>
    <w:rsid w:val="0006106C"/>
    <w:rsid w:val="00064A6A"/>
    <w:rsid w:val="00071B82"/>
    <w:rsid w:val="000848D1"/>
    <w:rsid w:val="000B3806"/>
    <w:rsid w:val="000C1654"/>
    <w:rsid w:val="000F7E8A"/>
    <w:rsid w:val="001175D3"/>
    <w:rsid w:val="0012598E"/>
    <w:rsid w:val="00130FCE"/>
    <w:rsid w:val="001332DF"/>
    <w:rsid w:val="00137380"/>
    <w:rsid w:val="00143551"/>
    <w:rsid w:val="00155109"/>
    <w:rsid w:val="001615B4"/>
    <w:rsid w:val="00171F71"/>
    <w:rsid w:val="001769F8"/>
    <w:rsid w:val="001830CD"/>
    <w:rsid w:val="001850BD"/>
    <w:rsid w:val="00190607"/>
    <w:rsid w:val="001A5B39"/>
    <w:rsid w:val="001B3510"/>
    <w:rsid w:val="001B3E23"/>
    <w:rsid w:val="001D5AA0"/>
    <w:rsid w:val="001D60B1"/>
    <w:rsid w:val="001E4CD0"/>
    <w:rsid w:val="001F50ED"/>
    <w:rsid w:val="002051F5"/>
    <w:rsid w:val="00210149"/>
    <w:rsid w:val="00242321"/>
    <w:rsid w:val="002632F5"/>
    <w:rsid w:val="0028432B"/>
    <w:rsid w:val="00293403"/>
    <w:rsid w:val="002A25D2"/>
    <w:rsid w:val="002B4C8C"/>
    <w:rsid w:val="002C17F4"/>
    <w:rsid w:val="002C69BE"/>
    <w:rsid w:val="002D769E"/>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93B33"/>
    <w:rsid w:val="003A28C8"/>
    <w:rsid w:val="003B28A6"/>
    <w:rsid w:val="00414753"/>
    <w:rsid w:val="004237F3"/>
    <w:rsid w:val="00437861"/>
    <w:rsid w:val="00446839"/>
    <w:rsid w:val="00460C79"/>
    <w:rsid w:val="004722C6"/>
    <w:rsid w:val="004732F9"/>
    <w:rsid w:val="004817AF"/>
    <w:rsid w:val="00485712"/>
    <w:rsid w:val="00485BF7"/>
    <w:rsid w:val="00490F51"/>
    <w:rsid w:val="0049281E"/>
    <w:rsid w:val="004A0E1E"/>
    <w:rsid w:val="004A133E"/>
    <w:rsid w:val="004C5D3E"/>
    <w:rsid w:val="004E7EB6"/>
    <w:rsid w:val="004F0977"/>
    <w:rsid w:val="00527457"/>
    <w:rsid w:val="00546D18"/>
    <w:rsid w:val="005556C9"/>
    <w:rsid w:val="005A666C"/>
    <w:rsid w:val="005D2FC9"/>
    <w:rsid w:val="005E3E71"/>
    <w:rsid w:val="005E6154"/>
    <w:rsid w:val="00603E68"/>
    <w:rsid w:val="00613480"/>
    <w:rsid w:val="00616CC8"/>
    <w:rsid w:val="00620187"/>
    <w:rsid w:val="00621F60"/>
    <w:rsid w:val="00627D11"/>
    <w:rsid w:val="0064330E"/>
    <w:rsid w:val="00652557"/>
    <w:rsid w:val="0068517E"/>
    <w:rsid w:val="0068763B"/>
    <w:rsid w:val="006C0044"/>
    <w:rsid w:val="006C7CD1"/>
    <w:rsid w:val="00702B8D"/>
    <w:rsid w:val="00723ECB"/>
    <w:rsid w:val="007363EB"/>
    <w:rsid w:val="007371BC"/>
    <w:rsid w:val="007447AC"/>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D130C"/>
    <w:rsid w:val="008D36E4"/>
    <w:rsid w:val="008E6C8F"/>
    <w:rsid w:val="008F30B6"/>
    <w:rsid w:val="008F68D1"/>
    <w:rsid w:val="009222C0"/>
    <w:rsid w:val="00925BB1"/>
    <w:rsid w:val="00933FE3"/>
    <w:rsid w:val="00945922"/>
    <w:rsid w:val="00945E7A"/>
    <w:rsid w:val="00972B81"/>
    <w:rsid w:val="0097683E"/>
    <w:rsid w:val="00984FA9"/>
    <w:rsid w:val="009A1BB6"/>
    <w:rsid w:val="009B08A9"/>
    <w:rsid w:val="009B30A7"/>
    <w:rsid w:val="009B5876"/>
    <w:rsid w:val="009C0C09"/>
    <w:rsid w:val="009E7334"/>
    <w:rsid w:val="009F40E2"/>
    <w:rsid w:val="00A00521"/>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433A0"/>
    <w:rsid w:val="00B510DF"/>
    <w:rsid w:val="00B64ADB"/>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D0484"/>
    <w:rsid w:val="00D1253F"/>
    <w:rsid w:val="00D26288"/>
    <w:rsid w:val="00D27146"/>
    <w:rsid w:val="00D31232"/>
    <w:rsid w:val="00D31807"/>
    <w:rsid w:val="00D33BB2"/>
    <w:rsid w:val="00D34DDD"/>
    <w:rsid w:val="00D40E7E"/>
    <w:rsid w:val="00D84314"/>
    <w:rsid w:val="00D947DF"/>
    <w:rsid w:val="00DD6D48"/>
    <w:rsid w:val="00DE0E23"/>
    <w:rsid w:val="00DE54A0"/>
    <w:rsid w:val="00E2002D"/>
    <w:rsid w:val="00E24C37"/>
    <w:rsid w:val="00E250F7"/>
    <w:rsid w:val="00E46CDB"/>
    <w:rsid w:val="00E60901"/>
    <w:rsid w:val="00E65204"/>
    <w:rsid w:val="00E66F07"/>
    <w:rsid w:val="00E735F1"/>
    <w:rsid w:val="00E80D21"/>
    <w:rsid w:val="00E937DE"/>
    <w:rsid w:val="00EB066E"/>
    <w:rsid w:val="00EB2F3C"/>
    <w:rsid w:val="00EB39F0"/>
    <w:rsid w:val="00ED07E6"/>
    <w:rsid w:val="00EE6CAA"/>
    <w:rsid w:val="00EF482C"/>
    <w:rsid w:val="00F00CD1"/>
    <w:rsid w:val="00F046EE"/>
    <w:rsid w:val="00F31B20"/>
    <w:rsid w:val="00F36DD4"/>
    <w:rsid w:val="00F46155"/>
    <w:rsid w:val="00F47FE1"/>
    <w:rsid w:val="00F529F5"/>
    <w:rsid w:val="00F601C9"/>
    <w:rsid w:val="00F63DCF"/>
    <w:rsid w:val="00F76605"/>
    <w:rsid w:val="00F76B66"/>
    <w:rsid w:val="00F96BB6"/>
    <w:rsid w:val="00FB5E03"/>
    <w:rsid w:val="00FD1478"/>
    <w:rsid w:val="00FD2993"/>
    <w:rsid w:val="00FF05AF"/>
    <w:rsid w:val="00FF3AB0"/>
    <w:rsid w:val="01604B14"/>
    <w:rsid w:val="019B5A3B"/>
    <w:rsid w:val="01C761D7"/>
    <w:rsid w:val="0239305F"/>
    <w:rsid w:val="03136209"/>
    <w:rsid w:val="039511E0"/>
    <w:rsid w:val="03B42594"/>
    <w:rsid w:val="03D8322F"/>
    <w:rsid w:val="04B067CC"/>
    <w:rsid w:val="04C947A5"/>
    <w:rsid w:val="04E80A20"/>
    <w:rsid w:val="052A1098"/>
    <w:rsid w:val="05CD556E"/>
    <w:rsid w:val="05FC76BA"/>
    <w:rsid w:val="06E747DA"/>
    <w:rsid w:val="0712760A"/>
    <w:rsid w:val="075148A4"/>
    <w:rsid w:val="07BA5F77"/>
    <w:rsid w:val="07EF4010"/>
    <w:rsid w:val="084440A3"/>
    <w:rsid w:val="09D95A7E"/>
    <w:rsid w:val="09DB7DF8"/>
    <w:rsid w:val="0AA67708"/>
    <w:rsid w:val="0B760EB4"/>
    <w:rsid w:val="0BA23B07"/>
    <w:rsid w:val="0BD10037"/>
    <w:rsid w:val="0C70569B"/>
    <w:rsid w:val="0CB629F8"/>
    <w:rsid w:val="0CC416BA"/>
    <w:rsid w:val="0CF14FE0"/>
    <w:rsid w:val="0E063FDD"/>
    <w:rsid w:val="0F071804"/>
    <w:rsid w:val="0F2968AC"/>
    <w:rsid w:val="0FAD5D46"/>
    <w:rsid w:val="10B35733"/>
    <w:rsid w:val="114658F4"/>
    <w:rsid w:val="121968F7"/>
    <w:rsid w:val="136029AF"/>
    <w:rsid w:val="1550230C"/>
    <w:rsid w:val="15886655"/>
    <w:rsid w:val="15AA3F8F"/>
    <w:rsid w:val="16A21316"/>
    <w:rsid w:val="16A47E12"/>
    <w:rsid w:val="17A001B4"/>
    <w:rsid w:val="1813574E"/>
    <w:rsid w:val="18156977"/>
    <w:rsid w:val="186A22B9"/>
    <w:rsid w:val="18AC1C09"/>
    <w:rsid w:val="1A9939B7"/>
    <w:rsid w:val="1AA85186"/>
    <w:rsid w:val="1B0627A3"/>
    <w:rsid w:val="1BF12190"/>
    <w:rsid w:val="1CD33A23"/>
    <w:rsid w:val="1D7644E2"/>
    <w:rsid w:val="1DAC12CE"/>
    <w:rsid w:val="1FAD302F"/>
    <w:rsid w:val="1FC540B5"/>
    <w:rsid w:val="20016901"/>
    <w:rsid w:val="2028651A"/>
    <w:rsid w:val="21504839"/>
    <w:rsid w:val="21935C99"/>
    <w:rsid w:val="221412A8"/>
    <w:rsid w:val="25B817B6"/>
    <w:rsid w:val="25CB21DD"/>
    <w:rsid w:val="25DF7AE3"/>
    <w:rsid w:val="26030E0A"/>
    <w:rsid w:val="260979AE"/>
    <w:rsid w:val="26814A89"/>
    <w:rsid w:val="28B87CFA"/>
    <w:rsid w:val="28D02249"/>
    <w:rsid w:val="2A14561F"/>
    <w:rsid w:val="2A7A27B0"/>
    <w:rsid w:val="2B792392"/>
    <w:rsid w:val="2BA43813"/>
    <w:rsid w:val="2C005C60"/>
    <w:rsid w:val="2C2B18AE"/>
    <w:rsid w:val="2C574E0C"/>
    <w:rsid w:val="2D41146A"/>
    <w:rsid w:val="2D8E4CAD"/>
    <w:rsid w:val="2DD32DEA"/>
    <w:rsid w:val="2ECC1365"/>
    <w:rsid w:val="2F46151F"/>
    <w:rsid w:val="2F865D06"/>
    <w:rsid w:val="2F8B676A"/>
    <w:rsid w:val="2FE55345"/>
    <w:rsid w:val="2FE73E9E"/>
    <w:rsid w:val="2FF37272"/>
    <w:rsid w:val="30952958"/>
    <w:rsid w:val="30BF5ED4"/>
    <w:rsid w:val="310A3197"/>
    <w:rsid w:val="327B5607"/>
    <w:rsid w:val="329374D1"/>
    <w:rsid w:val="32A60B75"/>
    <w:rsid w:val="335B7966"/>
    <w:rsid w:val="3423282A"/>
    <w:rsid w:val="35642F0A"/>
    <w:rsid w:val="376A7EC8"/>
    <w:rsid w:val="379D06DB"/>
    <w:rsid w:val="380562BA"/>
    <w:rsid w:val="384812B3"/>
    <w:rsid w:val="39FE23D7"/>
    <w:rsid w:val="3A4258E2"/>
    <w:rsid w:val="3B5A79C2"/>
    <w:rsid w:val="3BD714FC"/>
    <w:rsid w:val="3BFE24CB"/>
    <w:rsid w:val="3D3A1CFD"/>
    <w:rsid w:val="3D473E00"/>
    <w:rsid w:val="3E961DBD"/>
    <w:rsid w:val="3EDF5259"/>
    <w:rsid w:val="3FB33CA1"/>
    <w:rsid w:val="40AF2065"/>
    <w:rsid w:val="41DF7AB2"/>
    <w:rsid w:val="41FC6378"/>
    <w:rsid w:val="432B3DD1"/>
    <w:rsid w:val="44C04D0D"/>
    <w:rsid w:val="45D1575D"/>
    <w:rsid w:val="469A0BAB"/>
    <w:rsid w:val="46BE15DF"/>
    <w:rsid w:val="47433BBB"/>
    <w:rsid w:val="477656B3"/>
    <w:rsid w:val="47FA64FF"/>
    <w:rsid w:val="482C31A4"/>
    <w:rsid w:val="499F68CE"/>
    <w:rsid w:val="4AA50298"/>
    <w:rsid w:val="4AC85AAB"/>
    <w:rsid w:val="4CAF1DD5"/>
    <w:rsid w:val="4CD63DAD"/>
    <w:rsid w:val="4E1E2E5D"/>
    <w:rsid w:val="4E6B0D6D"/>
    <w:rsid w:val="4ED03F93"/>
    <w:rsid w:val="4EE66EE4"/>
    <w:rsid w:val="4EF22B42"/>
    <w:rsid w:val="4F5E1A52"/>
    <w:rsid w:val="5145407E"/>
    <w:rsid w:val="524832AE"/>
    <w:rsid w:val="530F20EF"/>
    <w:rsid w:val="53AA546B"/>
    <w:rsid w:val="54132F17"/>
    <w:rsid w:val="55205658"/>
    <w:rsid w:val="553309FA"/>
    <w:rsid w:val="55D1679A"/>
    <w:rsid w:val="55EC02CF"/>
    <w:rsid w:val="57410D47"/>
    <w:rsid w:val="575675D5"/>
    <w:rsid w:val="576F5E61"/>
    <w:rsid w:val="5A622325"/>
    <w:rsid w:val="5A925EE5"/>
    <w:rsid w:val="5BF87295"/>
    <w:rsid w:val="5C316E07"/>
    <w:rsid w:val="5C784B67"/>
    <w:rsid w:val="5DC40230"/>
    <w:rsid w:val="5DDB3A62"/>
    <w:rsid w:val="5EDD7C2F"/>
    <w:rsid w:val="5F645F3D"/>
    <w:rsid w:val="60DC7183"/>
    <w:rsid w:val="60FE1D39"/>
    <w:rsid w:val="613B3955"/>
    <w:rsid w:val="61747A6B"/>
    <w:rsid w:val="61E21868"/>
    <w:rsid w:val="62177022"/>
    <w:rsid w:val="62295709"/>
    <w:rsid w:val="62892904"/>
    <w:rsid w:val="62F73585"/>
    <w:rsid w:val="63562D75"/>
    <w:rsid w:val="63692464"/>
    <w:rsid w:val="63920C81"/>
    <w:rsid w:val="63C8505B"/>
    <w:rsid w:val="64131C8C"/>
    <w:rsid w:val="646E359C"/>
    <w:rsid w:val="64D134A4"/>
    <w:rsid w:val="66631B2D"/>
    <w:rsid w:val="66987C3D"/>
    <w:rsid w:val="68C7359A"/>
    <w:rsid w:val="68EB3891"/>
    <w:rsid w:val="697F37CA"/>
    <w:rsid w:val="69824E70"/>
    <w:rsid w:val="69F57A5B"/>
    <w:rsid w:val="6A0B6E1C"/>
    <w:rsid w:val="6B173076"/>
    <w:rsid w:val="6C362547"/>
    <w:rsid w:val="6CB3264C"/>
    <w:rsid w:val="6CBF7B76"/>
    <w:rsid w:val="6F0D6A9B"/>
    <w:rsid w:val="6F71362E"/>
    <w:rsid w:val="6FF47363"/>
    <w:rsid w:val="700D47C4"/>
    <w:rsid w:val="70587A54"/>
    <w:rsid w:val="715571EB"/>
    <w:rsid w:val="71D00FAE"/>
    <w:rsid w:val="72E867C8"/>
    <w:rsid w:val="731C6C58"/>
    <w:rsid w:val="73B74D74"/>
    <w:rsid w:val="74E73612"/>
    <w:rsid w:val="75121484"/>
    <w:rsid w:val="75313FD1"/>
    <w:rsid w:val="75DA323C"/>
    <w:rsid w:val="75DA5DFD"/>
    <w:rsid w:val="75F2788A"/>
    <w:rsid w:val="777B7F92"/>
    <w:rsid w:val="77A32A2B"/>
    <w:rsid w:val="77AC5618"/>
    <w:rsid w:val="7AA772AE"/>
    <w:rsid w:val="7B75497C"/>
    <w:rsid w:val="7BCB5DF0"/>
    <w:rsid w:val="7DDE3964"/>
    <w:rsid w:val="7DF9740F"/>
    <w:rsid w:val="7E4B1C94"/>
    <w:rsid w:val="7EC00FD6"/>
    <w:rsid w:val="7F44007C"/>
    <w:rsid w:val="7F4441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unhideWhenUsed/>
    <w:qFormat/>
    <w:uiPriority w:val="99"/>
    <w:pPr>
      <w:jc w:val="left"/>
    </w:pPr>
  </w:style>
  <w:style w:type="paragraph" w:styleId="3">
    <w:name w:val="Body Text Indent"/>
    <w:basedOn w:val="1"/>
    <w:link w:val="13"/>
    <w:qFormat/>
    <w:uiPriority w:val="0"/>
    <w:pPr>
      <w:ind w:firstLine="560" w:firstLineChars="200"/>
    </w:pPr>
    <w:rPr>
      <w:rFonts w:ascii="Times New Roman" w:hAnsi="Times New Roman"/>
      <w:sz w:val="28"/>
      <w:szCs w:val="24"/>
    </w:rPr>
  </w:style>
  <w:style w:type="paragraph" w:styleId="4">
    <w:name w:val="Balloon Text"/>
    <w:basedOn w:val="1"/>
    <w:link w:val="19"/>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annotation subject"/>
    <w:basedOn w:val="2"/>
    <w:next w:val="2"/>
    <w:link w:val="18"/>
    <w:unhideWhenUsed/>
    <w:qFormat/>
    <w:uiPriority w:val="99"/>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unhideWhenUsed/>
    <w:qFormat/>
    <w:uiPriority w:val="99"/>
    <w:rPr>
      <w:sz w:val="21"/>
      <w:szCs w:val="21"/>
    </w:rPr>
  </w:style>
  <w:style w:type="character" w:customStyle="1" w:styleId="13">
    <w:name w:val="正文文本缩进 Char"/>
    <w:link w:val="3"/>
    <w:qFormat/>
    <w:uiPriority w:val="0"/>
    <w:rPr>
      <w:rFonts w:ascii="Times New Roman" w:hAnsi="Times New Roman"/>
      <w:kern w:val="2"/>
      <w:sz w:val="28"/>
      <w:szCs w:val="24"/>
    </w:rPr>
  </w:style>
  <w:style w:type="paragraph" w:customStyle="1" w:styleId="14">
    <w:name w:val="特点"/>
    <w:basedOn w:val="1"/>
    <w:next w:val="3"/>
    <w:qFormat/>
    <w:uiPriority w:val="0"/>
    <w:pPr>
      <w:spacing w:line="300" w:lineRule="exact"/>
      <w:ind w:right="26" w:firstLine="435"/>
    </w:pPr>
    <w:rPr>
      <w:rFonts w:ascii="Times New Roman" w:hAnsi="Times New Roman" w:eastAsia="黑体"/>
      <w:sz w:val="18"/>
      <w:szCs w:val="24"/>
    </w:rPr>
  </w:style>
  <w:style w:type="character" w:customStyle="1" w:styleId="15">
    <w:name w:val="页眉 Char"/>
    <w:link w:val="6"/>
    <w:qFormat/>
    <w:uiPriority w:val="99"/>
    <w:rPr>
      <w:kern w:val="2"/>
      <w:sz w:val="18"/>
      <w:szCs w:val="18"/>
    </w:rPr>
  </w:style>
  <w:style w:type="character" w:customStyle="1" w:styleId="16">
    <w:name w:val="页脚 Char"/>
    <w:link w:val="5"/>
    <w:qFormat/>
    <w:uiPriority w:val="99"/>
    <w:rPr>
      <w:kern w:val="2"/>
      <w:sz w:val="18"/>
      <w:szCs w:val="18"/>
    </w:rPr>
  </w:style>
  <w:style w:type="character" w:customStyle="1" w:styleId="17">
    <w:name w:val="批注文字 Char"/>
    <w:link w:val="2"/>
    <w:semiHidden/>
    <w:qFormat/>
    <w:uiPriority w:val="99"/>
    <w:rPr>
      <w:kern w:val="2"/>
      <w:sz w:val="21"/>
      <w:szCs w:val="22"/>
    </w:rPr>
  </w:style>
  <w:style w:type="character" w:customStyle="1" w:styleId="18">
    <w:name w:val="批注主题 Char"/>
    <w:link w:val="8"/>
    <w:semiHidden/>
    <w:qFormat/>
    <w:uiPriority w:val="99"/>
    <w:rPr>
      <w:b/>
      <w:bCs/>
      <w:kern w:val="2"/>
      <w:sz w:val="21"/>
      <w:szCs w:val="22"/>
    </w:rPr>
  </w:style>
  <w:style w:type="character" w:customStyle="1" w:styleId="19">
    <w:name w:val="批注框文本 Char"/>
    <w:link w:val="4"/>
    <w:semiHidden/>
    <w:qFormat/>
    <w:uiPriority w:val="99"/>
    <w:rPr>
      <w:kern w:val="2"/>
      <w:sz w:val="18"/>
      <w:szCs w:val="18"/>
    </w:rPr>
  </w:style>
  <w:style w:type="paragraph" w:customStyle="1" w:styleId="20">
    <w:name w:val="列出段落1"/>
    <w:basedOn w:val="1"/>
    <w:qFormat/>
    <w:uiPriority w:val="34"/>
    <w:pPr>
      <w:ind w:firstLine="420" w:firstLineChars="200"/>
    </w:pPr>
    <w:rPr>
      <w:rFonts w:ascii="Times New Roman" w:hAnsi="Times New Roman"/>
      <w:szCs w:val="20"/>
    </w:rPr>
  </w:style>
  <w:style w:type="paragraph" w:customStyle="1" w:styleId="21">
    <w:name w:val="Default"/>
    <w:qFormat/>
    <w:uiPriority w:val="0"/>
    <w:pPr>
      <w:widowControl w:val="0"/>
      <w:autoSpaceDE w:val="0"/>
      <w:autoSpaceDN w:val="0"/>
      <w:adjustRightInd w:val="0"/>
    </w:pPr>
    <w:rPr>
      <w:rFonts w:ascii="宋体" w:hAnsi="Cambria" w:eastAsia="宋体" w:cs="宋体"/>
      <w:color w:val="000000"/>
      <w:sz w:val="24"/>
      <w:szCs w:val="24"/>
      <w:lang w:val="en-US" w:eastAsia="zh-CN" w:bidi="ar-SA"/>
    </w:rPr>
  </w:style>
  <w:style w:type="paragraph" w:customStyle="1" w:styleId="22">
    <w:name w:val="列出段落3"/>
    <w:basedOn w:val="1"/>
    <w:qFormat/>
    <w:uiPriority w:val="34"/>
    <w:pPr>
      <w:ind w:firstLine="420" w:firstLineChars="200"/>
    </w:pPr>
  </w:style>
  <w:style w:type="paragraph" w:styleId="23">
    <w:name w:val="List Paragraph"/>
    <w:basedOn w:val="1"/>
    <w:qFormat/>
    <w:uiPriority w:val="99"/>
    <w:pPr>
      <w:ind w:firstLine="420" w:firstLineChars="200"/>
    </w:pPr>
  </w:style>
  <w:style w:type="paragraph" w:customStyle="1" w:styleId="24">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A3BF0F-BAEF-4006-872F-768BC0E0E6CE}">
  <ds:schemaRefs/>
</ds:datastoreItem>
</file>

<file path=docProps/app.xml><?xml version="1.0" encoding="utf-8"?>
<Properties xmlns="http://schemas.openxmlformats.org/officeDocument/2006/extended-properties" xmlns:vt="http://schemas.openxmlformats.org/officeDocument/2006/docPropsVTypes">
  <Template>Normal</Template>
  <Pages>10</Pages>
  <Words>16660</Words>
  <Characters>17133</Characters>
  <Lines>106</Lines>
  <Paragraphs>30</Paragraphs>
  <TotalTime>0</TotalTime>
  <ScaleCrop>false</ScaleCrop>
  <LinksUpToDate>false</LinksUpToDate>
  <CharactersWithSpaces>17461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2020-11-06T03:57:00Z</dcterms:created>
  <dc:creator>zhaowen</dc:creator>
  <cp:lastModifiedBy>Administrator</cp:lastModifiedBy>
  <cp:lastPrinted>2021-01-12T10:22:00Z</cp:lastPrinted>
  <dcterms:modified xsi:type="dcterms:W3CDTF">2024-11-11T09:12:29Z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1E8710F676AD4B39928E33EF905B35A8</vt:lpwstr>
  </property>
</Properties>
</file>