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inline distT="0" distB="0" distL="0" distR="0">
            <wp:extent cx="1381125" cy="298450"/>
            <wp:effectExtent l="0" t="0" r="0" b="0"/>
            <wp:docPr id="1158" name="图片 1"/>
            <wp:cNvGraphicFramePr/>
            <a:graphic xmlns:a="http://schemas.openxmlformats.org/drawingml/2006/main">
              <a:graphicData uri="http://schemas.openxmlformats.org/drawingml/2006/picture">
                <pic:pic xmlns:pic="http://schemas.openxmlformats.org/drawingml/2006/picture">
                  <pic:nvPicPr>
                    <pic:cNvPr id="1158" name="图片 1"/>
                    <pic:cNvPicPr>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412727" cy="305618"/>
                    </a:xfrm>
                    <a:prstGeom prst="rect">
                      <a:avLst/>
                    </a:prstGeom>
                    <a:noFill/>
                    <a:ln>
                      <a:noFill/>
                    </a:ln>
                  </pic:spPr>
                </pic:pic>
              </a:graphicData>
            </a:graphic>
          </wp:inline>
        </w:drawing>
      </w:r>
    </w:p>
    <w:p>
      <w:pPr>
        <w:jc w:val="center"/>
        <w:rPr>
          <w:b/>
          <w:sz w:val="32"/>
          <w:szCs w:val="32"/>
        </w:rPr>
      </w:pPr>
      <w:r>
        <w:rPr>
          <w:rFonts w:hint="eastAsia"/>
          <w:b/>
          <w:sz w:val="32"/>
          <w:szCs w:val="32"/>
        </w:rPr>
        <w:t>天津银行个人人民币理财产品销售协议书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2022.1</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2022.1</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合格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银行根据理财产品特点和管理需要，对特定理财产品开放认购或预约。客户预约成功后可优先于未预约客户认购已预约的额度，但客户办理预约应遵守相关规定。</w:t>
      </w:r>
    </w:p>
    <w:p>
      <w:pPr>
        <w:adjustRightInd w:val="0"/>
        <w:snapToGrid w:val="0"/>
        <w:spacing w:line="170" w:lineRule="exact"/>
        <w:ind w:firstLine="300" w:firstLineChars="200"/>
        <w:rPr>
          <w:rFonts w:ascii="黑体" w:hAnsi="宋体" w:eastAsia="黑体"/>
          <w:b/>
          <w:sz w:val="15"/>
          <w:szCs w:val="15"/>
        </w:rPr>
      </w:pP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除产品说明书明确约定保证本金或保证收益外，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预期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温馨</w:t>
      </w:r>
      <w:r>
        <w:rPr>
          <w:rFonts w:ascii="黑体" w:hAnsi="宋体" w:eastAsia="黑体"/>
          <w:b/>
          <w:sz w:val="15"/>
          <w:szCs w:val="15"/>
        </w:rPr>
        <w:t>提示：</w:t>
      </w:r>
      <w:r>
        <w:rPr>
          <w:rFonts w:hint="eastAsia" w:ascii="黑体" w:hAnsi="宋体" w:eastAsia="黑体"/>
          <w:b/>
          <w:sz w:val="15"/>
          <w:szCs w:val="15"/>
        </w:rPr>
        <w:t>理财产品过往业绩不代表其未来表现，不等于理财产品实际收益，投资须谨慎。</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jc w:val="left"/>
        <w:rPr>
          <w:rFonts w:ascii="黑体" w:hAnsi="黑体" w:eastAsia="黑体"/>
          <w:bCs/>
          <w:sz w:val="18"/>
          <w:szCs w:val="18"/>
        </w:rPr>
      </w:pPr>
      <w:r>
        <w:rPr>
          <w:rFonts w:hint="eastAsia" w:ascii="黑体" w:hAnsi="黑体" w:eastAsia="黑体"/>
          <w:bCs/>
          <w:sz w:val="18"/>
          <w:szCs w:val="18"/>
        </w:rPr>
        <w:t>尊敬的客户：</w:t>
      </w:r>
    </w:p>
    <w:p>
      <w:pPr>
        <w:jc w:val="left"/>
        <w:rPr>
          <w:rFonts w:ascii="黑体" w:hAnsi="黑体" w:eastAsia="黑体"/>
          <w:b/>
          <w:bCs/>
          <w:sz w:val="18"/>
          <w:szCs w:val="18"/>
        </w:rPr>
      </w:pPr>
      <w:r>
        <w:rPr>
          <w:rFonts w:ascii="黑体" w:hAnsi="黑体" w:eastAsia="黑体"/>
          <w:bCs/>
          <w:sz w:val="18"/>
          <w:szCs w:val="18"/>
        </w:rPr>
        <w:t xml:space="preserve">    由于理财资金管理运用过程中，可能会面临多种风险因素，因此，根据中国银行</w:t>
      </w:r>
      <w:r>
        <w:rPr>
          <w:rFonts w:hint="eastAsia" w:ascii="黑体" w:hAnsi="黑体" w:eastAsia="黑体"/>
          <w:bCs/>
          <w:sz w:val="18"/>
          <w:szCs w:val="18"/>
        </w:rPr>
        <w:t>保险</w:t>
      </w:r>
      <w:r>
        <w:rPr>
          <w:rFonts w:ascii="黑体" w:hAnsi="黑体" w:eastAsia="黑体"/>
          <w:bCs/>
          <w:sz w:val="18"/>
          <w:szCs w:val="18"/>
        </w:rPr>
        <w:t>监督管理委员会相关监管规定的要求，在您选择购买本理财计划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本理财产品不保证本金和收益，发生重大不利情况下有可能造成本金部分或全部损失及收益全部损失，理财销售文件中任何业绩比较基准、测算收益或类似表述均属不具有法律效力的用语，不代表客户可能获得实际收益，亦不构成银行对本理财产品的任何承诺，仅供客户期初进行投资决定时参考。理财产品过往业绩不代表其未来表现，不等于理财产品实际收益，投资须谨慎。您应当充分认识投资风险，谨慎投资：</w:t>
      </w:r>
    </w:p>
    <w:p>
      <w:pPr>
        <w:rPr>
          <w:rFonts w:ascii="黑体" w:hAnsi="黑体" w:eastAsia="黑体"/>
          <w:b/>
          <w:sz w:val="18"/>
          <w:szCs w:val="18"/>
        </w:rPr>
      </w:pPr>
      <w:r>
        <w:rPr>
          <w:rFonts w:ascii="黑体" w:hAnsi="黑体" w:eastAsia="黑体"/>
          <w:b/>
          <w:sz w:val="18"/>
          <w:szCs w:val="18"/>
        </w:rPr>
        <w:t>1.政策风险：</w:t>
      </w:r>
      <w:r>
        <w:rPr>
          <w:rFonts w:hint="eastAsia" w:ascii="黑体" w:hAnsi="黑体" w:eastAsia="黑体"/>
          <w:b/>
          <w:sz w:val="18"/>
          <w:szCs w:val="18"/>
        </w:rPr>
        <w:t>本理财产品是针对当前相关法律、法规和规定设计而成，如遇到国家宏观政策和市场相关法律法规发生变化，可能影响到本理财产品的发行、投资和兑付等工作正常进行，若出现上述情况，</w:t>
      </w:r>
    </w:p>
    <w:p>
      <w:pPr>
        <w:rPr>
          <w:rFonts w:ascii="黑体" w:hAnsi="黑体" w:eastAsia="黑体"/>
          <w:b/>
          <w:sz w:val="18"/>
          <w:szCs w:val="18"/>
        </w:rPr>
      </w:pPr>
      <w:r>
        <w:rPr>
          <w:rFonts w:hint="eastAsia" w:ascii="黑体" w:hAnsi="黑体" w:eastAsia="黑体"/>
          <w:b/>
          <w:sz w:val="18"/>
          <w:szCs w:val="18"/>
        </w:rPr>
        <w:t>可能会导致客户本金和收益减少甚至损失的政策风险。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由于金融市场内在波动性，客户投资本产品将面临一定的市场风险。产品存续期间若银行存款和其他投资市场资产投资收益发生波动，则客户面临承担理财资金配置存款和其他投资市场资产配置的机会成本风险。</w:t>
      </w:r>
    </w:p>
    <w:p>
      <w:pPr>
        <w:rPr>
          <w:rFonts w:ascii="黑体" w:hAnsi="黑体" w:eastAsia="黑体"/>
          <w:b/>
          <w:sz w:val="18"/>
          <w:szCs w:val="18"/>
        </w:rPr>
      </w:pPr>
      <w:r>
        <w:rPr>
          <w:rFonts w:ascii="黑体" w:hAnsi="黑体" w:eastAsia="黑体"/>
          <w:b/>
          <w:sz w:val="18"/>
          <w:szCs w:val="18"/>
        </w:rPr>
        <w:t>4.交易对手管理风险：</w:t>
      </w:r>
      <w:r>
        <w:rPr>
          <w:rFonts w:hint="eastAsia" w:ascii="黑体" w:hAnsi="黑体" w:eastAsia="黑体"/>
          <w:b/>
          <w:sz w:val="18"/>
          <w:szCs w:val="18"/>
        </w:rPr>
        <w:t>由于合作的交易对手受经验、技能等综合因素的限制，可能会影响本理财产品的后续管理，从而导致本理财产品项下资金遭受损失。</w:t>
      </w:r>
    </w:p>
    <w:p>
      <w:pPr>
        <w:rPr>
          <w:rFonts w:ascii="黑体" w:hAnsi="黑体" w:eastAsia="黑体"/>
          <w:b/>
          <w:sz w:val="18"/>
          <w:szCs w:val="18"/>
        </w:rPr>
      </w:pPr>
      <w:r>
        <w:rPr>
          <w:rFonts w:ascii="黑体" w:hAnsi="黑体" w:eastAsia="黑体"/>
          <w:b/>
          <w:sz w:val="18"/>
          <w:szCs w:val="18"/>
        </w:rPr>
        <w:t>5.延期兑付风险：</w:t>
      </w:r>
      <w:r>
        <w:rPr>
          <w:rFonts w:hint="eastAsia" w:ascii="黑体" w:hAnsi="黑体" w:eastAsia="黑体"/>
          <w:b/>
          <w:sz w:val="18"/>
          <w:szCs w:val="18"/>
        </w:rPr>
        <w:t>如因本理财产品项下对应的投资标的变现不及时等原因造成本理财产品不能按时支付理财资金，则客户面临产品期限延期、调整等风险。</w:t>
      </w:r>
    </w:p>
    <w:p>
      <w:pPr>
        <w:rPr>
          <w:rFonts w:ascii="黑体" w:hAnsi="黑体" w:eastAsia="黑体"/>
          <w:b/>
          <w:sz w:val="18"/>
          <w:szCs w:val="18"/>
        </w:rPr>
      </w:pPr>
      <w:r>
        <w:rPr>
          <w:rFonts w:ascii="黑体" w:hAnsi="黑体" w:eastAsia="黑体"/>
          <w:b/>
          <w:sz w:val="18"/>
          <w:szCs w:val="18"/>
        </w:rPr>
        <w:t>6.提前终止风险：</w:t>
      </w:r>
      <w:r>
        <w:rPr>
          <w:rFonts w:hint="eastAsia" w:ascii="黑体" w:hAnsi="黑体" w:eastAsia="黑体"/>
          <w:b/>
          <w:sz w:val="18"/>
          <w:szCs w:val="18"/>
        </w:rPr>
        <w:t>如因理财产品提前终止可能导致客户收益损失。</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7.流动性风险：</w:t>
      </w:r>
      <w:r>
        <w:rPr>
          <w:rFonts w:hint="eastAsia" w:ascii="黑体" w:hAnsi="黑体" w:eastAsia="黑体"/>
          <w:b/>
          <w:sz w:val="18"/>
          <w:szCs w:val="18"/>
        </w:rPr>
        <w:t>客户没有提前终止权。</w:t>
      </w:r>
    </w:p>
    <w:p>
      <w:pPr>
        <w:rPr>
          <w:rFonts w:ascii="黑体" w:hAnsi="黑体" w:eastAsia="黑体"/>
          <w:b/>
          <w:sz w:val="18"/>
          <w:szCs w:val="18"/>
        </w:rPr>
      </w:pPr>
      <w:r>
        <w:rPr>
          <w:b/>
        </w:rPr>
        <mc:AlternateContent>
          <mc:Choice Requires="wps">
            <w:drawing>
              <wp:anchor distT="0" distB="0" distL="114300" distR="114300" simplePos="0" relativeHeight="251660288" behindDoc="0" locked="0" layoutInCell="1" allowOverlap="1">
                <wp:simplePos x="0" y="0"/>
                <wp:positionH relativeFrom="leftMargin">
                  <wp:align>right</wp:align>
                </wp:positionH>
                <wp:positionV relativeFrom="paragraph">
                  <wp:posOffset>365125</wp:posOffset>
                </wp:positionV>
                <wp:extent cx="374015" cy="867410"/>
                <wp:effectExtent l="0" t="0" r="6985" b="8890"/>
                <wp:wrapNone/>
                <wp:docPr id="4" name="文本框 7"/>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wps:spPr>
                      <wps:txbx>
                        <w:txbxContent>
                          <w:p>
                            <w:pPr>
                              <w:jc w:val="left"/>
                            </w:pPr>
                            <w:r>
                              <w:rPr>
                                <w:rFonts w:asciiTheme="majorEastAsia" w:hAnsiTheme="majorEastAsia" w:eastAsiaTheme="majorEastAsia"/>
                              </w:rPr>
                              <w:t>2022.1</w:t>
                            </w:r>
                            <w:r>
                              <w:rPr>
                                <w:rFonts w:hint="eastAsia"/>
                              </w:rPr>
                              <w:t>版本</w:t>
                            </w:r>
                          </w:p>
                        </w:txbxContent>
                      </wps:txbx>
                      <wps:bodyPr vert="eaVert" upright="1"/>
                    </wps:wsp>
                  </a:graphicData>
                </a:graphic>
              </wp:anchor>
            </w:drawing>
          </mc:Choice>
          <mc:Fallback>
            <w:pict>
              <v:shape id="文本框 7" o:spid="_x0000_s1026" o:spt="202" type="#_x0000_t202" style="position:absolute;left:0pt;margin-left:9.7pt;margin-top:438.9pt;height:68.3pt;width:29.45pt;mso-position-horizontal-relative:page;mso-position-vertical-relative:page;z-index:251660288;mso-width-relative:page;mso-height-relative:page;" fillcolor="#FFFFFF" filled="t" stroked="f" coordsize="21600,21600" o:gfxdata="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wT3LvXAAAABgEAAA8AAAAAAAAAAQAgAAAA&#10;IgAAAGRycy9kb3ducmV2LnhtbFBLAQIUABQAAAAIAIdO4kA3pQJR0wEAAI0DAAAOAAAAAAAAAAEA&#10;IAAAACYBAABkcnMvZTJvRG9jLnhtbFBLBQYAAAAABgAGAFkBAABrBQAAAAA=&#10;">
                <v:fill on="t" focussize="0,0"/>
                <v:stroke on="f"/>
                <v:imagedata o:title=""/>
                <o:lock v:ext="edit" aspectratio="f"/>
                <v:textbox style="layout-flow:vertical-ideographic;">
                  <w:txbxContent>
                    <w:p>
                      <w:pPr>
                        <w:jc w:val="left"/>
                      </w:pPr>
                      <w:r>
                        <w:rPr>
                          <w:rFonts w:asciiTheme="majorEastAsia" w:hAnsiTheme="majorEastAsia" w:eastAsiaTheme="majorEastAsia"/>
                        </w:rPr>
                        <w:t>2022.1</w:t>
                      </w:r>
                      <w:r>
                        <w:rPr>
                          <w:rFonts w:hint="eastAsia"/>
                        </w:rPr>
                        <w:t>版本</w:t>
                      </w:r>
                    </w:p>
                  </w:txbxContent>
                </v:textbox>
              </v:shape>
            </w:pict>
          </mc:Fallback>
        </mc:AlternateContent>
      </w:r>
      <w:r>
        <w:rPr>
          <w:rFonts w:ascii="黑体" w:hAnsi="黑体" w:eastAsia="黑体"/>
          <w:b/>
          <w:sz w:val="18"/>
          <w:szCs w:val="18"/>
        </w:rPr>
        <w:t>8.信息传递风险：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hint="eastAsia" w:ascii="黑体" w:hAnsi="黑体" w:eastAsia="黑体"/>
          <w:b/>
          <w:sz w:val="18"/>
          <w:szCs w:val="18"/>
        </w:rPr>
        <w:t>9．产品不成立风险：如因募集规模低于说明书约定的最低规模或其他因素导致我行宣布本理财产品不成立的情形，客户将面临再投资风险。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10.不可抗力风险：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11.最不利的投资情形：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2025HY</w:t>
      </w:r>
      <w:r>
        <w:rPr>
          <w:rFonts w:hint="eastAsia" w:ascii="黑体" w:hAnsi="黑体" w:eastAsia="黑体"/>
          <w:sz w:val="18"/>
          <w:szCs w:val="18"/>
          <w:u w:val="single"/>
          <w:lang w:val="en-US" w:eastAsia="zh-CN"/>
        </w:rPr>
        <w:t>114D</w:t>
      </w:r>
      <w:r>
        <w:rPr>
          <w:rFonts w:hint="eastAsia" w:ascii="黑体" w:hAnsi="黑体" w:eastAsia="黑体"/>
          <w:sz w:val="18"/>
          <w:szCs w:val="18"/>
          <w:u w:val="single"/>
          <w:lang w:eastAsia="zh-CN"/>
        </w:rPr>
        <w:t xml:space="preserve"> </w:t>
      </w:r>
      <w:r>
        <w:rPr>
          <w:rFonts w:hint="eastAsia" w:ascii="黑体" w:hAnsi="黑体" w:eastAsia="黑体"/>
          <w:sz w:val="18"/>
          <w:szCs w:val="18"/>
          <w:u w:val="single"/>
        </w:rPr>
        <w:t xml:space="preserve"> </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183</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仿宋_GB2312"/>
          <w:sz w:val="24"/>
          <w:szCs w:val="24"/>
          <w:u w:val="single"/>
        </w:rPr>
      </w:pPr>
      <w:r>
        <w:rPr>
          <w:rFonts w:ascii="仿宋_GB2312"/>
          <w:sz w:val="24"/>
          <w:szCs w:val="24"/>
        </w:rPr>
        <w:t>客户投资风险承受能力评级结果（客户本人填写）：</w:t>
      </w:r>
      <w:r>
        <w:rPr>
          <w:rFonts w:ascii="仿宋_GB2312"/>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sz w:val="24"/>
          <w:szCs w:val="24"/>
        </w:rPr>
      </w:pPr>
      <w:r>
        <w:rPr>
          <w:rFonts w:ascii="仿宋_GB2312"/>
          <w:sz w:val="24"/>
          <w:szCs w:val="24"/>
        </w:rPr>
        <w:t>请您抄录以下语句：</w:t>
      </w:r>
      <w:r>
        <w:rPr>
          <w:rFonts w:ascii="仿宋_GB2312"/>
          <w:b/>
          <w:sz w:val="24"/>
          <w:szCs w:val="24"/>
        </w:rPr>
        <w:t>“本人已经阅读风险揭示，愿意承担投资风险。”</w:t>
      </w:r>
    </w:p>
    <w:p>
      <w:pPr>
        <w:spacing w:line="440" w:lineRule="exact"/>
        <w:rPr>
          <w:rFonts w:ascii="仿宋_GB2312" w:hAnsi="宋体" w:cs="宋体"/>
          <w:sz w:val="28"/>
          <w:szCs w:val="28"/>
        </w:rPr>
      </w:pPr>
      <w:r>
        <w:rPr>
          <w:rFonts w:ascii="仿宋_GB2312"/>
          <w:sz w:val="24"/>
          <w:szCs w:val="24"/>
        </w:rPr>
        <w:t>本人郑重声明：＿＿＿＿＿＿＿＿＿＿＿＿＿＿＿＿＿＿＿＿＿＿＿＿＿＿＿＿＿＿＿＿</w:t>
      </w:r>
    </w:p>
    <w:p>
      <w:pPr>
        <w:autoSpaceDE w:val="0"/>
        <w:ind w:right="1120"/>
        <w:rPr>
          <w:rFonts w:ascii="仿宋_GB2312"/>
          <w:szCs w:val="21"/>
        </w:rPr>
      </w:pPr>
      <w:r>
        <w:rPr>
          <w:rFonts w:ascii="仿宋_GB2312"/>
          <w:szCs w:val="21"/>
        </w:rPr>
        <w:t>客户签字：                            日期：</w:t>
      </w:r>
      <w:r>
        <w:rPr>
          <w:rFonts w:hint="eastAsia" w:ascii="仿宋_GB2312"/>
          <w:szCs w:val="21"/>
        </w:rPr>
        <w:t xml:space="preserve">  年  月  日</w:t>
      </w:r>
    </w:p>
    <w:p>
      <w:pPr>
        <w:rPr>
          <w:rFonts w:ascii="仿宋_GB2312"/>
          <w:szCs w:val="21"/>
        </w:rPr>
      </w:pPr>
    </w:p>
    <w:p>
      <w:pPr>
        <w:rPr>
          <w:rFonts w:ascii="黑体" w:hAnsi="黑体" w:eastAsia="黑体"/>
          <w:b/>
          <w:bCs/>
          <w:sz w:val="18"/>
          <w:szCs w:val="18"/>
        </w:rPr>
      </w:pPr>
      <w:r>
        <w:rPr>
          <w:rFonts w:ascii="仿宋_GB2312"/>
          <w:szCs w:val="21"/>
        </w:rPr>
        <w:t>银行签章：</w:t>
      </w:r>
      <w:r>
        <w:rPr>
          <w:rFonts w:hint="eastAsia" w:ascii="黑体" w:hAnsi="黑体" w:eastAsia="黑体"/>
          <w:b/>
          <w:bCs/>
          <w:sz w:val="18"/>
          <w:szCs w:val="18"/>
        </w:rPr>
        <w:t xml:space="preserve">                                </w:t>
      </w:r>
      <w:r>
        <w:rPr>
          <w:rFonts w:hint="eastAsia" w:ascii="仿宋_GB2312"/>
          <w:szCs w:val="21"/>
        </w:rPr>
        <w:t xml:space="preserve">销售人员：     </w:t>
      </w:r>
      <w:r>
        <w:rPr>
          <w:rFonts w:hint="eastAsia" w:ascii="黑体" w:hAnsi="黑体" w:eastAsia="黑体"/>
          <w:b/>
          <w:bCs/>
          <w:sz w:val="18"/>
          <w:szCs w:val="18"/>
        </w:rPr>
        <w:t xml:space="preserve">            风险提示方：天津银行股份有限公司</w:t>
      </w: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420" w:firstLineChars="200"/>
        <w:rPr>
          <w:rFonts w:ascii="黑体" w:hAnsi="宋体" w:eastAsia="黑体"/>
          <w:sz w:val="18"/>
          <w:szCs w:val="18"/>
        </w:rPr>
      </w:pPr>
      <w:r>
        <mc:AlternateContent>
          <mc:Choice Requires="wps">
            <w:drawing>
              <wp:anchor distT="0" distB="0" distL="114300" distR="114300" simplePos="0" relativeHeight="251661312" behindDoc="0" locked="0" layoutInCell="1" allowOverlap="1">
                <wp:simplePos x="0" y="0"/>
                <wp:positionH relativeFrom="page">
                  <wp:posOffset>209550</wp:posOffset>
                </wp:positionH>
                <wp:positionV relativeFrom="paragraph">
                  <wp:posOffset>688340</wp:posOffset>
                </wp:positionV>
                <wp:extent cx="374015" cy="867410"/>
                <wp:effectExtent l="0" t="0" r="6985" b="8890"/>
                <wp:wrapNone/>
                <wp:docPr id="2" name="文本框 7"/>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wps:spPr>
                      <wps:txbx>
                        <w:txbxContent>
                          <w:p>
                            <w:pPr>
                              <w:jc w:val="left"/>
                            </w:pPr>
                            <w:r>
                              <w:rPr>
                                <w:rFonts w:asciiTheme="majorEastAsia" w:hAnsiTheme="majorEastAsia" w:eastAsiaTheme="majorEastAsia"/>
                              </w:rPr>
                              <w:t>2022.1</w:t>
                            </w:r>
                            <w:r>
                              <w:rPr>
                                <w:rFonts w:hint="eastAsia"/>
                              </w:rPr>
                              <w:t>版本</w:t>
                            </w:r>
                          </w:p>
                        </w:txbxContent>
                      </wps:txbx>
                      <wps:bodyPr vert="eaVert" upright="1"/>
                    </wps:wsp>
                  </a:graphicData>
                </a:graphic>
              </wp:anchor>
            </w:drawing>
          </mc:Choice>
          <mc:Fallback>
            <w:pict>
              <v:shape id="文本框 7" o:spid="_x0000_s1026" o:spt="202" type="#_x0000_t202" style="position:absolute;left:0pt;margin-left:16.5pt;margin-top:54.2pt;height:68.3pt;width:29.45pt;mso-position-horizontal-relative:page;z-index:251661312;mso-width-relative:page;mso-height-relative:page;" fillcolor="#FFFFFF" filled="t" stroked="f" coordsize="21600,21600" o:gfxdata="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XdlRHaAAAACQEAAA8AAAAAAAAAAQAg&#10;AAAAIgAAAGRycy9kb3ducmV2LnhtbFBLAQIUABQAAAAIAIdO4kBTmbZW0wEAAI0DAAAOAAAAAAAA&#10;AAEAIAAAACkBAABkcnMvZTJvRG9jLnhtbFBLBQYAAAAABgAGAFkBAABuBQAAAAA=&#10;">
                <v:fill on="t" focussize="0,0"/>
                <v:stroke on="f"/>
                <v:imagedata o:title=""/>
                <o:lock v:ext="edit" aspectratio="f"/>
                <v:textbox style="layout-flow:vertical-ideographic;">
                  <w:txbxContent>
                    <w:p>
                      <w:pPr>
                        <w:jc w:val="left"/>
                      </w:pPr>
                      <w:r>
                        <w:rPr>
                          <w:rFonts w:asciiTheme="majorEastAsia" w:hAnsiTheme="majorEastAsia" w:eastAsiaTheme="majorEastAsia"/>
                        </w:rPr>
                        <w:t>2022.1</w:t>
                      </w:r>
                      <w:r>
                        <w:rPr>
                          <w:rFonts w:hint="eastAsia"/>
                        </w:rPr>
                        <w:t>版本</w:t>
                      </w:r>
                    </w:p>
                  </w:txbxContent>
                </v:textbox>
              </v:shape>
            </w:pict>
          </mc:Fallback>
        </mc:AlternateContent>
      </w: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sectPr>
          <w:headerReference r:id="rId3" w:type="default"/>
          <w:footerReference r:id="rId4" w:type="default"/>
          <w:pgSz w:w="11906" w:h="16838"/>
          <w:pgMar w:top="794" w:right="794" w:bottom="794" w:left="794" w:header="851" w:footer="851" w:gutter="0"/>
          <w:cols w:space="425" w:num="1"/>
          <w:docGrid w:type="lines" w:linePitch="312" w:charSpace="0"/>
        </w:sectPr>
      </w:pPr>
      <w:r>
        <w:rPr>
          <w:rFonts w:hint="eastAsia" w:ascii="黑体" w:hAnsi="宋体" w:eastAsia="黑体"/>
          <w:sz w:val="18"/>
          <w:szCs w:val="18"/>
        </w:rPr>
        <w:t>24小时客户服务</w:t>
      </w:r>
      <w:r>
        <w:rPr>
          <w:rFonts w:ascii="黑体" w:hAnsi="宋体" w:eastAsia="黑体"/>
          <w:sz w:val="18"/>
          <w:szCs w:val="18"/>
        </w:rPr>
        <w:t>热线</w:t>
      </w:r>
      <w:r>
        <w:rPr>
          <w:rFonts w:hint="eastAsia" w:ascii="黑体" w:hAnsi="宋体" w:eastAsia="黑体"/>
          <w:sz w:val="18"/>
          <w:szCs w:val="18"/>
        </w:rPr>
        <w:t>：</w:t>
      </w:r>
      <w:r>
        <w:rPr>
          <w:rFonts w:ascii="黑体" w:hAnsi="宋体" w:eastAsia="黑体"/>
          <w:sz w:val="18"/>
          <w:szCs w:val="18"/>
        </w:rPr>
        <w:t>956056</w:t>
      </w:r>
    </w:p>
    <w:p>
      <w:pPr>
        <w:ind w:left="-178" w:leftChars="-85" w:right="-120" w:rightChars="-57"/>
        <w:jc w:val="center"/>
        <w:rPr>
          <w:rFonts w:hint="eastAsia" w:ascii="仿宋" w:hAnsi="仿宋" w:eastAsia="仿宋"/>
          <w:b/>
          <w:kern w:val="0"/>
          <w:sz w:val="32"/>
          <w:szCs w:val="32"/>
        </w:rPr>
      </w:pPr>
      <w:r>
        <w:rPr>
          <w:rFonts w:hint="eastAsia" w:ascii="仿宋" w:hAnsi="仿宋" w:eastAsia="仿宋"/>
          <w:b/>
          <w:kern w:val="0"/>
          <w:sz w:val="32"/>
          <w:szCs w:val="32"/>
          <w:lang w:val="en-US" w:eastAsia="zh-CN"/>
        </w:rPr>
        <w:t>2025</w:t>
      </w:r>
      <w:r>
        <w:rPr>
          <w:rFonts w:hint="eastAsia" w:ascii="仿宋" w:hAnsi="仿宋" w:eastAsia="仿宋"/>
          <w:b/>
          <w:kern w:val="0"/>
          <w:sz w:val="32"/>
          <w:szCs w:val="32"/>
        </w:rPr>
        <w:t>年</w:t>
      </w:r>
      <w:r>
        <w:rPr>
          <w:rFonts w:hint="eastAsia" w:ascii="仿宋" w:hAnsi="仿宋" w:eastAsia="仿宋"/>
          <w:b/>
          <w:kern w:val="0"/>
          <w:sz w:val="32"/>
          <w:szCs w:val="32"/>
          <w:lang w:eastAsia="zh-CN"/>
        </w:rPr>
        <w:t>涵屿财富114期</w:t>
      </w:r>
      <w:r>
        <w:rPr>
          <w:rFonts w:hint="eastAsia" w:ascii="仿宋" w:hAnsi="仿宋" w:eastAsia="仿宋"/>
          <w:b/>
          <w:kern w:val="0"/>
          <w:sz w:val="32"/>
          <w:szCs w:val="32"/>
        </w:rPr>
        <w:t>封闭式净值型理财产品说明书</w:t>
      </w:r>
    </w:p>
    <w:p>
      <w:pPr>
        <w:ind w:left="-178" w:leftChars="-85" w:right="-120" w:rightChars="-57"/>
        <w:jc w:val="center"/>
        <w:rPr>
          <w:rFonts w:ascii="仿宋" w:hAnsi="仿宋" w:eastAsia="仿宋"/>
          <w:b/>
          <w:kern w:val="0"/>
          <w:sz w:val="28"/>
          <w:szCs w:val="28"/>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51" w:type="dxa"/>
            <w:vAlign w:val="center"/>
          </w:tcPr>
          <w:p>
            <w:pPr>
              <w:jc w:val="center"/>
              <w:rPr>
                <w:rFonts w:ascii="仿宋" w:hAnsi="仿宋" w:eastAsia="仿宋"/>
                <w:sz w:val="24"/>
                <w:szCs w:val="24"/>
              </w:rPr>
            </w:pPr>
            <w:r>
              <w:rPr>
                <w:rFonts w:hint="eastAsia" w:ascii="仿宋" w:hAnsi="仿宋" w:eastAsia="仿宋"/>
                <w:b/>
                <w:kern w:val="0"/>
                <w:sz w:val="24"/>
                <w:szCs w:val="24"/>
              </w:rPr>
              <w:t>产品名称</w:t>
            </w:r>
          </w:p>
        </w:tc>
        <w:tc>
          <w:tcPr>
            <w:tcW w:w="1961" w:type="dxa"/>
            <w:gridSpan w:val="3"/>
            <w:vAlign w:val="center"/>
          </w:tcPr>
          <w:p>
            <w:pPr>
              <w:jc w:val="center"/>
              <w:rPr>
                <w:rFonts w:ascii="仿宋" w:hAnsi="仿宋" w:eastAsia="仿宋"/>
                <w:kern w:val="0"/>
                <w:szCs w:val="21"/>
              </w:rPr>
            </w:pPr>
            <w:r>
              <w:rPr>
                <w:rFonts w:hint="eastAsia" w:ascii="仿宋" w:hAnsi="仿宋" w:eastAsia="仿宋"/>
                <w:kern w:val="0"/>
                <w:szCs w:val="21"/>
                <w:lang w:eastAsia="zh-CN"/>
              </w:rPr>
              <w:t>2025涵屿财富114期-D</w:t>
            </w:r>
          </w:p>
        </w:tc>
        <w:tc>
          <w:tcPr>
            <w:tcW w:w="1785"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产品币种</w:t>
            </w:r>
          </w:p>
          <w:p>
            <w:pPr>
              <w:jc w:val="center"/>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4"/>
            <w:vAlign w:val="center"/>
          </w:tcPr>
          <w:p>
            <w:pPr>
              <w:jc w:val="center"/>
              <w:rPr>
                <w:rFonts w:ascii="仿宋" w:hAnsi="仿宋" w:eastAsia="仿宋"/>
                <w:kern w:val="0"/>
                <w:szCs w:val="21"/>
              </w:rPr>
            </w:pPr>
            <w:r>
              <w:rPr>
                <w:rFonts w:hint="eastAsia" w:ascii="仿宋" w:hAnsi="仿宋" w:eastAsia="仿宋"/>
                <w:kern w:val="0"/>
                <w:szCs w:val="21"/>
              </w:rPr>
              <w:t>人民币</w:t>
            </w:r>
          </w:p>
          <w:p>
            <w:pPr>
              <w:jc w:val="center"/>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产品编号</w:t>
            </w:r>
          </w:p>
        </w:tc>
        <w:tc>
          <w:tcPr>
            <w:tcW w:w="1961" w:type="dxa"/>
            <w:gridSpan w:val="3"/>
            <w:vAlign w:val="center"/>
          </w:tcPr>
          <w:p>
            <w:pPr>
              <w:jc w:val="center"/>
              <w:rPr>
                <w:rFonts w:hint="default" w:ascii="仿宋" w:hAnsi="仿宋" w:eastAsia="仿宋"/>
                <w:color w:val="000000"/>
                <w:kern w:val="0"/>
                <w:szCs w:val="21"/>
                <w:lang w:val="en-US"/>
              </w:rPr>
            </w:pPr>
            <w:r>
              <w:rPr>
                <w:rFonts w:hint="eastAsia" w:ascii="仿宋" w:hAnsi="仿宋" w:eastAsia="仿宋"/>
                <w:color w:val="000000"/>
                <w:kern w:val="0"/>
                <w:szCs w:val="21"/>
                <w:lang w:val="en-US" w:eastAsia="zh-CN"/>
              </w:rPr>
              <w:t>2025HY114D</w:t>
            </w:r>
          </w:p>
        </w:tc>
        <w:tc>
          <w:tcPr>
            <w:tcW w:w="1785"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4"/>
            <w:vAlign w:val="center"/>
          </w:tcPr>
          <w:p>
            <w:pPr>
              <w:jc w:val="center"/>
              <w:rPr>
                <w:rFonts w:hint="default" w:eastAsia="仿宋"/>
                <w:szCs w:val="16"/>
                <w:lang w:val="en-US" w:eastAsia="zh-CN"/>
              </w:rPr>
            </w:pPr>
            <w:r>
              <w:rPr>
                <w:rFonts w:hint="eastAsia" w:ascii="仿宋" w:hAnsi="仿宋" w:eastAsia="仿宋"/>
                <w:bCs/>
                <w:color w:val="000000"/>
                <w:szCs w:val="21"/>
                <w:lang w:eastAsia="zh-CN"/>
              </w:rPr>
              <w:t>C1080325000331</w:t>
            </w:r>
          </w:p>
          <w:p>
            <w:pPr>
              <w:jc w:val="center"/>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951" w:type="dxa"/>
            <w:vAlign w:val="center"/>
          </w:tcPr>
          <w:p>
            <w:pPr>
              <w:jc w:val="center"/>
              <w:rPr>
                <w:rFonts w:ascii="仿宋" w:hAnsi="仿宋" w:eastAsia="仿宋"/>
                <w:b/>
                <w:kern w:val="0"/>
                <w:sz w:val="24"/>
                <w:szCs w:val="24"/>
              </w:rPr>
            </w:pPr>
            <w:r>
              <w:rPr>
                <w:rFonts w:hint="eastAsia" w:ascii="仿宋_GB2312" w:eastAsia="仿宋_GB2312"/>
                <w:b/>
                <w:kern w:val="0"/>
                <w:sz w:val="24"/>
                <w:szCs w:val="24"/>
              </w:rPr>
              <w:t>募集</w:t>
            </w:r>
            <w:r>
              <w:rPr>
                <w:rFonts w:ascii="仿宋_GB2312" w:eastAsia="仿宋_GB2312"/>
                <w:b/>
                <w:kern w:val="0"/>
                <w:sz w:val="24"/>
                <w:szCs w:val="24"/>
              </w:rPr>
              <w:t>方式</w:t>
            </w:r>
          </w:p>
        </w:tc>
        <w:tc>
          <w:tcPr>
            <w:tcW w:w="8457" w:type="dxa"/>
            <w:gridSpan w:val="8"/>
            <w:vAlign w:val="center"/>
          </w:tcPr>
          <w:p>
            <w:pPr>
              <w:jc w:val="center"/>
              <w:rPr>
                <w:rFonts w:ascii="仿宋" w:hAnsi="仿宋" w:eastAsia="仿宋"/>
                <w:bCs/>
                <w:color w:val="000000"/>
                <w:szCs w:val="21"/>
              </w:rPr>
            </w:pPr>
            <w:r>
              <w:rPr>
                <w:rFonts w:hint="eastAsia" w:ascii="仿宋" w:hAnsi="仿宋" w:eastAsia="仿宋"/>
                <w:bCs/>
                <w:color w:val="000000"/>
                <w:szCs w:val="21"/>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产品风险等级</w:t>
            </w:r>
          </w:p>
          <w:p>
            <w:pPr>
              <w:jc w:val="center"/>
              <w:rPr>
                <w:rFonts w:ascii="仿宋" w:hAnsi="仿宋" w:eastAsia="仿宋"/>
                <w:b/>
                <w:kern w:val="0"/>
                <w:sz w:val="24"/>
                <w:szCs w:val="24"/>
              </w:rPr>
            </w:pPr>
            <w:r>
              <w:rPr>
                <w:rFonts w:hint="eastAsia" w:ascii="仿宋" w:hAnsi="仿宋" w:eastAsia="仿宋"/>
                <w:b/>
                <w:kern w:val="0"/>
                <w:sz w:val="24"/>
                <w:szCs w:val="24"/>
              </w:rPr>
              <w:t>及适合客户</w:t>
            </w:r>
          </w:p>
        </w:tc>
        <w:tc>
          <w:tcPr>
            <w:tcW w:w="8457" w:type="dxa"/>
            <w:gridSpan w:val="8"/>
            <w:vAlign w:val="center"/>
          </w:tcPr>
          <w:p>
            <w:pPr>
              <w:rPr>
                <w:rFonts w:ascii="仿宋" w:hAnsi="仿宋" w:eastAsia="仿宋"/>
                <w:kern w:val="0"/>
                <w:szCs w:val="21"/>
              </w:rPr>
            </w:pPr>
            <w:r>
              <w:rPr>
                <w:rFonts w:hint="eastAsia" w:ascii="仿宋" w:hAnsi="仿宋" w:eastAsia="仿宋"/>
                <w:kern w:val="0"/>
                <w:szCs w:val="21"/>
              </w:rPr>
              <w:t>本产品内部评价为</w:t>
            </w:r>
            <w:r>
              <w:rPr>
                <w:rFonts w:hint="eastAsia" w:ascii="仿宋" w:hAnsi="仿宋" w:eastAsia="仿宋"/>
                <w:kern w:val="0"/>
                <w:szCs w:val="21"/>
                <w:lang w:eastAsia="zh-CN"/>
              </w:rPr>
              <w:t>R2</w:t>
            </w:r>
            <w:r>
              <w:rPr>
                <w:rFonts w:hint="eastAsia" w:ascii="仿宋" w:hAnsi="仿宋" w:eastAsia="仿宋"/>
                <w:kern w:val="0"/>
                <w:szCs w:val="21"/>
              </w:rPr>
              <w:t>(</w:t>
            </w:r>
            <w:r>
              <w:rPr>
                <w:rFonts w:hint="eastAsia" w:ascii="仿宋" w:hAnsi="仿宋" w:eastAsia="仿宋"/>
                <w:kern w:val="0"/>
                <w:szCs w:val="21"/>
                <w:lang w:val="en-US" w:eastAsia="zh-CN"/>
              </w:rPr>
              <w:t>中低</w:t>
            </w:r>
            <w:r>
              <w:rPr>
                <w:rFonts w:hint="eastAsia" w:ascii="仿宋" w:hAnsi="仿宋" w:eastAsia="仿宋"/>
                <w:kern w:val="0"/>
                <w:szCs w:val="21"/>
              </w:rPr>
              <w:t>风险)</w:t>
            </w:r>
            <w:r>
              <w:rPr>
                <w:rFonts w:hint="eastAsia" w:ascii="仿宋" w:hAnsi="仿宋" w:eastAsia="仿宋"/>
                <w:kern w:val="0"/>
                <w:szCs w:val="21"/>
                <w:lang w:val="en-US" w:eastAsia="zh-CN"/>
              </w:rPr>
              <w:t>级别</w:t>
            </w:r>
            <w:r>
              <w:rPr>
                <w:rFonts w:hint="eastAsia" w:ascii="仿宋" w:hAnsi="仿宋" w:eastAsia="仿宋"/>
                <w:kern w:val="0"/>
                <w:szCs w:val="21"/>
              </w:rPr>
              <w:t>，适合谨慎型、稳健型、进取型和激进型型客户认购。</w:t>
            </w:r>
          </w:p>
          <w:p>
            <w:pPr>
              <w:rPr>
                <w:rFonts w:ascii="仿宋" w:hAnsi="仿宋" w:eastAsia="仿宋"/>
                <w:kern w:val="0"/>
                <w:szCs w:val="21"/>
              </w:rPr>
            </w:pPr>
            <w:r>
              <w:rPr>
                <w:rFonts w:hint="eastAsia" w:ascii="仿宋" w:hAnsi="仿宋" w:eastAsia="仿宋"/>
                <w:b/>
                <w:kern w:val="0"/>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产品规模及认购起点</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初始计划发行量</w:t>
            </w:r>
            <w:r>
              <w:rPr>
                <w:rFonts w:hint="eastAsia" w:ascii="仿宋" w:hAnsi="仿宋" w:eastAsia="仿宋"/>
                <w:bCs/>
                <w:szCs w:val="21"/>
                <w:lang w:val="en-US" w:eastAsia="zh-CN"/>
              </w:rPr>
              <w:t>1亿</w:t>
            </w:r>
            <w:r>
              <w:rPr>
                <w:rFonts w:hint="eastAsia" w:ascii="仿宋" w:hAnsi="仿宋" w:eastAsia="仿宋"/>
                <w:bCs/>
                <w:szCs w:val="21"/>
              </w:rPr>
              <w:t>，天津银行有权根据实际情况进行调整，本产品最终发行规模以实际发行金额为准。</w:t>
            </w:r>
          </w:p>
          <w:p>
            <w:pPr>
              <w:spacing w:line="240" w:lineRule="exact"/>
              <w:rPr>
                <w:rFonts w:ascii="仿宋" w:hAnsi="仿宋" w:eastAsia="仿宋"/>
                <w:bCs/>
                <w:szCs w:val="21"/>
              </w:rPr>
            </w:pPr>
            <w:r>
              <w:rPr>
                <w:rFonts w:hint="eastAsia" w:ascii="仿宋" w:hAnsi="仿宋" w:eastAsia="仿宋"/>
                <w:bCs/>
                <w:szCs w:val="21"/>
              </w:rPr>
              <w:t>首次认购起点金额</w:t>
            </w:r>
            <w:r>
              <w:rPr>
                <w:rFonts w:hint="eastAsia" w:ascii="仿宋" w:hAnsi="仿宋" w:eastAsia="仿宋"/>
                <w:bCs/>
                <w:szCs w:val="21"/>
                <w:lang w:val="en-US" w:eastAsia="zh-CN"/>
              </w:rPr>
              <w:t>1万</w:t>
            </w:r>
            <w:r>
              <w:rPr>
                <w:rFonts w:hint="eastAsia" w:ascii="仿宋" w:hAnsi="仿宋" w:eastAsia="仿宋"/>
                <w:bCs/>
                <w:szCs w:val="21"/>
              </w:rPr>
              <w:t>元，高于起点金额以</w:t>
            </w:r>
            <w:r>
              <w:rPr>
                <w:rFonts w:hint="eastAsia" w:ascii="仿宋" w:hAnsi="仿宋" w:eastAsia="仿宋"/>
                <w:bCs/>
                <w:szCs w:val="21"/>
                <w:lang w:val="en-US" w:eastAsia="zh-CN"/>
              </w:rPr>
              <w:t>1000</w:t>
            </w:r>
            <w:r>
              <w:rPr>
                <w:rFonts w:hint="eastAsia" w:ascii="仿宋" w:hAnsi="仿宋" w:eastAsia="仿宋"/>
                <w:bCs/>
                <w:szCs w:val="21"/>
              </w:rPr>
              <w:t>元整数倍递增；追加投资时，追加申购金额按照</w:t>
            </w:r>
            <w:r>
              <w:rPr>
                <w:rFonts w:hint="eastAsia" w:ascii="仿宋" w:hAnsi="仿宋" w:eastAsia="仿宋"/>
                <w:bCs/>
                <w:szCs w:val="21"/>
                <w:lang w:val="en-US" w:eastAsia="zh-CN"/>
              </w:rPr>
              <w:t>1000</w:t>
            </w:r>
            <w:r>
              <w:rPr>
                <w:rFonts w:hint="eastAsia" w:ascii="仿宋" w:hAnsi="仿宋" w:eastAsia="仿宋"/>
                <w:bCs/>
                <w:szCs w:val="21"/>
              </w:rPr>
              <w:t>元的整数倍递增。</w:t>
            </w:r>
          </w:p>
          <w:p>
            <w:pPr>
              <w:spacing w:line="240" w:lineRule="exact"/>
              <w:rPr>
                <w:rFonts w:ascii="仿宋" w:hAnsi="仿宋" w:eastAsia="仿宋"/>
                <w:kern w:val="0"/>
                <w:szCs w:val="21"/>
              </w:rPr>
            </w:pPr>
            <w:r>
              <w:rPr>
                <w:rFonts w:hint="eastAsia" w:ascii="仿宋" w:hAnsi="仿宋" w:eastAsia="仿宋"/>
                <w:bCs/>
                <w:szCs w:val="21"/>
              </w:rPr>
              <w:t>如果产品募集期结束前认购规模达到</w:t>
            </w:r>
            <w:r>
              <w:rPr>
                <w:rFonts w:hint="eastAsia" w:ascii="仿宋" w:hAnsi="仿宋" w:eastAsia="仿宋"/>
                <w:bCs/>
                <w:szCs w:val="21"/>
                <w:lang w:val="en-US" w:eastAsia="zh-CN"/>
              </w:rPr>
              <w:t>1亿</w:t>
            </w:r>
            <w:r>
              <w:rPr>
                <w:rFonts w:hint="eastAsia" w:ascii="仿宋" w:hAnsi="仿宋" w:eastAsia="仿宋"/>
                <w:bCs/>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jc w:val="center"/>
              <w:rPr>
                <w:rFonts w:ascii="仿宋" w:hAnsi="仿宋" w:eastAsia="仿宋"/>
                <w:b/>
                <w:kern w:val="0"/>
                <w:sz w:val="24"/>
                <w:szCs w:val="24"/>
              </w:rPr>
            </w:pPr>
            <w:r>
              <w:rPr>
                <w:rFonts w:hint="eastAsia" w:ascii="仿宋" w:hAnsi="仿宋" w:eastAsia="仿宋"/>
                <w:b/>
                <w:kern w:val="0"/>
                <w:sz w:val="24"/>
                <w:szCs w:val="24"/>
              </w:rPr>
              <w:t>名词</w:t>
            </w:r>
            <w:r>
              <w:rPr>
                <w:rFonts w:ascii="仿宋" w:hAnsi="仿宋" w:eastAsia="仿宋"/>
                <w:b/>
                <w:kern w:val="0"/>
                <w:sz w:val="24"/>
                <w:szCs w:val="24"/>
              </w:rPr>
              <w:t>解释</w:t>
            </w:r>
          </w:p>
        </w:tc>
        <w:tc>
          <w:tcPr>
            <w:tcW w:w="3831" w:type="dxa"/>
            <w:gridSpan w:val="6"/>
            <w:vAlign w:val="center"/>
          </w:tcPr>
          <w:p>
            <w:pPr>
              <w:spacing w:line="240" w:lineRule="exact"/>
              <w:rPr>
                <w:rFonts w:ascii="仿宋" w:hAnsi="仿宋" w:eastAsia="仿宋"/>
                <w:bCs/>
                <w:szCs w:val="21"/>
              </w:rPr>
            </w:pPr>
            <w:r>
              <w:rPr>
                <w:rFonts w:hint="eastAsia" w:ascii="仿宋" w:hAnsi="仿宋" w:eastAsia="仿宋"/>
                <w:bCs/>
                <w:szCs w:val="21"/>
              </w:rPr>
              <w:t>募集期：投资者认购产品的时间段。</w:t>
            </w:r>
          </w:p>
        </w:tc>
        <w:tc>
          <w:tcPr>
            <w:tcW w:w="4626" w:type="dxa"/>
            <w:gridSpan w:val="2"/>
            <w:vAlign w:val="center"/>
          </w:tcPr>
          <w:p>
            <w:pPr>
              <w:spacing w:line="240" w:lineRule="exact"/>
              <w:rPr>
                <w:rFonts w:ascii="仿宋" w:hAnsi="仿宋" w:eastAsia="仿宋"/>
                <w:bCs/>
                <w:szCs w:val="21"/>
              </w:rPr>
            </w:pPr>
            <w:r>
              <w:rPr>
                <w:rFonts w:hint="eastAsia" w:ascii="仿宋" w:hAnsi="仿宋" w:eastAsia="仿宋"/>
                <w:bCs/>
                <w:szCs w:val="21"/>
              </w:rPr>
              <w:t>产品成立日</w:t>
            </w:r>
            <w:r>
              <w:rPr>
                <w:rFonts w:ascii="仿宋" w:hAnsi="仿宋" w:eastAsia="仿宋"/>
                <w:bCs/>
                <w:szCs w:val="21"/>
              </w:rPr>
              <w:t>：</w:t>
            </w:r>
            <w:r>
              <w:rPr>
                <w:rFonts w:hint="eastAsia" w:ascii="仿宋" w:hAnsi="仿宋" w:eastAsia="仿宋"/>
                <w:bCs/>
                <w:szCs w:val="21"/>
              </w:rPr>
              <w:t>产品开始</w:t>
            </w:r>
            <w:r>
              <w:rPr>
                <w:rFonts w:ascii="仿宋" w:hAnsi="仿宋" w:eastAsia="仿宋"/>
                <w:bCs/>
                <w:szCs w:val="21"/>
              </w:rPr>
              <w:t>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jc w:val="center"/>
              <w:rPr>
                <w:rFonts w:ascii="仿宋" w:hAnsi="仿宋" w:eastAsia="仿宋"/>
                <w:b/>
                <w:kern w:val="0"/>
                <w:sz w:val="24"/>
                <w:szCs w:val="24"/>
              </w:rPr>
            </w:pP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jc w:val="center"/>
              <w:rPr>
                <w:rFonts w:ascii="仿宋" w:hAnsi="仿宋" w:eastAsia="仿宋"/>
                <w:b/>
                <w:kern w:val="0"/>
                <w:sz w:val="24"/>
                <w:szCs w:val="24"/>
              </w:rPr>
            </w:pPr>
            <w:r>
              <w:rPr>
                <w:rFonts w:hint="eastAsia" w:ascii="仿宋" w:hAnsi="仿宋" w:eastAsia="仿宋"/>
                <w:b/>
                <w:kern w:val="0"/>
                <w:sz w:val="24"/>
                <w:szCs w:val="24"/>
              </w:rPr>
              <w:t>产品期限</w:t>
            </w:r>
          </w:p>
        </w:tc>
        <w:tc>
          <w:tcPr>
            <w:tcW w:w="1599" w:type="dxa"/>
            <w:vAlign w:val="center"/>
          </w:tcPr>
          <w:p>
            <w:pPr>
              <w:rPr>
                <w:rFonts w:ascii="仿宋" w:hAnsi="仿宋" w:eastAsia="仿宋"/>
                <w:b/>
                <w:kern w:val="0"/>
                <w:sz w:val="24"/>
                <w:szCs w:val="24"/>
              </w:rPr>
            </w:pPr>
            <w:r>
              <w:rPr>
                <w:rFonts w:hint="eastAsia" w:ascii="仿宋" w:hAnsi="仿宋" w:eastAsia="仿宋"/>
                <w:b/>
                <w:kern w:val="0"/>
                <w:sz w:val="24"/>
                <w:szCs w:val="24"/>
              </w:rPr>
              <w:t xml:space="preserve">募集期 </w:t>
            </w:r>
          </w:p>
        </w:tc>
        <w:tc>
          <w:tcPr>
            <w:tcW w:w="6858" w:type="dxa"/>
            <w:gridSpan w:val="7"/>
            <w:vAlign w:val="center"/>
          </w:tcPr>
          <w:p>
            <w:pPr>
              <w:jc w:val="center"/>
              <w:rPr>
                <w:rFonts w:ascii="仿宋" w:hAnsi="仿宋" w:eastAsia="仿宋"/>
                <w:kern w:val="0"/>
                <w:szCs w:val="21"/>
              </w:rPr>
            </w:pPr>
            <w:r>
              <w:rPr>
                <w:rFonts w:hint="eastAsia" w:ascii="仿宋" w:hAnsi="仿宋" w:eastAsia="仿宋"/>
                <w:szCs w:val="21"/>
                <w:lang w:val="en-US" w:eastAsia="zh-CN"/>
              </w:rPr>
              <w:t>2025年4月28日起至2025年5月6日止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sz w:val="24"/>
                <w:szCs w:val="24"/>
              </w:rPr>
            </w:pPr>
            <w:r>
              <w:rPr>
                <w:rFonts w:hint="eastAsia" w:ascii="仿宋" w:hAnsi="仿宋" w:eastAsia="仿宋"/>
                <w:b/>
                <w:sz w:val="24"/>
                <w:szCs w:val="24"/>
              </w:rPr>
              <w:t>产品成立日</w:t>
            </w:r>
          </w:p>
        </w:tc>
        <w:tc>
          <w:tcPr>
            <w:tcW w:w="2183" w:type="dxa"/>
            <w:gridSpan w:val="4"/>
            <w:vAlign w:val="center"/>
          </w:tcPr>
          <w:p>
            <w:pPr>
              <w:jc w:val="left"/>
              <w:rPr>
                <w:rFonts w:hint="eastAsia" w:ascii="仿宋" w:hAnsi="仿宋" w:eastAsia="仿宋"/>
                <w:szCs w:val="21"/>
                <w:lang w:eastAsia="zh-CN"/>
              </w:rPr>
            </w:pPr>
            <w:r>
              <w:rPr>
                <w:rFonts w:hint="eastAsia" w:ascii="仿宋" w:hAnsi="仿宋" w:eastAsia="仿宋"/>
                <w:szCs w:val="21"/>
                <w:lang w:eastAsia="zh-CN"/>
              </w:rPr>
              <w:t>2025年5月7日</w:t>
            </w:r>
          </w:p>
        </w:tc>
        <w:tc>
          <w:tcPr>
            <w:tcW w:w="1503" w:type="dxa"/>
            <w:gridSpan w:val="2"/>
            <w:vAlign w:val="center"/>
          </w:tcPr>
          <w:p>
            <w:pPr>
              <w:rPr>
                <w:rFonts w:ascii="仿宋" w:hAnsi="仿宋" w:eastAsia="仿宋"/>
                <w:b/>
                <w:sz w:val="24"/>
                <w:szCs w:val="24"/>
              </w:rPr>
            </w:pPr>
            <w:r>
              <w:rPr>
                <w:rFonts w:hint="eastAsia" w:ascii="仿宋" w:hAnsi="仿宋" w:eastAsia="仿宋"/>
                <w:b/>
                <w:sz w:val="24"/>
                <w:szCs w:val="24"/>
              </w:rPr>
              <w:t>产品到期日</w:t>
            </w:r>
          </w:p>
        </w:tc>
        <w:tc>
          <w:tcPr>
            <w:tcW w:w="3172" w:type="dxa"/>
            <w:vAlign w:val="center"/>
          </w:tcPr>
          <w:p>
            <w:pPr>
              <w:ind w:firstLine="420" w:firstLineChars="0"/>
              <w:jc w:val="both"/>
              <w:rPr>
                <w:rFonts w:ascii="仿宋" w:hAnsi="仿宋" w:eastAsia="仿宋"/>
                <w:szCs w:val="21"/>
              </w:rPr>
            </w:pPr>
            <w:r>
              <w:rPr>
                <w:rFonts w:hint="eastAsia" w:ascii="仿宋" w:hAnsi="仿宋" w:eastAsia="仿宋"/>
                <w:szCs w:val="21"/>
                <w:lang w:val="en-US" w:eastAsia="zh-CN"/>
              </w:rPr>
              <w:t>2025年11月6日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kern w:val="0"/>
                <w:sz w:val="24"/>
                <w:szCs w:val="24"/>
              </w:rPr>
            </w:pPr>
            <w:r>
              <w:rPr>
                <w:rFonts w:hint="eastAsia" w:ascii="仿宋" w:hAnsi="仿宋" w:eastAsia="仿宋"/>
                <w:b/>
                <w:kern w:val="0"/>
                <w:sz w:val="24"/>
                <w:szCs w:val="24"/>
              </w:rPr>
              <w:t xml:space="preserve">理财期限 </w:t>
            </w:r>
          </w:p>
        </w:tc>
        <w:tc>
          <w:tcPr>
            <w:tcW w:w="6858" w:type="dxa"/>
            <w:gridSpan w:val="7"/>
            <w:vAlign w:val="center"/>
          </w:tcPr>
          <w:p>
            <w:pPr>
              <w:rPr>
                <w:rFonts w:ascii="仿宋" w:hAnsi="仿宋" w:eastAsia="仿宋"/>
                <w:kern w:val="0"/>
                <w:szCs w:val="21"/>
              </w:rPr>
            </w:pPr>
            <w:r>
              <w:rPr>
                <w:rFonts w:hint="eastAsia" w:ascii="仿宋" w:hAnsi="仿宋" w:eastAsia="仿宋"/>
                <w:szCs w:val="21"/>
                <w:lang w:val="en-US" w:eastAsia="zh-CN"/>
              </w:rPr>
              <w:t>183</w:t>
            </w:r>
            <w:r>
              <w:rPr>
                <w:rFonts w:hint="eastAsia" w:ascii="仿宋" w:hAnsi="仿宋" w:eastAsia="仿宋"/>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sz w:val="24"/>
                <w:szCs w:val="24"/>
              </w:rPr>
            </w:pPr>
            <w:r>
              <w:rPr>
                <w:rFonts w:hint="eastAsia" w:ascii="仿宋" w:hAnsi="仿宋" w:eastAsia="仿宋"/>
                <w:b/>
                <w:sz w:val="24"/>
                <w:szCs w:val="24"/>
              </w:rPr>
              <w:t>工作日</w:t>
            </w:r>
          </w:p>
        </w:tc>
        <w:tc>
          <w:tcPr>
            <w:tcW w:w="6858" w:type="dxa"/>
            <w:gridSpan w:val="7"/>
            <w:vAlign w:val="center"/>
          </w:tcPr>
          <w:p>
            <w:pPr>
              <w:rPr>
                <w:rFonts w:ascii="仿宋" w:hAnsi="仿宋" w:eastAsia="仿宋"/>
                <w:szCs w:val="21"/>
              </w:rPr>
            </w:pPr>
            <w:r>
              <w:rPr>
                <w:rFonts w:hint="eastAsia" w:ascii="仿宋" w:hAnsi="仿宋" w:eastAsia="仿宋"/>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sz w:val="24"/>
                <w:szCs w:val="24"/>
              </w:rPr>
            </w:pPr>
            <w:r>
              <w:rPr>
                <w:rFonts w:hint="eastAsia" w:ascii="仿宋" w:hAnsi="仿宋" w:eastAsia="仿宋"/>
                <w:b/>
                <w:sz w:val="24"/>
                <w:szCs w:val="24"/>
              </w:rPr>
              <w:t>清算期</w:t>
            </w:r>
          </w:p>
        </w:tc>
        <w:tc>
          <w:tcPr>
            <w:tcW w:w="6858" w:type="dxa"/>
            <w:gridSpan w:val="7"/>
            <w:vAlign w:val="center"/>
          </w:tcPr>
          <w:p>
            <w:pPr>
              <w:spacing w:line="240" w:lineRule="exact"/>
              <w:rPr>
                <w:rFonts w:ascii="仿宋" w:hAnsi="仿宋" w:eastAsia="仿宋"/>
                <w:bCs/>
                <w:szCs w:val="21"/>
              </w:rPr>
            </w:pPr>
            <w:r>
              <w:rPr>
                <w:rFonts w:hint="eastAsia" w:ascii="仿宋" w:hAnsi="仿宋" w:eastAsia="仿宋"/>
                <w:bCs/>
                <w:szCs w:val="21"/>
              </w:rPr>
              <w:t>产品到期日或提前终止日至理财资金返还到账日之间，最迟不超</w:t>
            </w:r>
            <w:r>
              <w:rPr>
                <w:rFonts w:hint="eastAsia" w:ascii="仿宋" w:hAnsi="仿宋" w:eastAsia="仿宋"/>
                <w:bCs/>
                <w:szCs w:val="21"/>
                <w:lang w:val="en-US" w:eastAsia="zh-CN"/>
              </w:rPr>
              <w:t>过两</w:t>
            </w:r>
            <w:r>
              <w:rPr>
                <w:rFonts w:hint="eastAsia" w:ascii="仿宋" w:hAnsi="仿宋" w:eastAsia="仿宋"/>
                <w:bCs/>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计息说明</w:t>
            </w:r>
          </w:p>
        </w:tc>
        <w:tc>
          <w:tcPr>
            <w:tcW w:w="8457" w:type="dxa"/>
            <w:gridSpan w:val="8"/>
            <w:vAlign w:val="center"/>
          </w:tcPr>
          <w:p>
            <w:pPr>
              <w:spacing w:line="240" w:lineRule="exact"/>
              <w:rPr>
                <w:rFonts w:ascii="仿宋" w:hAnsi="仿宋" w:eastAsia="仿宋"/>
                <w:b/>
                <w:bCs/>
                <w:szCs w:val="21"/>
              </w:rPr>
            </w:pPr>
            <w:r>
              <w:rPr>
                <w:rFonts w:hint="eastAsia" w:ascii="仿宋" w:hAnsi="仿宋" w:eastAsia="仿宋"/>
                <w:b/>
                <w:bCs/>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u w:val="wave"/>
              </w:rPr>
            </w:pPr>
            <w:r>
              <w:rPr>
                <w:rFonts w:hint="eastAsia" w:ascii="仿宋" w:hAnsi="仿宋" w:eastAsia="仿宋"/>
                <w:b/>
                <w:kern w:val="0"/>
                <w:sz w:val="24"/>
                <w:szCs w:val="24"/>
              </w:rPr>
              <w:t>产品净值及份额说明</w:t>
            </w:r>
          </w:p>
        </w:tc>
        <w:tc>
          <w:tcPr>
            <w:tcW w:w="8457" w:type="dxa"/>
            <w:gridSpan w:val="8"/>
            <w:vAlign w:val="center"/>
          </w:tcPr>
          <w:p>
            <w:pPr>
              <w:pStyle w:val="20"/>
              <w:numPr>
                <w:ilvl w:val="0"/>
                <w:numId w:val="1"/>
              </w:numPr>
              <w:spacing w:line="240" w:lineRule="exact"/>
              <w:ind w:firstLine="0" w:firstLineChars="0"/>
              <w:rPr>
                <w:rFonts w:ascii="仿宋" w:hAnsi="仿宋" w:eastAsia="仿宋"/>
                <w:bCs/>
                <w:szCs w:val="21"/>
              </w:rPr>
            </w:pPr>
            <w:r>
              <w:rPr>
                <w:rFonts w:hint="eastAsia" w:ascii="仿宋" w:hAnsi="仿宋" w:eastAsia="仿宋"/>
                <w:bCs/>
                <w:szCs w:val="21"/>
              </w:rPr>
              <w:t>产品单位净值指每份产品单位的净资产价值，此为扣除期间相关税费后的净值，将四舍五入保留至小数点后第六位。计算公式为：产品单位净值=产品净资产÷产品份额。</w:t>
            </w:r>
          </w:p>
          <w:p>
            <w:pPr>
              <w:pStyle w:val="20"/>
              <w:numPr>
                <w:ilvl w:val="0"/>
                <w:numId w:val="1"/>
              </w:numPr>
              <w:spacing w:line="240" w:lineRule="exact"/>
              <w:ind w:firstLine="0" w:firstLineChars="0"/>
              <w:rPr>
                <w:rFonts w:ascii="仿宋" w:hAnsi="仿宋" w:eastAsia="仿宋"/>
                <w:bCs/>
                <w:szCs w:val="21"/>
              </w:rPr>
            </w:pPr>
            <w:r>
              <w:rPr>
                <w:rFonts w:hint="eastAsia" w:ascii="仿宋" w:hAnsi="仿宋" w:eastAsia="仿宋"/>
                <w:bCs/>
                <w:szCs w:val="21"/>
              </w:rPr>
              <w:t>产品将于成立日对募集期内客户认购产品份额进行确认，初始单位净值1元/份。</w:t>
            </w:r>
          </w:p>
          <w:p>
            <w:pPr>
              <w:pStyle w:val="20"/>
              <w:numPr>
                <w:ilvl w:val="0"/>
                <w:numId w:val="1"/>
              </w:numPr>
              <w:spacing w:line="240" w:lineRule="exact"/>
              <w:ind w:firstLine="0" w:firstLineChars="0"/>
              <w:rPr>
                <w:rFonts w:ascii="仿宋" w:hAnsi="仿宋" w:eastAsia="仿宋"/>
                <w:bCs/>
                <w:szCs w:val="21"/>
              </w:rPr>
            </w:pPr>
            <w:r>
              <w:rPr>
                <w:rFonts w:hint="eastAsia" w:ascii="仿宋" w:hAnsi="仿宋" w:eastAsia="仿宋"/>
                <w:bCs/>
                <w:szCs w:val="21"/>
              </w:rPr>
              <w:t>认购份额＝认购金额</w:t>
            </w:r>
            <w:r>
              <w:rPr>
                <w:rFonts w:ascii="仿宋" w:hAnsi="仿宋" w:eastAsia="仿宋"/>
                <w:bCs/>
                <w:szCs w:val="21"/>
              </w:rPr>
              <w:t>÷</w:t>
            </w:r>
            <w:r>
              <w:rPr>
                <w:rFonts w:hint="eastAsia" w:ascii="仿宋" w:hAnsi="仿宋" w:eastAsia="仿宋"/>
                <w:bCs/>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客户收益</w:t>
            </w:r>
          </w:p>
          <w:p>
            <w:pPr>
              <w:jc w:val="center"/>
              <w:rPr>
                <w:rFonts w:ascii="仿宋" w:hAnsi="仿宋" w:eastAsia="仿宋"/>
                <w:b/>
                <w:kern w:val="0"/>
                <w:sz w:val="24"/>
                <w:szCs w:val="24"/>
              </w:rPr>
            </w:pPr>
            <w:r>
              <w:rPr>
                <w:rFonts w:hint="eastAsia" w:ascii="仿宋" w:hAnsi="仿宋" w:eastAsia="仿宋"/>
                <w:b/>
                <w:kern w:val="0"/>
                <w:sz w:val="24"/>
                <w:szCs w:val="24"/>
              </w:rPr>
              <w:t>计算规则</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投资对象、投资范围及投资团队</w:t>
            </w:r>
          </w:p>
        </w:tc>
        <w:tc>
          <w:tcPr>
            <w:tcW w:w="8457" w:type="dxa"/>
            <w:gridSpan w:val="8"/>
            <w:vAlign w:val="center"/>
          </w:tcPr>
          <w:p>
            <w:pPr>
              <w:pStyle w:val="20"/>
              <w:numPr>
                <w:ilvl w:val="0"/>
                <w:numId w:val="2"/>
              </w:numPr>
              <w:spacing w:line="240" w:lineRule="exact"/>
              <w:ind w:firstLine="0" w:firstLineChars="0"/>
              <w:rPr>
                <w:rFonts w:ascii="仿宋" w:hAnsi="仿宋" w:eastAsia="仿宋"/>
                <w:bCs/>
                <w:szCs w:val="21"/>
              </w:rPr>
            </w:pPr>
            <w:r>
              <w:rPr>
                <w:rFonts w:hint="eastAsia" w:ascii="仿宋" w:hAnsi="仿宋" w:eastAsia="仿宋"/>
                <w:bCs/>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 w:hAnsi="仿宋" w:eastAsia="仿宋"/>
                <w:b/>
                <w:bCs/>
                <w:szCs w:val="21"/>
              </w:rPr>
              <w:t>产品面临投资债券利率、汇率变化等市场风险以及债券价格波动风险。</w:t>
            </w:r>
          </w:p>
          <w:p>
            <w:pPr>
              <w:pStyle w:val="20"/>
              <w:spacing w:line="240" w:lineRule="exact"/>
              <w:ind w:firstLine="0" w:firstLineChars="0"/>
              <w:rPr>
                <w:rFonts w:ascii="仿宋" w:hAnsi="仿宋" w:eastAsia="仿宋"/>
                <w:bCs/>
                <w:szCs w:val="21"/>
              </w:rPr>
            </w:pPr>
            <w:r>
              <w:rPr>
                <w:rFonts w:ascii="仿宋" w:hAnsi="仿宋" w:eastAsia="仿宋"/>
                <w:bCs/>
                <w:szCs w:val="21"/>
              </w:rPr>
              <w:t>2.</w:t>
            </w:r>
            <w:r>
              <w:rPr>
                <w:rFonts w:hint="eastAsia" w:ascii="仿宋" w:hAnsi="仿宋" w:eastAsia="仿宋"/>
                <w:bCs/>
                <w:szCs w:val="21"/>
              </w:rPr>
              <w:t>投资</w:t>
            </w:r>
            <w:r>
              <w:rPr>
                <w:rFonts w:ascii="仿宋" w:hAnsi="仿宋" w:eastAsia="仿宋"/>
                <w:bCs/>
                <w:szCs w:val="21"/>
              </w:rPr>
              <w:t>比例：</w:t>
            </w:r>
            <w:r>
              <w:rPr>
                <w:rFonts w:hint="eastAsia" w:ascii="仿宋" w:hAnsi="仿宋" w:eastAsia="仿宋"/>
                <w:bCs/>
                <w:szCs w:val="21"/>
              </w:rPr>
              <w:t>固定收益类资产、货币市场工具以及以前述资产为投资标的的金融产品占比</w:t>
            </w:r>
            <w:r>
              <w:rPr>
                <w:rFonts w:ascii="仿宋" w:hAnsi="仿宋" w:eastAsia="仿宋"/>
                <w:bCs/>
                <w:szCs w:val="21"/>
              </w:rPr>
              <w:t>80%-100%，</w:t>
            </w:r>
            <w:r>
              <w:rPr>
                <w:rFonts w:hint="eastAsia" w:ascii="仿宋" w:hAnsi="仿宋" w:eastAsia="仿宋"/>
                <w:bCs/>
                <w:szCs w:val="21"/>
              </w:rPr>
              <w:t>权益类及其他资产占比</w:t>
            </w:r>
            <w:r>
              <w:rPr>
                <w:rFonts w:ascii="仿宋" w:hAnsi="仿宋" w:eastAsia="仿宋"/>
                <w:bCs/>
                <w:szCs w:val="21"/>
              </w:rPr>
              <w:t>0%-20%</w:t>
            </w:r>
            <w:r>
              <w:rPr>
                <w:rFonts w:hint="eastAsia" w:ascii="仿宋" w:hAnsi="仿宋" w:eastAsia="仿宋"/>
                <w:bCs/>
                <w:szCs w:val="21"/>
              </w:rPr>
              <w:t>。本产品杠杆水平上限为</w:t>
            </w:r>
            <w:r>
              <w:rPr>
                <w:rFonts w:ascii="仿宋" w:hAnsi="仿宋" w:eastAsia="仿宋"/>
                <w:bCs/>
                <w:szCs w:val="21"/>
              </w:rPr>
              <w:t>200</w:t>
            </w:r>
            <w:r>
              <w:rPr>
                <w:rFonts w:hint="eastAsia" w:ascii="仿宋" w:hAnsi="仿宋" w:eastAsia="仿宋"/>
                <w:bCs/>
                <w:szCs w:val="21"/>
              </w:rPr>
              <w:t>%。</w:t>
            </w:r>
          </w:p>
          <w:p>
            <w:pPr>
              <w:pStyle w:val="20"/>
              <w:spacing w:line="240" w:lineRule="exact"/>
              <w:ind w:firstLine="0" w:firstLineChars="0"/>
              <w:rPr>
                <w:rFonts w:ascii="仿宋" w:hAnsi="仿宋" w:eastAsia="仿宋"/>
                <w:bCs/>
                <w:szCs w:val="21"/>
              </w:rPr>
            </w:pPr>
            <w:r>
              <w:rPr>
                <w:rFonts w:hint="eastAsia" w:ascii="仿宋" w:hAnsi="仿宋" w:eastAsia="仿宋"/>
                <w:bCs/>
                <w:szCs w:val="21"/>
              </w:rPr>
              <w:t xml:space="preserve">3.投资团队为： </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投资人在此授权并同意天津银行享有以下权利：</w:t>
            </w:r>
          </w:p>
          <w:p>
            <w:pPr>
              <w:pStyle w:val="20"/>
              <w:spacing w:line="240" w:lineRule="exact"/>
              <w:ind w:firstLine="0" w:firstLineChars="0"/>
              <w:rPr>
                <w:rFonts w:ascii="仿宋" w:hAnsi="仿宋" w:eastAsia="仿宋"/>
                <w:bCs/>
                <w:szCs w:val="21"/>
              </w:rPr>
            </w:pPr>
            <w:r>
              <w:rPr>
                <w:rFonts w:hint="eastAsia" w:ascii="仿宋" w:hAnsi="仿宋" w:eastAsia="仿宋"/>
                <w:bCs/>
                <w:szCs w:val="21"/>
              </w:rPr>
              <w:t>以理财产品投资管理人的名义，依照法律法规相关规定以及为理财产品投资人的利益，对被投资的各类投资对象代为行使出资人/投资人权利以及其他相关权利。</w:t>
            </w:r>
          </w:p>
          <w:p>
            <w:pPr>
              <w:pStyle w:val="20"/>
              <w:spacing w:line="240" w:lineRule="exact"/>
              <w:ind w:firstLine="0" w:firstLineChars="0"/>
              <w:rPr>
                <w:rFonts w:ascii="仿宋" w:hAnsi="仿宋" w:eastAsia="仿宋"/>
                <w:bCs/>
                <w:szCs w:val="21"/>
              </w:rPr>
            </w:pPr>
            <w:r>
              <w:rPr>
                <w:rFonts w:hint="eastAsia" w:ascii="仿宋" w:hAnsi="仿宋" w:eastAsia="仿宋"/>
                <w:bCs/>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0"/>
              <w:spacing w:line="240" w:lineRule="exact"/>
              <w:ind w:firstLine="0" w:firstLineChars="0"/>
            </w:pPr>
            <w:r>
              <w:rPr>
                <w:rFonts w:hint="eastAsia" w:ascii="仿宋" w:hAnsi="仿宋" w:eastAsia="仿宋"/>
                <w:bCs/>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业绩比较基准</w:t>
            </w:r>
          </w:p>
        </w:tc>
        <w:tc>
          <w:tcPr>
            <w:tcW w:w="8457" w:type="dxa"/>
            <w:gridSpan w:val="8"/>
            <w:vAlign w:val="center"/>
          </w:tcPr>
          <w:p>
            <w:pPr>
              <w:spacing w:line="360" w:lineRule="exact"/>
              <w:rPr>
                <w:rFonts w:ascii="仿宋" w:hAnsi="仿宋" w:eastAsia="仿宋"/>
                <w:b/>
                <w:bCs/>
                <w:color w:val="000000"/>
                <w:szCs w:val="21"/>
              </w:rPr>
            </w:pPr>
            <w:r>
              <w:rPr>
                <w:rFonts w:hint="eastAsia" w:ascii="仿宋" w:hAnsi="仿宋" w:eastAsia="仿宋"/>
                <w:b/>
                <w:bCs/>
                <w:color w:val="000000"/>
                <w:szCs w:val="21"/>
              </w:rPr>
              <w:t>1</w:t>
            </w:r>
            <w:r>
              <w:rPr>
                <w:rFonts w:ascii="仿宋" w:hAnsi="仿宋" w:eastAsia="仿宋"/>
                <w:b/>
                <w:bCs/>
                <w:color w:val="000000"/>
                <w:szCs w:val="21"/>
              </w:rPr>
              <w:t>.</w:t>
            </w:r>
            <w:r>
              <w:rPr>
                <w:rFonts w:hint="eastAsia" w:ascii="仿宋" w:hAnsi="仿宋" w:eastAsia="仿宋"/>
                <w:b/>
                <w:bCs/>
                <w:color w:val="000000"/>
                <w:szCs w:val="21"/>
              </w:rPr>
              <w:t>本产品为净值型产品，业绩表现将随市场波动，具有不确定性。</w:t>
            </w:r>
          </w:p>
          <w:p>
            <w:pPr>
              <w:spacing w:line="360" w:lineRule="exact"/>
              <w:rPr>
                <w:rFonts w:ascii="仿宋" w:hAnsi="仿宋" w:eastAsia="仿宋"/>
                <w:bCs/>
                <w:color w:val="000000"/>
                <w:szCs w:val="21"/>
              </w:rPr>
            </w:pPr>
            <w:r>
              <w:rPr>
                <w:rFonts w:hint="eastAsia" w:ascii="仿宋" w:hAnsi="仿宋" w:eastAsia="仿宋"/>
                <w:bCs/>
                <w:color w:val="000000"/>
                <w:szCs w:val="21"/>
              </w:rPr>
              <w:t>2</w:t>
            </w:r>
            <w:r>
              <w:rPr>
                <w:rFonts w:ascii="仿宋" w:hAnsi="仿宋" w:eastAsia="仿宋"/>
                <w:bCs/>
                <w:color w:val="000000"/>
                <w:szCs w:val="21"/>
              </w:rPr>
              <w:t>.</w:t>
            </w:r>
            <w:r>
              <w:rPr>
                <w:rFonts w:hint="eastAsia" w:ascii="仿宋" w:hAnsi="仿宋" w:eastAsia="仿宋"/>
                <w:bCs/>
                <w:color w:val="000000"/>
                <w:szCs w:val="21"/>
              </w:rPr>
              <w:t>本产品业绩比较基准为</w:t>
            </w:r>
            <w:r>
              <w:rPr>
                <w:rFonts w:hint="eastAsia" w:ascii="仿宋" w:hAnsi="仿宋" w:eastAsia="仿宋"/>
                <w:b/>
                <w:bCs w:val="0"/>
                <w:color w:val="000000"/>
                <w:szCs w:val="21"/>
                <w:lang w:eastAsia="zh-CN"/>
              </w:rPr>
              <w:t>2.42%</w:t>
            </w:r>
            <w:r>
              <w:rPr>
                <w:rFonts w:ascii="仿宋" w:hAnsi="仿宋" w:eastAsia="仿宋"/>
                <w:b/>
                <w:bCs w:val="0"/>
                <w:color w:val="000000"/>
                <w:szCs w:val="21"/>
                <w:highlight w:val="none"/>
              </w:rPr>
              <w:t>(</w:t>
            </w:r>
            <w:r>
              <w:rPr>
                <w:rFonts w:hint="eastAsia" w:ascii="仿宋" w:hAnsi="仿宋" w:eastAsia="仿宋"/>
                <w:b/>
                <w:bCs w:val="0"/>
                <w:color w:val="000000"/>
                <w:szCs w:val="21"/>
                <w:highlight w:val="none"/>
              </w:rPr>
              <w:t>年</w:t>
            </w:r>
            <w:r>
              <w:rPr>
                <w:rFonts w:hint="eastAsia" w:ascii="仿宋" w:hAnsi="仿宋" w:eastAsia="仿宋"/>
                <w:b/>
                <w:bCs w:val="0"/>
                <w:color w:val="000000"/>
                <w:szCs w:val="21"/>
              </w:rPr>
              <w:t>化</w:t>
            </w:r>
            <w:r>
              <w:rPr>
                <w:rFonts w:ascii="仿宋" w:hAnsi="仿宋" w:eastAsia="仿宋"/>
                <w:b/>
                <w:bCs w:val="0"/>
                <w:color w:val="000000"/>
                <w:szCs w:val="21"/>
              </w:rPr>
              <w:t>)</w:t>
            </w:r>
            <w:r>
              <w:rPr>
                <w:rFonts w:hint="eastAsia" w:ascii="仿宋" w:hAnsi="仿宋" w:eastAsia="仿宋"/>
                <w:bCs/>
                <w:color w:val="000000"/>
                <w:szCs w:val="21"/>
              </w:rPr>
              <w:t>。</w:t>
            </w:r>
            <w:r>
              <w:rPr>
                <w:rFonts w:hint="eastAsia" w:ascii="仿宋" w:hAnsi="仿宋" w:eastAsia="仿宋"/>
                <w:b/>
                <w:bCs/>
                <w:color w:val="000000"/>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0"/>
              <w:spacing w:line="240" w:lineRule="exact"/>
              <w:ind w:firstLine="0" w:firstLineChars="0"/>
              <w:rPr>
                <w:rFonts w:ascii="仿宋" w:hAnsi="仿宋" w:eastAsia="仿宋"/>
                <w:bCs/>
                <w:szCs w:val="21"/>
              </w:rPr>
            </w:pPr>
            <w:r>
              <w:rPr>
                <w:rFonts w:hint="eastAsia" w:ascii="仿宋" w:hAnsi="仿宋" w:eastAsia="仿宋"/>
                <w:bCs/>
                <w:color w:val="000000"/>
                <w:szCs w:val="21"/>
              </w:rPr>
              <w:t>3</w:t>
            </w:r>
            <w:r>
              <w:rPr>
                <w:rFonts w:ascii="仿宋" w:hAnsi="仿宋" w:eastAsia="仿宋"/>
                <w:bCs/>
                <w:color w:val="000000"/>
                <w:szCs w:val="21"/>
              </w:rPr>
              <w:t>.</w:t>
            </w:r>
            <w:r>
              <w:rPr>
                <w:rFonts w:hint="eastAsia" w:ascii="仿宋" w:hAnsi="仿宋" w:eastAsia="仿宋"/>
                <w:bCs/>
                <w:color w:val="000000"/>
                <w:szCs w:val="21"/>
              </w:rPr>
              <w:t>天津银行作为产品管理人，</w:t>
            </w:r>
            <w:r>
              <w:rPr>
                <w:rFonts w:hint="eastAsia" w:ascii="仿宋" w:hAnsi="仿宋" w:eastAsia="仿宋"/>
                <w:b/>
                <w:bCs/>
                <w:color w:val="000000"/>
                <w:szCs w:val="21"/>
              </w:rPr>
              <w:t>将根据市场利率变动及资金运作情况不定期调整业绩比较基准，并通过天津银行营业网点或官方网站告知投资人。</w:t>
            </w:r>
            <w:r>
              <w:rPr>
                <w:rFonts w:hint="eastAsia" w:ascii="仿宋" w:hAnsi="仿宋" w:eastAsia="仿宋"/>
                <w:bCs/>
                <w:color w:val="000000"/>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相关税费</w:t>
            </w:r>
          </w:p>
        </w:tc>
        <w:tc>
          <w:tcPr>
            <w:tcW w:w="8457" w:type="dxa"/>
            <w:gridSpan w:val="8"/>
            <w:vAlign w:val="center"/>
          </w:tcPr>
          <w:p>
            <w:pPr>
              <w:pStyle w:val="20"/>
              <w:numPr>
                <w:ilvl w:val="255"/>
                <w:numId w:val="0"/>
              </w:numPr>
              <w:spacing w:line="240" w:lineRule="exact"/>
              <w:rPr>
                <w:rFonts w:ascii="仿宋" w:hAnsi="仿宋" w:eastAsia="仿宋"/>
                <w:bCs/>
                <w:szCs w:val="21"/>
              </w:rPr>
            </w:pPr>
            <w:r>
              <w:rPr>
                <w:rFonts w:hint="eastAsia" w:ascii="仿宋" w:hAnsi="仿宋" w:eastAsia="仿宋"/>
                <w:bCs/>
                <w:szCs w:val="21"/>
              </w:rPr>
              <w:t>1.期间费用：销售手续费年化费率：</w:t>
            </w:r>
            <w:r>
              <w:rPr>
                <w:rFonts w:hint="eastAsia" w:ascii="仿宋" w:hAnsi="仿宋" w:eastAsia="仿宋"/>
                <w:bCs/>
                <w:szCs w:val="21"/>
                <w:lang w:eastAsia="zh-CN"/>
              </w:rPr>
              <w:t>0.200</w:t>
            </w:r>
            <w:r>
              <w:rPr>
                <w:rFonts w:ascii="仿宋" w:hAnsi="仿宋" w:eastAsia="仿宋"/>
                <w:bCs/>
                <w:szCs w:val="21"/>
              </w:rPr>
              <w:t>%</w:t>
            </w:r>
            <w:r>
              <w:rPr>
                <w:rFonts w:hint="eastAsia" w:ascii="仿宋" w:hAnsi="仿宋" w:eastAsia="仿宋"/>
                <w:bCs/>
                <w:szCs w:val="21"/>
              </w:rPr>
              <w:t>，投资管理费率：</w:t>
            </w:r>
            <w:r>
              <w:rPr>
                <w:rFonts w:hint="eastAsia" w:ascii="仿宋" w:hAnsi="仿宋" w:eastAsia="仿宋"/>
                <w:bCs/>
                <w:szCs w:val="21"/>
                <w:lang w:eastAsia="zh-CN"/>
              </w:rPr>
              <w:t>0.020</w:t>
            </w:r>
            <w:r>
              <w:rPr>
                <w:rFonts w:ascii="仿宋" w:hAnsi="仿宋" w:eastAsia="仿宋"/>
                <w:bCs/>
                <w:szCs w:val="21"/>
              </w:rPr>
              <w:t>%，</w:t>
            </w:r>
            <w:r>
              <w:rPr>
                <w:rFonts w:hint="eastAsia" w:ascii="仿宋" w:hAnsi="仿宋" w:eastAsia="仿宋"/>
                <w:bCs/>
                <w:szCs w:val="21"/>
              </w:rPr>
              <w:t>托管费年化费率：</w:t>
            </w:r>
            <w:r>
              <w:rPr>
                <w:rFonts w:hint="eastAsia" w:ascii="仿宋" w:hAnsi="仿宋" w:eastAsia="仿宋"/>
                <w:bCs/>
                <w:szCs w:val="21"/>
                <w:lang w:eastAsia="zh-CN"/>
              </w:rPr>
              <w:t>0.004</w:t>
            </w:r>
            <w:r>
              <w:rPr>
                <w:rFonts w:ascii="仿宋" w:hAnsi="仿宋" w:eastAsia="仿宋"/>
                <w:bCs/>
                <w:szCs w:val="21"/>
              </w:rPr>
              <w:t>%</w:t>
            </w:r>
            <w:r>
              <w:rPr>
                <w:rFonts w:hint="eastAsia" w:ascii="仿宋" w:hAnsi="仿宋" w:eastAsia="仿宋"/>
                <w:bCs/>
                <w:szCs w:val="21"/>
              </w:rPr>
              <w:t>，产品运营管理费：</w:t>
            </w:r>
            <w:r>
              <w:rPr>
                <w:rFonts w:hint="eastAsia" w:ascii="仿宋" w:hAnsi="仿宋" w:eastAsia="仿宋"/>
                <w:bCs/>
                <w:szCs w:val="21"/>
                <w:lang w:eastAsia="zh-CN"/>
              </w:rPr>
              <w:t>0.005</w:t>
            </w:r>
            <w:r>
              <w:rPr>
                <w:rFonts w:ascii="仿宋" w:hAnsi="仿宋" w:eastAsia="仿宋"/>
                <w:bCs/>
                <w:szCs w:val="21"/>
              </w:rPr>
              <w:t>%</w:t>
            </w:r>
            <w:r>
              <w:rPr>
                <w:rFonts w:hint="eastAsia" w:ascii="仿宋" w:hAnsi="仿宋" w:eastAsia="仿宋"/>
                <w:bCs/>
                <w:szCs w:val="21"/>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0"/>
              <w:numPr>
                <w:ilvl w:val="255"/>
                <w:numId w:val="0"/>
              </w:numPr>
              <w:spacing w:line="240" w:lineRule="exact"/>
              <w:rPr>
                <w:rFonts w:ascii="仿宋" w:hAnsi="仿宋" w:eastAsia="仿宋"/>
                <w:bCs/>
                <w:szCs w:val="21"/>
              </w:rPr>
            </w:pPr>
            <w:r>
              <w:rPr>
                <w:rFonts w:hint="eastAsia" w:ascii="仿宋" w:hAnsi="仿宋" w:eastAsia="仿宋"/>
                <w:bCs/>
                <w:szCs w:val="21"/>
              </w:rPr>
              <w:t>公式计算：</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每日销售手续费</w:t>
            </w:r>
            <w:r>
              <w:rPr>
                <w:rFonts w:ascii="仿宋" w:hAnsi="仿宋" w:eastAsia="仿宋"/>
                <w:bCs/>
                <w:szCs w:val="21"/>
              </w:rPr>
              <w:t>=产品本金×</w:t>
            </w:r>
            <w:r>
              <w:rPr>
                <w:rFonts w:hint="eastAsia" w:ascii="仿宋" w:hAnsi="仿宋" w:eastAsia="仿宋"/>
                <w:bCs/>
                <w:szCs w:val="21"/>
                <w:lang w:eastAsia="zh-CN"/>
              </w:rPr>
              <w:t>0.200</w:t>
            </w:r>
            <w:r>
              <w:rPr>
                <w:rFonts w:ascii="仿宋" w:hAnsi="仿宋" w:eastAsia="仿宋"/>
                <w:bCs/>
                <w:szCs w:val="21"/>
              </w:rPr>
              <w:t>%/365，按自然日计提；</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每日投资管理费</w:t>
            </w:r>
            <w:r>
              <w:rPr>
                <w:rFonts w:ascii="仿宋" w:hAnsi="仿宋" w:eastAsia="仿宋"/>
                <w:bCs/>
                <w:szCs w:val="21"/>
              </w:rPr>
              <w:t>=产品本金×</w:t>
            </w:r>
            <w:r>
              <w:rPr>
                <w:rFonts w:hint="eastAsia" w:ascii="仿宋" w:hAnsi="仿宋" w:eastAsia="仿宋"/>
                <w:bCs/>
                <w:szCs w:val="21"/>
                <w:lang w:eastAsia="zh-CN"/>
              </w:rPr>
              <w:t>0.020</w:t>
            </w:r>
            <w:r>
              <w:rPr>
                <w:rFonts w:ascii="仿宋" w:hAnsi="仿宋" w:eastAsia="仿宋"/>
                <w:bCs/>
                <w:szCs w:val="21"/>
              </w:rPr>
              <w:t>%/365，按自然日计提；</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每日托管费</w:t>
            </w:r>
            <w:r>
              <w:rPr>
                <w:rFonts w:ascii="仿宋" w:hAnsi="仿宋" w:eastAsia="仿宋"/>
                <w:bCs/>
                <w:szCs w:val="21"/>
              </w:rPr>
              <w:t>=产品本金×</w:t>
            </w:r>
            <w:r>
              <w:rPr>
                <w:rFonts w:hint="eastAsia" w:ascii="仿宋" w:hAnsi="仿宋" w:eastAsia="仿宋"/>
                <w:bCs/>
                <w:szCs w:val="21"/>
                <w:lang w:eastAsia="zh-CN"/>
              </w:rPr>
              <w:t>0.004</w:t>
            </w:r>
            <w:r>
              <w:rPr>
                <w:rFonts w:ascii="仿宋" w:hAnsi="仿宋" w:eastAsia="仿宋"/>
                <w:bCs/>
                <w:szCs w:val="21"/>
              </w:rPr>
              <w:t>%/365，按自然日计提；</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每日产品运营管理费</w:t>
            </w:r>
            <w:r>
              <w:rPr>
                <w:rFonts w:ascii="仿宋" w:hAnsi="仿宋" w:eastAsia="仿宋"/>
                <w:bCs/>
                <w:szCs w:val="21"/>
              </w:rPr>
              <w:t>=产品本金×</w:t>
            </w:r>
            <w:r>
              <w:rPr>
                <w:rFonts w:hint="eastAsia" w:ascii="仿宋" w:hAnsi="仿宋" w:eastAsia="仿宋"/>
                <w:bCs/>
                <w:szCs w:val="21"/>
                <w:lang w:eastAsia="zh-CN"/>
              </w:rPr>
              <w:t>0.005</w:t>
            </w:r>
            <w:r>
              <w:rPr>
                <w:rFonts w:ascii="仿宋" w:hAnsi="仿宋" w:eastAsia="仿宋"/>
                <w:bCs/>
                <w:szCs w:val="21"/>
              </w:rPr>
              <w:t>%/365，按自然日计提。</w:t>
            </w:r>
          </w:p>
          <w:p>
            <w:pPr>
              <w:pStyle w:val="20"/>
              <w:numPr>
                <w:ilvl w:val="0"/>
                <w:numId w:val="3"/>
              </w:numPr>
              <w:spacing w:line="240" w:lineRule="exact"/>
              <w:ind w:firstLine="0" w:firstLineChars="0"/>
              <w:rPr>
                <w:rFonts w:hint="eastAsia" w:ascii="仿宋" w:hAnsi="仿宋" w:eastAsia="仿宋"/>
                <w:bCs/>
                <w:szCs w:val="21"/>
              </w:rPr>
            </w:pPr>
            <w:r>
              <w:rPr>
                <w:rFonts w:hint="eastAsia" w:ascii="仿宋" w:hAnsi="仿宋" w:eastAsia="仿宋"/>
                <w:bCs/>
                <w:szCs w:val="21"/>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P为产品成立日（含）至估值日（含）的期间天数；</w:t>
            </w:r>
          </w:p>
          <w:p>
            <w:pPr>
              <w:pStyle w:val="20"/>
              <w:spacing w:line="240" w:lineRule="exact"/>
              <w:ind w:firstLine="0" w:firstLineChars="0"/>
              <w:rPr>
                <w:rFonts w:ascii="仿宋" w:hAnsi="仿宋" w:eastAsia="仿宋"/>
                <w:b/>
                <w:bCs/>
                <w:szCs w:val="21"/>
              </w:rPr>
            </w:pPr>
            <w:r>
              <w:rPr>
                <w:rFonts w:hint="eastAsia" w:ascii="仿宋" w:hAnsi="仿宋" w:eastAsia="仿宋" w:cs="Times New Roman"/>
                <w:bCs/>
                <w:kern w:val="2"/>
                <w:sz w:val="21"/>
                <w:szCs w:val="21"/>
                <w:lang w:val="en-US" w:eastAsia="zh-CN" w:bidi="ar-SA"/>
              </w:rPr>
              <w:t>R为产品管理人收取超额业绩报酬的比例</w:t>
            </w:r>
            <w:r>
              <w:rPr>
                <w:rFonts w:hint="eastAsia" w:ascii="仿宋" w:hAnsi="仿宋" w:eastAsia="仿宋"/>
                <w:bCs/>
                <w:szCs w:val="21"/>
              </w:rPr>
              <w:t>。</w:t>
            </w:r>
          </w:p>
          <w:p>
            <w:pPr>
              <w:pStyle w:val="20"/>
              <w:spacing w:line="240" w:lineRule="exact"/>
              <w:ind w:firstLine="0" w:firstLineChars="0"/>
              <w:rPr>
                <w:rFonts w:ascii="仿宋" w:hAnsi="仿宋" w:eastAsia="仿宋"/>
                <w:bCs/>
                <w:szCs w:val="21"/>
              </w:rPr>
            </w:pPr>
            <w:r>
              <w:rPr>
                <w:rFonts w:hint="eastAsia" w:ascii="仿宋" w:hAnsi="仿宋" w:eastAsia="仿宋"/>
                <w:bCs/>
                <w:szCs w:val="21"/>
              </w:rPr>
              <w:t>3．天津银行</w:t>
            </w:r>
            <w:r>
              <w:rPr>
                <w:rFonts w:ascii="仿宋" w:hAnsi="仿宋" w:eastAsia="仿宋"/>
                <w:bCs/>
                <w:szCs w:val="21"/>
              </w:rPr>
              <w:t>暂不负责代扣代缴客户购买本产品所得收益应缴纳的各项税款</w:t>
            </w:r>
            <w:r>
              <w:rPr>
                <w:rFonts w:hint="eastAsia" w:ascii="仿宋" w:hAnsi="仿宋" w:eastAsia="仿宋"/>
                <w:bCs/>
                <w:szCs w:val="21"/>
              </w:rPr>
              <w:t>。若</w:t>
            </w:r>
            <w:r>
              <w:rPr>
                <w:rFonts w:ascii="仿宋" w:hAnsi="仿宋" w:eastAsia="仿宋"/>
                <w:bCs/>
                <w:szCs w:val="21"/>
              </w:rPr>
              <w:t>相关法律法规、税收政策规定产品管理人应代扣代缴相关税款，天津</w:t>
            </w:r>
            <w:r>
              <w:rPr>
                <w:rFonts w:hint="eastAsia" w:ascii="仿宋" w:hAnsi="仿宋" w:eastAsia="仿宋"/>
                <w:bCs/>
                <w:szCs w:val="21"/>
              </w:rPr>
              <w:t>银行</w:t>
            </w:r>
            <w:r>
              <w:rPr>
                <w:rFonts w:ascii="仿宋" w:hAnsi="仿宋" w:eastAsia="仿宋"/>
                <w:bCs/>
                <w:szCs w:val="21"/>
              </w:rPr>
              <w:t>有权依法履行</w:t>
            </w:r>
            <w:r>
              <w:rPr>
                <w:rFonts w:hint="eastAsia" w:ascii="仿宋" w:hAnsi="仿宋" w:eastAsia="仿宋"/>
                <w:bCs/>
                <w:szCs w:val="21"/>
              </w:rPr>
              <w:t>代扣代缴</w:t>
            </w:r>
            <w:r>
              <w:rPr>
                <w:rFonts w:ascii="仿宋" w:hAnsi="仿宋" w:eastAsia="仿宋"/>
                <w:bCs/>
                <w:szCs w:val="21"/>
              </w:rPr>
              <w:t>义务。</w:t>
            </w:r>
          </w:p>
          <w:p>
            <w:pPr>
              <w:pStyle w:val="20"/>
              <w:spacing w:line="240" w:lineRule="exact"/>
              <w:ind w:firstLine="0" w:firstLineChars="0"/>
              <w:rPr>
                <w:rFonts w:ascii="仿宋" w:hAnsi="仿宋" w:eastAsia="仿宋"/>
                <w:b/>
                <w:kern w:val="0"/>
                <w:szCs w:val="21"/>
              </w:rPr>
            </w:pPr>
            <w:r>
              <w:rPr>
                <w:rFonts w:hint="eastAsia" w:ascii="仿宋" w:hAnsi="仿宋" w:eastAsia="仿宋"/>
                <w:b/>
                <w:kern w:val="0"/>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理财产品</w:t>
            </w:r>
          </w:p>
          <w:p>
            <w:pPr>
              <w:jc w:val="center"/>
              <w:rPr>
                <w:rFonts w:ascii="仿宋" w:hAnsi="仿宋" w:eastAsia="仿宋"/>
                <w:b/>
                <w:kern w:val="0"/>
                <w:sz w:val="24"/>
                <w:szCs w:val="24"/>
              </w:rPr>
            </w:pPr>
            <w:r>
              <w:rPr>
                <w:rFonts w:hint="eastAsia" w:ascii="仿宋" w:hAnsi="仿宋" w:eastAsia="仿宋"/>
                <w:b/>
                <w:kern w:val="0"/>
                <w:sz w:val="24"/>
                <w:szCs w:val="24"/>
              </w:rPr>
              <w:t>份额转让</w:t>
            </w:r>
          </w:p>
        </w:tc>
        <w:tc>
          <w:tcPr>
            <w:tcW w:w="8457" w:type="dxa"/>
            <w:gridSpan w:val="8"/>
            <w:vAlign w:val="center"/>
          </w:tcPr>
          <w:p>
            <w:pPr>
              <w:pStyle w:val="20"/>
              <w:spacing w:line="240" w:lineRule="exact"/>
              <w:ind w:firstLine="0" w:firstLineChars="0"/>
              <w:rPr>
                <w:rFonts w:ascii="仿宋" w:hAnsi="仿宋" w:eastAsia="仿宋"/>
                <w:bCs/>
                <w:szCs w:val="21"/>
              </w:rPr>
            </w:pPr>
            <w:r>
              <w:rPr>
                <w:rFonts w:hint="eastAsia" w:ascii="仿宋_GB2312" w:eastAsia="仿宋_GB2312"/>
                <w:kern w:val="0"/>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trPr>
        <w:tc>
          <w:tcPr>
            <w:tcW w:w="1951" w:type="dxa"/>
            <w:vAlign w:val="center"/>
          </w:tcPr>
          <w:p>
            <w:pPr>
              <w:jc w:val="center"/>
              <w:rPr>
                <w:rFonts w:ascii="仿宋" w:hAnsi="仿宋" w:eastAsia="仿宋"/>
                <w:b/>
                <w:kern w:val="0"/>
                <w:sz w:val="24"/>
                <w:szCs w:val="24"/>
                <w:u w:val="wave"/>
              </w:rPr>
            </w:pPr>
            <w:r>
              <w:rPr>
                <w:rFonts w:hint="eastAsia" w:ascii="仿宋" w:hAnsi="仿宋" w:eastAsia="仿宋"/>
                <w:b/>
                <w:kern w:val="0"/>
                <w:sz w:val="24"/>
                <w:szCs w:val="24"/>
              </w:rPr>
              <w:t>收益测算</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1.客户收益=客户认购份额×（产品到期日或提前终止日产品单位净值-期初产品单位净值），即客户收益=客户认购份额×（产品到期日或提前终止日产品单位净值-1）</w:t>
            </w:r>
          </w:p>
          <w:p>
            <w:pPr>
              <w:spacing w:line="240" w:lineRule="exact"/>
              <w:rPr>
                <w:rFonts w:ascii="仿宋" w:hAnsi="仿宋" w:eastAsia="仿宋"/>
                <w:bCs/>
                <w:szCs w:val="21"/>
              </w:rPr>
            </w:pPr>
            <w:r>
              <w:rPr>
                <w:rFonts w:hint="eastAsia" w:ascii="仿宋" w:hAnsi="仿宋" w:eastAsia="仿宋"/>
                <w:bCs/>
                <w:szCs w:val="21"/>
              </w:rPr>
              <w:t>2.收益测算示例（测算结果精确到分位）：</w:t>
            </w:r>
          </w:p>
          <w:p>
            <w:pPr>
              <w:spacing w:line="240" w:lineRule="exact"/>
              <w:rPr>
                <w:rFonts w:ascii="仿宋" w:hAnsi="仿宋" w:eastAsia="仿宋"/>
                <w:b/>
                <w:bCs/>
                <w:szCs w:val="21"/>
              </w:rPr>
            </w:pPr>
            <w:r>
              <w:rPr>
                <w:rFonts w:hint="eastAsia" w:ascii="仿宋" w:hAnsi="仿宋" w:eastAsia="仿宋"/>
                <w:b/>
                <w:bCs/>
                <w:szCs w:val="21"/>
              </w:rPr>
              <w:t>情景一：扣除销售手续费、投资管理费、托管费、产品运营管理费后，年化收益率为业绩</w:t>
            </w:r>
            <w:r>
              <w:rPr>
                <w:rFonts w:ascii="仿宋" w:hAnsi="仿宋" w:eastAsia="仿宋"/>
                <w:b/>
                <w:bCs/>
                <w:szCs w:val="21"/>
              </w:rPr>
              <w:t>比较基准。</w:t>
            </w:r>
          </w:p>
          <w:p>
            <w:pPr>
              <w:spacing w:line="240" w:lineRule="exact"/>
              <w:rPr>
                <w:rFonts w:ascii="仿宋" w:hAnsi="仿宋" w:eastAsia="仿宋"/>
                <w:bCs/>
                <w:szCs w:val="21"/>
              </w:rPr>
            </w:pPr>
            <w:r>
              <w:rPr>
                <w:rFonts w:hint="eastAsia" w:ascii="仿宋" w:hAnsi="仿宋" w:eastAsia="仿宋"/>
                <w:bCs/>
                <w:szCs w:val="21"/>
              </w:rPr>
              <w:t>以客户投资</w:t>
            </w:r>
            <w:r>
              <w:rPr>
                <w:rFonts w:ascii="仿宋" w:hAnsi="仿宋" w:eastAsia="仿宋"/>
                <w:bCs/>
                <w:szCs w:val="21"/>
              </w:rPr>
              <w:t>1</w:t>
            </w:r>
            <w:r>
              <w:rPr>
                <w:rFonts w:hint="eastAsia" w:ascii="仿宋" w:hAnsi="仿宋" w:eastAsia="仿宋"/>
                <w:bCs/>
                <w:szCs w:val="21"/>
              </w:rPr>
              <w:t>万元为例，购买时产品净值为1.00元，折算份额为10000份。产品到期时，扣除销售</w:t>
            </w:r>
            <w:r>
              <w:rPr>
                <w:rFonts w:ascii="仿宋" w:hAnsi="仿宋" w:eastAsia="仿宋"/>
                <w:bCs/>
                <w:szCs w:val="21"/>
              </w:rPr>
              <w:t>手续费、</w:t>
            </w:r>
            <w:r>
              <w:rPr>
                <w:rFonts w:hint="eastAsia" w:ascii="仿宋" w:hAnsi="仿宋" w:eastAsia="仿宋"/>
                <w:bCs/>
                <w:szCs w:val="21"/>
              </w:rPr>
              <w:t>投资管理费、托管费、产品</w:t>
            </w:r>
            <w:r>
              <w:rPr>
                <w:rFonts w:ascii="仿宋" w:hAnsi="仿宋" w:eastAsia="仿宋"/>
                <w:bCs/>
                <w:szCs w:val="21"/>
              </w:rPr>
              <w:t>运营管理费</w:t>
            </w:r>
            <w:r>
              <w:rPr>
                <w:rFonts w:hint="eastAsia" w:ascii="仿宋" w:hAnsi="仿宋" w:eastAsia="仿宋"/>
                <w:bCs/>
                <w:szCs w:val="21"/>
              </w:rPr>
              <w:t>后，若产品净值为</w:t>
            </w:r>
            <w:r>
              <w:rPr>
                <w:rFonts w:hint="eastAsia" w:ascii="仿宋" w:hAnsi="仿宋" w:eastAsia="仿宋"/>
                <w:bCs/>
                <w:szCs w:val="21"/>
                <w:highlight w:val="none"/>
                <w:lang w:eastAsia="zh-CN"/>
              </w:rPr>
              <w:t>1.012133</w:t>
            </w:r>
            <w:r>
              <w:rPr>
                <w:rFonts w:hint="eastAsia" w:ascii="仿宋" w:hAnsi="仿宋" w:eastAsia="仿宋"/>
                <w:bCs/>
                <w:szCs w:val="21"/>
              </w:rPr>
              <w:t>，此时年化</w:t>
            </w:r>
            <w:r>
              <w:rPr>
                <w:rFonts w:ascii="仿宋" w:hAnsi="仿宋" w:eastAsia="仿宋"/>
                <w:bCs/>
                <w:szCs w:val="21"/>
              </w:rPr>
              <w:t>收益率为</w:t>
            </w:r>
            <w:r>
              <w:rPr>
                <w:rFonts w:hint="eastAsia" w:ascii="仿宋" w:hAnsi="仿宋" w:eastAsia="仿宋"/>
                <w:bCs/>
                <w:szCs w:val="21"/>
              </w:rPr>
              <w:t>(</w:t>
            </w:r>
            <w:r>
              <w:rPr>
                <w:rFonts w:hint="eastAsia" w:ascii="仿宋" w:hAnsi="仿宋" w:eastAsia="仿宋"/>
                <w:bCs/>
                <w:szCs w:val="21"/>
                <w:highlight w:val="none"/>
                <w:lang w:eastAsia="zh-CN"/>
              </w:rPr>
              <w:t>1.012133</w:t>
            </w:r>
            <w:r>
              <w:rPr>
                <w:rFonts w:hint="eastAsia" w:ascii="仿宋" w:hAnsi="仿宋" w:eastAsia="仿宋"/>
                <w:bCs/>
                <w:szCs w:val="21"/>
              </w:rPr>
              <w:t>-1)×</w:t>
            </w:r>
            <w:r>
              <w:rPr>
                <w:rFonts w:ascii="仿宋" w:hAnsi="仿宋" w:eastAsia="仿宋"/>
                <w:bCs/>
                <w:szCs w:val="21"/>
              </w:rPr>
              <w:t>365</w:t>
            </w:r>
            <w:r>
              <w:rPr>
                <w:rFonts w:hint="eastAsia" w:ascii="仿宋" w:hAnsi="仿宋" w:eastAsia="仿宋"/>
                <w:bCs/>
                <w:szCs w:val="21"/>
              </w:rPr>
              <w:t>/</w:t>
            </w:r>
            <w:r>
              <w:rPr>
                <w:rFonts w:hint="eastAsia" w:ascii="仿宋" w:hAnsi="仿宋" w:eastAsia="仿宋"/>
                <w:bCs/>
                <w:szCs w:val="21"/>
                <w:highlight w:val="none"/>
                <w:lang w:val="en-US" w:eastAsia="zh-CN"/>
              </w:rPr>
              <w:t>183</w:t>
            </w:r>
            <w:r>
              <w:rPr>
                <w:rFonts w:hint="eastAsia" w:ascii="仿宋" w:hAnsi="仿宋" w:eastAsia="仿宋"/>
                <w:bCs/>
                <w:szCs w:val="21"/>
              </w:rPr>
              <w:t>=</w:t>
            </w:r>
            <w:r>
              <w:rPr>
                <w:rFonts w:hint="eastAsia" w:ascii="仿宋" w:hAnsi="仿宋" w:eastAsia="仿宋"/>
                <w:bCs/>
                <w:szCs w:val="21"/>
                <w:lang w:eastAsia="zh-CN"/>
              </w:rPr>
              <w:t>2.42</w:t>
            </w:r>
            <w:r>
              <w:rPr>
                <w:rFonts w:ascii="仿宋" w:hAnsi="仿宋" w:eastAsia="仿宋"/>
                <w:bCs/>
                <w:szCs w:val="21"/>
              </w:rPr>
              <w:t>%</w:t>
            </w:r>
            <w:r>
              <w:rPr>
                <w:rFonts w:hint="eastAsia" w:ascii="仿宋" w:hAnsi="仿宋" w:eastAsia="仿宋"/>
                <w:bCs/>
                <w:szCs w:val="21"/>
              </w:rPr>
              <w:t>，客户最终收益为：</w:t>
            </w:r>
          </w:p>
          <w:p>
            <w:pPr>
              <w:spacing w:line="240" w:lineRule="exact"/>
              <w:rPr>
                <w:rFonts w:ascii="仿宋" w:hAnsi="仿宋" w:eastAsia="仿宋"/>
                <w:bCs/>
                <w:szCs w:val="21"/>
              </w:rPr>
            </w:pPr>
            <w:r>
              <w:rPr>
                <w:rFonts w:hint="eastAsia" w:ascii="仿宋" w:hAnsi="仿宋" w:eastAsia="仿宋"/>
                <w:bCs/>
                <w:szCs w:val="21"/>
              </w:rPr>
              <w:t>10000×(</w:t>
            </w:r>
            <w:r>
              <w:rPr>
                <w:rFonts w:hint="eastAsia" w:ascii="仿宋" w:hAnsi="仿宋" w:eastAsia="仿宋"/>
                <w:bCs/>
                <w:szCs w:val="21"/>
                <w:highlight w:val="none"/>
                <w:lang w:eastAsia="zh-CN"/>
              </w:rPr>
              <w:t>1.012133</w:t>
            </w:r>
            <w:r>
              <w:rPr>
                <w:rFonts w:hint="eastAsia" w:ascii="仿宋" w:hAnsi="仿宋" w:eastAsia="仿宋"/>
                <w:bCs/>
                <w:szCs w:val="21"/>
              </w:rPr>
              <w:t>-1）=</w:t>
            </w:r>
            <w:r>
              <w:rPr>
                <w:rFonts w:hint="eastAsia" w:ascii="仿宋" w:hAnsi="仿宋" w:eastAsia="仿宋"/>
                <w:bCs/>
                <w:szCs w:val="21"/>
                <w:highlight w:val="none"/>
                <w:lang w:val="en-US" w:eastAsia="zh-CN"/>
              </w:rPr>
              <w:t>121.33</w:t>
            </w:r>
            <w:r>
              <w:rPr>
                <w:rFonts w:hint="eastAsia" w:ascii="仿宋" w:hAnsi="仿宋" w:eastAsia="仿宋"/>
                <w:bCs/>
                <w:szCs w:val="21"/>
              </w:rPr>
              <w:t>（元）</w:t>
            </w:r>
          </w:p>
          <w:p>
            <w:pPr>
              <w:spacing w:line="240" w:lineRule="exact"/>
              <w:rPr>
                <w:rFonts w:ascii="仿宋" w:hAnsi="仿宋" w:eastAsia="仿宋"/>
                <w:b/>
                <w:bCs/>
                <w:szCs w:val="21"/>
              </w:rPr>
            </w:pPr>
            <w:r>
              <w:rPr>
                <w:rFonts w:hint="eastAsia" w:ascii="仿宋" w:hAnsi="仿宋" w:eastAsia="仿宋"/>
                <w:b/>
                <w:bCs/>
                <w:szCs w:val="21"/>
              </w:rPr>
              <w:t>情景</w:t>
            </w:r>
            <w:r>
              <w:rPr>
                <w:rFonts w:hint="eastAsia" w:ascii="仿宋" w:hAnsi="仿宋" w:eastAsia="仿宋"/>
                <w:b/>
                <w:bCs/>
                <w:szCs w:val="21"/>
                <w:lang w:val="en-US" w:eastAsia="zh-CN"/>
              </w:rPr>
              <w:t>二</w:t>
            </w:r>
            <w:r>
              <w:rPr>
                <w:rFonts w:ascii="仿宋" w:hAnsi="仿宋" w:eastAsia="仿宋"/>
                <w:b/>
                <w:bCs/>
                <w:szCs w:val="21"/>
              </w:rPr>
              <w:t>：</w:t>
            </w:r>
            <w:r>
              <w:rPr>
                <w:rFonts w:hint="eastAsia" w:ascii="仿宋" w:hAnsi="仿宋" w:eastAsia="仿宋"/>
                <w:b/>
                <w:bCs/>
                <w:szCs w:val="21"/>
              </w:rPr>
              <w:t>最不利情况，扣除销售手续费、投资管理费、托管费、产品运营管理费后，收益率为负</w:t>
            </w:r>
            <w:r>
              <w:rPr>
                <w:rFonts w:ascii="仿宋" w:hAnsi="仿宋" w:eastAsia="仿宋"/>
                <w:b/>
                <w:bCs/>
                <w:szCs w:val="21"/>
              </w:rPr>
              <w:t>。</w:t>
            </w:r>
          </w:p>
          <w:p>
            <w:pPr>
              <w:spacing w:line="240" w:lineRule="exact"/>
              <w:rPr>
                <w:rFonts w:ascii="仿宋" w:hAnsi="仿宋" w:eastAsia="仿宋"/>
                <w:bCs/>
                <w:szCs w:val="21"/>
              </w:rPr>
            </w:pPr>
            <w:r>
              <w:rPr>
                <w:rFonts w:hint="eastAsia" w:ascii="仿宋" w:hAnsi="仿宋" w:eastAsia="仿宋"/>
                <w:bCs/>
                <w:szCs w:val="21"/>
              </w:rPr>
              <w:t>以客户投资</w:t>
            </w:r>
            <w:r>
              <w:rPr>
                <w:rFonts w:ascii="仿宋" w:hAnsi="仿宋" w:eastAsia="仿宋"/>
                <w:bCs/>
                <w:szCs w:val="21"/>
              </w:rPr>
              <w:t>1</w:t>
            </w:r>
            <w:r>
              <w:rPr>
                <w:rFonts w:hint="eastAsia" w:ascii="仿宋" w:hAnsi="仿宋" w:eastAsia="仿宋"/>
                <w:bCs/>
                <w:szCs w:val="21"/>
              </w:rPr>
              <w:t>万元为例，购买时产品净值为1.00元，折算份额为10000份。产品到期时，扣除销售手续费、投资管理费、托管费、产品运营管理费后，若产品净值为0.99</w:t>
            </w:r>
            <w:r>
              <w:rPr>
                <w:rFonts w:ascii="仿宋" w:hAnsi="仿宋" w:eastAsia="仿宋"/>
                <w:bCs/>
                <w:szCs w:val="21"/>
              </w:rPr>
              <w:t>8</w:t>
            </w:r>
            <w:r>
              <w:rPr>
                <w:rFonts w:hint="eastAsia" w:ascii="仿宋" w:hAnsi="仿宋" w:eastAsia="仿宋"/>
                <w:bCs/>
                <w:szCs w:val="21"/>
                <w:lang w:val="en-US" w:eastAsia="zh-CN"/>
              </w:rPr>
              <w:t>000</w:t>
            </w:r>
            <w:r>
              <w:rPr>
                <w:rFonts w:hint="eastAsia" w:ascii="仿宋" w:hAnsi="仿宋" w:eastAsia="仿宋"/>
                <w:bCs/>
                <w:szCs w:val="21"/>
              </w:rPr>
              <w:t>，客户最终收益为：</w:t>
            </w:r>
          </w:p>
          <w:p>
            <w:pPr>
              <w:spacing w:line="240" w:lineRule="exact"/>
              <w:rPr>
                <w:rFonts w:ascii="仿宋" w:hAnsi="仿宋" w:eastAsia="仿宋"/>
                <w:bCs/>
                <w:szCs w:val="21"/>
              </w:rPr>
            </w:pPr>
            <w:r>
              <w:rPr>
                <w:rFonts w:hint="eastAsia" w:ascii="仿宋" w:hAnsi="仿宋" w:eastAsia="仿宋"/>
                <w:bCs/>
                <w:szCs w:val="21"/>
              </w:rPr>
              <w:t>10000×（0.99</w:t>
            </w:r>
            <w:r>
              <w:rPr>
                <w:rFonts w:ascii="仿宋" w:hAnsi="仿宋" w:eastAsia="仿宋"/>
                <w:bCs/>
                <w:szCs w:val="21"/>
              </w:rPr>
              <w:t>8</w:t>
            </w:r>
            <w:r>
              <w:rPr>
                <w:rFonts w:hint="eastAsia" w:ascii="仿宋" w:hAnsi="仿宋" w:eastAsia="仿宋"/>
                <w:bCs/>
                <w:szCs w:val="21"/>
                <w:lang w:val="en-US" w:eastAsia="zh-CN"/>
              </w:rPr>
              <w:t>000</w:t>
            </w:r>
            <w:r>
              <w:rPr>
                <w:rFonts w:hint="eastAsia" w:ascii="仿宋" w:hAnsi="仿宋" w:eastAsia="仿宋"/>
                <w:bCs/>
                <w:szCs w:val="21"/>
              </w:rPr>
              <w:t>-1）=-</w:t>
            </w:r>
            <w:r>
              <w:rPr>
                <w:rFonts w:ascii="仿宋" w:hAnsi="仿宋" w:eastAsia="仿宋"/>
                <w:bCs/>
                <w:szCs w:val="21"/>
              </w:rPr>
              <w:t>20</w:t>
            </w:r>
            <w:r>
              <w:rPr>
                <w:rFonts w:hint="eastAsia" w:ascii="仿宋" w:hAnsi="仿宋" w:eastAsia="仿宋"/>
                <w:bCs/>
                <w:szCs w:val="21"/>
              </w:rPr>
              <w:t>（元）。</w:t>
            </w:r>
          </w:p>
          <w:p>
            <w:pPr>
              <w:pStyle w:val="21"/>
              <w:spacing w:line="240" w:lineRule="exact"/>
              <w:jc w:val="both"/>
              <w:rPr>
                <w:rFonts w:ascii="仿宋" w:hAnsi="仿宋" w:eastAsia="仿宋" w:cs="Times New Roman"/>
                <w:bCs/>
                <w:color w:val="auto"/>
                <w:kern w:val="2"/>
                <w:sz w:val="21"/>
                <w:szCs w:val="21"/>
              </w:rPr>
            </w:pPr>
            <w:r>
              <w:rPr>
                <w:rFonts w:ascii="仿宋" w:hAnsi="仿宋" w:eastAsia="仿宋" w:cs="Times New Roman"/>
                <w:bCs/>
                <w:color w:val="auto"/>
                <w:kern w:val="2"/>
                <w:sz w:val="21"/>
                <w:szCs w:val="21"/>
              </w:rPr>
              <w:t>说明：</w:t>
            </w:r>
            <w:r>
              <w:rPr>
                <w:rFonts w:hint="eastAsia" w:ascii="仿宋" w:hAnsi="仿宋" w:eastAsia="仿宋" w:cs="Times New Roman"/>
                <w:bCs/>
                <w:color w:val="auto"/>
                <w:kern w:val="2"/>
                <w:sz w:val="21"/>
                <w:szCs w:val="21"/>
              </w:rPr>
              <w:t>折算年化收益率公式为（产品到期单位净值－期初单位净值）×</w:t>
            </w:r>
            <w:r>
              <w:rPr>
                <w:rFonts w:ascii="仿宋" w:hAnsi="仿宋" w:eastAsia="仿宋" w:cs="Times New Roman"/>
                <w:bCs/>
                <w:color w:val="auto"/>
                <w:kern w:val="2"/>
                <w:sz w:val="21"/>
                <w:szCs w:val="21"/>
              </w:rPr>
              <w:t xml:space="preserve">365÷(产品到期单位净值对应日期 </w:t>
            </w:r>
            <w:r>
              <w:rPr>
                <w:rFonts w:hint="eastAsia" w:ascii="仿宋" w:hAnsi="仿宋" w:eastAsia="仿宋" w:cs="Times New Roman"/>
                <w:bCs/>
                <w:color w:val="auto"/>
                <w:kern w:val="2"/>
                <w:sz w:val="21"/>
                <w:szCs w:val="21"/>
              </w:rPr>
              <w:t>－期初单位净值对应日期</w:t>
            </w:r>
            <w:r>
              <w:rPr>
                <w:rFonts w:ascii="仿宋" w:hAnsi="仿宋" w:eastAsia="仿宋" w:cs="Times New Roman"/>
                <w:bCs/>
                <w:color w:val="auto"/>
                <w:kern w:val="2"/>
                <w:sz w:val="21"/>
                <w:szCs w:val="21"/>
              </w:rPr>
              <w:t>)，理财产品计息基础为365。</w:t>
            </w:r>
          </w:p>
          <w:p>
            <w:pPr>
              <w:pStyle w:val="21"/>
              <w:spacing w:line="240" w:lineRule="exact"/>
              <w:ind w:firstLine="422" w:firstLineChars="200"/>
              <w:jc w:val="both"/>
              <w:rPr>
                <w:rFonts w:ascii="仿宋" w:hAnsi="仿宋" w:eastAsia="仿宋" w:cs="Times New Roman"/>
                <w:b/>
                <w:bCs/>
                <w:color w:val="auto"/>
                <w:kern w:val="2"/>
                <w:sz w:val="21"/>
                <w:szCs w:val="21"/>
              </w:rPr>
            </w:pPr>
            <w:r>
              <w:rPr>
                <w:rFonts w:hint="eastAsia" w:ascii="仿宋" w:hAnsi="仿宋" w:eastAsia="仿宋" w:cs="Times New Roman"/>
                <w:b/>
                <w:bCs/>
                <w:color w:val="auto"/>
                <w:kern w:val="2"/>
                <w:sz w:val="21"/>
                <w:szCs w:val="21"/>
              </w:rPr>
              <w:t>上述情况</w:t>
            </w:r>
            <w:r>
              <w:rPr>
                <w:rFonts w:ascii="仿宋" w:hAnsi="仿宋" w:eastAsia="仿宋" w:cs="Times New Roman"/>
                <w:b/>
                <w:bCs/>
                <w:color w:val="auto"/>
                <w:kern w:val="2"/>
                <w:sz w:val="21"/>
                <w:szCs w:val="21"/>
              </w:rPr>
              <w:t>与举例</w:t>
            </w:r>
            <w:r>
              <w:rPr>
                <w:rFonts w:hint="eastAsia" w:ascii="仿宋" w:hAnsi="仿宋" w:eastAsia="仿宋" w:cs="Times New Roman"/>
                <w:b/>
                <w:bCs/>
                <w:color w:val="auto"/>
                <w:kern w:val="2"/>
                <w:sz w:val="21"/>
                <w:szCs w:val="21"/>
              </w:rPr>
              <w:t>仅</w:t>
            </w:r>
            <w:r>
              <w:rPr>
                <w:rFonts w:ascii="仿宋" w:hAnsi="仿宋" w:eastAsia="仿宋" w:cs="Times New Roman"/>
                <w:b/>
                <w:bCs/>
                <w:color w:val="auto"/>
                <w:kern w:val="2"/>
                <w:sz w:val="21"/>
                <w:szCs w:val="21"/>
              </w:rPr>
              <w:t>为向客户介绍</w:t>
            </w:r>
            <w:r>
              <w:rPr>
                <w:rFonts w:hint="eastAsia" w:ascii="仿宋" w:hAnsi="仿宋" w:eastAsia="仿宋" w:cs="Times New Roman"/>
                <w:b/>
                <w:bCs/>
                <w:color w:val="auto"/>
                <w:kern w:val="2"/>
                <w:sz w:val="21"/>
                <w:szCs w:val="21"/>
              </w:rPr>
              <w:t>收</w:t>
            </w:r>
            <w:r>
              <w:rPr>
                <w:rFonts w:ascii="仿宋" w:hAnsi="仿宋" w:eastAsia="仿宋" w:cs="Times New Roman"/>
                <w:b/>
                <w:bCs/>
                <w:color w:val="auto"/>
                <w:kern w:val="2"/>
                <w:sz w:val="21"/>
                <w:szCs w:val="21"/>
              </w:rPr>
              <w:t>益计算方法</w:t>
            </w:r>
            <w:r>
              <w:rPr>
                <w:rFonts w:hint="eastAsia" w:ascii="仿宋" w:hAnsi="仿宋" w:eastAsia="仿宋" w:cs="Times New Roman"/>
                <w:b/>
                <w:bCs/>
                <w:color w:val="auto"/>
                <w:kern w:val="2"/>
                <w:sz w:val="21"/>
                <w:szCs w:val="21"/>
              </w:rPr>
              <w:t>之用</w:t>
            </w:r>
            <w:r>
              <w:rPr>
                <w:rFonts w:ascii="仿宋" w:hAnsi="仿宋" w:eastAsia="仿宋" w:cs="Times New Roman"/>
                <w:b/>
                <w:bCs/>
                <w:color w:val="auto"/>
                <w:kern w:val="2"/>
                <w:sz w:val="21"/>
                <w:szCs w:val="21"/>
              </w:rPr>
              <w:t>，并不代表以上的所有</w:t>
            </w:r>
            <w:r>
              <w:rPr>
                <w:rFonts w:hint="eastAsia" w:ascii="仿宋" w:hAnsi="仿宋" w:eastAsia="仿宋" w:cs="Times New Roman"/>
                <w:b/>
                <w:bCs/>
                <w:color w:val="auto"/>
                <w:kern w:val="2"/>
                <w:sz w:val="21"/>
                <w:szCs w:val="21"/>
              </w:rPr>
              <w:t>情景</w:t>
            </w:r>
            <w:r>
              <w:rPr>
                <w:rFonts w:ascii="仿宋" w:hAnsi="仿宋" w:eastAsia="仿宋" w:cs="Times New Roman"/>
                <w:b/>
                <w:bCs/>
                <w:color w:val="auto"/>
                <w:kern w:val="2"/>
                <w:sz w:val="21"/>
                <w:szCs w:val="21"/>
              </w:rPr>
              <w:t>或某一</w:t>
            </w:r>
            <w:r>
              <w:rPr>
                <w:rFonts w:hint="eastAsia" w:ascii="仿宋" w:hAnsi="仿宋" w:eastAsia="仿宋" w:cs="Times New Roman"/>
                <w:b/>
                <w:bCs/>
                <w:color w:val="auto"/>
                <w:kern w:val="2"/>
                <w:sz w:val="21"/>
                <w:szCs w:val="21"/>
              </w:rPr>
              <w:t>情景</w:t>
            </w:r>
            <w:r>
              <w:rPr>
                <w:rFonts w:ascii="仿宋" w:hAnsi="仿宋" w:eastAsia="仿宋" w:cs="Times New Roman"/>
                <w:b/>
                <w:bCs/>
                <w:color w:val="auto"/>
                <w:kern w:val="2"/>
                <w:sz w:val="21"/>
                <w:szCs w:val="21"/>
              </w:rPr>
              <w:t>一定会发</w:t>
            </w:r>
            <w:r>
              <w:rPr>
                <w:rFonts w:hint="eastAsia" w:ascii="仿宋" w:hAnsi="仿宋" w:eastAsia="仿宋" w:cs="Times New Roman"/>
                <w:b/>
                <w:bCs/>
                <w:color w:val="auto"/>
                <w:kern w:val="2"/>
                <w:sz w:val="21"/>
                <w:szCs w:val="21"/>
              </w:rPr>
              <w:t>生</w:t>
            </w:r>
            <w:r>
              <w:rPr>
                <w:rFonts w:ascii="仿宋" w:hAnsi="仿宋" w:eastAsia="仿宋" w:cs="Times New Roman"/>
                <w:b/>
                <w:bCs/>
                <w:color w:val="auto"/>
                <w:kern w:val="2"/>
                <w:sz w:val="21"/>
                <w:szCs w:val="21"/>
              </w:rPr>
              <w:t>，或天津银行</w:t>
            </w:r>
            <w:r>
              <w:rPr>
                <w:rFonts w:hint="eastAsia" w:ascii="仿宋" w:hAnsi="仿宋" w:eastAsia="仿宋" w:cs="Times New Roman"/>
                <w:b/>
                <w:bCs/>
                <w:color w:val="auto"/>
                <w:kern w:val="2"/>
                <w:sz w:val="21"/>
                <w:szCs w:val="21"/>
              </w:rPr>
              <w:t>认为</w:t>
            </w:r>
            <w:r>
              <w:rPr>
                <w:rFonts w:ascii="仿宋" w:hAnsi="仿宋" w:eastAsia="仿宋" w:cs="Times New Roman"/>
                <w:b/>
                <w:bCs/>
                <w:color w:val="auto"/>
                <w:kern w:val="2"/>
                <w:sz w:val="21"/>
                <w:szCs w:val="21"/>
              </w:rPr>
              <w:t>发生的可能性很大</w:t>
            </w:r>
            <w:r>
              <w:rPr>
                <w:rFonts w:hint="eastAsia" w:ascii="仿宋" w:hAnsi="仿宋" w:eastAsia="仿宋" w:cs="Times New Roman"/>
                <w:b/>
                <w:bCs/>
                <w:color w:val="auto"/>
                <w:kern w:val="2"/>
                <w:sz w:val="21"/>
                <w:szCs w:val="21"/>
              </w:rPr>
              <w:t>。</w:t>
            </w:r>
          </w:p>
          <w:p>
            <w:pPr>
              <w:spacing w:line="240" w:lineRule="exact"/>
              <w:rPr>
                <w:rFonts w:ascii="仿宋" w:hAnsi="仿宋" w:eastAsia="仿宋"/>
                <w:bCs/>
                <w:szCs w:val="21"/>
              </w:rPr>
            </w:pPr>
            <w:r>
              <w:rPr>
                <w:rFonts w:hint="eastAsia" w:ascii="仿宋" w:hAnsi="仿宋" w:eastAsia="仿宋"/>
                <w:b/>
                <w:bCs/>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估值管理</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一、估值原则</w:t>
            </w:r>
          </w:p>
          <w:p>
            <w:pPr>
              <w:spacing w:line="240" w:lineRule="exact"/>
              <w:rPr>
                <w:rFonts w:ascii="仿宋" w:hAnsi="仿宋" w:eastAsia="仿宋"/>
                <w:bCs/>
                <w:szCs w:val="21"/>
              </w:rPr>
            </w:pPr>
            <w:r>
              <w:rPr>
                <w:rFonts w:hint="eastAsia" w:ascii="仿宋" w:hAnsi="仿宋" w:eastAsia="仿宋"/>
                <w:bCs/>
                <w:szCs w:val="21"/>
              </w:rPr>
              <w:t>（一）适配性原则。金融资产的公允价值确定方法应与理财产品的类型相匹配。</w:t>
            </w:r>
          </w:p>
          <w:p>
            <w:pPr>
              <w:spacing w:line="240" w:lineRule="exact"/>
              <w:rPr>
                <w:rFonts w:ascii="仿宋" w:hAnsi="仿宋" w:eastAsia="仿宋"/>
                <w:bCs/>
                <w:szCs w:val="21"/>
              </w:rPr>
            </w:pPr>
            <w:r>
              <w:rPr>
                <w:rFonts w:hint="eastAsia" w:ascii="仿宋" w:hAnsi="仿宋" w:eastAsia="仿宋"/>
                <w:bCs/>
                <w:szCs w:val="21"/>
              </w:rPr>
              <w:t>（二）审慎性原则。审慎确认和计量金融资产的公允价值时，不高估公允价值收益，不低估公允 价值损失。</w:t>
            </w:r>
          </w:p>
          <w:p>
            <w:pPr>
              <w:spacing w:line="240" w:lineRule="exact"/>
              <w:rPr>
                <w:rFonts w:ascii="仿宋" w:hAnsi="仿宋" w:eastAsia="仿宋"/>
                <w:bCs/>
                <w:szCs w:val="21"/>
              </w:rPr>
            </w:pPr>
            <w:r>
              <w:rPr>
                <w:rFonts w:hint="eastAsia" w:ascii="仿宋" w:hAnsi="仿宋" w:eastAsia="仿宋"/>
                <w:bCs/>
                <w:szCs w:val="21"/>
              </w:rPr>
              <w:t>（三）充分性原则。估值过程中充分考虑金融资产的性质、重要性及复杂程度等因素。</w:t>
            </w:r>
          </w:p>
          <w:p>
            <w:pPr>
              <w:spacing w:line="240" w:lineRule="exact"/>
              <w:rPr>
                <w:rFonts w:ascii="仿宋" w:hAnsi="仿宋" w:eastAsia="仿宋"/>
                <w:bCs/>
                <w:szCs w:val="21"/>
              </w:rPr>
            </w:pPr>
            <w:r>
              <w:rPr>
                <w:rFonts w:hint="eastAsia" w:ascii="仿宋" w:hAnsi="仿宋" w:eastAsia="仿宋"/>
                <w:bCs/>
                <w:szCs w:val="21"/>
              </w:rPr>
              <w:t>（四）清晰性原则。估值方法应清晰明了，便于理解和应用，能清晰反应金融资产的性质。</w:t>
            </w:r>
          </w:p>
          <w:p>
            <w:pPr>
              <w:spacing w:line="240" w:lineRule="exact"/>
              <w:rPr>
                <w:rFonts w:ascii="仿宋" w:hAnsi="仿宋" w:eastAsia="仿宋"/>
                <w:bCs/>
                <w:szCs w:val="21"/>
              </w:rPr>
            </w:pPr>
            <w:r>
              <w:rPr>
                <w:rFonts w:hint="eastAsia" w:ascii="仿宋" w:hAnsi="仿宋" w:eastAsia="仿宋"/>
                <w:bCs/>
                <w:szCs w:val="21"/>
              </w:rPr>
              <w:t>二、估值对象</w:t>
            </w:r>
          </w:p>
          <w:p>
            <w:pPr>
              <w:spacing w:line="240" w:lineRule="exact"/>
              <w:rPr>
                <w:rFonts w:ascii="仿宋" w:hAnsi="仿宋" w:eastAsia="仿宋"/>
                <w:bCs/>
                <w:szCs w:val="21"/>
              </w:rPr>
            </w:pPr>
            <w:r>
              <w:rPr>
                <w:rFonts w:hint="eastAsia" w:ascii="仿宋" w:hAnsi="仿宋" w:eastAsia="仿宋"/>
                <w:bCs/>
                <w:szCs w:val="21"/>
              </w:rPr>
              <w:t>本理财产品所持有的所有资产。</w:t>
            </w:r>
          </w:p>
          <w:p>
            <w:pPr>
              <w:spacing w:line="240" w:lineRule="exact"/>
              <w:rPr>
                <w:rFonts w:ascii="仿宋" w:hAnsi="仿宋" w:eastAsia="仿宋"/>
                <w:bCs/>
                <w:szCs w:val="21"/>
              </w:rPr>
            </w:pPr>
            <w:r>
              <w:rPr>
                <w:rFonts w:hint="eastAsia" w:ascii="仿宋" w:hAnsi="仿宋" w:eastAsia="仿宋"/>
                <w:bCs/>
                <w:szCs w:val="21"/>
              </w:rPr>
              <w:t>三、估值方法</w:t>
            </w:r>
          </w:p>
          <w:p>
            <w:pPr>
              <w:spacing w:line="240" w:lineRule="exact"/>
              <w:rPr>
                <w:rFonts w:ascii="仿宋" w:hAnsi="仿宋" w:eastAsia="仿宋"/>
                <w:bCs/>
                <w:szCs w:val="21"/>
              </w:rPr>
            </w:pPr>
            <w:r>
              <w:rPr>
                <w:rFonts w:hint="eastAsia" w:ascii="仿宋" w:hAnsi="仿宋" w:eastAsia="仿宋"/>
                <w:bCs/>
                <w:szCs w:val="21"/>
              </w:rPr>
              <w:t>（一）现金、银行存款</w:t>
            </w:r>
          </w:p>
          <w:p>
            <w:pPr>
              <w:spacing w:line="240" w:lineRule="exact"/>
              <w:rPr>
                <w:rFonts w:ascii="仿宋" w:hAnsi="仿宋" w:eastAsia="仿宋"/>
                <w:bCs/>
                <w:szCs w:val="21"/>
              </w:rPr>
            </w:pPr>
            <w:r>
              <w:rPr>
                <w:rFonts w:hint="eastAsia" w:ascii="仿宋" w:hAnsi="仿宋" w:eastAsia="仿宋"/>
                <w:bCs/>
                <w:szCs w:val="21"/>
              </w:rPr>
              <w:t>以本金列示，逐日计提银行存款利息，按商定利率确认存款利息收入。</w:t>
            </w:r>
          </w:p>
          <w:p>
            <w:pPr>
              <w:spacing w:line="240" w:lineRule="exact"/>
              <w:rPr>
                <w:rFonts w:ascii="仿宋" w:hAnsi="仿宋" w:eastAsia="仿宋"/>
                <w:bCs/>
                <w:szCs w:val="21"/>
              </w:rPr>
            </w:pPr>
            <w:r>
              <w:rPr>
                <w:rFonts w:hint="eastAsia" w:ascii="仿宋" w:hAnsi="仿宋" w:eastAsia="仿宋"/>
                <w:bCs/>
                <w:szCs w:val="21"/>
              </w:rPr>
              <w:t>（二）货币市场工具（质押式回购、同业拆借等）</w:t>
            </w:r>
          </w:p>
          <w:p>
            <w:pPr>
              <w:spacing w:line="240" w:lineRule="exact"/>
              <w:rPr>
                <w:rFonts w:ascii="仿宋" w:hAnsi="仿宋" w:eastAsia="仿宋"/>
                <w:bCs/>
                <w:szCs w:val="21"/>
              </w:rPr>
            </w:pPr>
            <w:r>
              <w:rPr>
                <w:rFonts w:hint="eastAsia" w:ascii="仿宋" w:hAnsi="仿宋" w:eastAsia="仿宋"/>
                <w:bCs/>
                <w:szCs w:val="21"/>
              </w:rPr>
              <w:t>以本金列示，按商定利率逐日计提利息收入/支出。</w:t>
            </w:r>
          </w:p>
          <w:p>
            <w:pPr>
              <w:spacing w:line="240" w:lineRule="exact"/>
              <w:rPr>
                <w:rFonts w:ascii="仿宋" w:hAnsi="仿宋" w:eastAsia="仿宋"/>
                <w:bCs/>
                <w:szCs w:val="21"/>
              </w:rPr>
            </w:pPr>
            <w:r>
              <w:rPr>
                <w:rFonts w:hint="eastAsia" w:ascii="仿宋" w:hAnsi="仿宋" w:eastAsia="仿宋"/>
                <w:bCs/>
                <w:szCs w:val="21"/>
              </w:rPr>
              <w:t>（三）银行间市场和证券交易所流通的债券等标准化固定收益类资产</w:t>
            </w:r>
          </w:p>
          <w:p>
            <w:pPr>
              <w:spacing w:line="240" w:lineRule="exact"/>
              <w:rPr>
                <w:rFonts w:ascii="仿宋" w:hAnsi="仿宋" w:eastAsia="仿宋"/>
                <w:bCs/>
                <w:szCs w:val="21"/>
              </w:rPr>
            </w:pPr>
            <w:r>
              <w:rPr>
                <w:rFonts w:hint="eastAsia" w:ascii="仿宋" w:hAnsi="仿宋" w:eastAsia="仿宋"/>
                <w:bCs/>
                <w:szCs w:val="21"/>
              </w:rPr>
              <w:t>1、银行间固定收益类证券</w:t>
            </w:r>
          </w:p>
          <w:p>
            <w:pPr>
              <w:spacing w:line="240" w:lineRule="exact"/>
              <w:rPr>
                <w:rFonts w:ascii="仿宋" w:hAnsi="仿宋" w:eastAsia="仿宋"/>
                <w:bCs/>
                <w:szCs w:val="21"/>
              </w:rPr>
            </w:pPr>
            <w:r>
              <w:rPr>
                <w:rFonts w:hint="eastAsia" w:ascii="仿宋" w:hAnsi="仿宋" w:eastAsia="仿宋"/>
                <w:bCs/>
                <w:szCs w:val="21"/>
              </w:rPr>
              <w:t>以公允价值估值，主要依据为第三方估值机构即中央国债登记结算公司（以下简称“中债”）提供的价格数据。</w:t>
            </w:r>
          </w:p>
          <w:p>
            <w:pPr>
              <w:spacing w:line="240" w:lineRule="exact"/>
              <w:rPr>
                <w:rFonts w:ascii="仿宋" w:hAnsi="仿宋" w:eastAsia="仿宋"/>
                <w:bCs/>
                <w:szCs w:val="21"/>
              </w:rPr>
            </w:pPr>
            <w:r>
              <w:rPr>
                <w:rFonts w:hint="eastAsia" w:ascii="仿宋" w:hAnsi="仿宋" w:eastAsia="仿宋"/>
                <w:bCs/>
                <w:szCs w:val="21"/>
              </w:rPr>
              <w:t>（1）对银行间市场上不含权的固定收益品种，选取中债提供的相应品种当日的估值净价。</w:t>
            </w:r>
          </w:p>
          <w:p>
            <w:pPr>
              <w:spacing w:line="240" w:lineRule="exact"/>
              <w:rPr>
                <w:rFonts w:ascii="仿宋" w:hAnsi="仿宋" w:eastAsia="仿宋"/>
                <w:bCs/>
                <w:szCs w:val="21"/>
              </w:rPr>
            </w:pPr>
            <w:r>
              <w:rPr>
                <w:rFonts w:hint="eastAsia" w:ascii="仿宋" w:hAnsi="仿宋" w:eastAsia="仿宋"/>
                <w:bCs/>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spacing w:line="240" w:lineRule="exact"/>
              <w:rPr>
                <w:rFonts w:ascii="仿宋" w:hAnsi="仿宋" w:eastAsia="仿宋"/>
                <w:bCs/>
                <w:szCs w:val="21"/>
              </w:rPr>
            </w:pPr>
            <w:r>
              <w:rPr>
                <w:rFonts w:hint="eastAsia" w:ascii="仿宋" w:hAnsi="仿宋" w:eastAsia="仿宋"/>
                <w:bCs/>
                <w:szCs w:val="21"/>
              </w:rPr>
              <w:t>（3）对银行间市场未上市，且中债未提供估值价格的固定收益品种，在发行利率和二级市场利率不存在明显差异、未上市期间市场利率没有发生大的变动的情况下，按成本估值。</w:t>
            </w:r>
          </w:p>
          <w:p>
            <w:pPr>
              <w:spacing w:line="240" w:lineRule="exact"/>
              <w:rPr>
                <w:rFonts w:ascii="仿宋" w:hAnsi="仿宋" w:eastAsia="仿宋"/>
                <w:bCs/>
                <w:szCs w:val="21"/>
              </w:rPr>
            </w:pPr>
            <w:r>
              <w:rPr>
                <w:rFonts w:hint="eastAsia" w:ascii="仿宋" w:hAnsi="仿宋" w:eastAsia="仿宋"/>
                <w:bCs/>
                <w:szCs w:val="21"/>
              </w:rPr>
              <w:t>2、交易所固定收益类证券</w:t>
            </w:r>
          </w:p>
          <w:p>
            <w:pPr>
              <w:spacing w:line="240" w:lineRule="exact"/>
              <w:rPr>
                <w:rFonts w:ascii="仿宋" w:hAnsi="仿宋" w:eastAsia="仿宋"/>
                <w:bCs/>
                <w:szCs w:val="21"/>
              </w:rPr>
            </w:pPr>
            <w:r>
              <w:rPr>
                <w:rFonts w:hint="eastAsia" w:ascii="仿宋" w:hAnsi="仿宋" w:eastAsia="仿宋"/>
                <w:bCs/>
                <w:szCs w:val="21"/>
              </w:rPr>
              <w:t>以公允价值估值，主要依据为第三方估值机构即中证指数有限公司（以下简称“中证”）提供的价格数据。</w:t>
            </w:r>
          </w:p>
          <w:p>
            <w:pPr>
              <w:spacing w:line="240" w:lineRule="exact"/>
              <w:rPr>
                <w:rFonts w:ascii="仿宋" w:hAnsi="仿宋" w:eastAsia="仿宋"/>
                <w:bCs/>
                <w:szCs w:val="21"/>
              </w:rPr>
            </w:pPr>
            <w:r>
              <w:rPr>
                <w:rFonts w:hint="eastAsia" w:ascii="仿宋" w:hAnsi="仿宋" w:eastAsia="仿宋"/>
                <w:bCs/>
                <w:szCs w:val="21"/>
              </w:rPr>
              <w:t>（1）对在交易所上市交易或挂牌转让的不含权固定收益品种，选取中证提供的相应品种当日的估值净价。</w:t>
            </w:r>
          </w:p>
          <w:p>
            <w:pPr>
              <w:spacing w:line="240" w:lineRule="exact"/>
              <w:rPr>
                <w:rFonts w:ascii="仿宋" w:hAnsi="仿宋" w:eastAsia="仿宋"/>
                <w:bCs/>
                <w:szCs w:val="21"/>
              </w:rPr>
            </w:pPr>
            <w:r>
              <w:rPr>
                <w:rFonts w:hint="eastAsia" w:ascii="仿宋" w:hAnsi="仿宋" w:eastAsia="仿宋"/>
                <w:bCs/>
                <w:szCs w:val="21"/>
              </w:rPr>
              <w:t>（2）对在交易所上市交易或挂牌转让的含权固定收益品种，选取中证提供的相应品种当日的唯一估值净价或推荐估值净价。</w:t>
            </w:r>
          </w:p>
          <w:p>
            <w:pPr>
              <w:spacing w:line="240" w:lineRule="exact"/>
              <w:rPr>
                <w:rFonts w:ascii="仿宋" w:hAnsi="仿宋" w:eastAsia="仿宋"/>
                <w:bCs/>
                <w:szCs w:val="21"/>
              </w:rPr>
            </w:pPr>
            <w:r>
              <w:rPr>
                <w:rFonts w:hint="eastAsia" w:ascii="仿宋" w:hAnsi="仿宋" w:eastAsia="仿宋"/>
                <w:bCs/>
                <w:szCs w:val="21"/>
              </w:rPr>
              <w:t>（3）第三方估值机构提供的估值价格与收盘价存在差异的，若产品管理人认定交易所收盘价更能体现公允价值，可与托管人协商一致后采用收盘价进行估值。</w:t>
            </w:r>
          </w:p>
          <w:p>
            <w:pPr>
              <w:spacing w:line="240" w:lineRule="exact"/>
              <w:rPr>
                <w:rFonts w:ascii="仿宋" w:hAnsi="仿宋" w:eastAsia="仿宋"/>
                <w:bCs/>
                <w:szCs w:val="21"/>
              </w:rPr>
            </w:pPr>
            <w:r>
              <w:rPr>
                <w:rFonts w:hint="eastAsia" w:ascii="仿宋" w:hAnsi="仿宋" w:eastAsia="仿宋"/>
                <w:bCs/>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spacing w:line="240" w:lineRule="exact"/>
              <w:rPr>
                <w:rFonts w:ascii="仿宋" w:hAnsi="仿宋" w:eastAsia="仿宋"/>
                <w:bCs/>
                <w:szCs w:val="21"/>
              </w:rPr>
            </w:pPr>
            <w:r>
              <w:rPr>
                <w:rFonts w:hint="eastAsia" w:ascii="仿宋" w:hAnsi="仿宋" w:eastAsia="仿宋"/>
                <w:bCs/>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spacing w:line="240" w:lineRule="exact"/>
              <w:rPr>
                <w:rFonts w:ascii="仿宋" w:hAnsi="仿宋" w:eastAsia="仿宋"/>
                <w:bCs/>
                <w:szCs w:val="21"/>
              </w:rPr>
            </w:pPr>
            <w:r>
              <w:rPr>
                <w:rFonts w:hint="eastAsia" w:ascii="仿宋" w:hAnsi="仿宋" w:eastAsia="仿宋"/>
                <w:bCs/>
                <w:szCs w:val="21"/>
              </w:rPr>
              <w:t>3、资产支持证券（ABS）、资产支持票据（ABN）、信贷资产证券化（MBS）、私募债等资产，存在可以确定公允价值的，以公允价值估值，公允价值不能确定的，按照成本估值。</w:t>
            </w:r>
          </w:p>
          <w:p>
            <w:pPr>
              <w:spacing w:line="240" w:lineRule="exact"/>
              <w:rPr>
                <w:rFonts w:ascii="仿宋" w:hAnsi="仿宋" w:eastAsia="仿宋"/>
                <w:bCs/>
                <w:szCs w:val="21"/>
              </w:rPr>
            </w:pPr>
            <w:r>
              <w:rPr>
                <w:rFonts w:hint="eastAsia" w:ascii="仿宋" w:hAnsi="仿宋" w:eastAsia="仿宋"/>
                <w:bCs/>
                <w:szCs w:val="21"/>
              </w:rPr>
              <w:t>4、同时在多个市场交易的证券</w:t>
            </w:r>
          </w:p>
          <w:p>
            <w:pPr>
              <w:spacing w:line="240" w:lineRule="exact"/>
              <w:rPr>
                <w:rFonts w:ascii="仿宋" w:hAnsi="仿宋" w:eastAsia="仿宋"/>
                <w:bCs/>
                <w:szCs w:val="21"/>
              </w:rPr>
            </w:pPr>
            <w:r>
              <w:rPr>
                <w:rFonts w:hint="eastAsia" w:ascii="仿宋" w:hAnsi="仿宋" w:eastAsia="仿宋"/>
                <w:bCs/>
                <w:szCs w:val="21"/>
              </w:rPr>
              <w:t>对于具备同时在多个不同市场交易条件的证券，以其实际发生交易所处市场及相应估值标准进行估值。</w:t>
            </w:r>
          </w:p>
          <w:p>
            <w:pPr>
              <w:spacing w:line="240" w:lineRule="exact"/>
              <w:rPr>
                <w:rFonts w:ascii="仿宋" w:hAnsi="仿宋" w:eastAsia="仿宋"/>
                <w:bCs/>
                <w:szCs w:val="21"/>
              </w:rPr>
            </w:pPr>
            <w:r>
              <w:rPr>
                <w:rFonts w:hint="eastAsia" w:ascii="仿宋" w:hAnsi="仿宋" w:eastAsia="仿宋"/>
                <w:bCs/>
                <w:szCs w:val="21"/>
              </w:rPr>
              <w:t>（四）非标准化债权类资产</w:t>
            </w:r>
          </w:p>
          <w:p>
            <w:pPr>
              <w:spacing w:line="240" w:lineRule="exact"/>
              <w:rPr>
                <w:rFonts w:ascii="仿宋" w:hAnsi="仿宋" w:eastAsia="仿宋"/>
                <w:bCs/>
                <w:szCs w:val="21"/>
              </w:rPr>
            </w:pPr>
            <w:r>
              <w:rPr>
                <w:rFonts w:hint="eastAsia" w:ascii="仿宋" w:hAnsi="仿宋" w:eastAsia="仿宋"/>
                <w:bCs/>
                <w:szCs w:val="21"/>
              </w:rPr>
              <w:t>按照公允价值估值，不能确定公允价值的，采用估值技术进行估值。</w:t>
            </w:r>
          </w:p>
          <w:p>
            <w:pPr>
              <w:spacing w:line="240" w:lineRule="exact"/>
              <w:rPr>
                <w:rFonts w:ascii="仿宋" w:hAnsi="仿宋" w:eastAsia="仿宋"/>
                <w:bCs/>
                <w:szCs w:val="21"/>
              </w:rPr>
            </w:pPr>
            <w:r>
              <w:rPr>
                <w:rFonts w:hint="eastAsia" w:ascii="仿宋" w:hAnsi="仿宋" w:eastAsia="仿宋"/>
                <w:bCs/>
                <w:szCs w:val="21"/>
              </w:rPr>
              <w:t>（五）证券投资基金</w:t>
            </w:r>
          </w:p>
          <w:p>
            <w:pPr>
              <w:spacing w:line="240" w:lineRule="exact"/>
              <w:rPr>
                <w:rFonts w:ascii="仿宋" w:hAnsi="仿宋" w:eastAsia="仿宋"/>
                <w:bCs/>
                <w:szCs w:val="21"/>
              </w:rPr>
            </w:pPr>
            <w:r>
              <w:rPr>
                <w:rFonts w:hint="eastAsia" w:ascii="仿宋" w:hAnsi="仿宋" w:eastAsia="仿宋"/>
                <w:bCs/>
                <w:szCs w:val="21"/>
              </w:rPr>
              <w:t>以公允价值进行估值。</w:t>
            </w:r>
          </w:p>
          <w:p>
            <w:pPr>
              <w:spacing w:line="240" w:lineRule="exact"/>
              <w:rPr>
                <w:rFonts w:ascii="仿宋" w:hAnsi="仿宋" w:eastAsia="仿宋"/>
                <w:bCs/>
                <w:szCs w:val="21"/>
              </w:rPr>
            </w:pPr>
            <w:r>
              <w:rPr>
                <w:rFonts w:hint="eastAsia" w:ascii="仿宋" w:hAnsi="仿宋" w:eastAsia="仿宋"/>
                <w:bCs/>
                <w:szCs w:val="21"/>
              </w:rPr>
              <w:t>1、非上市基金估值</w:t>
            </w:r>
          </w:p>
          <w:p>
            <w:pPr>
              <w:spacing w:line="240" w:lineRule="exact"/>
              <w:rPr>
                <w:rFonts w:ascii="仿宋" w:hAnsi="仿宋" w:eastAsia="仿宋"/>
                <w:bCs/>
                <w:szCs w:val="21"/>
              </w:rPr>
            </w:pPr>
            <w:r>
              <w:rPr>
                <w:rFonts w:hint="eastAsia" w:ascii="仿宋" w:hAnsi="仿宋" w:eastAsia="仿宋"/>
                <w:bCs/>
                <w:szCs w:val="21"/>
              </w:rPr>
              <w:t>（1）理财产品投资的境内非货币市场基金，按所投资基金估值日的份额净值估值。</w:t>
            </w:r>
          </w:p>
          <w:p>
            <w:pPr>
              <w:spacing w:line="240" w:lineRule="exact"/>
              <w:rPr>
                <w:rFonts w:ascii="仿宋" w:hAnsi="仿宋" w:eastAsia="仿宋"/>
                <w:bCs/>
                <w:szCs w:val="21"/>
              </w:rPr>
            </w:pPr>
            <w:r>
              <w:rPr>
                <w:rFonts w:hint="eastAsia" w:ascii="仿宋" w:hAnsi="仿宋" w:eastAsia="仿宋"/>
                <w:bCs/>
                <w:szCs w:val="21"/>
              </w:rPr>
              <w:t>（2）理财产品投资的境内货币市场基金，按所投资基金前一估值日后至估值日期间（含节假日）的万份收益计提估值日基金收益。</w:t>
            </w:r>
          </w:p>
          <w:p>
            <w:pPr>
              <w:spacing w:line="240" w:lineRule="exact"/>
              <w:rPr>
                <w:rFonts w:ascii="仿宋" w:hAnsi="仿宋" w:eastAsia="仿宋"/>
                <w:bCs/>
                <w:szCs w:val="21"/>
              </w:rPr>
            </w:pPr>
            <w:r>
              <w:rPr>
                <w:rFonts w:hint="eastAsia" w:ascii="仿宋" w:hAnsi="仿宋" w:eastAsia="仿宋"/>
                <w:bCs/>
                <w:szCs w:val="21"/>
              </w:rPr>
              <w:t>2、上市基金估值</w:t>
            </w:r>
          </w:p>
          <w:p>
            <w:pPr>
              <w:spacing w:line="240" w:lineRule="exact"/>
              <w:rPr>
                <w:rFonts w:ascii="仿宋" w:hAnsi="仿宋" w:eastAsia="仿宋"/>
                <w:bCs/>
                <w:szCs w:val="21"/>
              </w:rPr>
            </w:pPr>
            <w:r>
              <w:rPr>
                <w:rFonts w:hint="eastAsia" w:ascii="仿宋" w:hAnsi="仿宋" w:eastAsia="仿宋"/>
                <w:bCs/>
                <w:szCs w:val="21"/>
              </w:rPr>
              <w:t>（1）理财产品投资的ETF基金，按所投资ETF基金估值日的收盘价估值。</w:t>
            </w:r>
          </w:p>
          <w:p>
            <w:pPr>
              <w:spacing w:line="240" w:lineRule="exact"/>
              <w:rPr>
                <w:rFonts w:ascii="仿宋" w:hAnsi="仿宋" w:eastAsia="仿宋"/>
                <w:bCs/>
                <w:szCs w:val="21"/>
              </w:rPr>
            </w:pPr>
            <w:r>
              <w:rPr>
                <w:rFonts w:hint="eastAsia" w:ascii="仿宋" w:hAnsi="仿宋" w:eastAsia="仿宋"/>
                <w:bCs/>
                <w:szCs w:val="21"/>
              </w:rPr>
              <w:t>（2）理财产品投资的境内上市开放式基金（LOF），按所投资基金估值日的份额净值估值。</w:t>
            </w:r>
          </w:p>
          <w:p>
            <w:pPr>
              <w:spacing w:line="240" w:lineRule="exact"/>
              <w:rPr>
                <w:rFonts w:ascii="仿宋" w:hAnsi="仿宋" w:eastAsia="仿宋"/>
                <w:bCs/>
                <w:szCs w:val="21"/>
              </w:rPr>
            </w:pPr>
            <w:r>
              <w:rPr>
                <w:rFonts w:hint="eastAsia" w:ascii="仿宋" w:hAnsi="仿宋" w:eastAsia="仿宋"/>
                <w:bCs/>
                <w:szCs w:val="21"/>
              </w:rPr>
              <w:t>（3）理财产品投资的境内上市定期开放式基金、封闭式基金，按所投资基金估值日的收盘价估值。</w:t>
            </w:r>
          </w:p>
          <w:p>
            <w:pPr>
              <w:spacing w:line="240" w:lineRule="exact"/>
              <w:rPr>
                <w:rFonts w:ascii="仿宋" w:hAnsi="仿宋" w:eastAsia="仿宋"/>
                <w:bCs/>
                <w:szCs w:val="21"/>
              </w:rPr>
            </w:pPr>
            <w:r>
              <w:rPr>
                <w:rFonts w:hint="eastAsia" w:ascii="仿宋" w:hAnsi="仿宋" w:eastAsia="仿宋"/>
                <w:bCs/>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spacing w:line="240" w:lineRule="exact"/>
              <w:rPr>
                <w:rFonts w:ascii="仿宋" w:hAnsi="仿宋" w:eastAsia="仿宋"/>
                <w:bCs/>
                <w:szCs w:val="21"/>
              </w:rPr>
            </w:pPr>
            <w:r>
              <w:rPr>
                <w:rFonts w:hint="eastAsia" w:ascii="仿宋" w:hAnsi="仿宋" w:eastAsia="仿宋"/>
                <w:bCs/>
                <w:szCs w:val="21"/>
              </w:rPr>
              <w:t>3.特殊情况处理</w:t>
            </w:r>
          </w:p>
          <w:p>
            <w:pPr>
              <w:spacing w:line="240" w:lineRule="exact"/>
              <w:rPr>
                <w:rFonts w:ascii="仿宋" w:hAnsi="仿宋" w:eastAsia="仿宋"/>
                <w:bCs/>
                <w:szCs w:val="21"/>
              </w:rPr>
            </w:pPr>
            <w:r>
              <w:rPr>
                <w:rFonts w:hint="eastAsia" w:ascii="仿宋" w:hAnsi="仿宋" w:eastAsia="仿宋"/>
                <w:bCs/>
                <w:szCs w:val="21"/>
              </w:rPr>
              <w:t>如遇所投资基金不公布基金份额净值、进行折算或拆分、估值日无交易等特殊情况，产品管理人根据以下原则进行估值。</w:t>
            </w:r>
          </w:p>
          <w:p>
            <w:pPr>
              <w:spacing w:line="240" w:lineRule="exact"/>
              <w:rPr>
                <w:rFonts w:ascii="仿宋" w:hAnsi="仿宋" w:eastAsia="仿宋"/>
                <w:bCs/>
                <w:szCs w:val="21"/>
              </w:rPr>
            </w:pPr>
            <w:r>
              <w:rPr>
                <w:rFonts w:hint="eastAsia" w:ascii="仿宋" w:hAnsi="仿宋" w:eastAsia="仿宋"/>
                <w:bCs/>
                <w:szCs w:val="21"/>
              </w:rPr>
              <w:t>（1）以所投资基金的基金份额净值估值的，若所投资基金与理财产品估值频率一致但未公布估值日基金份额净值，按其最近公布的基金份额净值为基础估值。</w:t>
            </w:r>
          </w:p>
          <w:p>
            <w:pPr>
              <w:spacing w:line="240" w:lineRule="exact"/>
              <w:rPr>
                <w:rFonts w:ascii="仿宋" w:hAnsi="仿宋" w:eastAsia="仿宋"/>
                <w:bCs/>
                <w:szCs w:val="21"/>
              </w:rPr>
            </w:pPr>
            <w:r>
              <w:rPr>
                <w:rFonts w:hint="eastAsia" w:ascii="仿宋" w:hAnsi="仿宋" w:eastAsia="仿宋"/>
                <w:bCs/>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spacing w:line="240" w:lineRule="exact"/>
              <w:rPr>
                <w:rFonts w:ascii="仿宋" w:hAnsi="仿宋" w:eastAsia="仿宋"/>
                <w:bCs/>
                <w:szCs w:val="21"/>
              </w:rPr>
            </w:pPr>
            <w:r>
              <w:rPr>
                <w:rFonts w:hint="eastAsia" w:ascii="仿宋" w:hAnsi="仿宋" w:eastAsia="仿宋"/>
                <w:bCs/>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spacing w:line="240" w:lineRule="exact"/>
              <w:rPr>
                <w:rFonts w:ascii="仿宋" w:hAnsi="仿宋" w:eastAsia="仿宋"/>
                <w:bCs/>
                <w:szCs w:val="21"/>
              </w:rPr>
            </w:pPr>
            <w:r>
              <w:rPr>
                <w:rFonts w:hint="eastAsia" w:ascii="仿宋" w:hAnsi="仿宋" w:eastAsia="仿宋"/>
                <w:bCs/>
                <w:szCs w:val="21"/>
              </w:rPr>
              <w:t>（4）当产品管理人认为所投资基金按上述方法存在不公允时，在法律法规允许的范围内，可与托管人协商一致采用合理的估值技术或估值标准确定其公允价值。</w:t>
            </w:r>
          </w:p>
          <w:p>
            <w:pPr>
              <w:spacing w:line="240" w:lineRule="exact"/>
              <w:rPr>
                <w:rFonts w:ascii="仿宋" w:hAnsi="仿宋" w:eastAsia="仿宋"/>
                <w:bCs/>
                <w:szCs w:val="21"/>
              </w:rPr>
            </w:pPr>
            <w:r>
              <w:rPr>
                <w:rFonts w:hint="eastAsia" w:ascii="仿宋" w:hAnsi="仿宋" w:eastAsia="仿宋"/>
                <w:bCs/>
                <w:szCs w:val="21"/>
              </w:rPr>
              <w:t>（六）摊余成本及减值计提：</w:t>
            </w:r>
          </w:p>
          <w:p>
            <w:pPr>
              <w:spacing w:line="240" w:lineRule="exact"/>
              <w:rPr>
                <w:rFonts w:ascii="仿宋" w:hAnsi="仿宋" w:eastAsia="仿宋"/>
                <w:bCs/>
                <w:szCs w:val="21"/>
              </w:rPr>
            </w:pPr>
            <w:r>
              <w:rPr>
                <w:rFonts w:hint="eastAsia" w:ascii="仿宋" w:hAnsi="仿宋" w:eastAsia="仿宋"/>
                <w:bCs/>
                <w:szCs w:val="21"/>
              </w:rPr>
              <w:t>对于符合以下条件之一的资产，在通过SPPI测试的情况下，可按照企业会计准则以摊余成本进行计量：</w:t>
            </w:r>
          </w:p>
          <w:p>
            <w:pPr>
              <w:spacing w:line="240" w:lineRule="exact"/>
              <w:rPr>
                <w:rFonts w:ascii="仿宋" w:hAnsi="仿宋" w:eastAsia="仿宋"/>
                <w:bCs/>
                <w:szCs w:val="21"/>
              </w:rPr>
            </w:pPr>
            <w:r>
              <w:rPr>
                <w:rFonts w:hint="eastAsia" w:ascii="仿宋" w:hAnsi="仿宋" w:eastAsia="仿宋"/>
                <w:bCs/>
                <w:szCs w:val="21"/>
              </w:rPr>
              <w:t>1.所投资产以收取合同现金流为目的并持有到期；</w:t>
            </w:r>
          </w:p>
          <w:p>
            <w:pPr>
              <w:spacing w:line="240" w:lineRule="exact"/>
              <w:rPr>
                <w:rFonts w:ascii="仿宋" w:hAnsi="仿宋" w:eastAsia="仿宋"/>
                <w:bCs/>
                <w:szCs w:val="21"/>
              </w:rPr>
            </w:pPr>
            <w:r>
              <w:rPr>
                <w:rFonts w:hint="eastAsia" w:ascii="仿宋" w:hAnsi="仿宋" w:eastAsia="仿宋"/>
                <w:bCs/>
                <w:szCs w:val="21"/>
              </w:rPr>
              <w:t>2.所投资产暂不具备活跃交易市场，或者在活跃市场中没有报价、也不能采用估值技术可靠计量公允价值。</w:t>
            </w:r>
          </w:p>
          <w:p>
            <w:pPr>
              <w:spacing w:line="240" w:lineRule="exact"/>
              <w:rPr>
                <w:rFonts w:ascii="仿宋" w:hAnsi="仿宋" w:eastAsia="仿宋"/>
                <w:bCs/>
                <w:szCs w:val="21"/>
              </w:rPr>
            </w:pPr>
            <w:r>
              <w:rPr>
                <w:rFonts w:hint="eastAsia" w:ascii="仿宋" w:hAnsi="仿宋" w:eastAsia="仿宋"/>
                <w:bCs/>
                <w:szCs w:val="21"/>
              </w:rPr>
              <w:t>在使用摊余成本法进行估值时，需按照会计准则规定采用合理的减值计量模型或第三方减值计量结果进行减值计提。计提减值不等同于金融资产已发生损失，仅为对未来风险的审慎预期。</w:t>
            </w:r>
          </w:p>
          <w:p>
            <w:pPr>
              <w:spacing w:line="240" w:lineRule="exact"/>
              <w:rPr>
                <w:rFonts w:ascii="仿宋" w:hAnsi="仿宋" w:eastAsia="仿宋"/>
                <w:bCs/>
                <w:szCs w:val="21"/>
              </w:rPr>
            </w:pPr>
            <w:r>
              <w:rPr>
                <w:rFonts w:hint="eastAsia" w:ascii="仿宋" w:hAnsi="仿宋" w:eastAsia="仿宋"/>
                <w:bCs/>
                <w:szCs w:val="21"/>
              </w:rPr>
              <w:t xml:space="preserve">（七）若因国家规定或有确凿证据表明按上述方法进行估值不能客观反映其公允价值的，产品管理人可根据具体情况与托管人商定后，按最能反映公允价值的价格估值。 </w:t>
            </w:r>
          </w:p>
          <w:p>
            <w:pPr>
              <w:spacing w:line="240" w:lineRule="exact"/>
              <w:rPr>
                <w:rFonts w:ascii="仿宋" w:hAnsi="仿宋" w:eastAsia="仿宋"/>
                <w:bCs/>
                <w:szCs w:val="21"/>
              </w:rPr>
            </w:pPr>
            <w:r>
              <w:rPr>
                <w:rFonts w:hint="eastAsia" w:ascii="仿宋" w:hAnsi="仿宋" w:eastAsia="仿宋"/>
                <w:bCs/>
                <w:szCs w:val="21"/>
              </w:rPr>
              <w:t>（八）相关法律法规以及监管部门有其他规定的，从其规定。如有新增或调整事项，按国家相关政策最新规定估值。</w:t>
            </w:r>
          </w:p>
          <w:p>
            <w:pPr>
              <w:spacing w:line="240" w:lineRule="exact"/>
              <w:rPr>
                <w:rFonts w:ascii="仿宋" w:hAnsi="仿宋" w:eastAsia="仿宋"/>
                <w:bCs/>
                <w:szCs w:val="21"/>
              </w:rPr>
            </w:pPr>
            <w:r>
              <w:rPr>
                <w:rFonts w:hint="eastAsia" w:ascii="仿宋" w:hAnsi="仿宋" w:eastAsia="仿宋"/>
                <w:bCs/>
                <w:szCs w:val="21"/>
              </w:rPr>
              <w:t>（九）估值错误的处理</w:t>
            </w:r>
          </w:p>
          <w:p>
            <w:pPr>
              <w:spacing w:line="240" w:lineRule="exact"/>
              <w:rPr>
                <w:rFonts w:ascii="仿宋" w:hAnsi="仿宋" w:eastAsia="仿宋"/>
                <w:bCs/>
                <w:szCs w:val="21"/>
              </w:rPr>
            </w:pPr>
            <w:r>
              <w:rPr>
                <w:rFonts w:hint="eastAsia" w:ascii="仿宋" w:hAnsi="仿宋" w:eastAsia="仿宋"/>
                <w:bCs/>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spacing w:line="240" w:lineRule="exact"/>
              <w:rPr>
                <w:rFonts w:ascii="仿宋" w:hAnsi="仿宋" w:eastAsia="仿宋"/>
                <w:bCs/>
                <w:szCs w:val="21"/>
              </w:rPr>
            </w:pPr>
            <w:r>
              <w:rPr>
                <w:rFonts w:hint="eastAsia" w:ascii="仿宋" w:hAnsi="仿宋" w:eastAsia="仿宋"/>
                <w:bCs/>
                <w:szCs w:val="21"/>
              </w:rPr>
              <w:t>（十）暂停估值</w:t>
            </w:r>
          </w:p>
          <w:p>
            <w:pPr>
              <w:spacing w:line="240" w:lineRule="exact"/>
              <w:rPr>
                <w:rFonts w:ascii="仿宋" w:hAnsi="仿宋" w:eastAsia="仿宋"/>
                <w:bCs/>
                <w:szCs w:val="21"/>
              </w:rPr>
            </w:pPr>
            <w:r>
              <w:rPr>
                <w:rFonts w:hint="eastAsia" w:ascii="仿宋" w:hAnsi="仿宋" w:eastAsia="仿宋"/>
                <w:bCs/>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是否允许撤单</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
                <w:bCs/>
                <w:szCs w:val="21"/>
              </w:rPr>
              <w:t>认购申请在实际募集结束日当天闭市后不允许撤单。</w:t>
            </w:r>
            <w:r>
              <w:rPr>
                <w:rFonts w:ascii="仿宋" w:hAnsi="仿宋" w:eastAsia="仿宋"/>
                <w:b/>
                <w:bCs/>
                <w:szCs w:val="21"/>
              </w:rPr>
              <w:t>闭市时间为</w:t>
            </w:r>
            <w:r>
              <w:rPr>
                <w:rFonts w:hint="eastAsia" w:ascii="仿宋" w:hAnsi="仿宋" w:eastAsia="仿宋"/>
                <w:b/>
                <w:bCs/>
                <w:szCs w:val="21"/>
                <w:lang w:val="en-US" w:eastAsia="zh-CN"/>
              </w:rPr>
              <w:t>16:30</w:t>
            </w:r>
            <w:r>
              <w:rPr>
                <w:rFonts w:hint="eastAsia" w:ascii="仿宋" w:hAnsi="仿宋" w:eastAsia="仿宋"/>
                <w:b/>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jc w:val="center"/>
              <w:rPr>
                <w:rFonts w:ascii="仿宋" w:hAnsi="仿宋" w:eastAsia="仿宋"/>
                <w:b/>
                <w:kern w:val="0"/>
                <w:sz w:val="24"/>
                <w:szCs w:val="24"/>
              </w:rPr>
            </w:pPr>
            <w:r>
              <w:rPr>
                <w:rFonts w:hint="eastAsia" w:ascii="仿宋" w:hAnsi="仿宋" w:eastAsia="仿宋"/>
                <w:b/>
                <w:kern w:val="0"/>
                <w:sz w:val="24"/>
                <w:szCs w:val="24"/>
              </w:rPr>
              <w:t>销售及管理</w:t>
            </w:r>
          </w:p>
        </w:tc>
        <w:tc>
          <w:tcPr>
            <w:tcW w:w="1797" w:type="dxa"/>
            <w:gridSpan w:val="2"/>
            <w:vAlign w:val="center"/>
          </w:tcPr>
          <w:p>
            <w:pPr>
              <w:jc w:val="center"/>
              <w:rPr>
                <w:rFonts w:ascii="仿宋" w:hAnsi="仿宋" w:eastAsia="仿宋"/>
                <w:b/>
                <w:bCs/>
                <w:kern w:val="0"/>
                <w:sz w:val="24"/>
                <w:szCs w:val="24"/>
              </w:rPr>
            </w:pPr>
            <w:r>
              <w:rPr>
                <w:rFonts w:hint="eastAsia" w:ascii="仿宋" w:hAnsi="仿宋" w:eastAsia="仿宋"/>
                <w:b/>
                <w:bCs/>
                <w:kern w:val="0"/>
                <w:sz w:val="24"/>
                <w:szCs w:val="24"/>
              </w:rPr>
              <w:t>销售</w:t>
            </w:r>
            <w:r>
              <w:rPr>
                <w:rFonts w:hint="eastAsia" w:ascii="仿宋" w:hAnsi="仿宋" w:eastAsia="仿宋"/>
                <w:b/>
                <w:bCs/>
                <w:kern w:val="0"/>
                <w:sz w:val="24"/>
                <w:szCs w:val="24"/>
                <w:lang w:val="en-US" w:eastAsia="zh-CN"/>
              </w:rPr>
              <w:t>机构</w:t>
            </w:r>
          </w:p>
        </w:tc>
        <w:tc>
          <w:tcPr>
            <w:tcW w:w="6660" w:type="dxa"/>
            <w:gridSpan w:val="6"/>
            <w:vAlign w:val="center"/>
          </w:tcPr>
          <w:p>
            <w:pPr>
              <w:rPr>
                <w:rFonts w:hint="eastAsia" w:ascii="仿宋" w:hAnsi="仿宋" w:eastAsia="仿宋"/>
                <w:szCs w:val="21"/>
                <w:highlight w:val="none"/>
                <w:lang w:eastAsia="zh-CN"/>
              </w:rPr>
            </w:pPr>
            <w:r>
              <w:rPr>
                <w:rFonts w:hint="eastAsia" w:ascii="仿宋" w:hAnsi="仿宋" w:eastAsia="仿宋"/>
                <w:szCs w:val="21"/>
                <w:highlight w:val="none"/>
                <w:lang w:eastAsia="zh-CN"/>
              </w:rPr>
              <w:t>名称：沧州银行股份有限公司</w:t>
            </w:r>
          </w:p>
          <w:p>
            <w:pPr>
              <w:rPr>
                <w:rFonts w:hint="eastAsia" w:ascii="仿宋" w:hAnsi="仿宋" w:eastAsia="仿宋"/>
                <w:szCs w:val="21"/>
                <w:highlight w:val="none"/>
                <w:lang w:eastAsia="zh-CN"/>
              </w:rPr>
            </w:pPr>
            <w:r>
              <w:rPr>
                <w:rFonts w:hint="eastAsia" w:ascii="仿宋" w:hAnsi="仿宋" w:eastAsia="仿宋"/>
                <w:szCs w:val="21"/>
                <w:highlight w:val="none"/>
                <w:lang w:eastAsia="zh-CN"/>
              </w:rPr>
              <w:t>销售渠道：手机银行</w:t>
            </w:r>
          </w:p>
          <w:p>
            <w:pPr>
              <w:rPr>
                <w:rFonts w:hint="eastAsia" w:ascii="仿宋" w:hAnsi="仿宋" w:eastAsia="仿宋"/>
                <w:szCs w:val="21"/>
                <w:highlight w:val="none"/>
                <w:lang w:eastAsia="zh-CN"/>
              </w:rPr>
            </w:pPr>
            <w:r>
              <w:rPr>
                <w:rFonts w:hint="eastAsia" w:ascii="仿宋" w:hAnsi="仿宋" w:eastAsia="仿宋"/>
                <w:szCs w:val="21"/>
                <w:highlight w:val="none"/>
                <w:lang w:eastAsia="zh-CN"/>
              </w:rPr>
              <w:t>客服热线：0317-96328</w:t>
            </w:r>
          </w:p>
          <w:p>
            <w:pPr>
              <w:rPr>
                <w:rFonts w:ascii="仿宋" w:hAnsi="仿宋" w:eastAsia="仿宋"/>
                <w:bCs/>
                <w:kern w:val="0"/>
                <w:szCs w:val="21"/>
              </w:rPr>
            </w:pPr>
            <w:r>
              <w:rPr>
                <w:rFonts w:hint="eastAsia" w:ascii="仿宋" w:hAnsi="仿宋" w:eastAsia="仿宋"/>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hint="eastAsia" w:ascii="仿宋" w:hAnsi="仿宋" w:eastAsia="仿宋"/>
                <w:b/>
                <w:kern w:val="0"/>
                <w:sz w:val="24"/>
                <w:szCs w:val="24"/>
                <w:lang w:eastAsia="zh-CN"/>
              </w:rPr>
            </w:pPr>
            <w:r>
              <w:rPr>
                <w:rFonts w:hint="eastAsia" w:ascii="仿宋" w:hAnsi="仿宋" w:eastAsia="仿宋"/>
                <w:b/>
                <w:kern w:val="0"/>
                <w:sz w:val="24"/>
                <w:szCs w:val="24"/>
                <w:lang w:eastAsia="zh-CN"/>
              </w:rPr>
              <w:t>名称：沧州银行股份有限公司</w:t>
            </w:r>
          </w:p>
          <w:p>
            <w:pPr>
              <w:jc w:val="center"/>
              <w:rPr>
                <w:rFonts w:hint="eastAsia" w:ascii="仿宋" w:hAnsi="仿宋" w:eastAsia="仿宋"/>
                <w:b/>
                <w:kern w:val="0"/>
                <w:sz w:val="24"/>
                <w:szCs w:val="24"/>
                <w:lang w:eastAsia="zh-CN"/>
              </w:rPr>
            </w:pPr>
            <w:r>
              <w:rPr>
                <w:rFonts w:hint="eastAsia" w:ascii="仿宋" w:hAnsi="仿宋" w:eastAsia="仿宋"/>
                <w:b/>
                <w:kern w:val="0"/>
                <w:sz w:val="24"/>
                <w:szCs w:val="24"/>
                <w:lang w:eastAsia="zh-CN"/>
              </w:rPr>
              <w:t>销售渠道：手机银行</w:t>
            </w:r>
          </w:p>
          <w:p>
            <w:pPr>
              <w:jc w:val="center"/>
              <w:rPr>
                <w:rFonts w:hint="eastAsia" w:ascii="仿宋" w:hAnsi="仿宋" w:eastAsia="仿宋"/>
                <w:b/>
                <w:kern w:val="0"/>
                <w:sz w:val="24"/>
                <w:szCs w:val="24"/>
                <w:lang w:eastAsia="zh-CN"/>
              </w:rPr>
            </w:pPr>
            <w:r>
              <w:rPr>
                <w:rFonts w:hint="eastAsia" w:ascii="仿宋" w:hAnsi="仿宋" w:eastAsia="仿宋"/>
                <w:b/>
                <w:kern w:val="0"/>
                <w:sz w:val="24"/>
                <w:szCs w:val="24"/>
                <w:lang w:eastAsia="zh-CN"/>
              </w:rPr>
              <w:t>客服热线：0317-96328</w:t>
            </w:r>
          </w:p>
          <w:p>
            <w:pPr>
              <w:jc w:val="center"/>
              <w:rPr>
                <w:rFonts w:hint="eastAsia" w:ascii="仿宋" w:hAnsi="仿宋" w:eastAsia="仿宋"/>
                <w:b/>
                <w:kern w:val="0"/>
                <w:sz w:val="24"/>
                <w:szCs w:val="24"/>
                <w:lang w:eastAsia="zh-CN"/>
              </w:rPr>
            </w:pPr>
            <w:r>
              <w:rPr>
                <w:rFonts w:hint="eastAsia" w:ascii="仿宋" w:hAnsi="仿宋" w:eastAsia="仿宋"/>
                <w:b/>
                <w:kern w:val="0"/>
                <w:sz w:val="24"/>
                <w:szCs w:val="24"/>
                <w:lang w:eastAsia="zh-CN"/>
              </w:rPr>
              <w:t>产品管理人有权调整本产品的销售机构并及时公告。</w:t>
            </w:r>
          </w:p>
        </w:tc>
        <w:tc>
          <w:tcPr>
            <w:tcW w:w="1797" w:type="dxa"/>
            <w:gridSpan w:val="2"/>
            <w:vAlign w:val="center"/>
          </w:tcPr>
          <w:p>
            <w:pPr>
              <w:jc w:val="center"/>
              <w:rPr>
                <w:rFonts w:eastAsia="仿宋_GB2312"/>
                <w:b/>
                <w:sz w:val="24"/>
              </w:rPr>
            </w:pPr>
            <w:r>
              <w:rPr>
                <w:rFonts w:hint="eastAsia" w:eastAsia="仿宋_GB2312"/>
                <w:b/>
                <w:sz w:val="24"/>
              </w:rPr>
              <w:t>销售</w:t>
            </w:r>
            <w:r>
              <w:rPr>
                <w:rFonts w:eastAsia="仿宋_GB2312"/>
                <w:b/>
                <w:sz w:val="24"/>
              </w:rPr>
              <w:t>机构</w:t>
            </w:r>
          </w:p>
          <w:p>
            <w:pPr>
              <w:jc w:val="center"/>
              <w:rPr>
                <w:rFonts w:hint="eastAsia" w:ascii="仿宋" w:hAnsi="仿宋" w:eastAsia="仿宋"/>
                <w:b/>
                <w:bCs/>
                <w:kern w:val="0"/>
                <w:sz w:val="24"/>
                <w:szCs w:val="24"/>
              </w:rPr>
            </w:pPr>
            <w:r>
              <w:rPr>
                <w:rFonts w:hint="eastAsia" w:eastAsia="仿宋_GB2312"/>
                <w:b/>
                <w:sz w:val="24"/>
              </w:rPr>
              <w:t>主要</w:t>
            </w:r>
            <w:r>
              <w:rPr>
                <w:rFonts w:eastAsia="仿宋_GB2312"/>
                <w:b/>
                <w:sz w:val="24"/>
              </w:rPr>
              <w:t>职责</w:t>
            </w:r>
          </w:p>
        </w:tc>
        <w:tc>
          <w:tcPr>
            <w:tcW w:w="6660" w:type="dxa"/>
            <w:gridSpan w:val="6"/>
            <w:vAlign w:val="center"/>
          </w:tcPr>
          <w:p>
            <w:pPr>
              <w:rPr>
                <w:rFonts w:hint="eastAsia" w:ascii="仿宋" w:hAnsi="仿宋" w:eastAsia="仿宋"/>
                <w:bCs/>
                <w:kern w:val="0"/>
                <w:szCs w:val="21"/>
                <w:lang w:eastAsia="zh-CN"/>
              </w:rPr>
            </w:pPr>
            <w:r>
              <w:rPr>
                <w:rFonts w:hint="eastAsia" w:eastAsia="仿宋_GB2312"/>
                <w:sz w:val="24"/>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797" w:type="dxa"/>
            <w:gridSpan w:val="2"/>
            <w:vAlign w:val="center"/>
          </w:tcPr>
          <w:p>
            <w:pPr>
              <w:jc w:val="center"/>
              <w:rPr>
                <w:rFonts w:ascii="仿宋" w:hAnsi="仿宋" w:eastAsia="仿宋"/>
                <w:b/>
                <w:bCs/>
                <w:kern w:val="0"/>
                <w:sz w:val="24"/>
                <w:szCs w:val="24"/>
              </w:rPr>
            </w:pPr>
            <w:r>
              <w:rPr>
                <w:rFonts w:hint="eastAsia" w:ascii="仿宋" w:hAnsi="仿宋" w:eastAsia="仿宋"/>
                <w:b/>
                <w:bCs/>
                <w:kern w:val="0"/>
                <w:sz w:val="24"/>
                <w:szCs w:val="24"/>
              </w:rPr>
              <w:t>资产管理人</w:t>
            </w:r>
          </w:p>
        </w:tc>
        <w:tc>
          <w:tcPr>
            <w:tcW w:w="6660" w:type="dxa"/>
            <w:gridSpan w:val="6"/>
            <w:vAlign w:val="center"/>
          </w:tcPr>
          <w:p>
            <w:pPr>
              <w:rPr>
                <w:rFonts w:ascii="仿宋" w:hAnsi="仿宋" w:eastAsia="仿宋"/>
                <w:bCs/>
                <w:kern w:val="0"/>
                <w:szCs w:val="21"/>
              </w:rPr>
            </w:pPr>
            <w:r>
              <w:rPr>
                <w:rFonts w:hint="eastAsia" w:ascii="仿宋" w:hAnsi="仿宋" w:eastAsia="仿宋"/>
                <w:bCs/>
                <w:kern w:val="0"/>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797" w:type="dxa"/>
            <w:gridSpan w:val="2"/>
            <w:vAlign w:val="center"/>
          </w:tcPr>
          <w:p>
            <w:pPr>
              <w:jc w:val="center"/>
              <w:rPr>
                <w:rFonts w:ascii="仿宋" w:hAnsi="仿宋" w:eastAsia="仿宋"/>
                <w:b/>
                <w:bCs/>
                <w:kern w:val="0"/>
                <w:sz w:val="24"/>
                <w:szCs w:val="24"/>
              </w:rPr>
            </w:pPr>
            <w:r>
              <w:rPr>
                <w:rFonts w:hint="eastAsia" w:ascii="仿宋" w:hAnsi="仿宋" w:eastAsia="仿宋"/>
                <w:b/>
                <w:bCs/>
                <w:kern w:val="0"/>
                <w:sz w:val="24"/>
                <w:szCs w:val="24"/>
              </w:rPr>
              <w:t>资产托管人信息</w:t>
            </w:r>
          </w:p>
        </w:tc>
        <w:tc>
          <w:tcPr>
            <w:tcW w:w="6660" w:type="dxa"/>
            <w:gridSpan w:val="6"/>
            <w:vAlign w:val="center"/>
          </w:tcPr>
          <w:p>
            <w:pPr>
              <w:rPr>
                <w:rFonts w:hint="default" w:ascii="仿宋" w:hAnsi="仿宋" w:eastAsia="仿宋"/>
                <w:bCs/>
                <w:kern w:val="0"/>
                <w:szCs w:val="21"/>
                <w:lang w:val="en-US"/>
              </w:rPr>
            </w:pPr>
            <w:r>
              <w:rPr>
                <w:rFonts w:hint="eastAsia" w:ascii="仿宋" w:hAnsi="仿宋" w:eastAsia="仿宋"/>
                <w:bCs/>
                <w:kern w:val="0"/>
                <w:szCs w:val="21"/>
              </w:rPr>
              <w:t>名称：</w:t>
            </w:r>
            <w:r>
              <w:rPr>
                <w:rFonts w:hint="eastAsia" w:ascii="仿宋" w:hAnsi="仿宋" w:eastAsia="仿宋"/>
                <w:bCs/>
                <w:kern w:val="0"/>
                <w:szCs w:val="21"/>
                <w:highlight w:val="none"/>
                <w:lang w:eastAsia="zh-CN"/>
              </w:rPr>
              <w:t>上海</w:t>
            </w:r>
            <w:r>
              <w:rPr>
                <w:rFonts w:hint="eastAsia" w:ascii="仿宋" w:hAnsi="仿宋" w:eastAsia="仿宋"/>
                <w:bCs/>
                <w:kern w:val="0"/>
                <w:szCs w:val="21"/>
                <w:lang w:eastAsia="zh-CN"/>
              </w:rPr>
              <w:t>银行</w:t>
            </w:r>
          </w:p>
          <w:p>
            <w:pPr>
              <w:rPr>
                <w:rFonts w:hint="default" w:ascii="仿宋" w:hAnsi="仿宋" w:eastAsia="仿宋"/>
                <w:bCs/>
                <w:kern w:val="0"/>
                <w:szCs w:val="21"/>
                <w:lang w:val="en-US" w:eastAsia="zh-CN"/>
              </w:rPr>
            </w:pPr>
            <w:r>
              <w:rPr>
                <w:rFonts w:hint="eastAsia" w:ascii="仿宋" w:hAnsi="仿宋" w:eastAsia="仿宋"/>
                <w:bCs/>
                <w:kern w:val="0"/>
                <w:szCs w:val="21"/>
              </w:rPr>
              <w:t>地址：</w:t>
            </w:r>
            <w:r>
              <w:rPr>
                <w:rFonts w:hint="eastAsia" w:ascii="仿宋" w:hAnsi="仿宋" w:eastAsia="仿宋"/>
                <w:bCs/>
                <w:kern w:val="0"/>
                <w:szCs w:val="21"/>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797" w:type="dxa"/>
            <w:gridSpan w:val="2"/>
            <w:vAlign w:val="center"/>
          </w:tcPr>
          <w:p>
            <w:pPr>
              <w:jc w:val="center"/>
              <w:rPr>
                <w:rFonts w:eastAsia="仿宋_GB2312"/>
                <w:szCs w:val="21"/>
              </w:rPr>
            </w:pPr>
            <w:r>
              <w:rPr>
                <w:rFonts w:hint="eastAsia" w:eastAsia="仿宋_GB2312"/>
                <w:szCs w:val="21"/>
              </w:rPr>
              <w:t>资产托管人主要</w:t>
            </w:r>
          </w:p>
          <w:p>
            <w:pPr>
              <w:jc w:val="center"/>
              <w:rPr>
                <w:rFonts w:ascii="仿宋" w:hAnsi="仿宋" w:eastAsia="仿宋"/>
                <w:b/>
                <w:bCs/>
                <w:kern w:val="0"/>
                <w:sz w:val="24"/>
                <w:szCs w:val="24"/>
              </w:rPr>
            </w:pPr>
            <w:r>
              <w:rPr>
                <w:rFonts w:hint="eastAsia" w:eastAsia="仿宋_GB2312"/>
                <w:szCs w:val="21"/>
              </w:rPr>
              <w:t>职责</w:t>
            </w:r>
          </w:p>
        </w:tc>
        <w:tc>
          <w:tcPr>
            <w:tcW w:w="6660" w:type="dxa"/>
            <w:gridSpan w:val="6"/>
            <w:vAlign w:val="center"/>
          </w:tcPr>
          <w:p>
            <w:pPr>
              <w:rPr>
                <w:rFonts w:ascii="仿宋" w:hAnsi="仿宋" w:eastAsia="仿宋"/>
                <w:bCs/>
                <w:kern w:val="0"/>
                <w:szCs w:val="21"/>
              </w:rPr>
            </w:pPr>
            <w:r>
              <w:rPr>
                <w:rFonts w:hint="eastAsia" w:eastAsia="仿宋_GB2312"/>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jc w:val="center"/>
              <w:rPr>
                <w:rFonts w:ascii="仿宋" w:hAnsi="仿宋" w:eastAsia="仿宋"/>
                <w:b/>
                <w:kern w:val="0"/>
                <w:sz w:val="24"/>
                <w:szCs w:val="24"/>
              </w:rPr>
            </w:pPr>
            <w:r>
              <w:rPr>
                <w:rFonts w:hint="eastAsia" w:ascii="仿宋_GB2312" w:eastAsia="仿宋_GB2312"/>
                <w:b/>
                <w:kern w:val="0"/>
                <w:sz w:val="24"/>
                <w:szCs w:val="24"/>
              </w:rPr>
              <w:t>投资</w:t>
            </w:r>
            <w:r>
              <w:rPr>
                <w:rFonts w:ascii="仿宋_GB2312" w:eastAsia="仿宋_GB2312"/>
                <w:b/>
                <w:kern w:val="0"/>
                <w:sz w:val="24"/>
                <w:szCs w:val="24"/>
              </w:rPr>
              <w:t>合作机构</w:t>
            </w:r>
          </w:p>
        </w:tc>
        <w:tc>
          <w:tcPr>
            <w:tcW w:w="8457" w:type="dxa"/>
            <w:gridSpan w:val="8"/>
            <w:vAlign w:val="center"/>
          </w:tcPr>
          <w:p>
            <w:pPr>
              <w:rPr>
                <w:rFonts w:eastAsia="仿宋_GB2312"/>
                <w:szCs w:val="21"/>
              </w:rPr>
            </w:pPr>
            <w:r>
              <w:rPr>
                <w:rFonts w:hint="eastAsia" w:ascii="仿宋_GB2312" w:eastAsia="仿宋_GB2312"/>
                <w:b/>
                <w:kern w:val="0"/>
                <w:sz w:val="24"/>
                <w:szCs w:val="24"/>
              </w:rPr>
              <w:t>投资</w:t>
            </w:r>
            <w:r>
              <w:rPr>
                <w:rFonts w:ascii="仿宋_GB2312" w:eastAsia="仿宋_GB2312"/>
                <w:b/>
                <w:kern w:val="0"/>
                <w:sz w:val="24"/>
                <w:szCs w:val="24"/>
              </w:rPr>
              <w:t>合作机构</w:t>
            </w:r>
            <w:r>
              <w:rPr>
                <w:rFonts w:hint="eastAsia" w:eastAsia="仿宋_GB2312"/>
                <w:sz w:val="24"/>
              </w:rPr>
              <w:t>是</w:t>
            </w:r>
            <w:r>
              <w:rPr>
                <w:rFonts w:eastAsia="仿宋_GB2312"/>
                <w:sz w:val="24"/>
              </w:rPr>
              <w:t>指</w:t>
            </w:r>
            <w:r>
              <w:rPr>
                <w:rFonts w:hint="eastAsia" w:eastAsia="仿宋_GB2312"/>
                <w:sz w:val="24"/>
              </w:rPr>
              <w:t>理财</w:t>
            </w:r>
            <w:r>
              <w:rPr>
                <w:rFonts w:eastAsia="仿宋_GB2312"/>
                <w:sz w:val="24"/>
              </w:rPr>
              <w:t>产品</w:t>
            </w:r>
            <w:r>
              <w:rPr>
                <w:rFonts w:hint="eastAsia" w:eastAsia="仿宋_GB2312"/>
                <w:sz w:val="24"/>
              </w:rPr>
              <w:t>所</w:t>
            </w:r>
            <w:r>
              <w:rPr>
                <w:rFonts w:eastAsia="仿宋_GB2312"/>
                <w:sz w:val="24"/>
              </w:rPr>
              <w:t>投资资产管理产品的</w:t>
            </w:r>
            <w:r>
              <w:rPr>
                <w:rFonts w:hint="eastAsia" w:eastAsia="仿宋_GB2312"/>
                <w:sz w:val="24"/>
              </w:rPr>
              <w:t>发行机构</w:t>
            </w:r>
            <w:r>
              <w:rPr>
                <w:rFonts w:eastAsia="仿宋_GB2312"/>
                <w:sz w:val="24"/>
              </w:rPr>
              <w:t>、根据合同约定从事理财</w:t>
            </w:r>
            <w:r>
              <w:rPr>
                <w:rFonts w:hint="eastAsia" w:eastAsia="仿宋_GB2312"/>
                <w:sz w:val="24"/>
              </w:rPr>
              <w:t>产品</w:t>
            </w:r>
            <w:r>
              <w:rPr>
                <w:rFonts w:eastAsia="仿宋_GB2312"/>
                <w:sz w:val="24"/>
              </w:rPr>
              <w:t>受托投资的机构</w:t>
            </w:r>
            <w:r>
              <w:rPr>
                <w:rFonts w:hint="eastAsia" w:eastAsia="仿宋_GB2312"/>
                <w:sz w:val="24"/>
              </w:rPr>
              <w:t>以及</w:t>
            </w:r>
            <w:r>
              <w:rPr>
                <w:rFonts w:eastAsia="仿宋_GB2312"/>
                <w:sz w:val="24"/>
              </w:rPr>
              <w:t>与理财产品</w:t>
            </w:r>
            <w:r>
              <w:rPr>
                <w:rFonts w:hint="eastAsia" w:eastAsia="仿宋_GB2312"/>
                <w:sz w:val="24"/>
              </w:rPr>
              <w:t>投资</w:t>
            </w:r>
            <w:r>
              <w:rPr>
                <w:rFonts w:eastAsia="仿宋_GB2312"/>
                <w:sz w:val="24"/>
              </w:rPr>
              <w:t>管理相关的投资顾问等机构</w:t>
            </w:r>
            <w:r>
              <w:rPr>
                <w:rFonts w:hint="eastAsia" w:eastAsia="仿宋_GB2312"/>
                <w:sz w:val="24"/>
              </w:rPr>
              <w:t>。主要</w:t>
            </w:r>
            <w:r>
              <w:rPr>
                <w:rFonts w:eastAsia="仿宋_GB2312"/>
                <w:sz w:val="24"/>
              </w:rPr>
              <w:t>职责为进行受托资金的投资管理，根据合同约定从事受托投资或提供投资顾问</w:t>
            </w:r>
            <w:r>
              <w:rPr>
                <w:rFonts w:hint="eastAsia" w:eastAsia="仿宋_GB2312"/>
                <w:sz w:val="24"/>
              </w:rPr>
              <w:t>等</w:t>
            </w:r>
            <w:r>
              <w:rPr>
                <w:rFonts w:eastAsia="仿宋_GB2312"/>
                <w:sz w:val="24"/>
              </w:rPr>
              <w:t>服务，具体职责</w:t>
            </w:r>
            <w:r>
              <w:rPr>
                <w:rFonts w:hint="eastAsia" w:eastAsia="仿宋_GB2312"/>
                <w:sz w:val="24"/>
              </w:rPr>
              <w:t>以</w:t>
            </w:r>
            <w:r>
              <w:rPr>
                <w:rFonts w:eastAsia="仿宋_GB2312"/>
                <w:sz w:val="24"/>
              </w:rPr>
              <w:t>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jc w:val="center"/>
              <w:rPr>
                <w:rFonts w:ascii="仿宋" w:hAnsi="仿宋" w:eastAsia="仿宋"/>
                <w:b/>
                <w:kern w:val="0"/>
                <w:sz w:val="24"/>
                <w:szCs w:val="24"/>
                <w:u w:val="wave"/>
              </w:rPr>
            </w:pPr>
            <w:r>
              <w:rPr>
                <w:rFonts w:hint="eastAsia" w:ascii="仿宋" w:hAnsi="仿宋" w:eastAsia="仿宋"/>
                <w:b/>
                <w:kern w:val="0"/>
                <w:sz w:val="24"/>
                <w:szCs w:val="24"/>
              </w:rPr>
              <w:t>提前终止条款及延期</w:t>
            </w:r>
            <w:r>
              <w:rPr>
                <w:rFonts w:ascii="仿宋" w:hAnsi="仿宋" w:eastAsia="仿宋"/>
                <w:b/>
                <w:kern w:val="0"/>
                <w:sz w:val="24"/>
                <w:szCs w:val="24"/>
              </w:rPr>
              <w:t>条款</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
                <w:szCs w:val="21"/>
              </w:rPr>
              <w:t>1.本产品投资期内，客户无权提前终止本产品。</w:t>
            </w:r>
            <w:r>
              <w:rPr>
                <w:rFonts w:hint="eastAsia" w:ascii="仿宋" w:hAnsi="仿宋" w:eastAsia="仿宋"/>
                <w:bCs/>
                <w:szCs w:val="21"/>
              </w:rPr>
              <w:t>如出现以下情况，天津银行有权但无义务提前终止本理财产品：</w:t>
            </w:r>
          </w:p>
          <w:p>
            <w:pPr>
              <w:spacing w:line="240" w:lineRule="exact"/>
              <w:rPr>
                <w:rFonts w:ascii="仿宋" w:hAnsi="仿宋" w:eastAsia="仿宋"/>
                <w:bCs/>
                <w:szCs w:val="21"/>
              </w:rPr>
            </w:pPr>
            <w:r>
              <w:rPr>
                <w:rFonts w:hint="eastAsia" w:ascii="仿宋" w:hAnsi="仿宋" w:eastAsia="仿宋"/>
                <w:bCs/>
                <w:szCs w:val="21"/>
              </w:rPr>
              <w:t>（1）因不可抗力原因导致理财产品无法继续运作；</w:t>
            </w:r>
          </w:p>
          <w:p>
            <w:pPr>
              <w:spacing w:line="240" w:lineRule="exact"/>
              <w:rPr>
                <w:rFonts w:ascii="仿宋" w:hAnsi="仿宋" w:eastAsia="仿宋"/>
                <w:bCs/>
                <w:szCs w:val="21"/>
              </w:rPr>
            </w:pPr>
            <w:r>
              <w:rPr>
                <w:rFonts w:hint="eastAsia" w:ascii="仿宋" w:hAnsi="仿宋" w:eastAsia="仿宋"/>
                <w:bCs/>
                <w:szCs w:val="21"/>
              </w:rPr>
              <w:t>（2）遇市场出现剧烈波动、异常风险事件等情形导致理财产品收益出现大幅波动或严重影响理财产品的资产安全；</w:t>
            </w:r>
          </w:p>
          <w:p>
            <w:pPr>
              <w:spacing w:line="240" w:lineRule="exact"/>
              <w:rPr>
                <w:rFonts w:ascii="仿宋" w:hAnsi="仿宋" w:eastAsia="仿宋"/>
                <w:bCs/>
                <w:szCs w:val="21"/>
              </w:rPr>
            </w:pPr>
            <w:r>
              <w:rPr>
                <w:rFonts w:hint="eastAsia" w:ascii="仿宋" w:hAnsi="仿宋" w:eastAsia="仿宋"/>
                <w:bCs/>
                <w:szCs w:val="21"/>
              </w:rPr>
              <w:t>（3）因客户理财资金被有权机关扣划等原因导致理财产品剩余资产无法满足相关法律法规规定，所投资市场要求或协议等相关法律文件约定，或者继续存续无法实现投资目标；</w:t>
            </w:r>
          </w:p>
          <w:p>
            <w:pPr>
              <w:spacing w:line="240" w:lineRule="exact"/>
              <w:rPr>
                <w:rFonts w:ascii="仿宋" w:hAnsi="仿宋" w:eastAsia="仿宋"/>
                <w:bCs/>
                <w:szCs w:val="21"/>
              </w:rPr>
            </w:pPr>
            <w:r>
              <w:rPr>
                <w:rFonts w:hint="eastAsia" w:ascii="仿宋" w:hAnsi="仿宋" w:eastAsia="仿宋"/>
                <w:bCs/>
                <w:szCs w:val="21"/>
              </w:rPr>
              <w:t>（4）因法律法规变化或国家金融政策调整，影响本产品继续正常运作；</w:t>
            </w:r>
          </w:p>
          <w:p>
            <w:pPr>
              <w:spacing w:line="240" w:lineRule="exact"/>
              <w:rPr>
                <w:rFonts w:ascii="仿宋" w:hAnsi="仿宋" w:eastAsia="仿宋"/>
                <w:bCs/>
                <w:szCs w:val="21"/>
              </w:rPr>
            </w:pPr>
            <w:r>
              <w:rPr>
                <w:rFonts w:hint="eastAsia" w:ascii="仿宋" w:hAnsi="仿宋" w:eastAsia="仿宋"/>
                <w:bCs/>
                <w:szCs w:val="21"/>
              </w:rPr>
              <w:t>（5）理财资金所投资的金融资产或金融工具提前终止；</w:t>
            </w:r>
          </w:p>
          <w:p>
            <w:pPr>
              <w:spacing w:line="240" w:lineRule="exact"/>
              <w:rPr>
                <w:rFonts w:ascii="仿宋" w:hAnsi="仿宋" w:eastAsia="仿宋"/>
                <w:bCs/>
                <w:szCs w:val="21"/>
              </w:rPr>
            </w:pPr>
            <w:r>
              <w:rPr>
                <w:rFonts w:hint="eastAsia" w:ascii="仿宋" w:hAnsi="仿宋" w:eastAsia="仿宋"/>
                <w:bCs/>
                <w:szCs w:val="21"/>
              </w:rPr>
              <w:t>（6）提前终止产品比维持产品运作更有利于保护产品持有人的权益；</w:t>
            </w:r>
          </w:p>
          <w:p>
            <w:pPr>
              <w:spacing w:line="240" w:lineRule="exact"/>
              <w:rPr>
                <w:rFonts w:ascii="仿宋" w:hAnsi="仿宋" w:eastAsia="仿宋"/>
                <w:bCs/>
                <w:szCs w:val="21"/>
              </w:rPr>
            </w:pPr>
            <w:r>
              <w:rPr>
                <w:rFonts w:hint="eastAsia" w:ascii="仿宋" w:hAnsi="仿宋" w:eastAsia="仿宋"/>
                <w:bCs/>
                <w:szCs w:val="21"/>
              </w:rPr>
              <w:t>（7）法律法规规定的其他情形。</w:t>
            </w:r>
          </w:p>
          <w:p>
            <w:pPr>
              <w:spacing w:line="240" w:lineRule="exact"/>
              <w:rPr>
                <w:rFonts w:ascii="仿宋" w:hAnsi="仿宋" w:eastAsia="仿宋"/>
                <w:b/>
                <w:bCs/>
                <w:szCs w:val="21"/>
              </w:rPr>
            </w:pPr>
            <w:r>
              <w:rPr>
                <w:rFonts w:hint="eastAsia" w:ascii="仿宋" w:hAnsi="仿宋" w:eastAsia="仿宋"/>
                <w:b/>
                <w:bCs/>
                <w:szCs w:val="21"/>
              </w:rPr>
              <w:t>2. 如出现以下</w:t>
            </w:r>
            <w:r>
              <w:rPr>
                <w:rFonts w:ascii="仿宋" w:hAnsi="仿宋" w:eastAsia="仿宋"/>
                <w:b/>
                <w:bCs/>
                <w:szCs w:val="21"/>
              </w:rPr>
              <w:t>情况，天津银行有权延长本产品的终止日：</w:t>
            </w:r>
          </w:p>
          <w:p>
            <w:pPr>
              <w:spacing w:line="240" w:lineRule="exact"/>
              <w:rPr>
                <w:rFonts w:ascii="仿宋" w:hAnsi="仿宋" w:eastAsia="仿宋"/>
                <w:bCs/>
                <w:szCs w:val="21"/>
              </w:rPr>
            </w:pPr>
            <w:r>
              <w:rPr>
                <w:rFonts w:hint="eastAsia" w:ascii="仿宋" w:hAnsi="仿宋" w:eastAsia="仿宋"/>
                <w:bCs/>
                <w:szCs w:val="21"/>
              </w:rPr>
              <w:t>（1</w:t>
            </w:r>
            <w:r>
              <w:rPr>
                <w:rFonts w:ascii="仿宋" w:hAnsi="仿宋" w:eastAsia="仿宋"/>
                <w:bCs/>
                <w:szCs w:val="21"/>
              </w:rPr>
              <w:t>）</w:t>
            </w:r>
            <w:r>
              <w:rPr>
                <w:rFonts w:hint="eastAsia" w:ascii="仿宋" w:hAnsi="仿宋" w:eastAsia="仿宋"/>
                <w:bCs/>
                <w:szCs w:val="21"/>
              </w:rPr>
              <w:t>产品</w:t>
            </w:r>
            <w:r>
              <w:rPr>
                <w:rFonts w:ascii="仿宋" w:hAnsi="仿宋" w:eastAsia="仿宋"/>
                <w:bCs/>
                <w:szCs w:val="21"/>
              </w:rPr>
              <w:t>终止日遇</w:t>
            </w:r>
            <w:r>
              <w:rPr>
                <w:rFonts w:hint="eastAsia" w:ascii="仿宋" w:hAnsi="仿宋" w:eastAsia="仿宋"/>
                <w:bCs/>
                <w:szCs w:val="21"/>
              </w:rPr>
              <w:t>非工作日</w:t>
            </w:r>
            <w:r>
              <w:rPr>
                <w:rFonts w:ascii="仿宋" w:hAnsi="仿宋" w:eastAsia="仿宋"/>
                <w:bCs/>
                <w:szCs w:val="21"/>
              </w:rPr>
              <w:t>则顺延至下一工作日，客户清算资金到账</w:t>
            </w:r>
            <w:r>
              <w:rPr>
                <w:rFonts w:hint="eastAsia" w:ascii="仿宋" w:hAnsi="仿宋" w:eastAsia="仿宋"/>
                <w:bCs/>
                <w:szCs w:val="21"/>
              </w:rPr>
              <w:t>日</w:t>
            </w:r>
            <w:r>
              <w:rPr>
                <w:rFonts w:ascii="仿宋" w:hAnsi="仿宋" w:eastAsia="仿宋"/>
                <w:bCs/>
                <w:szCs w:val="21"/>
              </w:rPr>
              <w:t>将相应调整；</w:t>
            </w:r>
          </w:p>
          <w:p>
            <w:pPr>
              <w:spacing w:line="240" w:lineRule="exact"/>
              <w:rPr>
                <w:rFonts w:ascii="仿宋" w:hAnsi="仿宋" w:eastAsia="仿宋"/>
                <w:bCs/>
                <w:szCs w:val="21"/>
              </w:rPr>
            </w:pPr>
            <w:r>
              <w:rPr>
                <w:rFonts w:hint="eastAsia" w:ascii="仿宋" w:hAnsi="仿宋" w:eastAsia="仿宋"/>
                <w:bCs/>
                <w:szCs w:val="21"/>
              </w:rPr>
              <w:t>（2</w:t>
            </w:r>
            <w:r>
              <w:rPr>
                <w:rFonts w:ascii="仿宋" w:hAnsi="仿宋" w:eastAsia="仿宋"/>
                <w:bCs/>
                <w:szCs w:val="21"/>
              </w:rPr>
              <w:t>）</w:t>
            </w:r>
            <w:r>
              <w:rPr>
                <w:rFonts w:hint="eastAsia" w:ascii="仿宋" w:hAnsi="仿宋" w:eastAsia="仿宋"/>
                <w:bCs/>
                <w:szCs w:val="21"/>
              </w:rPr>
              <w:t>因市场</w:t>
            </w:r>
            <w:r>
              <w:rPr>
                <w:rFonts w:ascii="仿宋" w:hAnsi="仿宋" w:eastAsia="仿宋"/>
                <w:bCs/>
                <w:szCs w:val="21"/>
              </w:rPr>
              <w:t>成交量不足、资产</w:t>
            </w:r>
            <w:r>
              <w:rPr>
                <w:rFonts w:hint="eastAsia" w:ascii="仿宋" w:hAnsi="仿宋" w:eastAsia="仿宋"/>
                <w:bCs/>
                <w:szCs w:val="21"/>
              </w:rPr>
              <w:t>限制</w:t>
            </w:r>
            <w:r>
              <w:rPr>
                <w:rFonts w:ascii="仿宋" w:hAnsi="仿宋" w:eastAsia="仿宋"/>
                <w:bCs/>
                <w:szCs w:val="21"/>
              </w:rPr>
              <w:t>赎回、暂停交易、缺乏</w:t>
            </w:r>
            <w:r>
              <w:rPr>
                <w:rFonts w:hint="eastAsia" w:ascii="仿宋" w:hAnsi="仿宋" w:eastAsia="仿宋"/>
                <w:bCs/>
                <w:szCs w:val="21"/>
              </w:rPr>
              <w:t>意愿</w:t>
            </w:r>
            <w:r>
              <w:rPr>
                <w:rFonts w:ascii="仿宋" w:hAnsi="仿宋" w:eastAsia="仿宋"/>
                <w:bCs/>
                <w:szCs w:val="21"/>
              </w:rPr>
              <w:t>交易对手等原因，导致产品项下对应的投资标的无法及时变现；</w:t>
            </w:r>
          </w:p>
          <w:p>
            <w:pPr>
              <w:spacing w:line="240" w:lineRule="exact"/>
              <w:rPr>
                <w:rFonts w:ascii="仿宋" w:hAnsi="仿宋" w:eastAsia="仿宋"/>
                <w:bCs/>
                <w:szCs w:val="21"/>
              </w:rPr>
            </w:pPr>
            <w:r>
              <w:rPr>
                <w:rFonts w:hint="eastAsia" w:ascii="仿宋" w:hAnsi="仿宋" w:eastAsia="仿宋"/>
                <w:bCs/>
                <w:szCs w:val="21"/>
              </w:rPr>
              <w:t>（3</w:t>
            </w:r>
            <w:r>
              <w:rPr>
                <w:rFonts w:ascii="仿宋" w:hAnsi="仿宋" w:eastAsia="仿宋"/>
                <w:bCs/>
                <w:szCs w:val="21"/>
              </w:rPr>
              <w:t>）</w:t>
            </w:r>
            <w:r>
              <w:rPr>
                <w:rFonts w:hint="eastAsia" w:ascii="仿宋" w:hAnsi="仿宋" w:eastAsia="仿宋"/>
                <w:bCs/>
                <w:szCs w:val="21"/>
              </w:rPr>
              <w:t>因资金</w:t>
            </w:r>
            <w:r>
              <w:rPr>
                <w:rFonts w:ascii="仿宋" w:hAnsi="仿宋" w:eastAsia="仿宋"/>
                <w:bCs/>
                <w:szCs w:val="21"/>
              </w:rPr>
              <w:t>在途等原因，导致未能及时收回资金；</w:t>
            </w:r>
          </w:p>
          <w:p>
            <w:pPr>
              <w:spacing w:line="240" w:lineRule="exact"/>
              <w:rPr>
                <w:rFonts w:ascii="仿宋" w:hAnsi="仿宋" w:eastAsia="仿宋"/>
                <w:bCs/>
                <w:szCs w:val="21"/>
              </w:rPr>
            </w:pPr>
            <w:r>
              <w:rPr>
                <w:rFonts w:hint="eastAsia" w:ascii="仿宋" w:hAnsi="仿宋" w:eastAsia="仿宋"/>
                <w:bCs/>
                <w:szCs w:val="21"/>
              </w:rPr>
              <w:t>（4</w:t>
            </w:r>
            <w:r>
              <w:rPr>
                <w:rFonts w:ascii="仿宋" w:hAnsi="仿宋" w:eastAsia="仿宋"/>
                <w:bCs/>
                <w:szCs w:val="21"/>
              </w:rPr>
              <w:t>）</w:t>
            </w:r>
            <w:r>
              <w:rPr>
                <w:rFonts w:hint="eastAsia" w:ascii="仿宋" w:hAnsi="仿宋" w:eastAsia="仿宋"/>
                <w:bCs/>
                <w:szCs w:val="21"/>
              </w:rPr>
              <w:t>其他</w:t>
            </w:r>
            <w:r>
              <w:rPr>
                <w:rFonts w:ascii="仿宋" w:hAnsi="仿宋" w:eastAsia="仿宋"/>
                <w:bCs/>
                <w:szCs w:val="21"/>
              </w:rPr>
              <w:t>天津银行认为需要延期兑付的情形。</w:t>
            </w:r>
          </w:p>
          <w:p>
            <w:pPr>
              <w:spacing w:line="240" w:lineRule="exact"/>
              <w:rPr>
                <w:rFonts w:ascii="仿宋" w:hAnsi="仿宋" w:eastAsia="仿宋"/>
                <w:bCs/>
                <w:szCs w:val="21"/>
              </w:rPr>
            </w:pPr>
            <w:r>
              <w:rPr>
                <w:rFonts w:ascii="仿宋" w:hAnsi="仿宋" w:eastAsia="仿宋"/>
                <w:bCs/>
                <w:szCs w:val="21"/>
              </w:rPr>
              <w:t>3.</w:t>
            </w:r>
            <w:r>
              <w:rPr>
                <w:rFonts w:hint="eastAsia"/>
              </w:rPr>
              <w:t xml:space="preserve"> </w:t>
            </w:r>
            <w:r>
              <w:rPr>
                <w:rFonts w:hint="eastAsia" w:ascii="仿宋" w:hAnsi="仿宋" w:eastAsia="仿宋"/>
                <w:bCs/>
                <w:szCs w:val="21"/>
              </w:rPr>
              <w:t>一旦天津银行提前终止/延期本理财产品，将提前</w:t>
            </w:r>
            <w:r>
              <w:rPr>
                <w:rFonts w:hint="eastAsia" w:ascii="仿宋" w:hAnsi="仿宋" w:eastAsia="仿宋"/>
                <w:bCs/>
                <w:szCs w:val="21"/>
                <w:lang w:val="en-US" w:eastAsia="zh-CN"/>
              </w:rPr>
              <w:t>2</w:t>
            </w:r>
            <w:r>
              <w:rPr>
                <w:rFonts w:hint="eastAsia" w:ascii="仿宋" w:hAnsi="仿宋" w:eastAsia="仿宋"/>
                <w:bCs/>
                <w:szCs w:val="21"/>
              </w:rPr>
              <w:t>个工作日以公告形式通知客户，并在提前终止日/延期</w:t>
            </w:r>
            <w:r>
              <w:rPr>
                <w:rFonts w:ascii="仿宋" w:hAnsi="仿宋" w:eastAsia="仿宋"/>
                <w:bCs/>
                <w:szCs w:val="21"/>
              </w:rPr>
              <w:t>到期日</w:t>
            </w:r>
            <w:r>
              <w:rPr>
                <w:rFonts w:hint="eastAsia" w:ascii="仿宋" w:hAnsi="仿宋" w:eastAsia="仿宋"/>
                <w:bCs/>
                <w:szCs w:val="21"/>
              </w:rPr>
              <w:t>后</w:t>
            </w:r>
            <w:r>
              <w:rPr>
                <w:rFonts w:hint="eastAsia" w:ascii="仿宋" w:hAnsi="仿宋" w:eastAsia="仿宋"/>
                <w:bCs/>
                <w:szCs w:val="21"/>
                <w:lang w:val="en-US" w:eastAsia="zh-CN"/>
              </w:rPr>
              <w:t>2</w:t>
            </w:r>
            <w:r>
              <w:rPr>
                <w:rFonts w:hint="eastAsia" w:ascii="仿宋" w:hAnsi="仿宋" w:eastAsia="仿宋"/>
                <w:bCs/>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信息披露</w:t>
            </w:r>
          </w:p>
        </w:tc>
        <w:tc>
          <w:tcPr>
            <w:tcW w:w="8457" w:type="dxa"/>
            <w:gridSpan w:val="8"/>
            <w:vAlign w:val="center"/>
          </w:tcPr>
          <w:p>
            <w:pPr>
              <w:spacing w:line="240" w:lineRule="exact"/>
              <w:rPr>
                <w:rFonts w:ascii="仿宋" w:hAnsi="仿宋" w:eastAsia="仿宋"/>
                <w:b/>
                <w:bCs/>
                <w:szCs w:val="21"/>
              </w:rPr>
            </w:pPr>
            <w:r>
              <w:rPr>
                <w:rFonts w:ascii="仿宋" w:hAnsi="仿宋" w:eastAsia="仿宋"/>
                <w:b/>
                <w:bCs/>
                <w:szCs w:val="21"/>
              </w:rPr>
              <w:t>1.</w:t>
            </w:r>
            <w:r>
              <w:rPr>
                <w:b/>
              </w:rPr>
              <w:t xml:space="preserve"> </w:t>
            </w:r>
            <w:r>
              <w:rPr>
                <w:rFonts w:hint="eastAsia" w:ascii="仿宋" w:hAnsi="仿宋" w:eastAsia="仿宋"/>
                <w:b/>
                <w:bCs/>
                <w:szCs w:val="21"/>
              </w:rPr>
              <w:t>净值</w:t>
            </w:r>
            <w:r>
              <w:rPr>
                <w:rFonts w:ascii="仿宋" w:hAnsi="仿宋" w:eastAsia="仿宋"/>
                <w:b/>
                <w:bCs/>
                <w:szCs w:val="21"/>
              </w:rPr>
              <w:t>公告：</w:t>
            </w:r>
            <w:r>
              <w:rPr>
                <w:rFonts w:hint="eastAsia" w:ascii="仿宋" w:hAnsi="仿宋" w:eastAsia="仿宋"/>
                <w:b/>
                <w:bCs/>
                <w:szCs w:val="21"/>
              </w:rPr>
              <w:t>产品成立后，我行将于每周前</w:t>
            </w:r>
            <w:r>
              <w:rPr>
                <w:rFonts w:ascii="仿宋" w:hAnsi="仿宋" w:eastAsia="仿宋"/>
                <w:b/>
                <w:bCs/>
                <w:szCs w:val="21"/>
              </w:rPr>
              <w:t>2</w:t>
            </w:r>
            <w:r>
              <w:rPr>
                <w:rFonts w:hint="eastAsia" w:ascii="仿宋" w:hAnsi="仿宋" w:eastAsia="仿宋"/>
                <w:b/>
                <w:bCs/>
                <w:szCs w:val="21"/>
              </w:rPr>
              <w:t>个工作日内披露截至上周</w:t>
            </w:r>
            <w:r>
              <w:rPr>
                <w:rFonts w:ascii="仿宋" w:hAnsi="仿宋" w:eastAsia="仿宋"/>
                <w:b/>
                <w:bCs/>
                <w:szCs w:val="21"/>
              </w:rPr>
              <w:t>最后一个工作日</w:t>
            </w:r>
            <w:r>
              <w:rPr>
                <w:rFonts w:hint="eastAsia" w:ascii="仿宋" w:hAnsi="仿宋" w:eastAsia="仿宋"/>
                <w:b/>
                <w:bCs/>
                <w:szCs w:val="21"/>
              </w:rPr>
              <w:t>的资产净值和份额净值。产品到期或提前终止后，在产品到期日或提前终止日（遇节假日顺延至下一工作日）后的</w:t>
            </w:r>
            <w:r>
              <w:rPr>
                <w:rFonts w:ascii="仿宋" w:hAnsi="仿宋" w:eastAsia="仿宋"/>
                <w:b/>
                <w:bCs/>
                <w:szCs w:val="21"/>
              </w:rPr>
              <w:t>5</w:t>
            </w:r>
            <w:r>
              <w:rPr>
                <w:rFonts w:hint="eastAsia" w:ascii="仿宋" w:hAnsi="仿宋" w:eastAsia="仿宋"/>
                <w:b/>
                <w:bCs/>
                <w:szCs w:val="21"/>
              </w:rPr>
              <w:t>个工作日内披露产品到期或提前终止的资产净值和份额净值。信息披露渠道包括我行官方</w:t>
            </w:r>
            <w:r>
              <w:rPr>
                <w:rFonts w:ascii="仿宋" w:hAnsi="仿宋" w:eastAsia="仿宋"/>
                <w:b/>
                <w:bCs/>
                <w:szCs w:val="21"/>
              </w:rPr>
              <w:t>网站、</w:t>
            </w:r>
            <w:r>
              <w:rPr>
                <w:rFonts w:hint="eastAsia" w:ascii="仿宋" w:hAnsi="仿宋" w:eastAsia="仿宋"/>
                <w:b/>
                <w:bCs/>
                <w:szCs w:val="21"/>
              </w:rPr>
              <w:t>手机</w:t>
            </w:r>
            <w:r>
              <w:rPr>
                <w:rFonts w:ascii="仿宋" w:hAnsi="仿宋" w:eastAsia="仿宋"/>
                <w:b/>
                <w:bCs/>
                <w:szCs w:val="21"/>
              </w:rPr>
              <w:t>银行、网上银行</w:t>
            </w:r>
            <w:r>
              <w:rPr>
                <w:rFonts w:hint="eastAsia" w:ascii="仿宋" w:hAnsi="仿宋" w:eastAsia="仿宋"/>
                <w:b/>
                <w:bCs/>
                <w:szCs w:val="21"/>
              </w:rPr>
              <w:t>。</w:t>
            </w:r>
          </w:p>
          <w:p>
            <w:pPr>
              <w:spacing w:line="240" w:lineRule="exact"/>
              <w:rPr>
                <w:rFonts w:ascii="仿宋" w:hAnsi="仿宋" w:eastAsia="仿宋"/>
                <w:b/>
                <w:bCs/>
                <w:szCs w:val="21"/>
              </w:rPr>
            </w:pPr>
            <w:r>
              <w:rPr>
                <w:rFonts w:ascii="仿宋" w:hAnsi="仿宋" w:eastAsia="仿宋"/>
                <w:b/>
                <w:bCs/>
                <w:szCs w:val="21"/>
              </w:rPr>
              <w:t>2.发行及到期公告：天津银行将最迟于产品成立日/产品到期日后5个工作日内，通过官方网站或营业网点等渠道公布产品发行公告/产品到期公告。</w:t>
            </w:r>
          </w:p>
          <w:p>
            <w:pPr>
              <w:spacing w:line="240" w:lineRule="exact"/>
              <w:rPr>
                <w:rFonts w:ascii="仿宋" w:hAnsi="仿宋" w:eastAsia="仿宋"/>
                <w:b/>
                <w:bCs/>
                <w:szCs w:val="21"/>
              </w:rPr>
            </w:pPr>
            <w:r>
              <w:rPr>
                <w:rFonts w:ascii="仿宋" w:hAnsi="仿宋" w:eastAsia="仿宋"/>
                <w:b/>
                <w:bCs/>
                <w:szCs w:val="21"/>
              </w:rPr>
              <w:t>3．定期报告：天津银行在每季度结束之日起15</w:t>
            </w:r>
            <w:r>
              <w:rPr>
                <w:rFonts w:hint="eastAsia" w:ascii="仿宋" w:hAnsi="仿宋" w:eastAsia="仿宋"/>
                <w:b/>
                <w:bCs/>
                <w:szCs w:val="21"/>
              </w:rPr>
              <w:t>个工作</w:t>
            </w:r>
            <w:r>
              <w:rPr>
                <w:rFonts w:ascii="仿宋" w:hAnsi="仿宋" w:eastAsia="仿宋"/>
                <w:b/>
                <w:bCs/>
                <w:szCs w:val="21"/>
              </w:rPr>
              <w:t>日内，上半年结束之日起60</w:t>
            </w:r>
            <w:r>
              <w:rPr>
                <w:rFonts w:hint="eastAsia" w:ascii="仿宋" w:hAnsi="仿宋" w:eastAsia="仿宋"/>
                <w:b/>
                <w:bCs/>
                <w:szCs w:val="21"/>
              </w:rPr>
              <w:t>个工作</w:t>
            </w:r>
            <w:r>
              <w:rPr>
                <w:rFonts w:ascii="仿宋" w:hAnsi="仿宋" w:eastAsia="仿宋"/>
                <w:b/>
                <w:bCs/>
                <w:szCs w:val="21"/>
              </w:rPr>
              <w:t>日内、每年结束之日起90</w:t>
            </w:r>
            <w:r>
              <w:rPr>
                <w:rFonts w:hint="eastAsia" w:ascii="仿宋" w:hAnsi="仿宋" w:eastAsia="仿宋"/>
                <w:b/>
                <w:bCs/>
                <w:szCs w:val="21"/>
              </w:rPr>
              <w:t>个工作</w:t>
            </w:r>
            <w:r>
              <w:rPr>
                <w:rFonts w:ascii="仿宋" w:hAnsi="仿宋" w:eastAsia="仿宋"/>
                <w:b/>
                <w:bCs/>
                <w:szCs w:val="21"/>
              </w:rPr>
              <w:t>日内，编制完成产品季度、半年和年度报告等定期报告，在天津银行官方网站进行公告。理财产品成立不足90</w:t>
            </w:r>
            <w:r>
              <w:rPr>
                <w:rFonts w:hint="eastAsia" w:ascii="仿宋" w:hAnsi="仿宋" w:eastAsia="仿宋"/>
                <w:b/>
                <w:bCs/>
                <w:szCs w:val="21"/>
              </w:rPr>
              <w:t>个工作</w:t>
            </w:r>
            <w:r>
              <w:rPr>
                <w:rFonts w:ascii="仿宋" w:hAnsi="仿宋" w:eastAsia="仿宋"/>
                <w:b/>
                <w:bCs/>
                <w:szCs w:val="21"/>
              </w:rPr>
              <w:t>日或者剩余期限不超过90</w:t>
            </w:r>
            <w:r>
              <w:rPr>
                <w:rFonts w:hint="eastAsia" w:ascii="仿宋" w:hAnsi="仿宋" w:eastAsia="仿宋"/>
                <w:b/>
                <w:bCs/>
                <w:szCs w:val="21"/>
              </w:rPr>
              <w:t>个工作</w:t>
            </w:r>
            <w:r>
              <w:rPr>
                <w:rFonts w:ascii="仿宋" w:hAnsi="仿宋" w:eastAsia="仿宋"/>
                <w:b/>
                <w:bCs/>
                <w:szCs w:val="21"/>
              </w:rPr>
              <w:t>日的，可以不编制理财产品当期的季度、半年和年度报告。</w:t>
            </w:r>
          </w:p>
          <w:p>
            <w:pPr>
              <w:spacing w:line="240" w:lineRule="exact"/>
              <w:rPr>
                <w:rFonts w:ascii="仿宋" w:hAnsi="仿宋" w:eastAsia="仿宋"/>
                <w:b/>
                <w:bCs/>
                <w:szCs w:val="21"/>
              </w:rPr>
            </w:pPr>
            <w:r>
              <w:rPr>
                <w:rFonts w:ascii="仿宋" w:hAnsi="仿宋" w:eastAsia="仿宋"/>
                <w:b/>
                <w:bCs/>
                <w:szCs w:val="21"/>
              </w:rPr>
              <w:t>4．天津银行将通过官方网站、手机银行、</w:t>
            </w:r>
            <w:r>
              <w:rPr>
                <w:rFonts w:hint="eastAsia" w:ascii="仿宋" w:hAnsi="仿宋" w:eastAsia="仿宋"/>
                <w:b/>
                <w:bCs/>
                <w:szCs w:val="21"/>
              </w:rPr>
              <w:t>网上银行或其他天津银行认为适当的方式披露投资者持有的理财产品份额、认购金额、单位净值、累计净值、资产净值、收益情况、理财交易账户发生的交易明细等信息。</w:t>
            </w:r>
          </w:p>
          <w:p>
            <w:pPr>
              <w:spacing w:line="240" w:lineRule="exact"/>
              <w:rPr>
                <w:rFonts w:ascii="仿宋" w:hAnsi="仿宋" w:eastAsia="仿宋"/>
                <w:b/>
                <w:bCs/>
                <w:szCs w:val="21"/>
              </w:rPr>
            </w:pPr>
            <w:r>
              <w:rPr>
                <w:rFonts w:ascii="仿宋" w:hAnsi="仿宋" w:eastAsia="仿宋"/>
                <w:b/>
                <w:bCs/>
                <w:szCs w:val="21"/>
              </w:rPr>
              <w:t>5．重大事项公告：在产品重大事项发生后的2个工作日内通过官方网站或营业网点发布重大事项公告。产品重大事项包括但不限于如下事件：</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1）理财产品所投资资产对投资者权益或投资收益等产生重大影响的突发事件；</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2）金融市场发生重大变化导致理财产品投资比例暂时超出浮动区间且可能对理财产品收益产生重大影响的。</w:t>
            </w:r>
          </w:p>
          <w:p>
            <w:pPr>
              <w:spacing w:line="240" w:lineRule="exact"/>
              <w:rPr>
                <w:rFonts w:ascii="仿宋" w:hAnsi="仿宋" w:eastAsia="仿宋"/>
                <w:b/>
                <w:bCs/>
                <w:szCs w:val="21"/>
              </w:rPr>
            </w:pPr>
            <w:r>
              <w:rPr>
                <w:rFonts w:ascii="仿宋" w:hAnsi="仿宋" w:eastAsia="仿宋"/>
                <w:b/>
                <w:bCs/>
                <w:szCs w:val="21"/>
              </w:rPr>
              <w:t>6．临时性信息披露，包括但不限于如下事件：</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1）如本产品需延期清算，将最迟于到期日后5个工作日内在官方网站或营业网点等渠道发布相关信息公告。</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2）产品存续期间，天津银行如对本理财说明书条款进行补充、说明及修订，将提前2个工作日通过官方网站或营业网点予以披露，投资者应定期通过上述渠道获知有关本理财产品相关信息。</w:t>
            </w:r>
          </w:p>
          <w:p>
            <w:pPr>
              <w:spacing w:line="240" w:lineRule="exact"/>
              <w:rPr>
                <w:rFonts w:ascii="仿宋" w:hAnsi="仿宋" w:eastAsia="仿宋"/>
                <w:b/>
                <w:bCs/>
                <w:szCs w:val="21"/>
              </w:rPr>
            </w:pPr>
            <w:r>
              <w:rPr>
                <w:rFonts w:hint="eastAsia" w:ascii="仿宋" w:hAnsi="仿宋" w:eastAsia="仿宋"/>
                <w:b/>
                <w:bCs/>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spacing w:line="240" w:lineRule="exact"/>
              <w:rPr>
                <w:rFonts w:ascii="仿宋" w:hAnsi="仿宋" w:eastAsia="仿宋"/>
                <w:b/>
                <w:bCs/>
                <w:szCs w:val="21"/>
              </w:rPr>
            </w:pPr>
            <w:r>
              <w:rPr>
                <w:rFonts w:ascii="仿宋" w:hAnsi="仿宋" w:eastAsia="仿宋"/>
                <w:b/>
                <w:bCs/>
                <w:szCs w:val="21"/>
              </w:rPr>
              <w:t>8．客户不得利用金融产品和服务从事违法活动。</w:t>
            </w:r>
          </w:p>
          <w:p>
            <w:pPr>
              <w:spacing w:line="240" w:lineRule="exact"/>
              <w:rPr>
                <w:rFonts w:ascii="仿宋" w:hAnsi="仿宋" w:eastAsia="仿宋"/>
                <w:b/>
                <w:bCs/>
                <w:szCs w:val="21"/>
              </w:rPr>
            </w:pPr>
            <w:r>
              <w:rPr>
                <w:rFonts w:ascii="仿宋" w:hAnsi="仿宋" w:eastAsia="仿宋"/>
                <w:b/>
                <w:szCs w:val="21"/>
              </w:rPr>
              <w:t>9．客户如对本产品有任何建议、意见或投诉，请拨打我行</w:t>
            </w:r>
            <w:r>
              <w:rPr>
                <w:rFonts w:hint="eastAsia" w:ascii="仿宋" w:hAnsi="仿宋" w:eastAsia="仿宋"/>
                <w:b/>
                <w:szCs w:val="21"/>
              </w:rPr>
              <w:t>24小时客服电话</w:t>
            </w:r>
            <w:r>
              <w:rPr>
                <w:rFonts w:ascii="仿宋" w:hAnsi="仿宋" w:eastAsia="仿宋"/>
                <w:b/>
                <w:szCs w:val="21"/>
              </w:rPr>
              <w:t>956056</w:t>
            </w:r>
            <w:r>
              <w:rPr>
                <w:rFonts w:hint="eastAsia" w:ascii="仿宋" w:hAnsi="仿宋" w:eastAsia="仿宋"/>
                <w:b/>
                <w:szCs w:val="21"/>
              </w:rPr>
              <w:t>咨询</w:t>
            </w:r>
            <w:r>
              <w:rPr>
                <w:rFonts w:ascii="仿宋" w:hAnsi="仿宋" w:eastAsia="仿宋"/>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951" w:type="dxa"/>
            <w:vAlign w:val="center"/>
          </w:tcPr>
          <w:p>
            <w:pPr>
              <w:jc w:val="center"/>
              <w:rPr>
                <w:rFonts w:ascii="仿宋" w:hAnsi="仿宋" w:eastAsia="仿宋"/>
                <w:b/>
                <w:bCs/>
                <w:sz w:val="24"/>
                <w:szCs w:val="24"/>
              </w:rPr>
            </w:pPr>
            <w:r>
              <w:rPr>
                <w:rFonts w:hint="eastAsia" w:ascii="仿宋" w:hAnsi="仿宋" w:eastAsia="仿宋"/>
                <w:b/>
                <w:bCs/>
                <w:sz w:val="24"/>
                <w:szCs w:val="24"/>
              </w:rPr>
              <w:t>特别提示</w:t>
            </w:r>
          </w:p>
        </w:tc>
        <w:tc>
          <w:tcPr>
            <w:tcW w:w="8457" w:type="dxa"/>
            <w:gridSpan w:val="8"/>
            <w:vAlign w:val="center"/>
          </w:tcPr>
          <w:p>
            <w:pPr>
              <w:spacing w:line="360" w:lineRule="exact"/>
              <w:jc w:val="left"/>
              <w:rPr>
                <w:rFonts w:ascii="仿宋" w:hAnsi="仿宋" w:eastAsia="仿宋"/>
                <w:b/>
                <w:szCs w:val="21"/>
              </w:rPr>
            </w:pPr>
            <w:r>
              <w:rPr>
                <w:rFonts w:hint="eastAsia" w:ascii="仿宋" w:hAnsi="仿宋" w:eastAsia="仿宋"/>
                <w:b/>
                <w:szCs w:val="21"/>
              </w:rPr>
              <w:t>1.根据中国人民银行、中国银行保险监督管理委员会、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w:t>
            </w:r>
            <w:r>
              <w:rPr>
                <w:rFonts w:ascii="仿宋" w:hAnsi="仿宋" w:eastAsia="仿宋"/>
                <w:b/>
                <w:szCs w:val="21"/>
              </w:rPr>
              <w:t>0%</w:t>
            </w:r>
            <w:r>
              <w:rPr>
                <w:rFonts w:hint="eastAsia" w:ascii="仿宋" w:hAnsi="仿宋" w:eastAsia="仿宋"/>
                <w:b/>
                <w:szCs w:val="21"/>
              </w:rPr>
              <w:t>，权益类产品投资于股票、未上市企业股权等权益类资产的比例不低于8</w:t>
            </w:r>
            <w:r>
              <w:rPr>
                <w:rFonts w:ascii="仿宋" w:hAnsi="仿宋" w:eastAsia="仿宋"/>
                <w:b/>
                <w:szCs w:val="21"/>
              </w:rPr>
              <w:t>0%</w:t>
            </w:r>
            <w:r>
              <w:rPr>
                <w:rFonts w:hint="eastAsia" w:ascii="仿宋" w:hAnsi="仿宋" w:eastAsia="仿宋"/>
                <w:b/>
                <w:szCs w:val="21"/>
              </w:rPr>
              <w:t>，商品及金融衍生品类产品投资于商品及金融衍生品的比例不低于8</w:t>
            </w:r>
            <w:r>
              <w:rPr>
                <w:rFonts w:ascii="仿宋" w:hAnsi="仿宋" w:eastAsia="仿宋"/>
                <w:b/>
                <w:szCs w:val="21"/>
              </w:rPr>
              <w:t>0%</w:t>
            </w:r>
            <w:r>
              <w:rPr>
                <w:rFonts w:hint="eastAsia" w:ascii="仿宋" w:hAnsi="仿宋" w:eastAsia="仿宋"/>
                <w:b/>
                <w:szCs w:val="21"/>
              </w:rPr>
              <w:t>，混合类产品投资于债权类资产、权益类资产、商品及金融衍生品类资产且任一资产的投资比例未达到前三类产品标准。”。据此，本产品属于</w:t>
            </w:r>
            <w:r>
              <w:rPr>
                <w:rFonts w:hint="eastAsia" w:ascii="仿宋" w:hAnsi="仿宋" w:eastAsia="仿宋"/>
                <w:b/>
                <w:szCs w:val="21"/>
                <w:lang w:val="en-US" w:eastAsia="zh-CN"/>
              </w:rPr>
              <w:t>固定收益</w:t>
            </w:r>
            <w:r>
              <w:rPr>
                <w:rFonts w:hint="eastAsia" w:ascii="仿宋" w:hAnsi="仿宋" w:eastAsia="仿宋"/>
                <w:b/>
                <w:szCs w:val="21"/>
              </w:rPr>
              <w:t>类理财产品。</w:t>
            </w:r>
          </w:p>
          <w:p>
            <w:pPr>
              <w:spacing w:line="360" w:lineRule="exact"/>
              <w:jc w:val="left"/>
              <w:rPr>
                <w:rFonts w:ascii="仿宋" w:hAnsi="仿宋" w:eastAsia="仿宋"/>
                <w:b/>
                <w:szCs w:val="21"/>
              </w:rPr>
            </w:pPr>
            <w:r>
              <w:rPr>
                <w:rFonts w:hint="eastAsia" w:ascii="仿宋" w:hAnsi="仿宋" w:eastAsia="仿宋"/>
                <w:b/>
                <w:szCs w:val="21"/>
              </w:rPr>
              <w:t>2</w:t>
            </w:r>
            <w:r>
              <w:rPr>
                <w:rFonts w:ascii="仿宋" w:hAnsi="仿宋" w:eastAsia="仿宋"/>
                <w:b/>
                <w:szCs w:val="21"/>
              </w:rPr>
              <w:t>.</w:t>
            </w:r>
            <w:r>
              <w:rPr>
                <w:rFonts w:hint="eastAsia" w:ascii="仿宋" w:hAnsi="仿宋" w:eastAsia="仿宋"/>
                <w:b/>
                <w:szCs w:val="21"/>
              </w:rPr>
              <w:t>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spacing w:line="360" w:lineRule="exact"/>
              <w:jc w:val="left"/>
              <w:rPr>
                <w:rFonts w:ascii="仿宋" w:hAnsi="仿宋" w:eastAsia="仿宋"/>
                <w:szCs w:val="21"/>
              </w:rPr>
            </w:pPr>
            <w:r>
              <w:rPr>
                <w:rFonts w:ascii="仿宋" w:hAnsi="仿宋" w:eastAsia="仿宋"/>
                <w:szCs w:val="21"/>
              </w:rPr>
              <w:t>3.</w:t>
            </w:r>
            <w:r>
              <w:rPr>
                <w:rFonts w:hint="eastAsia" w:ascii="仿宋" w:hAnsi="仿宋" w:eastAsia="仿宋"/>
                <w:szCs w:val="21"/>
              </w:rPr>
              <w:t>天津银行将恪守勤勉尽责的原则，合理配置资产组合，为客户提供专业化的理财服务。</w:t>
            </w:r>
          </w:p>
          <w:p>
            <w:pPr>
              <w:spacing w:line="360" w:lineRule="exact"/>
              <w:jc w:val="left"/>
              <w:rPr>
                <w:rFonts w:ascii="仿宋" w:hAnsi="仿宋" w:eastAsia="仿宋"/>
                <w:b/>
                <w:szCs w:val="21"/>
              </w:rPr>
            </w:pPr>
            <w:r>
              <w:rPr>
                <w:rFonts w:ascii="仿宋" w:hAnsi="仿宋" w:eastAsia="仿宋"/>
                <w:b/>
                <w:szCs w:val="21"/>
              </w:rPr>
              <w:t>4</w:t>
            </w:r>
            <w:r>
              <w:rPr>
                <w:rFonts w:hint="eastAsia" w:ascii="仿宋" w:hAnsi="仿宋" w:eastAsia="仿宋"/>
                <w:b/>
                <w:szCs w:val="21"/>
              </w:rPr>
              <w:t>.本产品面临的风险包括市场风险、提前终止风险、流动性风险等，将可能导致投资者收益到期蒙受部分或全部损失。由此产生的理财收益损失的风险由投资人自行承担，天津银行不承担任何付息的责任。</w:t>
            </w:r>
          </w:p>
          <w:p>
            <w:pPr>
              <w:spacing w:line="360" w:lineRule="exact"/>
              <w:rPr>
                <w:rFonts w:ascii="仿宋" w:hAnsi="仿宋" w:eastAsia="仿宋"/>
                <w:szCs w:val="21"/>
              </w:rPr>
            </w:pPr>
            <w:r>
              <w:rPr>
                <w:rFonts w:ascii="仿宋" w:hAnsi="仿宋" w:eastAsia="仿宋"/>
                <w:szCs w:val="21"/>
              </w:rPr>
              <w:t>5.</w:t>
            </w:r>
            <w:r>
              <w:rPr>
                <w:rFonts w:hint="eastAsia" w:ascii="仿宋" w:hAnsi="仿宋" w:eastAsia="仿宋"/>
                <w:b/>
                <w:szCs w:val="21"/>
                <w:u w:val="single"/>
              </w:rPr>
              <w:t>非保本</w:t>
            </w:r>
            <w:r>
              <w:rPr>
                <w:rFonts w:ascii="仿宋" w:hAnsi="仿宋" w:eastAsia="仿宋"/>
                <w:b/>
                <w:szCs w:val="21"/>
                <w:u w:val="single"/>
              </w:rPr>
              <w:t>理财产品不</w:t>
            </w:r>
            <w:r>
              <w:rPr>
                <w:rFonts w:hint="eastAsia" w:ascii="仿宋" w:hAnsi="仿宋" w:eastAsia="仿宋"/>
                <w:b/>
                <w:szCs w:val="21"/>
                <w:u w:val="single"/>
              </w:rPr>
              <w:t>保证</w:t>
            </w:r>
            <w:r>
              <w:rPr>
                <w:rFonts w:ascii="仿宋" w:hAnsi="仿宋" w:eastAsia="仿宋"/>
                <w:b/>
                <w:szCs w:val="21"/>
                <w:u w:val="single"/>
              </w:rPr>
              <w:t>本金，</w:t>
            </w:r>
            <w:r>
              <w:rPr>
                <w:rFonts w:hint="eastAsia" w:ascii="仿宋" w:hAnsi="仿宋" w:eastAsia="仿宋"/>
                <w:b/>
                <w:szCs w:val="21"/>
                <w:u w:val="single"/>
              </w:rPr>
              <w:t>天津银行对非保本理财产品本金不做任何承诺。</w:t>
            </w:r>
          </w:p>
          <w:p>
            <w:pPr>
              <w:spacing w:line="240" w:lineRule="exact"/>
              <w:rPr>
                <w:rFonts w:ascii="仿宋" w:hAnsi="仿宋" w:eastAsia="仿宋"/>
                <w:szCs w:val="21"/>
              </w:rPr>
            </w:pPr>
            <w:r>
              <w:rPr>
                <w:rFonts w:ascii="仿宋" w:hAnsi="仿宋" w:eastAsia="仿宋"/>
                <w:szCs w:val="21"/>
              </w:rPr>
              <w:t>6.</w:t>
            </w:r>
            <w:r>
              <w:rPr>
                <w:rFonts w:hint="eastAsia" w:ascii="仿宋" w:hAnsi="仿宋" w:eastAsia="仿宋"/>
                <w:szCs w:val="21"/>
              </w:rPr>
              <w:t>客户应密切关注我行与本产品有关的信息公告，以免造成不必要的损失。</w:t>
            </w:r>
          </w:p>
        </w:tc>
      </w:tr>
    </w:tbl>
    <w:p>
      <w:pPr>
        <w:spacing w:line="440" w:lineRule="exact"/>
        <w:ind w:right="98"/>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rPr>
          <w:rFonts w:ascii="仿宋_GB2312" w:eastAsia="仿宋_GB2312"/>
          <w:b/>
          <w:szCs w:val="21"/>
        </w:rPr>
      </w:pPr>
    </w:p>
    <w:p>
      <w:pPr>
        <w:rPr>
          <w:rFonts w:ascii="仿宋_GB2312" w:eastAsia="仿宋_GB2312"/>
          <w:b/>
          <w:szCs w:val="21"/>
        </w:rPr>
      </w:pPr>
    </w:p>
    <w:p>
      <w:pPr>
        <w:rPr>
          <w:rFonts w:ascii="仿宋_GB2312"/>
          <w:b/>
          <w:szCs w:val="21"/>
        </w:rPr>
      </w:pPr>
      <w:r>
        <w:rPr>
          <w:rFonts w:hint="eastAsia" w:ascii="宋体" w:hAnsi="宋体"/>
          <w:b/>
          <w:szCs w:val="21"/>
        </w:rPr>
        <w:t>销售人员:                     日期:     年    月     日</w:t>
      </w:r>
    </w:p>
    <w:p>
      <w:pPr>
        <w:wordWrap w:val="0"/>
        <w:jc w:val="both"/>
        <w:rPr>
          <w:rFonts w:ascii="宋体" w:hAnsi="宋体"/>
          <w:szCs w:val="21"/>
        </w:rPr>
      </w:pPr>
      <w:bookmarkStart w:id="0" w:name="_GoBack"/>
      <w:bookmarkEnd w:id="0"/>
    </w:p>
    <w:sectPr>
      <w:headerReference r:id="rId5" w:type="default"/>
      <w:footerReference r:id="rId6"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理财非存款、产品有风险、投资须谨慎。2022年1月版本</w:t>
    </w:r>
  </w:p>
  <w:p>
    <w:pPr>
      <w:pStyle w:val="6"/>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2023</w:t>
    </w:r>
    <w:r>
      <w:rPr>
        <w:rFonts w:hint="eastAsia"/>
      </w:rPr>
      <w:t>年</w:t>
    </w:r>
    <w:r>
      <w:rPr>
        <w:rFonts w:hint="eastAsia"/>
        <w:lang w:val="en-US" w:eastAsia="zh-CN"/>
      </w:rPr>
      <w:t>12</w:t>
    </w:r>
    <w:r>
      <w:rPr>
        <w:rFonts w:hint="eastAsia"/>
      </w:rPr>
      <w:t>月版本</w:t>
    </w:r>
  </w:p>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zMzMzOGJiOGU1ZDc2YWY3Y2U3ODg5ZDY3N2UxYWMifQ=="/>
  </w:docVars>
  <w:rsids>
    <w:rsidRoot w:val="00E937DE"/>
    <w:rsid w:val="000050FC"/>
    <w:rsid w:val="00005C3D"/>
    <w:rsid w:val="0000677E"/>
    <w:rsid w:val="00006CCC"/>
    <w:rsid w:val="000105BD"/>
    <w:rsid w:val="000107DA"/>
    <w:rsid w:val="00025173"/>
    <w:rsid w:val="00026417"/>
    <w:rsid w:val="00031041"/>
    <w:rsid w:val="000438F1"/>
    <w:rsid w:val="000503C5"/>
    <w:rsid w:val="00056767"/>
    <w:rsid w:val="00060AA6"/>
    <w:rsid w:val="0006106C"/>
    <w:rsid w:val="00064A6A"/>
    <w:rsid w:val="00071B82"/>
    <w:rsid w:val="000848D1"/>
    <w:rsid w:val="000B3806"/>
    <w:rsid w:val="000C1654"/>
    <w:rsid w:val="000F7E8A"/>
    <w:rsid w:val="001175D3"/>
    <w:rsid w:val="0012598E"/>
    <w:rsid w:val="00130FCE"/>
    <w:rsid w:val="001332DF"/>
    <w:rsid w:val="00137380"/>
    <w:rsid w:val="00143551"/>
    <w:rsid w:val="00155109"/>
    <w:rsid w:val="001615B4"/>
    <w:rsid w:val="00171F71"/>
    <w:rsid w:val="001769F8"/>
    <w:rsid w:val="001830CD"/>
    <w:rsid w:val="001850BD"/>
    <w:rsid w:val="00190607"/>
    <w:rsid w:val="001A5B39"/>
    <w:rsid w:val="001B3510"/>
    <w:rsid w:val="001B3E23"/>
    <w:rsid w:val="001D5AA0"/>
    <w:rsid w:val="001D60B1"/>
    <w:rsid w:val="001E4CD0"/>
    <w:rsid w:val="001F50ED"/>
    <w:rsid w:val="002051F5"/>
    <w:rsid w:val="00210149"/>
    <w:rsid w:val="00242321"/>
    <w:rsid w:val="002632F5"/>
    <w:rsid w:val="0028432B"/>
    <w:rsid w:val="00293403"/>
    <w:rsid w:val="002A25D2"/>
    <w:rsid w:val="002B4C8C"/>
    <w:rsid w:val="002C17F4"/>
    <w:rsid w:val="002C69BE"/>
    <w:rsid w:val="002D769E"/>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93B33"/>
    <w:rsid w:val="003A28C8"/>
    <w:rsid w:val="003B28A6"/>
    <w:rsid w:val="00414753"/>
    <w:rsid w:val="004237F3"/>
    <w:rsid w:val="00437861"/>
    <w:rsid w:val="00446839"/>
    <w:rsid w:val="00460C79"/>
    <w:rsid w:val="004722C6"/>
    <w:rsid w:val="004732F9"/>
    <w:rsid w:val="004817AF"/>
    <w:rsid w:val="00485712"/>
    <w:rsid w:val="00485BF7"/>
    <w:rsid w:val="00490F51"/>
    <w:rsid w:val="0049281E"/>
    <w:rsid w:val="004A0E1E"/>
    <w:rsid w:val="004A133E"/>
    <w:rsid w:val="004C5D3E"/>
    <w:rsid w:val="004E7EB6"/>
    <w:rsid w:val="004F0977"/>
    <w:rsid w:val="00527457"/>
    <w:rsid w:val="00546D18"/>
    <w:rsid w:val="005556C9"/>
    <w:rsid w:val="005A666C"/>
    <w:rsid w:val="005D2FC9"/>
    <w:rsid w:val="005E3E71"/>
    <w:rsid w:val="005E6154"/>
    <w:rsid w:val="00603E68"/>
    <w:rsid w:val="00613480"/>
    <w:rsid w:val="00616CC8"/>
    <w:rsid w:val="00620187"/>
    <w:rsid w:val="00621F60"/>
    <w:rsid w:val="00627D11"/>
    <w:rsid w:val="0064330E"/>
    <w:rsid w:val="00652557"/>
    <w:rsid w:val="0068517E"/>
    <w:rsid w:val="0068763B"/>
    <w:rsid w:val="006C0044"/>
    <w:rsid w:val="006C7CD1"/>
    <w:rsid w:val="00702B8D"/>
    <w:rsid w:val="00723ECB"/>
    <w:rsid w:val="007363EB"/>
    <w:rsid w:val="007371BC"/>
    <w:rsid w:val="007447AC"/>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D130C"/>
    <w:rsid w:val="008D36E4"/>
    <w:rsid w:val="008E6C8F"/>
    <w:rsid w:val="008F30B6"/>
    <w:rsid w:val="008F68D1"/>
    <w:rsid w:val="009222C0"/>
    <w:rsid w:val="00925BB1"/>
    <w:rsid w:val="00933FE3"/>
    <w:rsid w:val="00945922"/>
    <w:rsid w:val="00945E7A"/>
    <w:rsid w:val="00972B81"/>
    <w:rsid w:val="0097683E"/>
    <w:rsid w:val="00984FA9"/>
    <w:rsid w:val="009A1BB6"/>
    <w:rsid w:val="009B08A9"/>
    <w:rsid w:val="009B30A7"/>
    <w:rsid w:val="009B5876"/>
    <w:rsid w:val="009C0C09"/>
    <w:rsid w:val="009E7334"/>
    <w:rsid w:val="009F40E2"/>
    <w:rsid w:val="00A00521"/>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433A0"/>
    <w:rsid w:val="00B510DF"/>
    <w:rsid w:val="00B64ADB"/>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D0484"/>
    <w:rsid w:val="00D1253F"/>
    <w:rsid w:val="00D26288"/>
    <w:rsid w:val="00D27146"/>
    <w:rsid w:val="00D31232"/>
    <w:rsid w:val="00D31807"/>
    <w:rsid w:val="00D33BB2"/>
    <w:rsid w:val="00D34DDD"/>
    <w:rsid w:val="00D40E7E"/>
    <w:rsid w:val="00D84314"/>
    <w:rsid w:val="00D947DF"/>
    <w:rsid w:val="00DD6D48"/>
    <w:rsid w:val="00DE0E23"/>
    <w:rsid w:val="00DE54A0"/>
    <w:rsid w:val="00E2002D"/>
    <w:rsid w:val="00E24C37"/>
    <w:rsid w:val="00E250F7"/>
    <w:rsid w:val="00E46CDB"/>
    <w:rsid w:val="00E60901"/>
    <w:rsid w:val="00E65204"/>
    <w:rsid w:val="00E66F07"/>
    <w:rsid w:val="00E735F1"/>
    <w:rsid w:val="00E80D21"/>
    <w:rsid w:val="00E937DE"/>
    <w:rsid w:val="00EB066E"/>
    <w:rsid w:val="00EB2F3C"/>
    <w:rsid w:val="00EB39F0"/>
    <w:rsid w:val="00ED07E6"/>
    <w:rsid w:val="00EE1476"/>
    <w:rsid w:val="00EE6CAA"/>
    <w:rsid w:val="00EF482C"/>
    <w:rsid w:val="00F00CD1"/>
    <w:rsid w:val="00F046EE"/>
    <w:rsid w:val="00F31B20"/>
    <w:rsid w:val="00F36DD4"/>
    <w:rsid w:val="00F46155"/>
    <w:rsid w:val="00F47FE1"/>
    <w:rsid w:val="00F529F5"/>
    <w:rsid w:val="00F601C9"/>
    <w:rsid w:val="00F63DCF"/>
    <w:rsid w:val="00F76605"/>
    <w:rsid w:val="00F76B66"/>
    <w:rsid w:val="00F96BB6"/>
    <w:rsid w:val="00FB5E03"/>
    <w:rsid w:val="00FD1478"/>
    <w:rsid w:val="00FD2993"/>
    <w:rsid w:val="00FF05AF"/>
    <w:rsid w:val="00FF3AB0"/>
    <w:rsid w:val="019B5A3B"/>
    <w:rsid w:val="01C761D7"/>
    <w:rsid w:val="01D33779"/>
    <w:rsid w:val="0239305F"/>
    <w:rsid w:val="03136209"/>
    <w:rsid w:val="039511E0"/>
    <w:rsid w:val="03B42594"/>
    <w:rsid w:val="03D76239"/>
    <w:rsid w:val="03D8322F"/>
    <w:rsid w:val="04B067CC"/>
    <w:rsid w:val="054B0C88"/>
    <w:rsid w:val="05CD556E"/>
    <w:rsid w:val="05D00E8C"/>
    <w:rsid w:val="06664813"/>
    <w:rsid w:val="0712760A"/>
    <w:rsid w:val="09175D86"/>
    <w:rsid w:val="095B2107"/>
    <w:rsid w:val="0A2339CB"/>
    <w:rsid w:val="0A606DB8"/>
    <w:rsid w:val="0B760EB4"/>
    <w:rsid w:val="0BD10037"/>
    <w:rsid w:val="0CC416BA"/>
    <w:rsid w:val="0CF14FE0"/>
    <w:rsid w:val="0E063FDD"/>
    <w:rsid w:val="0E5E6AD0"/>
    <w:rsid w:val="0ECF111E"/>
    <w:rsid w:val="0F071804"/>
    <w:rsid w:val="0F2968AC"/>
    <w:rsid w:val="0F307FC0"/>
    <w:rsid w:val="0FAD5D46"/>
    <w:rsid w:val="121968F7"/>
    <w:rsid w:val="12935552"/>
    <w:rsid w:val="129C1773"/>
    <w:rsid w:val="136029AF"/>
    <w:rsid w:val="142A4337"/>
    <w:rsid w:val="148A0C71"/>
    <w:rsid w:val="14FD0F5F"/>
    <w:rsid w:val="15886655"/>
    <w:rsid w:val="15AA3F8F"/>
    <w:rsid w:val="16AF0079"/>
    <w:rsid w:val="17F311DF"/>
    <w:rsid w:val="1813574E"/>
    <w:rsid w:val="186A22B9"/>
    <w:rsid w:val="18A26704"/>
    <w:rsid w:val="18D445C6"/>
    <w:rsid w:val="18F83EC4"/>
    <w:rsid w:val="19081A72"/>
    <w:rsid w:val="1A8C639B"/>
    <w:rsid w:val="1AA85186"/>
    <w:rsid w:val="1AD02238"/>
    <w:rsid w:val="1B405971"/>
    <w:rsid w:val="1B4A09E3"/>
    <w:rsid w:val="1BCE63CB"/>
    <w:rsid w:val="1CD33A23"/>
    <w:rsid w:val="1CD83CC8"/>
    <w:rsid w:val="1DA122BF"/>
    <w:rsid w:val="1DAC12CE"/>
    <w:rsid w:val="1DD138EA"/>
    <w:rsid w:val="1E9C6F04"/>
    <w:rsid w:val="1F4B46B8"/>
    <w:rsid w:val="1FAD302F"/>
    <w:rsid w:val="1FC540B5"/>
    <w:rsid w:val="20016901"/>
    <w:rsid w:val="2028651A"/>
    <w:rsid w:val="20620CCD"/>
    <w:rsid w:val="20BF7C82"/>
    <w:rsid w:val="21504839"/>
    <w:rsid w:val="220C70A3"/>
    <w:rsid w:val="2275304B"/>
    <w:rsid w:val="23085F8F"/>
    <w:rsid w:val="23E105B9"/>
    <w:rsid w:val="2417155F"/>
    <w:rsid w:val="25B817B6"/>
    <w:rsid w:val="25DF7AE3"/>
    <w:rsid w:val="26030E0A"/>
    <w:rsid w:val="274C4916"/>
    <w:rsid w:val="2A14561F"/>
    <w:rsid w:val="2A3D3EE9"/>
    <w:rsid w:val="2A5C128E"/>
    <w:rsid w:val="2B135BD8"/>
    <w:rsid w:val="2B792392"/>
    <w:rsid w:val="2BA43813"/>
    <w:rsid w:val="2BAF2069"/>
    <w:rsid w:val="2BDC7961"/>
    <w:rsid w:val="2C005C60"/>
    <w:rsid w:val="2C2B18AE"/>
    <w:rsid w:val="2C4C3EEF"/>
    <w:rsid w:val="2D41146A"/>
    <w:rsid w:val="2D8E4CAD"/>
    <w:rsid w:val="2DD32DEA"/>
    <w:rsid w:val="2E9342EE"/>
    <w:rsid w:val="2F46151F"/>
    <w:rsid w:val="2F843B15"/>
    <w:rsid w:val="2F865D06"/>
    <w:rsid w:val="2FD02C35"/>
    <w:rsid w:val="2FE55345"/>
    <w:rsid w:val="2FEC66E0"/>
    <w:rsid w:val="30226A33"/>
    <w:rsid w:val="30BF5ED4"/>
    <w:rsid w:val="310A3197"/>
    <w:rsid w:val="3143784B"/>
    <w:rsid w:val="31622551"/>
    <w:rsid w:val="31A723DD"/>
    <w:rsid w:val="329374D1"/>
    <w:rsid w:val="32A60B75"/>
    <w:rsid w:val="335B7966"/>
    <w:rsid w:val="33CB46EE"/>
    <w:rsid w:val="3420266D"/>
    <w:rsid w:val="3423282A"/>
    <w:rsid w:val="34511C95"/>
    <w:rsid w:val="34C33231"/>
    <w:rsid w:val="35642F0A"/>
    <w:rsid w:val="35974916"/>
    <w:rsid w:val="376A5C55"/>
    <w:rsid w:val="376A7EC8"/>
    <w:rsid w:val="379D06DB"/>
    <w:rsid w:val="380562BA"/>
    <w:rsid w:val="39FE23D7"/>
    <w:rsid w:val="3A9B7AC2"/>
    <w:rsid w:val="3B332535"/>
    <w:rsid w:val="3B5A79C2"/>
    <w:rsid w:val="3C50575C"/>
    <w:rsid w:val="3C68240E"/>
    <w:rsid w:val="3D3A1CFD"/>
    <w:rsid w:val="3D473E00"/>
    <w:rsid w:val="3DD77319"/>
    <w:rsid w:val="3E88241E"/>
    <w:rsid w:val="3E961DBD"/>
    <w:rsid w:val="3EDF5259"/>
    <w:rsid w:val="3F730644"/>
    <w:rsid w:val="40AF2065"/>
    <w:rsid w:val="40CB0F95"/>
    <w:rsid w:val="41DF7AB2"/>
    <w:rsid w:val="432B3DD1"/>
    <w:rsid w:val="43F40144"/>
    <w:rsid w:val="44565DD8"/>
    <w:rsid w:val="44A64A64"/>
    <w:rsid w:val="45D1575D"/>
    <w:rsid w:val="469A0BAB"/>
    <w:rsid w:val="477656B3"/>
    <w:rsid w:val="47FA64FF"/>
    <w:rsid w:val="48B151B1"/>
    <w:rsid w:val="48E43709"/>
    <w:rsid w:val="499F68CE"/>
    <w:rsid w:val="4AA50298"/>
    <w:rsid w:val="4AC85AAB"/>
    <w:rsid w:val="4B0D51ED"/>
    <w:rsid w:val="4B5D4422"/>
    <w:rsid w:val="4BA20CE3"/>
    <w:rsid w:val="4BF22624"/>
    <w:rsid w:val="4CD63DAD"/>
    <w:rsid w:val="4D043D24"/>
    <w:rsid w:val="4D900EFC"/>
    <w:rsid w:val="4E1E2E5D"/>
    <w:rsid w:val="4E6B0D6D"/>
    <w:rsid w:val="4EE66EE4"/>
    <w:rsid w:val="4EF22B42"/>
    <w:rsid w:val="4F5F2990"/>
    <w:rsid w:val="4FF31220"/>
    <w:rsid w:val="50A363C6"/>
    <w:rsid w:val="51DA6FF7"/>
    <w:rsid w:val="52E3106A"/>
    <w:rsid w:val="52E53C3B"/>
    <w:rsid w:val="530F20EF"/>
    <w:rsid w:val="53AA546B"/>
    <w:rsid w:val="54365C18"/>
    <w:rsid w:val="553309FA"/>
    <w:rsid w:val="55C51FC5"/>
    <w:rsid w:val="55D1679A"/>
    <w:rsid w:val="561F36E7"/>
    <w:rsid w:val="57410D47"/>
    <w:rsid w:val="575675D5"/>
    <w:rsid w:val="576F5E61"/>
    <w:rsid w:val="57A4587A"/>
    <w:rsid w:val="580A1BC7"/>
    <w:rsid w:val="590A7B4F"/>
    <w:rsid w:val="59B11E71"/>
    <w:rsid w:val="5A925EE5"/>
    <w:rsid w:val="5C316E07"/>
    <w:rsid w:val="5C784B67"/>
    <w:rsid w:val="5D3F68A0"/>
    <w:rsid w:val="5D7A343C"/>
    <w:rsid w:val="5DC40230"/>
    <w:rsid w:val="5DDB3A62"/>
    <w:rsid w:val="5F620A8B"/>
    <w:rsid w:val="5F645F3D"/>
    <w:rsid w:val="60363BC9"/>
    <w:rsid w:val="60FE1D39"/>
    <w:rsid w:val="611233DF"/>
    <w:rsid w:val="613B3955"/>
    <w:rsid w:val="61747A6B"/>
    <w:rsid w:val="61E21868"/>
    <w:rsid w:val="62177022"/>
    <w:rsid w:val="62295709"/>
    <w:rsid w:val="62907705"/>
    <w:rsid w:val="63692464"/>
    <w:rsid w:val="63950650"/>
    <w:rsid w:val="64131C8C"/>
    <w:rsid w:val="646E359C"/>
    <w:rsid w:val="64D134A4"/>
    <w:rsid w:val="65D2050B"/>
    <w:rsid w:val="67046E64"/>
    <w:rsid w:val="67C76918"/>
    <w:rsid w:val="67F13F32"/>
    <w:rsid w:val="684C7B01"/>
    <w:rsid w:val="68C7359A"/>
    <w:rsid w:val="697F37CA"/>
    <w:rsid w:val="69BB0621"/>
    <w:rsid w:val="6A0B6E1C"/>
    <w:rsid w:val="6B173076"/>
    <w:rsid w:val="6CB3264C"/>
    <w:rsid w:val="6D7C2167"/>
    <w:rsid w:val="6ED85FC6"/>
    <w:rsid w:val="6F71362E"/>
    <w:rsid w:val="6FC355DE"/>
    <w:rsid w:val="6FF47363"/>
    <w:rsid w:val="70C94CFA"/>
    <w:rsid w:val="71D00FAE"/>
    <w:rsid w:val="726F7415"/>
    <w:rsid w:val="73A5114E"/>
    <w:rsid w:val="73B74D74"/>
    <w:rsid w:val="73EC5E62"/>
    <w:rsid w:val="75121484"/>
    <w:rsid w:val="75B27FC6"/>
    <w:rsid w:val="75DA323C"/>
    <w:rsid w:val="75F2788A"/>
    <w:rsid w:val="76AF17B9"/>
    <w:rsid w:val="76E077AE"/>
    <w:rsid w:val="77431C6C"/>
    <w:rsid w:val="7794643A"/>
    <w:rsid w:val="77A32A2B"/>
    <w:rsid w:val="782A3CF3"/>
    <w:rsid w:val="793E2054"/>
    <w:rsid w:val="79D03BB5"/>
    <w:rsid w:val="7A313B3E"/>
    <w:rsid w:val="7AA772AE"/>
    <w:rsid w:val="7B75497C"/>
    <w:rsid w:val="7B781ECB"/>
    <w:rsid w:val="7C6341BB"/>
    <w:rsid w:val="7CA0456B"/>
    <w:rsid w:val="7CC33C15"/>
    <w:rsid w:val="7DAD350F"/>
    <w:rsid w:val="7DDE3964"/>
    <w:rsid w:val="7DF9740F"/>
    <w:rsid w:val="7E4373D9"/>
    <w:rsid w:val="7E4B1C94"/>
    <w:rsid w:val="7EC00FD6"/>
    <w:rsid w:val="7FC85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unhideWhenUsed/>
    <w:qFormat/>
    <w:uiPriority w:val="99"/>
    <w:pPr>
      <w:jc w:val="left"/>
    </w:pPr>
  </w:style>
  <w:style w:type="paragraph" w:styleId="3">
    <w:name w:val="Body Text Indent"/>
    <w:basedOn w:val="1"/>
    <w:link w:val="13"/>
    <w:qFormat/>
    <w:uiPriority w:val="0"/>
    <w:pPr>
      <w:ind w:firstLine="560" w:firstLineChars="200"/>
    </w:pPr>
    <w:rPr>
      <w:rFonts w:ascii="Times New Roman" w:hAnsi="Times New Roman"/>
      <w:sz w:val="28"/>
      <w:szCs w:val="24"/>
    </w:rPr>
  </w:style>
  <w:style w:type="paragraph" w:styleId="4">
    <w:name w:val="Balloon Text"/>
    <w:basedOn w:val="1"/>
    <w:link w:val="19"/>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annotation subject"/>
    <w:basedOn w:val="2"/>
    <w:next w:val="2"/>
    <w:link w:val="18"/>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link w:val="6"/>
    <w:qFormat/>
    <w:uiPriority w:val="99"/>
    <w:rPr>
      <w:kern w:val="2"/>
      <w:sz w:val="18"/>
      <w:szCs w:val="18"/>
    </w:rPr>
  </w:style>
  <w:style w:type="character" w:customStyle="1" w:styleId="16">
    <w:name w:val="页脚 Char"/>
    <w:link w:val="5"/>
    <w:qFormat/>
    <w:uiPriority w:val="99"/>
    <w:rPr>
      <w:kern w:val="2"/>
      <w:sz w:val="18"/>
      <w:szCs w:val="18"/>
    </w:rPr>
  </w:style>
  <w:style w:type="character" w:customStyle="1" w:styleId="17">
    <w:name w:val="批注文字 Char"/>
    <w:link w:val="2"/>
    <w:semiHidden/>
    <w:qFormat/>
    <w:uiPriority w:val="99"/>
    <w:rPr>
      <w:kern w:val="2"/>
      <w:sz w:val="21"/>
      <w:szCs w:val="22"/>
    </w:rPr>
  </w:style>
  <w:style w:type="character" w:customStyle="1" w:styleId="18">
    <w:name w:val="批注主题 Char"/>
    <w:link w:val="8"/>
    <w:semiHidden/>
    <w:qFormat/>
    <w:uiPriority w:val="99"/>
    <w:rPr>
      <w:b/>
      <w:bCs/>
      <w:kern w:val="2"/>
      <w:sz w:val="21"/>
      <w:szCs w:val="22"/>
    </w:rPr>
  </w:style>
  <w:style w:type="character" w:customStyle="1" w:styleId="19">
    <w:name w:val="批注框文本 Char"/>
    <w:link w:val="4"/>
    <w:semiHidden/>
    <w:qFormat/>
    <w:uiPriority w:val="99"/>
    <w:rPr>
      <w:kern w:val="2"/>
      <w:sz w:val="18"/>
      <w:szCs w:val="18"/>
    </w:rPr>
  </w:style>
  <w:style w:type="paragraph" w:customStyle="1" w:styleId="20">
    <w:name w:val="列出段落1"/>
    <w:basedOn w:val="1"/>
    <w:qFormat/>
    <w:uiPriority w:val="34"/>
    <w:pPr>
      <w:ind w:firstLine="420" w:firstLineChars="200"/>
    </w:pPr>
    <w:rPr>
      <w:rFonts w:ascii="Times New Roman" w:hAnsi="Times New Roman"/>
      <w:szCs w:val="20"/>
    </w:rPr>
  </w:style>
  <w:style w:type="paragraph" w:customStyle="1" w:styleId="21">
    <w:name w:val="Default"/>
    <w:qFormat/>
    <w:uiPriority w:val="0"/>
    <w:pPr>
      <w:widowControl w:val="0"/>
      <w:autoSpaceDE w:val="0"/>
      <w:autoSpaceDN w:val="0"/>
      <w:adjustRightInd w:val="0"/>
    </w:pPr>
    <w:rPr>
      <w:rFonts w:ascii="宋体" w:hAnsi="Cambria" w:eastAsia="宋体" w:cs="宋体"/>
      <w:color w:val="000000"/>
      <w:sz w:val="24"/>
      <w:szCs w:val="24"/>
      <w:lang w:val="en-US" w:eastAsia="zh-CN" w:bidi="ar-SA"/>
    </w:rPr>
  </w:style>
  <w:style w:type="paragraph" w:customStyle="1" w:styleId="22">
    <w:name w:val="列出段落3"/>
    <w:basedOn w:val="1"/>
    <w:qFormat/>
    <w:uiPriority w:val="34"/>
    <w:pPr>
      <w:ind w:firstLine="420" w:firstLineChars="200"/>
    </w:pPr>
  </w:style>
  <w:style w:type="paragraph" w:styleId="23">
    <w:name w:val="List Paragraph"/>
    <w:basedOn w:val="1"/>
    <w:qFormat/>
    <w:uiPriority w:val="99"/>
    <w:pPr>
      <w:ind w:firstLine="420" w:firstLineChars="200"/>
    </w:pPr>
  </w:style>
  <w:style w:type="paragraph" w:customStyle="1" w:styleId="24">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A3BF0F-BAEF-4006-872F-768BC0E0E6CE}">
  <ds:schemaRefs/>
</ds:datastoreItem>
</file>

<file path=docProps/app.xml><?xml version="1.0" encoding="utf-8"?>
<Properties xmlns="http://schemas.openxmlformats.org/officeDocument/2006/extended-properties" xmlns:vt="http://schemas.openxmlformats.org/officeDocument/2006/docPropsVTypes">
  <Template>Normal</Template>
  <Pages>10</Pages>
  <Words>16693</Words>
  <Characters>17179</Characters>
  <Lines>106</Lines>
  <Paragraphs>30</Paragraphs>
  <TotalTime>0</TotalTime>
  <ScaleCrop>false</ScaleCrop>
  <LinksUpToDate>false</LinksUpToDate>
  <CharactersWithSpaces>17506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2020-11-06T03:57:00Z</dcterms:created>
  <dc:creator>zhaowen</dc:creator>
  <cp:lastModifiedBy>Administrator</cp:lastModifiedBy>
  <cp:lastPrinted>2021-01-12T10:22:00Z</cp:lastPrinted>
  <dcterms:modified xsi:type="dcterms:W3CDTF">2025-04-27T03:03:09Z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1E8710F676AD4B39928E33EF905B35A8</vt:lpwstr>
  </property>
</Properties>
</file>