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幸福99丰裕固收386天25186期理财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幸福99丰裕固收386天25186期理财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幸福99丰裕固收386天25186期理财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幸福99丰裕固收386天25186期理财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幸福99丰裕固收386天25186期理财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幸福99丰裕固收386天25186期理财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Z7002225000357</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幸福99丰裕固收386天25186期理财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幸福99丰裕固收386天25186期理财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幸福99丰裕固收386天25186期理财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幸福99丰裕固收386天25186期理财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幸福99丰裕固收386天25186期理财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幸福99丰裕固收386天25186期理财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 w:val="0"/>
                <w:bCs/>
                <w:color w:val="auto"/>
                <w:kern w:val="2"/>
                <w:highlight w:val="none"/>
              </w:rPr>
            </w:pPr>
            <w:bookmarkStart w:id="0" w:name="_GoBack" w:colFirst="0" w:colLast="2"/>
            <w:r>
              <w:rPr>
                <w:rFonts w:hint="eastAsia" w:ascii="宋体" w:hAnsi="宋体" w:cs="宋体"/>
                <w:b w:val="0"/>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 w:val="0"/>
                <w:bCs/>
                <w:color w:val="auto"/>
                <w:kern w:val="2"/>
                <w:highlight w:val="none"/>
              </w:rPr>
            </w:pPr>
            <w:r>
              <w:rPr>
                <w:rFonts w:hint="eastAsia" w:ascii="宋体" w:hAnsi="宋体" w:cs="宋体"/>
                <w:b w:val="0"/>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 w:val="0"/>
                <w:bCs/>
                <w:color w:val="auto"/>
                <w:kern w:val="2"/>
                <w:highlight w:val="none"/>
              </w:rPr>
            </w:pPr>
            <w:r>
              <w:rPr>
                <w:rFonts w:hint="eastAsia" w:ascii="宋体" w:hAnsi="宋体" w:cs="宋体"/>
                <w:b w:val="0"/>
                <w:bCs/>
                <w:color w:val="auto"/>
                <w:kern w:val="2"/>
                <w:highlight w:val="none"/>
              </w:rPr>
              <w:t>稳健型</w:t>
            </w:r>
            <w:r>
              <w:rPr>
                <w:rFonts w:hint="eastAsia" w:ascii="宋体" w:hAnsi="宋体" w:cs="宋体"/>
                <w:b w:val="0"/>
                <w:bCs/>
                <w:color w:val="auto"/>
                <w:kern w:val="2"/>
                <w:highlight w:val="none"/>
                <w:lang w:eastAsia="zh-CN"/>
              </w:rPr>
              <w:t>、</w:t>
            </w:r>
            <w:r>
              <w:rPr>
                <w:rFonts w:hint="eastAsia" w:ascii="宋体" w:hAnsi="宋体" w:cs="宋体"/>
                <w:b w:val="0"/>
                <w:bCs/>
                <w:color w:val="auto"/>
                <w:kern w:val="2"/>
                <w:highlight w:val="none"/>
              </w:rPr>
              <w:t>平衡型</w:t>
            </w:r>
            <w:r>
              <w:rPr>
                <w:rFonts w:hint="eastAsia" w:ascii="宋体" w:hAnsi="宋体" w:cs="宋体"/>
                <w:b w:val="0"/>
                <w:bCs/>
                <w:color w:val="auto"/>
                <w:kern w:val="2"/>
                <w:highlight w:val="none"/>
                <w:lang w:eastAsia="zh-CN"/>
              </w:rPr>
              <w:t>、成长</w:t>
            </w:r>
            <w:r>
              <w:rPr>
                <w:rFonts w:hint="eastAsia" w:ascii="宋体" w:hAnsi="宋体" w:cs="宋体"/>
                <w:b w:val="0"/>
                <w:bCs/>
                <w:color w:val="auto"/>
                <w:kern w:val="2"/>
                <w:highlight w:val="none"/>
              </w:rPr>
              <w:t>型</w:t>
            </w:r>
            <w:r>
              <w:rPr>
                <w:rFonts w:hint="eastAsia" w:ascii="宋体" w:hAnsi="宋体" w:cs="宋体"/>
                <w:b w:val="0"/>
                <w:bCs/>
                <w:color w:val="auto"/>
                <w:kern w:val="2"/>
                <w:highlight w:val="none"/>
                <w:lang w:eastAsia="zh-CN"/>
              </w:rPr>
              <w:t>、进取型</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kern w:val="2"/>
                <w:sz w:val="21"/>
                <w:szCs w:val="21"/>
                <w:highlight w:val="none"/>
                <w:lang w:val="en-US" w:eastAsia="zh-CN" w:bidi="ar-SA"/>
              </w:rPr>
              <w:t>幸福99丰裕固收386天25186期理财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丰裕固收25186期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FYG25186</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Z7002225000357</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b/>
                <w:color w:val="000000"/>
                <w:szCs w:val="21"/>
                <w:highlight w:val="none"/>
                <w:lang w:eastAsia="zh"/>
              </w:rPr>
            </w:pPr>
            <w:r>
              <w:rPr>
                <w:rFonts w:hint="eastAsia" w:ascii="宋体" w:hAnsi="宋体" w:eastAsia="宋体" w:cs="宋体"/>
                <w:b w:val="0"/>
                <w:bCs/>
                <w:color w:val="000000"/>
                <w:kern w:val="2"/>
                <w:sz w:val="21"/>
                <w:szCs w:val="21"/>
                <w:highlight w:val="none"/>
                <w:lang w:val="en-US" w:eastAsia="zh" w:bidi="ar-SA"/>
              </w:rPr>
              <w:t>其中：</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A份额（销售代码〖FYG25186A〗）：普通个人投资者和机构客户。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B份额（销售代码〖FYG25186B〗）：普通个人投资者和机构客户。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C份额（销售代码〖FYG25186C〗）：普通个人投资者和机构客户。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D份额（销售代码〖FYG25186D〗）：普通个人投资者和机构客户。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E份额（公司专属）（销售代码〖FYG25186E〗）：普通个人投资者和机构客户。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F份额（销售代码〖FYG25186F〗）：普通个人投资者和机构客户。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G份额（汉口银行专属）（销售代码〖FYG25186G〗）：普通个人投资者和机构客户。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H份额（北行专属）（销售代码〖FYG25186H〗）：普通个人投资者和机构客户。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I份额（爽盈优选）（销售代码〖FYG25186I〗）：普通个人投资者和机构客户。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J份额（销售代码〖FYG25186J〗）：普通个人投资者和机构客户。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K份额（鲲鹏优选）（销售代码〖FYG25186K〗）：普通个人投资者和机构客户。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N份额惠享款（长长财富·专属）（销售代码〖FYG25186N〗）：普通个人投资者和机构客户。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O份额（销售代码〖FYG25186O〗）：普通个人投资者和机构客户。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P份额（芙蓉锦程·优选）（销售代码〖FYG25186P〗）：普通个人投资者和机构客户。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Q份额惠享款（候鸟专属）（销售代码〖FYG25186Q〗）：普通个人投资者和机构客户。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R份额惠享款吉行十二号（销售代码〖FYG25186R〗）：普通个人投资者和机构客户。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S份额惠享款（齐鲁-逢六有约）（销售代码〖FYG25186S〗）：普通个人投资者和机构客户。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T份额惠享款（中秋丰收理财）（销售代码〖FYG25186T〗）：普通个人投资者和机构客户。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U份额惠享款（销售代码〖FYG25186U〗）：普通个人投资者和机构客户。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V份额（金芙蓉专属）（销售代码〖FYG25186V〗）：普通个人投资者和机构客户。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W份额惠享款（销售代码〖FYG25186W〗）：普通个人投资者和机构客户。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X份额（销售代码〖FYG25186X〗）：普通个人投资者。</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Y份额惠享款（销售代码〖FYG25186Y〗）：普通个人投资者和机构客户。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Z份额惠享款（销售代码〖FYG25186Z〗）：普通个人投资者和机构客户。</w:t>
            </w:r>
            <w:r>
              <w:rPr>
                <w:rFonts w:hint="eastAsia" w:ascii="宋体" w:hAnsi="宋体" w:cs="宋体"/>
                <w:b w:val="0"/>
                <w:bCs/>
                <w:color w:val="000000"/>
                <w:szCs w:val="21"/>
                <w:highlight w:val="none"/>
                <w:lang w:eastAsia="zh"/>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9</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29</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13</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14</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4</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〖A份额〗起点〖1〗元整，超过认购起点部分，应为〖1〗元的整数倍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〖B份额〗起点〖1〗元整，超过认购起点部分，应为〖1〗元的整数倍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〖C份额〗起点〖1〗元整，超过认购起点部分，应为〖1〗元的整数倍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〖D份额〗起点〖1〗元整，超过认购起点部分，应为〖1〗元的整数倍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〖E份额〗起点〖1〗元整，超过认购起点部分，应为〖1〗元的整数倍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〖F份额〗起点〖1〗元整，超过认购起点部分，应为〖1〗元的整数倍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〖G份额〗起点〖1〗元整，超过认购起点部分，应为〖1〗元的整数倍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〖H份额〗起点〖1〗元整，超过认购起点部分，应为〖1〗元的整数倍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〖I份额〗起点〖1〗元整，超过认购起点部分，应为〖1〗元的整数倍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〖J份额〗起点〖1〗元整，超过认购起点部分，应为〖1〗元的整数倍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〖K份额〗起点〖1〗元整，超过认购起点部分，应为〖1〗元的整数倍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〖N份额〗起点〖1〗元整，超过认购起点部分，应为〖1〗元的整数倍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〖O份额〗起点〖1〗元整，超过认购起点部分，应为〖1〗元的整数倍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〖P份额〗起点〖1〗元整，超过认购起点部分，应为〖1〗元的整数倍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〖Q份额〗起点〖1〗万元整，超过认购起点部分，应为〖1〗元的整数倍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〖R份额〗起点〖1〗元整，超过认购起点部分，应为〖1〗元的整数倍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〖S份额〗起点〖1〗元整，超过认购起点部分，应为〖1〗元的整数倍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〖T份额〗起点〖1〗元整，超过认购起点部分，应为〖1〗元的整数倍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〖U份额〗起点〖10〗万元整，超过认购起点部分，应为〖1〗元的整数倍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〖V份额〗起点〖100〗万元整，超过认购起点部分，应为〖1〗元的整数倍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〖W份额〗起点〖1〗元整，超过认购起点部分，应为〖1〗元的整数倍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〖X份额〗起点〖1〗元整，超过认购起点部分，应为〖1〗元的整数倍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〖Y份额〗起点〖1〗元整，超过认购起点部分，应为〖1〗元的整数倍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〖Z份额〗起点〖1〗元整，超过认购起点部分，应为〖1〗元的整数倍</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auto"/>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1" w:right="-1"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本理财计划〖A份额〗业绩比较基准为〖2.45%-2.75%〗（年化）。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本理财计划〖C份额〗业绩比较基准为〖2.65%-2.95%〗（年化）。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本理财计划〖D份额〗业绩比较基准为〖2.60%-2.90%〗（年化）。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本理财计划〖E份额〗业绩比较基准为〖2.30%-2.60%〗（年化）。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本理财计划〖F份额〗业绩比较基准为〖2.60%-2.90%〗（年化）。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本理财计划〖I份额〗业绩比较基准为〖2.45%-2.75%〗（年化）。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本理财计划〖K份额〗业绩比较基准为〖2.45%-2.75%〗（年化）。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本理财计划〖O份额〗业绩比较基准为〖2.55%-2.85%〗（年化）。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本理财计划〖P份额〗业绩比较基准为〖2.60%-2.90%〗（年化）。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本理财计划〖Q份额〗业绩比较基准为〖2.65%-2.95%〗（年化）。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本理财计划〖R份额〗业绩比较基准为〖2.60%-2.90%〗（年化）。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本理财计划〖S份额〗业绩比较基准为〖2.61%-2.91%〗（年化）。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本理财计划〖T份额〗业绩比较基准为〖2.45%-2.75%〗（年化）。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本理财计划〖U份额〗业绩比较基准为〖2.55%-2.85%〗（年化）。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本理财计划〖V份额〗业绩比较基准为〖2.65%-2.95%〗（年化）。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本理财计划〖W份额〗业绩比较基准为〖2.45%-2.75%〗（年化）。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本理财计划〖X份额〗业绩比较基准为〖2.70%-3.00%〗（年化）。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本理财计划〖Z份额〗业绩比较基准为〖2.65%-2.95%〗（年化）。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〖E份额〗收取年化〖0.40%〗的销售服务费, 〖F份额〗收取年化〖0.15%〗的销售服务费, 〖G份额〗收取年化〖0.05%〗的销售服务费, 〖H份额〗收取年化〖0.20%〗的销售服务费, 〖I份额〗收取年化〖0.30%〗的销售服务费, 〖J份额〗收取年化〖0.05%〗的销售服务费, 〖K份额〗收取年化〖0.30%〗的销售服务费, 〖N份额〗收取年化〖0.20%〗的销售服务费, 〖O份额〗收取年化〖0.20%〗的销售服务费, 〖P份额〗收取年化〖0.15%〗的销售服务费, 〖Q份额〗收取年化〖0.10%〗的销售服务费, 〖R份额〗收取年化〖0.15%〗的销售服务费, 〖S份额〗收取年化〖0.15%〗的销售服务费, 〖T份额〗收取年化〖0.30%〗的销售服务费, 〖U份额〗收取年化〖0.20%〗的销售服务费, 〖V份额〗收取年化〖0.10%〗的销售服务费, 〖W份额〗收取年化〖0.30%〗的销售服务费, 〖X份额〗收取年化〖0.05%〗的销售服务费,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〖E份额〗收取年化〖0.10%〗的固定管理费, 〖F份额〗收取年化〖0.05%〗的固定管理费, 〖G份额〗收取年化〖0.05%〗的固定管理费, 〖H份额〗收取年化〖0.05%〗的固定管理费, 〖I份额〗收取年化〖0.05%〗的固定管理费, 〖J份额〗收取年化〖0.05%〗的固定管理费, 〖K份额〗收取年化〖0.05%〗的固定管理费, 〖N份额〗收取年化〖0.05%〗的固定管理费, 〖O份额〗收取年化〖0.05%〗的固定管理费, 〖P份额〗收取年化〖0.05%〗的固定管理费, 〖Q份额〗收取年化〖0.05%〗的固定管理费, 〖R份额〗收取年化〖0.05%〗的固定管理费, 〖S份额〗收取年化〖0.04%〗的固定管理费, 〖T份额〗收取年化〖0.05%〗的固定管理费, 〖U份额〗收取年化〖0.05%〗的固定管理费, 〖V份额〗收取年化〖0.05%〗的固定管理费, 〖W份额〗收取年化〖0.05%〗的固定管理费, 〖X份额〗收取年化〖0.05%〗的固定管理费, 〖Y份额〗收取年化〖0.05%〗的固定管理费,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除O份额）到期日（提前终止日）的折合年化收益率在〖业绩比较基准下限（含）至业绩比较基准上限（含）〗的部分，管理人提取〖50%〗作为浮动管理费，在超过〖业绩比较基准上限〗的部分，管理人提取〖80%〗作为浮动管理费；〖O份额〗到期日（提前终止日）的折合年化收益率在〖业绩比较基准下限（含）至业绩比较基准中枢（含）〗的部分，管理人提取〖50%〗作为浮动管理费，在超过〖业绩比较基准中枢〗的部分，管理人提取〖60%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auto"/>
          <w:kern w:val="2"/>
          <w:position w:val="-1"/>
          <w:sz w:val="24"/>
          <w:u w:val="none"/>
          <w:vertAlign w:val="baseline"/>
        </w:rPr>
        <w:t>1. 固定收益类资产：包括但不限于各类债券、存款、货币市场金融工具、债券基金、质押式及买断式回购、非标准化债权类资产，其他符合监管要求的固定收益类资产及资产管理产品。</w:t>
      </w:r>
      <w:r>
        <w:rPr>
          <w:rFonts w:ascii="宋体" w:hAnsi="宋体" w:eastAsia="宋体" w:cs="宋体"/>
          <w:b w:val="0"/>
          <w:i w:val="0"/>
          <w:caps w:val="0"/>
          <w:strike w:val="0"/>
          <w:dstrike w:val="0"/>
          <w:shadow w:val="0"/>
          <w:emboss w:val="0"/>
          <w:imprint w:val="0"/>
          <w:color w:val="auto"/>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auto"/>
          <w:kern w:val="2"/>
          <w:position w:val="-1"/>
          <w:sz w:val="24"/>
          <w:u w:val="none"/>
          <w:vertAlign w:val="baseline"/>
        </w:rPr>
        <w:t xml:space="preserve">    2. 权益类资产：仅限境内发行优先股和永续债。</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5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投资资产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Merge w:val="restart"/>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固定收益类资产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90%-100%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Merge w:val="continue"/>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权益类资产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特殊资产类型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非标准化债权类资产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0%-50%</w:t>
            </w:r>
          </w:p>
        </w:tc>
      </w:tr>
    </w:tbl>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本理财计划特殊资产类型为基于大类资产类型项下的进一步细化分类，其配置比例不得超过大类资产配置比例。</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将通过对宏观经济形势、各项国家政策、及证券市场环境的分析来判断经济周期目前的位置，主动判断市场时机进行资产配置，确定在股票、债券、金融衍生品等各类资产上的投资比例。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w:t>
            </w:r>
            <w:r>
              <w:rPr>
                <w:rFonts w:hint="eastAsia" w:ascii="宋体" w:hAnsi="宋体" w:eastAsia="宋体" w:cs="宋体"/>
                <w:color w:val="000000"/>
                <w:kern w:val="0"/>
                <w:sz w:val="21"/>
                <w:szCs w:val="21"/>
                <w:lang w:val="en-US" w:eastAsia="zh-CN" w:bidi="ar"/>
              </w:rPr>
              <w:br w:type="textWrapping"/>
            </w:r>
            <w:r>
              <w:rPr>
                <w:rFonts w:hint="eastAsia" w:ascii="宋体" w:hAnsi="宋体" w:eastAsia="宋体" w:cs="宋体"/>
                <w:color w:val="000000"/>
                <w:kern w:val="0"/>
                <w:sz w:val="21"/>
                <w:szCs w:val="21"/>
                <w:lang w:val="en-US" w:eastAsia="zh-CN" w:bidi="ar"/>
              </w:rPr>
              <w:t>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I份额〗、〖J份额〗、〖K份额〗、〖O份额〗、〖P份额〗、〖V份额〗、〖X份额〗和销售服务费于产品成立日一次性收取的〖N份额〗、〖Q份额〗、〖R份额〗、〖S份额〗、〖T份额〗、〖U份额〗、〖W份额〗、〖Y份额〗、〖Z份额〗。A份额的年化销售服务费率为〖0.30%〗, B份额的年化销售服务费率为〖0.20%〗, C份额的年化销售服务费率为〖0.10%〗, D份额的年化销售服务费率为〖0.15%〗, E份额的年化销售服务费率为〖0.40%〗, F份额的年化销售服务费率为〖0.15%〗, G份额的年化销售服务费率为〖0.05%〗, H份额的年化销售服务费率为〖0.20%〗, I份额的年化销售服务费率为〖0.30%〗, J份额的年化销售服务费率为〖0.05%〗, K份额的年化销售服务费率为〖0.30%〗, N份额的年化销售服务费率为〖0.20%〗, O份额的年化销售服务费率为〖0.20%〗, P份额的年化销售服务费率为〖0.15%〗, Q份额的年化销售服务费率为〖0.10%〗, R份额的年化销售服务费率为〖0.15%〗, S份额的年化销售服务费率为〖0.15%〗, T份额的年化销售服务费率为〖0.30%〗, U份额的年化销售服务费率为〖0.20%〗, V份额的年化销售服务费率为〖0.10%〗, W份额的年化销售服务费率为〖0.30%〗, X份额的年化销售服务费率为〖0.05%〗,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lang w:val="en-US" w:eastAsia="zh-CN"/>
        </w:rPr>
        <w:t>以</w:t>
      </w:r>
      <w:r>
        <w:rPr>
          <w:rFonts w:hint="eastAsia" w:ascii="宋体" w:hAnsi="宋体" w:cs="宋体"/>
          <w:bCs/>
          <w:color w:val="000000"/>
          <w:sz w:val="24"/>
          <w:highlight w:val="none"/>
        </w:rPr>
        <w:t>〖</w:t>
      </w:r>
      <w:r>
        <w:rPr>
          <w:rFonts w:hint="eastAsia" w:ascii="宋体" w:hAnsi="宋体" w:eastAsia="宋体" w:cs="宋体"/>
          <w:bCs/>
          <w:color w:val="000000"/>
          <w:kern w:val="2"/>
          <w:sz w:val="24"/>
          <w:szCs w:val="24"/>
          <w:highlight w:val="none"/>
          <w:lang w:val="en-US" w:eastAsia="zh-CN" w:bidi="ar-SA"/>
        </w:rPr>
        <w:t>A</w:t>
      </w:r>
      <w:r>
        <w:rPr>
          <w:rFonts w:hint="eastAsia" w:ascii="宋体" w:hAnsi="宋体" w:cs="宋体"/>
          <w:bCs/>
          <w:color w:val="000000"/>
          <w:kern w:val="2"/>
          <w:sz w:val="24"/>
          <w:szCs w:val="24"/>
          <w:highlight w:val="none"/>
          <w:lang w:val="en-US" w:eastAsia="zh" w:bidi="ar-SA"/>
        </w:rPr>
        <w:t>份额</w:t>
      </w:r>
      <w:r>
        <w:rPr>
          <w:rFonts w:hint="eastAsia" w:ascii="宋体" w:hAnsi="宋体" w:cs="宋体"/>
          <w:color w:val="000000"/>
          <w:szCs w:val="21"/>
          <w:highlight w:val="none"/>
        </w:rPr>
        <w:t>〗</w:t>
      </w:r>
      <w:r>
        <w:rPr>
          <w:rFonts w:hint="eastAsia" w:ascii="宋体" w:hAnsi="宋体" w:cs="宋体"/>
          <w:bCs/>
          <w:color w:val="000000"/>
          <w:sz w:val="24"/>
          <w:highlight w:val="none"/>
        </w:rPr>
        <w:t>为例</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理财计划财产的年化固定管理费率为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80%作为浮动管理费，超过〖5.00%〗部分的投资收益管理人收取100%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100,000×1.0000×{[（1.0615÷1.0000-1）×365÷362-5.00%]×100%+(5.00%-4.00%)×80%}×362÷365=1,984.52（元）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100,000.00×（1.0615-1.0000）-1,984.52= 4,165.48（元）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80%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100,000.00×（1.0415-1.0000）-146.30 =4,003.70（元）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outlineLvl w:val="9"/>
        <w:rPr>
          <w:sz w:val="24"/>
          <w:highlight w:val="none"/>
        </w:rPr>
      </w:pPr>
    </w:p>
    <w:p>
      <w:pPr>
        <w:spacing w:line="360" w:lineRule="auto"/>
        <w:outlineLvl w:val="9"/>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outlineLvl w:val="9"/>
        <w:rPr>
          <w:rFonts w:hint="eastAsia" w:ascii="宋体" w:hAnsi="宋体"/>
          <w:b/>
          <w:bCs/>
          <w:sz w:val="24"/>
          <w:highlight w:val="none"/>
        </w:rPr>
      </w:pPr>
    </w:p>
    <w:p>
      <w:pPr>
        <w:spacing w:line="360" w:lineRule="auto"/>
        <w:outlineLvl w:val="9"/>
        <w:rPr>
          <w:rFonts w:hint="eastAsia" w:ascii="宋体" w:hAnsi="宋体"/>
          <w:b/>
          <w:bCs/>
          <w:sz w:val="24"/>
          <w:highlight w:val="none"/>
        </w:rPr>
      </w:pPr>
    </w:p>
    <w:p>
      <w:pPr>
        <w:spacing w:before="156" w:beforeLines="50" w:after="156" w:afterLines="50" w:line="360" w:lineRule="auto"/>
        <w:ind w:firstLine="4800" w:firstLineChars="2000"/>
        <w:jc w:val="right"/>
        <w:outlineLvl w:val="9"/>
        <w:rPr>
          <w:rFonts w:hint="eastAsia" w:ascii="Arial" w:hAnsi="Arial"/>
          <w:sz w:val="24"/>
          <w:highlight w:val="none"/>
        </w:rPr>
      </w:pPr>
      <w:r>
        <w:rPr>
          <w:rFonts w:hint="eastAsia" w:ascii="Arial" w:hAnsi="Arial"/>
          <w:sz w:val="24"/>
          <w:highlight w:val="none"/>
        </w:rPr>
        <w:t xml:space="preserve">   年   月   日</w:t>
      </w: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both"/>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spacing w:line="360" w:lineRule="auto"/>
        <w:outlineLvl w:val="9"/>
        <w:rPr>
          <w:rFonts w:ascii="宋体" w:hAnsi="宋体" w:cs="宋体"/>
          <w:bCs/>
          <w:color w:val="000000"/>
          <w:sz w:val="24"/>
        </w:rPr>
      </w:pPr>
    </w:p>
    <w:p>
      <w:pPr>
        <w:outlineLvl w:val="9"/>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057440"/>
    <w:rsid w:val="18321B09"/>
    <w:rsid w:val="18616AA2"/>
    <w:rsid w:val="191F0F43"/>
    <w:rsid w:val="19E235E1"/>
    <w:rsid w:val="1A63572A"/>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77307FA"/>
    <w:rsid w:val="3B1C12F3"/>
    <w:rsid w:val="3BD53B5C"/>
    <w:rsid w:val="3CC57F13"/>
    <w:rsid w:val="3D4C282D"/>
    <w:rsid w:val="3D970F4E"/>
    <w:rsid w:val="3DE106C6"/>
    <w:rsid w:val="3E540971"/>
    <w:rsid w:val="3E786275"/>
    <w:rsid w:val="3E931F0D"/>
    <w:rsid w:val="3F5E9C33"/>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FF95C2"/>
    <w:rsid w:val="4E08799D"/>
    <w:rsid w:val="4E2B414A"/>
    <w:rsid w:val="4F5679CC"/>
    <w:rsid w:val="4FCB2B37"/>
    <w:rsid w:val="501840BA"/>
    <w:rsid w:val="529A1069"/>
    <w:rsid w:val="52B042C0"/>
    <w:rsid w:val="53827B5D"/>
    <w:rsid w:val="53E86B53"/>
    <w:rsid w:val="54D66C67"/>
    <w:rsid w:val="552D27A2"/>
    <w:rsid w:val="568633C7"/>
    <w:rsid w:val="57061882"/>
    <w:rsid w:val="57280BF2"/>
    <w:rsid w:val="57FE8B5E"/>
    <w:rsid w:val="582C3B01"/>
    <w:rsid w:val="582D059F"/>
    <w:rsid w:val="582D396D"/>
    <w:rsid w:val="59083CAE"/>
    <w:rsid w:val="592570E8"/>
    <w:rsid w:val="59435FE6"/>
    <w:rsid w:val="59480030"/>
    <w:rsid w:val="59A3360E"/>
    <w:rsid w:val="5ADE2855"/>
    <w:rsid w:val="5B056CAE"/>
    <w:rsid w:val="5C664A4B"/>
    <w:rsid w:val="5CE67D31"/>
    <w:rsid w:val="5E5F4050"/>
    <w:rsid w:val="5F04726A"/>
    <w:rsid w:val="5F6D37D2"/>
    <w:rsid w:val="5F9C081D"/>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702573F3"/>
    <w:rsid w:val="70B57531"/>
    <w:rsid w:val="70FA499F"/>
    <w:rsid w:val="730C182D"/>
    <w:rsid w:val="73FC9A3F"/>
    <w:rsid w:val="751974A1"/>
    <w:rsid w:val="758B30E4"/>
    <w:rsid w:val="75F42331"/>
    <w:rsid w:val="761F7C3C"/>
    <w:rsid w:val="76683D2A"/>
    <w:rsid w:val="76C62D9E"/>
    <w:rsid w:val="78244617"/>
    <w:rsid w:val="7A923507"/>
    <w:rsid w:val="7ACB640D"/>
    <w:rsid w:val="7BFF1A29"/>
    <w:rsid w:val="7C044D89"/>
    <w:rsid w:val="7C63442B"/>
    <w:rsid w:val="7D3AA22F"/>
    <w:rsid w:val="7DE35ECA"/>
    <w:rsid w:val="7E1A0C5A"/>
    <w:rsid w:val="7E3212D3"/>
    <w:rsid w:val="7F5F887D"/>
    <w:rsid w:val="7FCC7D05"/>
    <w:rsid w:val="7FEF42B8"/>
    <w:rsid w:val="7FEFE414"/>
    <w:rsid w:val="9FD01BC3"/>
    <w:rsid w:val="B3FE25BF"/>
    <w:rsid w:val="BE6E0F8F"/>
    <w:rsid w:val="C679D4D5"/>
    <w:rsid w:val="D3FFF2E3"/>
    <w:rsid w:val="D4B948F0"/>
    <w:rsid w:val="D7BE90C3"/>
    <w:rsid w:val="F3F331A4"/>
    <w:rsid w:val="F3FF81F7"/>
    <w:rsid w:val="F7FE62B6"/>
    <w:rsid w:val="FA543BA3"/>
    <w:rsid w:val="FD7F9463"/>
    <w:rsid w:val="FEAED78B"/>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qFormat/>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59</Pages>
  <Words>38114</Words>
  <Characters>40991</Characters>
  <Lines>1</Lines>
  <Paragraphs>1</Paragraphs>
  <TotalTime>9</TotalTime>
  <ScaleCrop>false</ScaleCrop>
  <LinksUpToDate>false</LinksUpToDate>
  <CharactersWithSpaces>41479</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2014-11-01T12:08:00Z</dcterms:created>
  <dc:creator>Administrator</dc:creator>
  <cp:lastModifiedBy>hccb</cp:lastModifiedBy>
  <dcterms:modified xsi:type="dcterms:W3CDTF">2025-09-24T06:35:21Z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