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420"/>
        <w:rPr>
          <w:rFonts w:hint="eastAsia"/>
          <w:highlight w:val="none"/>
        </w:rPr>
      </w:pPr>
      <w:r>
        <w:rPr>
          <w:rFonts w:hint="eastAsia"/>
          <w:highlight w:val="none"/>
        </w:rPr>
        <w:t xml:space="preserve"> </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cs="宋体"/>
          <w:b/>
          <w:bCs/>
          <w:sz w:val="44"/>
          <w:szCs w:val="44"/>
          <w:highlight w:val="none"/>
          <w:lang w:eastAsia="zh-CN"/>
        </w:rPr>
        <w:t>幸福99丰裕固收（稳利低波颐养款）386天25190期理财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理财计划托管人：杭州银行股份有限公司</w:t>
      </w: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r>
        <w:rPr>
          <w:rFonts w:ascii="宋体" w:hAnsi="宋体" w:cs="宋体"/>
          <w:sz w:val="32"/>
          <w:szCs w:val="32"/>
          <w:highlight w:val="none"/>
        </w:rPr>
        <w:br w:type="page"/>
      </w: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0"/>
        <w:rPr>
          <w:rFonts w:hint="eastAsia" w:ascii="宋体" w:hAnsi="宋体" w:cs="宋体"/>
          <w:b/>
          <w:bCs/>
          <w:sz w:val="44"/>
          <w:szCs w:val="44"/>
          <w:highlight w:val="none"/>
        </w:rPr>
      </w:pPr>
      <w:r>
        <w:rPr>
          <w:rFonts w:hint="eastAsia" w:ascii="宋体" w:hAnsi="宋体" w:cs="宋体"/>
          <w:b/>
          <w:bCs/>
          <w:sz w:val="44"/>
          <w:szCs w:val="44"/>
          <w:highlight w:val="none"/>
          <w:lang w:eastAsia="zh-CN"/>
        </w:rPr>
        <w:t>幸福99丰裕固收（稳利低波颐养款）386天25190期理财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widowControl w:val="0"/>
              <w:spacing w:line="360" w:lineRule="auto"/>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b/>
                <w:bCs/>
                <w:kern w:val="2"/>
                <w:sz w:val="21"/>
                <w:szCs w:val="21"/>
                <w:highlight w:val="none"/>
                <w:lang w:val="en-US" w:eastAsia="zh-CN" w:bidi="ar-SA"/>
              </w:rPr>
              <w:t>序号</w:t>
            </w:r>
          </w:p>
        </w:tc>
        <w:tc>
          <w:tcPr>
            <w:tcW w:w="5160" w:type="dxa"/>
            <w:noWrap w:val="0"/>
            <w:vAlign w:val="center"/>
          </w:tcPr>
          <w:p>
            <w:pPr>
              <w:widowControl w:val="0"/>
              <w:spacing w:line="360" w:lineRule="auto"/>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b/>
                <w:bCs/>
                <w:kern w:val="2"/>
                <w:sz w:val="21"/>
                <w:szCs w:val="21"/>
                <w:highlight w:val="none"/>
                <w:lang w:val="en-US" w:eastAsia="zh-CN" w:bidi="ar-SA"/>
              </w:rPr>
              <w:t>理财计划合同文件中的文件名称</w:t>
            </w:r>
          </w:p>
        </w:tc>
        <w:tc>
          <w:tcPr>
            <w:tcW w:w="2266" w:type="dxa"/>
            <w:noWrap w:val="0"/>
            <w:vAlign w:val="center"/>
          </w:tcPr>
          <w:p>
            <w:pPr>
              <w:widowControl w:val="0"/>
              <w:spacing w:line="360" w:lineRule="auto"/>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b/>
                <w:bCs/>
                <w:kern w:val="2"/>
                <w:sz w:val="21"/>
                <w:szCs w:val="21"/>
                <w:highlight w:val="none"/>
                <w:lang w:val="en-US" w:eastAsia="zh-CN" w:bidi="ar-SA"/>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widowControl w:val="0"/>
              <w:spacing w:line="360" w:lineRule="auto"/>
              <w:jc w:val="center"/>
              <w:rPr>
                <w:rFonts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1</w:t>
            </w:r>
          </w:p>
        </w:tc>
        <w:tc>
          <w:tcPr>
            <w:tcW w:w="5160" w:type="dxa"/>
            <w:noWrap w:val="0"/>
            <w:vAlign w:val="center"/>
          </w:tcPr>
          <w:p>
            <w:pPr>
              <w:widowControl w:val="0"/>
              <w:spacing w:line="360" w:lineRule="auto"/>
              <w:jc w:val="left"/>
              <w:rPr>
                <w:rFonts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幸福99丰裕固收（稳利低波颐养款）386天25190期理财风险揭示书</w:t>
            </w:r>
          </w:p>
        </w:tc>
        <w:tc>
          <w:tcPr>
            <w:tcW w:w="2266" w:type="dxa"/>
            <w:noWrap w:val="0"/>
            <w:vAlign w:val="center"/>
          </w:tcPr>
          <w:p>
            <w:pPr>
              <w:widowControl w:val="0"/>
              <w:spacing w:line="360" w:lineRule="auto"/>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widowControl w:val="0"/>
              <w:spacing w:line="360" w:lineRule="auto"/>
              <w:jc w:val="center"/>
              <w:rPr>
                <w:rFonts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2</w:t>
            </w:r>
          </w:p>
        </w:tc>
        <w:tc>
          <w:tcPr>
            <w:tcW w:w="5160" w:type="dxa"/>
            <w:noWrap w:val="0"/>
            <w:vAlign w:val="center"/>
          </w:tcPr>
          <w:p>
            <w:pPr>
              <w:widowControl w:val="0"/>
              <w:spacing w:line="360" w:lineRule="auto"/>
              <w:jc w:val="left"/>
              <w:rPr>
                <w:rFonts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幸福99丰裕固收（稳利低波颐养款）386天25190期理财产品说明书</w:t>
            </w:r>
          </w:p>
        </w:tc>
        <w:tc>
          <w:tcPr>
            <w:tcW w:w="2266" w:type="dxa"/>
            <w:noWrap w:val="0"/>
            <w:vAlign w:val="center"/>
          </w:tcPr>
          <w:p>
            <w:pPr>
              <w:widowControl w:val="0"/>
              <w:spacing w:line="360" w:lineRule="auto"/>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widowControl w:val="0"/>
              <w:spacing w:line="360" w:lineRule="auto"/>
              <w:jc w:val="center"/>
              <w:rPr>
                <w:rFonts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3</w:t>
            </w:r>
          </w:p>
        </w:tc>
        <w:tc>
          <w:tcPr>
            <w:tcW w:w="5160" w:type="dxa"/>
            <w:noWrap w:val="0"/>
            <w:vAlign w:val="center"/>
          </w:tcPr>
          <w:p>
            <w:pPr>
              <w:widowControl w:val="0"/>
              <w:spacing w:line="360" w:lineRule="auto"/>
              <w:jc w:val="lef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杭银理财投资者权益须知</w:t>
            </w:r>
          </w:p>
        </w:tc>
        <w:tc>
          <w:tcPr>
            <w:tcW w:w="2266" w:type="dxa"/>
            <w:noWrap w:val="0"/>
            <w:vAlign w:val="center"/>
          </w:tcPr>
          <w:p>
            <w:pPr>
              <w:widowControl w:val="0"/>
              <w:spacing w:line="360" w:lineRule="auto"/>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widowControl w:val="0"/>
              <w:spacing w:line="360" w:lineRule="auto"/>
              <w:jc w:val="center"/>
              <w:rPr>
                <w:rFonts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4</w:t>
            </w:r>
          </w:p>
        </w:tc>
        <w:tc>
          <w:tcPr>
            <w:tcW w:w="5160" w:type="dxa"/>
            <w:noWrap w:val="0"/>
            <w:vAlign w:val="center"/>
          </w:tcPr>
          <w:p>
            <w:pPr>
              <w:widowControl w:val="0"/>
              <w:spacing w:line="360" w:lineRule="auto"/>
              <w:jc w:val="lef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杭银理财理财计划投资协议书</w:t>
            </w:r>
          </w:p>
        </w:tc>
        <w:tc>
          <w:tcPr>
            <w:tcW w:w="2266" w:type="dxa"/>
            <w:noWrap w:val="0"/>
            <w:vAlign w:val="center"/>
          </w:tcPr>
          <w:p>
            <w:pPr>
              <w:widowControl w:val="0"/>
              <w:spacing w:line="360" w:lineRule="auto"/>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widowControl w:val="0"/>
              <w:spacing w:line="360" w:lineRule="auto"/>
              <w:jc w:val="center"/>
              <w:rPr>
                <w:rFonts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5</w:t>
            </w:r>
          </w:p>
        </w:tc>
        <w:tc>
          <w:tcPr>
            <w:tcW w:w="5160" w:type="dxa"/>
            <w:noWrap w:val="0"/>
            <w:vAlign w:val="center"/>
          </w:tcPr>
          <w:p>
            <w:pPr>
              <w:widowControl w:val="0"/>
              <w:spacing w:line="360" w:lineRule="auto"/>
              <w:jc w:val="lef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杭银理财理财计划销售协议书</w:t>
            </w:r>
          </w:p>
        </w:tc>
        <w:tc>
          <w:tcPr>
            <w:tcW w:w="2266" w:type="dxa"/>
            <w:noWrap w:val="0"/>
            <w:vAlign w:val="center"/>
          </w:tcPr>
          <w:p>
            <w:pPr>
              <w:widowControl w:val="0"/>
              <w:spacing w:line="360" w:lineRule="auto"/>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理财计划销售协议书</w:t>
            </w:r>
          </w:p>
        </w:tc>
      </w:tr>
    </w:tbl>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rPr>
          <w:rFonts w:hint="eastAsia" w:ascii="宋体" w:hAnsi="宋体" w:cs="宋体"/>
          <w:b/>
          <w:bCs/>
          <w:sz w:val="44"/>
          <w:szCs w:val="44"/>
          <w:highlight w:val="none"/>
        </w:rPr>
      </w:pPr>
    </w:p>
    <w:p>
      <w:pPr>
        <w:jc w:val="center"/>
        <w:outlineLvl w:val="0"/>
        <w:rPr>
          <w:rFonts w:hint="eastAsia" w:ascii="宋体" w:hAnsi="宋体" w:cs="宋体"/>
          <w:b/>
          <w:bCs/>
          <w:sz w:val="44"/>
          <w:szCs w:val="44"/>
          <w:highlight w:val="none"/>
        </w:rPr>
      </w:pPr>
      <w:r>
        <w:rPr>
          <w:rFonts w:hint="eastAsia" w:ascii="宋体" w:hAnsi="宋体" w:cs="宋体"/>
          <w:b/>
          <w:bCs/>
          <w:sz w:val="44"/>
          <w:szCs w:val="44"/>
          <w:highlight w:val="none"/>
          <w:lang w:eastAsia="zh-CN"/>
        </w:rPr>
        <w:br w:type="page"/>
      </w:r>
      <w:r>
        <w:rPr>
          <w:rFonts w:hint="eastAsia" w:ascii="宋体" w:hAnsi="宋体" w:cs="宋体"/>
          <w:b/>
          <w:bCs/>
          <w:sz w:val="44"/>
          <w:szCs w:val="44"/>
          <w:highlight w:val="none"/>
          <w:lang w:eastAsia="zh-CN"/>
        </w:rPr>
        <w:t>幸福99丰裕固收（稳利低波颐养款）386天25190期理财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（202</w:t>
      </w:r>
      <w:r>
        <w:rPr>
          <w:rFonts w:hint="eastAsia" w:ascii="宋体" w:hAnsi="宋体" w:cs="宋体"/>
          <w:sz w:val="28"/>
          <w:szCs w:val="28"/>
          <w:highlight w:val="none"/>
          <w:lang w:val="en-US" w:eastAsia="zh-CN"/>
        </w:rPr>
        <w:t>5</w:t>
      </w:r>
      <w:r>
        <w:rPr>
          <w:rFonts w:hint="eastAsia" w:ascii="宋体" w:hAnsi="宋体" w:cs="宋体"/>
          <w:sz w:val="28"/>
          <w:szCs w:val="28"/>
          <w:highlight w:val="none"/>
        </w:rPr>
        <w:t>0</w:t>
      </w:r>
      <w:r>
        <w:rPr>
          <w:rFonts w:hint="eastAsia" w:ascii="宋体" w:hAnsi="宋体" w:cs="宋体"/>
          <w:sz w:val="28"/>
          <w:szCs w:val="28"/>
          <w:highlight w:val="none"/>
          <w:lang w:val="en-US" w:eastAsia="zh-CN"/>
        </w:rPr>
        <w:t>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国家金融监督管理总局相关监督规定，杭银理财有限责任公司作为本理财计划的管理人郑重提示：在购买理财计划前，请仔细阅读本理财计划完整合同（包括但不限于理财计划风险揭示书、理财计划说明书、投资者权益须知、理财计划投资协议书和理财计划（代理销售）销售协议书，</w:t>
      </w:r>
      <w:r>
        <w:rPr>
          <w:rFonts w:hint="eastAsia" w:ascii="宋体" w:hAnsi="宋体" w:cs="宋体"/>
          <w:b/>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2"/>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2"/>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购买力风险：如发生通货膨胀，则所投资产的收益可能会被通货膨胀抵消，从而对理财计划收益的实际购买力产生影响。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提前或延期终止风险：为保护投资者利益，在理财计划存续期间，管理人可根据理财计划说明书约定的情形提前或延期终止本理财计划。如理财计划被提前或延期终止，则投资者将面临提前终止再投资或延期兑付的风险。</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信息传递风险：1.理财计划管理人将按照本理财计划销售文件中约定的信息披露方式、途径向投资者公示本理财计划的各类信息和重大事件，投资者应及时查询、了解。由于投资者未能及时主动了解理财计划信息或由于不</w:t>
      </w:r>
      <w:r>
        <w:rPr>
          <w:rFonts w:hint="eastAsia" w:ascii="宋体" w:hAnsi="宋体" w:cs="宋体"/>
          <w:b/>
          <w:sz w:val="24"/>
          <w:highlight w:val="none"/>
          <w:lang w:val="en-US" w:eastAsia="zh-CN"/>
        </w:rPr>
        <w:t>可</w:t>
      </w:r>
      <w:r>
        <w:rPr>
          <w:rFonts w:hint="eastAsia" w:ascii="宋体" w:hAnsi="宋体" w:cs="宋体"/>
          <w:b/>
          <w:sz w:val="24"/>
          <w:highlight w:val="none"/>
        </w:rPr>
        <w:t>抗力及/或意外事件的影响导致投资者无法及时了解理财计划信息，从而影响投资者的投资决策，由此产生的责任和风险由投资者自行承担。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理财计划本金或收益蒙受部分或全部损失的风险。</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2"/>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r>
        <w:rPr>
          <w:rFonts w:ascii="宋体" w:hAnsi="宋体" w:cs="宋体"/>
          <w:b/>
          <w:sz w:val="24"/>
          <w:highlight w:val="none"/>
        </w:rPr>
        <w:t>。</w:t>
      </w:r>
    </w:p>
    <w:p>
      <w:pPr>
        <w:numPr>
          <w:ilvl w:val="0"/>
          <w:numId w:val="1"/>
        </w:numPr>
        <w:spacing w:line="360" w:lineRule="auto"/>
        <w:jc w:val="left"/>
        <w:outlineLvl w:val="1"/>
        <w:rPr>
          <w:rFonts w:ascii="宋体" w:hAnsi="宋体" w:cs="宋体"/>
          <w:b/>
          <w:sz w:val="24"/>
          <w:highlight w:val="none"/>
        </w:rPr>
      </w:pPr>
      <w:r>
        <w:rPr>
          <w:rFonts w:hint="eastAsia" w:ascii="宋体" w:hAnsi="宋体" w:cs="宋体"/>
          <w:b/>
          <w:sz w:val="24"/>
          <w:highlight w:val="none"/>
        </w:rPr>
        <w:t>理财计划特定风险</w:t>
      </w:r>
    </w:p>
    <w:p>
      <w:pPr>
        <w:numPr>
          <w:ilvl w:val="0"/>
          <w:numId w:val="5"/>
        </w:numPr>
        <w:spacing w:line="360" w:lineRule="auto"/>
        <w:jc w:val="left"/>
        <w:rPr>
          <w:rFonts w:hint="eastAsia" w:ascii="宋体" w:hAnsi="宋体" w:cs="宋体"/>
          <w:b/>
          <w:sz w:val="24"/>
          <w:highlight w:val="none"/>
        </w:rPr>
      </w:pPr>
      <w:r>
        <w:rPr>
          <w:rFonts w:hint="eastAsia" w:ascii="宋体" w:hAnsi="宋体" w:cs="宋体"/>
          <w:b/>
          <w:sz w:val="24"/>
          <w:highlight w:val="none"/>
        </w:rPr>
        <w:t>资金流动性风险：本理财计划认购份额确认后，封闭式运作，产品终止前投资者不得提前赎回。</w:t>
      </w:r>
    </w:p>
    <w:p>
      <w:pPr>
        <w:numPr>
          <w:ilvl w:val="0"/>
          <w:numId w:val="5"/>
        </w:numPr>
        <w:spacing w:line="360" w:lineRule="auto"/>
        <w:jc w:val="left"/>
        <w:rPr>
          <w:rFonts w:hint="eastAsia" w:ascii="宋体" w:hAnsi="宋体" w:cs="宋体"/>
          <w:b/>
          <w:sz w:val="24"/>
          <w:highlight w:val="none"/>
        </w:rPr>
      </w:pPr>
      <w:r>
        <w:rPr>
          <w:rFonts w:hint="eastAsia" w:ascii="宋体" w:hAnsi="宋体" w:cs="宋体"/>
          <w:b/>
          <w:sz w:val="24"/>
          <w:highlight w:val="none"/>
        </w:rPr>
        <w:t>收益不达业绩比较基准风险：本理财计划可投资于债券及非标准化债权类资产等固定收益类及权益类资产，因融资人违约及市场波动或导致投资者的本金出现损失。</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bookmarkStart w:id="0" w:name="OLE_LINK1"/>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bookmarkEnd w:id="0"/>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1"/>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240" w:firstLineChars="100"/>
        <w:jc w:val="left"/>
        <w:rPr>
          <w:rFonts w:hint="eastAsia" w:ascii="宋体" w:hAnsi="宋体" w:cs="宋体"/>
          <w:bCs/>
          <w:sz w:val="24"/>
          <w:highlight w:val="none"/>
        </w:rPr>
      </w:pP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cs="宋体"/>
          <w:b/>
          <w:sz w:val="24"/>
          <w:highlight w:val="none"/>
          <w:lang w:val="en-US" w:eastAsia="zh-CN"/>
        </w:rPr>
        <w:t>公募</w:t>
      </w:r>
      <w:r>
        <w:rPr>
          <w:rFonts w:hint="eastAsia" w:ascii="宋体" w:hAnsi="宋体" w:cs="宋体"/>
          <w:b/>
          <w:sz w:val="24"/>
          <w:highlight w:val="none"/>
        </w:rPr>
        <w:t>、</w:t>
      </w:r>
      <w:r>
        <w:rPr>
          <w:rFonts w:hint="eastAsia" w:ascii="宋体" w:hAnsi="宋体" w:cs="宋体"/>
          <w:b/>
          <w:sz w:val="24"/>
          <w:highlight w:val="none"/>
          <w:lang w:val="en-US" w:eastAsia="zh-CN"/>
        </w:rPr>
        <w:t>封闭式</w:t>
      </w:r>
      <w:r>
        <w:rPr>
          <w:rFonts w:hint="eastAsia" w:ascii="宋体" w:hAnsi="宋体" w:cs="宋体"/>
          <w:b/>
          <w:sz w:val="24"/>
          <w:highlight w:val="none"/>
        </w:rPr>
        <w:t>、〖</w:t>
      </w:r>
      <w:r>
        <w:rPr>
          <w:rFonts w:hint="eastAsia" w:ascii="宋体" w:hAnsi="宋体" w:cs="宋体"/>
          <w:b/>
          <w:sz w:val="24"/>
          <w:highlight w:val="none"/>
          <w:lang w:val="en-US" w:eastAsia="zh-CN"/>
        </w:rPr>
        <w:t>固定收益类</w:t>
      </w:r>
      <w:r>
        <w:rPr>
          <w:rFonts w:hint="eastAsia" w:ascii="宋体" w:hAnsi="宋体" w:cs="宋体"/>
          <w:b/>
          <w:sz w:val="24"/>
          <w:highlight w:val="none"/>
        </w:rPr>
        <w:t>〗净值型理财计划，〖386天〗</w:t>
      </w:r>
      <w:r>
        <w:rPr>
          <w:rFonts w:hint="eastAsia" w:ascii="宋体" w:hAnsi="宋体" w:cs="宋体"/>
          <w:bCs/>
          <w:color w:val="000000"/>
          <w:sz w:val="24"/>
          <w:highlight w:val="none"/>
        </w:rPr>
        <w:t>，</w:t>
      </w:r>
      <w:r>
        <w:rPr>
          <w:rFonts w:hint="eastAsia" w:ascii="宋体" w:hAnsi="宋体" w:cs="宋体"/>
          <w:b/>
          <w:sz w:val="24"/>
          <w:highlight w:val="none"/>
        </w:rPr>
        <w:t>不保证本金与收益。理财计划过往业绩不代表其未来表现，不等于理财计划实际收益，投资须谨慎！根据本公司理财产品内部风险评级，该理财计划风险评级结果为〖</w:t>
      </w:r>
      <w:r>
        <w:rPr>
          <w:rFonts w:hint="eastAsia" w:ascii="宋体" w:hAnsi="宋体" w:cs="宋体"/>
          <w:b/>
          <w:sz w:val="24"/>
          <w:highlight w:val="none"/>
          <w:lang w:val="en-US" w:eastAsia="zh-CN"/>
        </w:rPr>
        <w:t>R2</w:t>
      </w:r>
      <w:r>
        <w:rPr>
          <w:rFonts w:hint="eastAsia" w:ascii="宋体" w:hAnsi="宋体" w:cs="宋体"/>
          <w:b/>
          <w:sz w:val="24"/>
          <w:highlight w:val="none"/>
        </w:rPr>
        <w:t>〗,〖</w:t>
      </w:r>
      <w:r>
        <w:rPr>
          <w:rFonts w:hint="eastAsia" w:ascii="宋体" w:hAnsi="宋体" w:cs="宋体"/>
          <w:b/>
          <w:sz w:val="24"/>
          <w:highlight w:val="none"/>
          <w:lang w:val="en-US" w:eastAsia="zh-CN"/>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（本风险等级为我公司内部风险评级结果，仅供参考,理财计划通过代理销售机构渠道销售的，理财计划产品评级应当以代理销售机构最终披露的评级结果为准），</w:t>
      </w:r>
      <w:r>
        <w:rPr>
          <w:rFonts w:hint="eastAsia" w:ascii="宋体" w:hAnsi="宋体" w:cs="宋体"/>
          <w:b/>
          <w:sz w:val="24"/>
          <w:highlight w:val="none"/>
        </w:rPr>
        <w:t>总体风险〖</w:t>
      </w:r>
      <w:r>
        <w:rPr>
          <w:rFonts w:hint="eastAsia" w:ascii="宋体" w:hAnsi="宋体" w:cs="宋体"/>
          <w:b/>
          <w:sz w:val="24"/>
          <w:highlight w:val="none"/>
          <w:lang w:val="en-US" w:eastAsia="zh-CN"/>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理财计划管理人有权按照国内外反洗钱相关适用的法律法规和监管要求，从销售机构获得相应必要的投资者身份信息并报送投资者身份信息及其持有理财产品信息。销售机构将在合法、合理且必要时向管理人提供投资者身份识别信息（投资者身份识别信息包括但不限于：投资者的姓名、性别、国籍、职业、住所地或者工作单位地址、常居地地址、联系方式、身份证明文件的种类、号码和有效期限、代理人信息、受益所有人信息），以及在合法、合理且必要时进一步提供身份证明文件的复印件和影印件以及其他必要信息。投资者签署后即表示同意并配合提供前述信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Cs/>
          <w:sz w:val="24"/>
          <w:highlight w:val="none"/>
        </w:rPr>
      </w:pPr>
      <w:r>
        <w:rPr>
          <w:rFonts w:hint="eastAsia" w:ascii="宋体" w:hAnsi="宋体" w:cs="宋体"/>
          <w:bCs/>
          <w:sz w:val="24"/>
          <w:highlight w:val="none"/>
        </w:rPr>
        <w:t>风险提示方：杭银理财有限责任公司</w:t>
      </w:r>
    </w:p>
    <w:p>
      <w:pPr>
        <w:pStyle w:val="14"/>
        <w:spacing w:line="360" w:lineRule="auto"/>
        <w:jc w:val="center"/>
        <w:outlineLvl w:val="1"/>
        <w:rPr>
          <w:rFonts w:hint="eastAsia" w:ascii="宋体" w:hAnsi="宋体" w:cs="宋体"/>
          <w:b/>
          <w:color w:val="auto"/>
          <w:highlight w:val="none"/>
        </w:rPr>
      </w:pPr>
      <w:r>
        <w:rPr>
          <w:rFonts w:hint="eastAsia" w:ascii="宋体" w:hAnsi="宋体" w:cs="宋体"/>
          <w:b/>
          <w:color w:val="auto"/>
          <w:highlight w:val="none"/>
        </w:rPr>
        <w:br w:type="page"/>
      </w:r>
      <w:r>
        <w:rPr>
          <w:rFonts w:hint="eastAsia" w:ascii="宋体" w:hAnsi="宋体" w:cs="宋体"/>
          <w:b/>
          <w:color w:val="auto"/>
          <w:highlight w:val="none"/>
        </w:rPr>
        <w:t>投资者确认栏（个人投资者填写）</w:t>
      </w:r>
    </w:p>
    <w:p>
      <w:pPr>
        <w:pStyle w:val="14"/>
        <w:spacing w:line="360" w:lineRule="auto"/>
        <w:jc w:val="both"/>
        <w:rPr>
          <w:rFonts w:hint="eastAsia" w:ascii="宋体" w:hAnsi="宋体" w:cs="宋体"/>
          <w:b/>
          <w:color w:val="auto"/>
          <w:highlight w:val="none"/>
        </w:rPr>
      </w:pPr>
    </w:p>
    <w:p>
      <w:pPr>
        <w:pStyle w:val="14"/>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4"/>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4"/>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如超过一年未进行风险承受能力评估或影响本人风险承受能力的因素发生变化，本人将于再次购买理财计划时及时完成风险承受能力评估。</w:t>
      </w:r>
    </w:p>
    <w:p>
      <w:pPr>
        <w:pStyle w:val="14"/>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理财计划销售协议书》，已对其作全面、准确的理解，充分认识到投资本理财计划要求承担的风险，接受本风险揭示书及《理财计划产品说明书》《投资者权益须知》《理财计划投资协议书》《理财计划销售协议书》等本理财计划合同全部内容，自愿且有能力承担投资本理财计划的风险。</w:t>
      </w:r>
    </w:p>
    <w:p>
      <w:pPr>
        <w:pStyle w:val="14"/>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计划的资金为合法自有资金，不存在使用借款、贷款等非自有资金的情形；且系为合法目的投资本理财计划，而非为洗钱等违法违规之目的，本人将配合管理人或销售机构开展客户身份识别及尽职调查、反恐怖融资以及非居民金融账户尽职调查等，及时、真实、准确提供身份信息及资金来源信息。</w:t>
      </w:r>
    </w:p>
    <w:p>
      <w:pPr>
        <w:pStyle w:val="14"/>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 xml:space="preserve">“本人已经阅读上述风险揭示，愿意承担投资风险。”如通过线上渠道购买，认/申购交易确认即视为投资者同意自身风险承受能力等级并确认风险揭示内容，愿意承担投资风险，与书面签署具有同等效力。） </w:t>
      </w:r>
    </w:p>
    <w:p>
      <w:pPr>
        <w:pStyle w:val="14"/>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4"/>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cs="宋体"/>
          <w:kern w:val="0"/>
          <w:sz w:val="24"/>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snapToGrid w:val="0"/>
        <w:rPr>
          <w:rFonts w:hint="eastAsia" w:ascii="宋体" w:hAnsi="宋体"/>
          <w:kern w:val="0"/>
          <w:szCs w:val="21"/>
          <w:highlight w:val="none"/>
          <w:u w:val="single"/>
        </w:rPr>
      </w:pPr>
    </w:p>
    <w:p>
      <w:pPr>
        <w:autoSpaceDE w:val="0"/>
        <w:autoSpaceDN w:val="0"/>
        <w:adjustRightInd w:val="0"/>
        <w:spacing w:line="420" w:lineRule="exact"/>
        <w:jc w:val="center"/>
        <w:rPr>
          <w:rFonts w:hint="eastAsia" w:ascii="宋体" w:hAnsi="宋体"/>
          <w:b/>
          <w:kern w:val="0"/>
          <w:szCs w:val="21"/>
          <w:highlight w:val="none"/>
        </w:rPr>
      </w:pPr>
    </w:p>
    <w:p>
      <w:pPr>
        <w:autoSpaceDE w:val="0"/>
        <w:autoSpaceDN w:val="0"/>
        <w:adjustRightInd w:val="0"/>
        <w:spacing w:line="360" w:lineRule="auto"/>
        <w:jc w:val="center"/>
        <w:rPr>
          <w:rFonts w:hint="eastAsia" w:ascii="宋体" w:hAnsi="宋体"/>
          <w:b/>
          <w:kern w:val="0"/>
          <w:szCs w:val="21"/>
          <w:highlight w:val="none"/>
        </w:rPr>
      </w:pPr>
    </w:p>
    <w:p>
      <w:pPr>
        <w:autoSpaceDE w:val="0"/>
        <w:autoSpaceDN w:val="0"/>
        <w:adjustRightInd w:val="0"/>
        <w:spacing w:line="360" w:lineRule="auto"/>
        <w:jc w:val="center"/>
        <w:rPr>
          <w:rFonts w:hint="eastAsia" w:ascii="宋体" w:hAnsi="宋体"/>
          <w:b/>
          <w:kern w:val="0"/>
          <w:szCs w:val="21"/>
          <w:highlight w:val="none"/>
        </w:rPr>
      </w:pPr>
    </w:p>
    <w:p>
      <w:pPr>
        <w:autoSpaceDE w:val="0"/>
        <w:autoSpaceDN w:val="0"/>
        <w:adjustRightInd w:val="0"/>
        <w:spacing w:line="360" w:lineRule="auto"/>
        <w:rPr>
          <w:rFonts w:hint="eastAsia" w:ascii="宋体" w:hAnsi="宋体"/>
          <w:b/>
          <w:kern w:val="0"/>
          <w:szCs w:val="21"/>
          <w:highlight w:val="none"/>
        </w:rPr>
      </w:pPr>
    </w:p>
    <w:p>
      <w:pPr>
        <w:pStyle w:val="14"/>
        <w:spacing w:line="360" w:lineRule="auto"/>
        <w:ind w:firstLine="482" w:firstLineChars="200"/>
        <w:jc w:val="center"/>
        <w:outlineLvl w:val="1"/>
        <w:rPr>
          <w:rFonts w:hint="eastAsia" w:ascii="宋体" w:hAnsi="宋体" w:cs="宋体"/>
          <w:b/>
          <w:bCs/>
          <w:color w:val="auto"/>
          <w:highlight w:val="none"/>
        </w:rPr>
      </w:pPr>
      <w:r>
        <w:rPr>
          <w:rFonts w:hint="eastAsia" w:ascii="宋体" w:hAnsi="宋体" w:cs="宋体"/>
          <w:b/>
          <w:bCs/>
          <w:color w:val="auto"/>
          <w:highlight w:val="none"/>
        </w:rPr>
        <w:t>投资者确认栏（机构投资者）</w:t>
      </w:r>
    </w:p>
    <w:p>
      <w:pPr>
        <w:pStyle w:val="14"/>
        <w:spacing w:line="360" w:lineRule="auto"/>
        <w:ind w:firstLine="482" w:firstLineChars="200"/>
        <w:jc w:val="both"/>
        <w:rPr>
          <w:rFonts w:hint="eastAsia" w:ascii="宋体" w:hAnsi="宋体" w:cs="宋体"/>
          <w:b/>
          <w:bCs/>
          <w:color w:val="auto"/>
          <w:highlight w:val="none"/>
          <w:u w:val="single"/>
        </w:rPr>
      </w:pPr>
      <w:r>
        <w:rPr>
          <w:rFonts w:hint="eastAsia" w:ascii="宋体" w:hAnsi="宋体" w:cs="宋体"/>
          <w:b/>
          <w:bCs/>
          <w:color w:val="auto"/>
          <w:highlight w:val="none"/>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cs="宋体"/>
          <w:b/>
          <w:bCs/>
          <w:color w:val="auto"/>
          <w:highlight w:val="none"/>
          <w:u w:val="single"/>
        </w:rPr>
        <w:t>接受本风险揭示书及《理财计划产品说明书》《投资者权益须知》《理财计划投资协议书》《理财计划销售协议书》等本理财计划合同全部内容，自愿且有能力承担投资本理财计划的风险。</w:t>
      </w:r>
    </w:p>
    <w:p>
      <w:pPr>
        <w:pStyle w:val="14"/>
        <w:spacing w:line="360" w:lineRule="auto"/>
        <w:ind w:firstLine="482" w:firstLineChars="200"/>
        <w:jc w:val="both"/>
        <w:rPr>
          <w:rFonts w:hint="eastAsia" w:ascii="宋体" w:hAnsi="宋体" w:cs="宋体"/>
          <w:b/>
          <w:bCs/>
          <w:color w:val="auto"/>
          <w:highlight w:val="none"/>
          <w:u w:val="single"/>
        </w:rPr>
      </w:pPr>
      <w:r>
        <w:rPr>
          <w:rFonts w:hint="eastAsia" w:ascii="宋体" w:hAnsi="宋体" w:cs="宋体"/>
          <w:b/>
          <w:bCs/>
          <w:color w:val="auto"/>
          <w:highlight w:val="none"/>
          <w:u w:val="single"/>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4"/>
        <w:spacing w:line="360" w:lineRule="auto"/>
        <w:ind w:firstLine="480" w:firstLineChars="200"/>
        <w:jc w:val="right"/>
        <w:rPr>
          <w:rFonts w:hint="eastAsia" w:ascii="宋体" w:hAnsi="宋体" w:cs="宋体"/>
          <w:color w:val="auto"/>
          <w:highlight w:val="none"/>
        </w:rPr>
      </w:pPr>
    </w:p>
    <w:p>
      <w:pPr>
        <w:pStyle w:val="14"/>
        <w:spacing w:line="360" w:lineRule="auto"/>
        <w:ind w:firstLine="480" w:firstLineChars="200"/>
        <w:jc w:val="right"/>
        <w:rPr>
          <w:rFonts w:hint="eastAsia" w:ascii="宋体" w:hAnsi="宋体" w:cs="宋体"/>
          <w:color w:val="auto"/>
          <w:highlight w:val="none"/>
        </w:rPr>
      </w:pPr>
    </w:p>
    <w:p>
      <w:pPr>
        <w:pStyle w:val="14"/>
        <w:spacing w:line="360" w:lineRule="auto"/>
        <w:ind w:firstLine="480" w:firstLineChars="200"/>
        <w:jc w:val="right"/>
        <w:rPr>
          <w:rFonts w:hint="eastAsia" w:ascii="宋体" w:hAnsi="宋体" w:cs="宋体"/>
          <w:color w:val="auto"/>
          <w:highlight w:val="none"/>
        </w:rPr>
      </w:pPr>
    </w:p>
    <w:p>
      <w:pPr>
        <w:pStyle w:val="14"/>
        <w:spacing w:line="360" w:lineRule="auto"/>
        <w:ind w:firstLine="480" w:firstLineChars="200"/>
        <w:jc w:val="right"/>
        <w:rPr>
          <w:rFonts w:hint="eastAsia" w:ascii="宋体" w:hAnsi="宋体" w:cs="宋体"/>
          <w:color w:val="auto"/>
          <w:highlight w:val="none"/>
        </w:rPr>
      </w:pPr>
    </w:p>
    <w:p>
      <w:pPr>
        <w:pStyle w:val="14"/>
        <w:spacing w:line="360" w:lineRule="auto"/>
        <w:jc w:val="both"/>
        <w:rPr>
          <w:rFonts w:hint="eastAsia" w:ascii="宋体" w:hAnsi="宋体" w:cs="宋体"/>
          <w:color w:val="auto"/>
          <w:highlight w:val="none"/>
        </w:rPr>
      </w:pPr>
      <w:r>
        <w:rPr>
          <w:rFonts w:hint="eastAsia" w:ascii="宋体" w:hAnsi="宋体" w:cs="宋体"/>
          <w:color w:val="auto"/>
          <w:highlight w:val="none"/>
        </w:rPr>
        <w:t>投资者（公章）                          法定代表人或授权代理人（签章）</w:t>
      </w:r>
    </w:p>
    <w:p>
      <w:pPr>
        <w:pStyle w:val="14"/>
        <w:spacing w:line="360" w:lineRule="auto"/>
        <w:ind w:firstLine="480" w:firstLineChars="200"/>
        <w:jc w:val="right"/>
        <w:rPr>
          <w:rFonts w:hint="eastAsia" w:ascii="宋体" w:hAnsi="宋体" w:cs="宋体"/>
          <w:color w:val="auto"/>
          <w:highlight w:val="none"/>
        </w:rPr>
      </w:pPr>
    </w:p>
    <w:p>
      <w:pPr>
        <w:pStyle w:val="14"/>
        <w:spacing w:line="360" w:lineRule="auto"/>
        <w:ind w:firstLine="480" w:firstLineChars="200"/>
        <w:jc w:val="right"/>
        <w:rPr>
          <w:rFonts w:hint="eastAsia" w:ascii="宋体" w:hAnsi="宋体" w:cs="宋体"/>
          <w:color w:val="auto"/>
          <w:highlight w:val="none"/>
        </w:rPr>
      </w:pPr>
    </w:p>
    <w:p>
      <w:pPr>
        <w:pStyle w:val="14"/>
        <w:spacing w:line="360" w:lineRule="auto"/>
        <w:ind w:firstLine="480" w:firstLineChars="200"/>
        <w:jc w:val="right"/>
        <w:rPr>
          <w:rFonts w:hint="eastAsia" w:ascii="宋体" w:hAnsi="宋体" w:cs="宋体"/>
          <w:color w:val="auto"/>
          <w:highlight w:val="none"/>
        </w:rPr>
      </w:pPr>
    </w:p>
    <w:p>
      <w:pPr>
        <w:pStyle w:val="14"/>
        <w:spacing w:line="360" w:lineRule="auto"/>
        <w:ind w:firstLine="480" w:firstLineChars="200"/>
        <w:jc w:val="right"/>
        <w:rPr>
          <w:rFonts w:hint="eastAsia" w:ascii="宋体" w:hAnsi="宋体" w:cs="宋体"/>
          <w:color w:val="auto"/>
          <w:highlight w:val="none"/>
        </w:rPr>
      </w:pPr>
      <w:r>
        <w:rPr>
          <w:rFonts w:hint="eastAsia" w:ascii="宋体" w:hAnsi="宋体" w:cs="宋体"/>
          <w:color w:val="auto"/>
          <w:highlight w:val="none"/>
        </w:rPr>
        <w:t>日期：</w:t>
      </w:r>
      <w:r>
        <w:rPr>
          <w:rFonts w:hint="eastAsia" w:ascii="宋体" w:hAnsi="宋体" w:cs="宋体"/>
          <w:highlight w:val="none"/>
          <w:u w:val="single"/>
        </w:rPr>
        <w:t xml:space="preserve">      </w:t>
      </w:r>
      <w:r>
        <w:rPr>
          <w:rFonts w:hint="eastAsia" w:ascii="宋体" w:hAnsi="宋体" w:cs="宋体"/>
          <w:color w:val="auto"/>
          <w:highlight w:val="none"/>
        </w:rPr>
        <w:t>年</w:t>
      </w:r>
      <w:r>
        <w:rPr>
          <w:rFonts w:hint="eastAsia" w:ascii="宋体" w:hAnsi="宋体" w:cs="宋体"/>
          <w:highlight w:val="none"/>
          <w:u w:val="single"/>
        </w:rPr>
        <w:t xml:space="preserve">    </w:t>
      </w:r>
      <w:r>
        <w:rPr>
          <w:rFonts w:hint="eastAsia" w:ascii="宋体" w:hAnsi="宋体" w:cs="宋体"/>
          <w:color w:val="auto"/>
          <w:highlight w:val="none"/>
        </w:rPr>
        <w:t>月</w:t>
      </w:r>
      <w:r>
        <w:rPr>
          <w:rFonts w:hint="eastAsia" w:ascii="宋体" w:hAnsi="宋体" w:cs="宋体"/>
          <w:highlight w:val="none"/>
          <w:u w:val="single"/>
        </w:rPr>
        <w:t xml:space="preserve">    </w:t>
      </w:r>
      <w:r>
        <w:rPr>
          <w:rFonts w:hint="eastAsia" w:ascii="宋体" w:hAnsi="宋体" w:cs="宋体"/>
          <w:color w:val="auto"/>
          <w:highlight w:val="none"/>
        </w:rPr>
        <w:t>日</w:t>
      </w:r>
    </w:p>
    <w:p>
      <w:pPr>
        <w:spacing w:line="360" w:lineRule="auto"/>
        <w:jc w:val="center"/>
        <w:outlineLvl w:val="0"/>
        <w:rPr>
          <w:rFonts w:hint="eastAsia" w:ascii="宋体" w:hAnsi="宋体" w:cs="宋体"/>
          <w:b/>
          <w:bCs/>
          <w:sz w:val="44"/>
          <w:szCs w:val="44"/>
          <w:highlight w:val="none"/>
        </w:rPr>
      </w:pPr>
      <w:r>
        <w:rPr>
          <w:rFonts w:hint="eastAsia" w:ascii="宋体" w:hAnsi="宋体" w:cs="宋体"/>
          <w:bCs/>
          <w:sz w:val="24"/>
          <w:highlight w:val="none"/>
        </w:rPr>
        <w:br w:type="page"/>
      </w:r>
      <w:r>
        <w:rPr>
          <w:rFonts w:hint="eastAsia" w:ascii="宋体" w:hAnsi="宋体" w:cs="宋体"/>
          <w:b/>
          <w:bCs/>
          <w:sz w:val="44"/>
          <w:szCs w:val="44"/>
          <w:highlight w:val="none"/>
          <w:lang w:eastAsia="zh-CN"/>
        </w:rPr>
        <w:t>幸福99丰裕固收（稳利低波颐养款）386天25190期理财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（202</w:t>
      </w:r>
      <w:r>
        <w:rPr>
          <w:rFonts w:hint="eastAsia" w:ascii="宋体" w:hAnsi="宋体" w:cs="宋体"/>
          <w:sz w:val="28"/>
          <w:szCs w:val="28"/>
          <w:highlight w:val="none"/>
          <w:lang w:val="en-US" w:eastAsia="zh-CN"/>
        </w:rPr>
        <w:t>5</w:t>
      </w:r>
      <w:r>
        <w:rPr>
          <w:rFonts w:hint="eastAsia" w:ascii="宋体" w:hAnsi="宋体" w:cs="宋体"/>
          <w:sz w:val="28"/>
          <w:szCs w:val="28"/>
          <w:highlight w:val="none"/>
        </w:rPr>
        <w:t>0</w:t>
      </w:r>
      <w:r>
        <w:rPr>
          <w:rFonts w:hint="eastAsia" w:ascii="宋体" w:hAnsi="宋体" w:cs="宋体"/>
          <w:sz w:val="28"/>
          <w:szCs w:val="28"/>
          <w:highlight w:val="none"/>
          <w:lang w:val="en-US" w:eastAsia="zh-CN"/>
        </w:rPr>
        <w:t>2</w:t>
      </w:r>
      <w:r>
        <w:rPr>
          <w:rFonts w:hint="eastAsia" w:ascii="宋体" w:hAnsi="宋体" w:cs="宋体"/>
          <w:sz w:val="28"/>
          <w:szCs w:val="28"/>
          <w:highlight w:val="none"/>
        </w:rPr>
        <w:t>版）</w:t>
      </w:r>
    </w:p>
    <w:p>
      <w:pPr>
        <w:spacing w:line="360" w:lineRule="auto"/>
        <w:jc w:val="right"/>
        <w:rPr>
          <w:rFonts w:hint="eastAsia" w:ascii="宋体" w:hAnsi="宋体" w:cs="宋体"/>
          <w:bCs/>
          <w:color w:val="auto"/>
          <w:sz w:val="24"/>
          <w:highlight w:val="none"/>
        </w:rPr>
      </w:pPr>
      <w:r>
        <w:rPr>
          <w:rFonts w:hint="eastAsia" w:ascii="宋体" w:hAnsi="宋体" w:cs="宋体"/>
          <w:color w:val="000000"/>
          <w:sz w:val="24"/>
          <w:highlight w:val="none"/>
        </w:rPr>
        <w:t>备案编号</w:t>
      </w:r>
      <w:r>
        <w:rPr>
          <w:rFonts w:hint="eastAsia" w:ascii="宋体" w:hAnsi="宋体" w:cs="宋体"/>
          <w:color w:val="auto"/>
          <w:sz w:val="24"/>
          <w:highlight w:val="none"/>
        </w:rPr>
        <w:t>:</w:t>
      </w:r>
      <w:r>
        <w:rPr>
          <w:rFonts w:hint="eastAsia" w:ascii="宋体" w:hAnsi="宋体" w:cs="宋体"/>
          <w:bCs/>
          <w:color w:val="auto"/>
          <w:sz w:val="24"/>
          <w:highlight w:val="none"/>
        </w:rPr>
        <w:t>〖</w:t>
      </w:r>
      <w:r>
        <w:rPr>
          <w:rFonts w:hint="eastAsia" w:ascii="宋体" w:hAnsi="宋体" w:cs="宋体"/>
          <w:color w:val="000000"/>
          <w:sz w:val="24"/>
          <w:highlight w:val="none"/>
          <w:lang w:val="en-US" w:eastAsia="zh-CN"/>
        </w:rPr>
        <w:t>Z7002225000370</w:t>
      </w:r>
      <w:r>
        <w:rPr>
          <w:rFonts w:hint="eastAsia" w:ascii="宋体" w:hAnsi="宋体" w:cs="宋体"/>
          <w:bCs/>
          <w:color w:val="auto"/>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1"/>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理财计划销售协议书》，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在本理财计划存续期内，如因监管政策或法律法规发生变化，在不损害投资者利益的前提下，管理人有权对因上述变化导致的本理财计划说明书条款变化进行修订。</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1"/>
        <w:rPr>
          <w:rFonts w:ascii="宋体" w:hAnsi="宋体" w:cs="宋体"/>
          <w:b/>
          <w:sz w:val="24"/>
          <w:highlight w:val="none"/>
        </w:rPr>
      </w:pPr>
      <w:r>
        <w:rPr>
          <w:rFonts w:hint="eastAsia" w:ascii="宋体" w:hAnsi="宋体" w:cs="宋体"/>
          <w:b/>
          <w:sz w:val="24"/>
          <w:highlight w:val="none"/>
        </w:rPr>
        <w:t>释义</w:t>
      </w:r>
    </w:p>
    <w:p>
      <w:pPr>
        <w:pStyle w:val="14"/>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4"/>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4"/>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指杭银理财有限责任公司，主要从事面向不特定社会公众公开发行理财产品、面向合格投资者非公开发行理财产品、理财顾问和咨询服务等相关业务。杭银理财有限责任公司简称杭银理财，官网网站为</w:t>
      </w:r>
      <w:r>
        <w:rPr>
          <w:rFonts w:hint="eastAsia" w:ascii="宋体" w:hAnsi="宋体" w:cs="宋体"/>
          <w:bCs/>
          <w:color w:val="auto"/>
          <w:kern w:val="2"/>
          <w:highlight w:val="none"/>
          <w:u w:val="single"/>
        </w:rPr>
        <w:t>https://www.hzbankwealth.com.cn。</w:t>
      </w:r>
    </w:p>
    <w:p>
      <w:pPr>
        <w:pStyle w:val="14"/>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auto"/>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fldChar w:fldCharType="begin"/>
      </w:r>
      <w:r>
        <w:rPr>
          <w:rFonts w:hint="eastAsia" w:ascii="宋体" w:hAnsi="宋体" w:cs="宋体"/>
          <w:bCs/>
          <w:color w:val="auto"/>
          <w:kern w:val="2"/>
          <w:highlight w:val="none"/>
          <w:u w:val="single"/>
        </w:rPr>
        <w:instrText xml:space="preserve"> HYPERLINK "http://www.hzbank.com.cn" </w:instrText>
      </w:r>
      <w:r>
        <w:fldChar w:fldCharType="separate"/>
      </w:r>
      <w:r>
        <w:rPr>
          <w:rFonts w:hint="eastAsia" w:ascii="宋体" w:hAnsi="宋体" w:cs="宋体"/>
          <w:bCs/>
          <w:color w:val="auto"/>
          <w:kern w:val="2"/>
          <w:highlight w:val="none"/>
          <w:u w:val="single"/>
        </w:rPr>
        <w:t>www.hzbank.com.cn</w:t>
      </w:r>
      <w:r>
        <w:fldChar w:fldCharType="end"/>
      </w:r>
      <w:r>
        <w:rPr>
          <w:rFonts w:hint="eastAsia" w:ascii="宋体" w:hAnsi="宋体" w:cs="宋体"/>
          <w:bCs/>
          <w:color w:val="auto"/>
          <w:kern w:val="2"/>
          <w:highlight w:val="none"/>
        </w:rPr>
        <w:t>，客服热线为95398。</w:t>
      </w:r>
    </w:p>
    <w:p>
      <w:pPr>
        <w:pStyle w:val="14"/>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highlight w:val="none"/>
        </w:rPr>
        <w:t>〖</w:t>
      </w:r>
      <w:r>
        <w:rPr>
          <w:rFonts w:hint="eastAsia" w:ascii="宋体" w:hAnsi="宋体" w:cs="宋体"/>
          <w:bCs/>
          <w:color w:val="auto"/>
          <w:kern w:val="2"/>
          <w:highlight w:val="none"/>
        </w:rPr>
        <w:t>杭州银行股份有限公司</w:t>
      </w:r>
      <w:r>
        <w:rPr>
          <w:rFonts w:hint="eastAsia" w:ascii="宋体" w:hAnsi="宋体" w:cs="宋体"/>
          <w:highlight w:val="none"/>
        </w:rPr>
        <w:t>〗</w:t>
      </w:r>
      <w:r>
        <w:rPr>
          <w:rFonts w:hint="eastAsia" w:ascii="宋体" w:hAnsi="宋体" w:cs="宋体"/>
          <w:bCs/>
          <w:color w:val="auto"/>
          <w:kern w:val="2"/>
          <w:highlight w:val="none"/>
        </w:rPr>
        <w:t>。</w:t>
      </w:r>
    </w:p>
    <w:p>
      <w:pPr>
        <w:pStyle w:val="14"/>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4"/>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4"/>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的信托计划/资管计划的管理人/受托人、相关投资顾问等）实施监督管理的机构，包括但不限于中国人民银行、国家金融监督管理总局、中国证券监督管理委员会、外汇管理局、银行业理财登记托管中心等。</w:t>
      </w:r>
    </w:p>
    <w:p>
      <w:pPr>
        <w:pStyle w:val="14"/>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4"/>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理财计划说明书/产品说明书：</w:t>
      </w:r>
      <w:r>
        <w:rPr>
          <w:rFonts w:hint="eastAsia" w:ascii="宋体" w:hAnsi="宋体" w:cs="宋体"/>
          <w:bCs/>
          <w:color w:val="auto"/>
          <w:kern w:val="2"/>
          <w:highlight w:val="none"/>
        </w:rPr>
        <w:t>指《</w:t>
      </w:r>
      <w:r>
        <w:rPr>
          <w:rFonts w:hint="eastAsia" w:ascii="宋体" w:hAnsi="宋体" w:cs="宋体"/>
          <w:bCs/>
          <w:color w:val="auto"/>
          <w:kern w:val="2"/>
          <w:highlight w:val="none"/>
          <w:lang w:eastAsia="zh-CN"/>
        </w:rPr>
        <w:t>幸福99丰裕固收（稳利低波颐养款）386天25190期理财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4"/>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cs="宋体"/>
          <w:bCs/>
          <w:color w:val="auto"/>
          <w:kern w:val="2"/>
          <w:highlight w:val="none"/>
          <w:lang w:eastAsia="zh-CN"/>
        </w:rPr>
        <w:t>幸福99丰裕固收（稳利低波颐养款）386天25190期理财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4"/>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cs="宋体"/>
          <w:bCs/>
          <w:color w:val="auto"/>
          <w:kern w:val="2"/>
          <w:highlight w:val="none"/>
          <w:lang w:eastAsia="zh-CN"/>
        </w:rPr>
        <w:t>幸福99丰裕固收（稳利低波颐养款）386天25190期理财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4"/>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理财计划投资协议书：</w:t>
      </w:r>
      <w:r>
        <w:rPr>
          <w:rFonts w:hint="eastAsia" w:ascii="宋体" w:hAnsi="宋体" w:cs="宋体"/>
          <w:bCs/>
          <w:color w:val="auto"/>
          <w:kern w:val="2"/>
          <w:highlight w:val="none"/>
        </w:rPr>
        <w:t>指作为</w:t>
      </w:r>
      <w:r>
        <w:rPr>
          <w:rFonts w:hint="eastAsia" w:ascii="宋体" w:hAnsi="宋体" w:cs="宋体"/>
          <w:bCs/>
          <w:color w:val="auto"/>
          <w:kern w:val="2"/>
          <w:highlight w:val="none"/>
          <w:lang w:eastAsia="zh-CN"/>
        </w:rPr>
        <w:t>幸福99丰裕固收（稳利低波颐养款）386天25190期理财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4"/>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理财计划销售协议书：</w:t>
      </w:r>
      <w:r>
        <w:rPr>
          <w:rFonts w:hint="eastAsia" w:ascii="宋体" w:hAnsi="宋体" w:cs="宋体"/>
          <w:bCs/>
          <w:color w:val="auto"/>
          <w:kern w:val="2"/>
          <w:highlight w:val="none"/>
        </w:rPr>
        <w:t>指作为</w:t>
      </w:r>
      <w:r>
        <w:rPr>
          <w:rFonts w:hint="eastAsia" w:ascii="宋体" w:hAnsi="宋体" w:cs="宋体"/>
          <w:bCs/>
          <w:color w:val="auto"/>
          <w:kern w:val="2"/>
          <w:highlight w:val="none"/>
          <w:lang w:eastAsia="zh-CN"/>
        </w:rPr>
        <w:t>幸福99丰裕固收（稳利低波颐养款）386天25190期理财</w:t>
      </w:r>
      <w:r>
        <w:rPr>
          <w:rFonts w:hint="eastAsia" w:ascii="宋体" w:hAnsi="宋体" w:cs="宋体"/>
          <w:bCs/>
          <w:color w:val="auto"/>
          <w:kern w:val="2"/>
          <w:highlight w:val="none"/>
        </w:rPr>
        <w:t>合同不可分割组成部分的理财计划销售协议书，以及对该文件的有效修改与补充。</w:t>
      </w:r>
    </w:p>
    <w:p>
      <w:pPr>
        <w:pStyle w:val="14"/>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理财计划合同/销售文件：</w:t>
      </w:r>
      <w:r>
        <w:rPr>
          <w:rFonts w:hint="eastAsia" w:ascii="宋体" w:hAnsi="宋体" w:cs="宋体"/>
          <w:bCs/>
          <w:color w:val="auto"/>
          <w:kern w:val="2"/>
          <w:highlight w:val="none"/>
        </w:rPr>
        <w:t>指《理财计划风险揭示书》《理财计划产品说明书》《投资者权益须知》《理财计划投资协议书》《理财计划销售协议书》五个部分。</w:t>
      </w:r>
    </w:p>
    <w:p>
      <w:pPr>
        <w:pStyle w:val="14"/>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cs="宋体"/>
          <w:bCs/>
          <w:color w:val="auto"/>
          <w:kern w:val="2"/>
          <w:highlight w:val="none"/>
          <w:lang w:eastAsia="zh-CN"/>
        </w:rPr>
        <w:t>幸福99丰裕固收（稳利低波颐养款）386天25190期理财</w:t>
      </w:r>
      <w:r>
        <w:rPr>
          <w:rFonts w:hint="eastAsia" w:ascii="宋体" w:hAnsi="宋体" w:cs="宋体"/>
          <w:bCs/>
          <w:highlight w:val="none"/>
        </w:rPr>
        <w:t>。</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4"/>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4"/>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指上海证券交易所、深圳证券交易所的正常交易日。如涉及到监管条例部分，统一以监管条例表述替代。</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指理财计划成立后，理财计划不接受投资者申购赎回的时间。</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销售服务费、托管人收取的托管费、交易费用、执行费用等相关费用，具体以实际发生为准。</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其他费用：</w:t>
      </w:r>
      <w:r>
        <w:rPr>
          <w:rFonts w:hint="eastAsia" w:ascii="宋体" w:hAnsi="宋体" w:cs="宋体"/>
          <w:bCs/>
          <w:highlight w:val="none"/>
        </w:rPr>
        <w:t>指除理财计划费用以外，理财计划涉及的其他相关费用，包括但不限于认购费、申购费、赎回费、投顾费等，具体以本说明书第八条约定为准。</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4"/>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4"/>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4"/>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4"/>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4"/>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4"/>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4"/>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4"/>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4"/>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4"/>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4"/>
        <w:numPr>
          <w:ilvl w:val="0"/>
          <w:numId w:val="17"/>
        </w:numPr>
        <w:adjustRightInd/>
        <w:spacing w:line="360" w:lineRule="auto"/>
        <w:ind w:firstLine="482" w:firstLineChars="20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4"/>
        <w:adjustRightInd/>
        <w:spacing w:line="360" w:lineRule="auto"/>
        <w:rPr>
          <w:rFonts w:hint="eastAsia" w:ascii="宋体" w:hAnsi="宋体" w:cs="宋体"/>
          <w:bCs/>
          <w:color w:val="auto"/>
          <w:kern w:val="2"/>
          <w:highlight w:val="none"/>
        </w:rPr>
      </w:pPr>
    </w:p>
    <w:p>
      <w:pPr>
        <w:pStyle w:val="14"/>
        <w:numPr>
          <w:ilvl w:val="0"/>
          <w:numId w:val="18"/>
        </w:numPr>
        <w:adjustRightInd/>
        <w:spacing w:line="360" w:lineRule="auto"/>
        <w:outlineLvl w:val="1"/>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4"/>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cs="宋体"/>
          <w:b/>
          <w:sz w:val="24"/>
          <w:highlight w:val="none"/>
          <w:lang w:val="en-US" w:eastAsia="zh-CN"/>
        </w:rPr>
        <w:t>R2</w:t>
      </w:r>
      <w:r>
        <w:rPr>
          <w:rFonts w:hint="eastAsia" w:ascii="宋体" w:hAnsi="宋体" w:cs="宋体"/>
          <w:b/>
          <w:color w:val="auto"/>
          <w:kern w:val="2"/>
          <w:highlight w:val="none"/>
        </w:rPr>
        <w:t>〗，〖</w:t>
      </w:r>
      <w:r>
        <w:rPr>
          <w:rFonts w:hint="eastAsia" w:ascii="宋体" w:hAnsi="宋体" w:cs="宋体"/>
          <w:b/>
          <w:sz w:val="24"/>
          <w:highlight w:val="none"/>
          <w:lang w:val="en-US" w:eastAsia="zh-CN"/>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7"/>
        <w:gridCol w:w="1502"/>
        <w:gridCol w:w="5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7"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内部风险评级</w:t>
            </w:r>
          </w:p>
        </w:tc>
        <w:tc>
          <w:tcPr>
            <w:tcW w:w="1502"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风险程度</w:t>
            </w:r>
          </w:p>
        </w:tc>
        <w:tc>
          <w:tcPr>
            <w:tcW w:w="5163"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7"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R1</w:t>
            </w:r>
          </w:p>
        </w:tc>
        <w:tc>
          <w:tcPr>
            <w:tcW w:w="1502"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低</w:t>
            </w:r>
          </w:p>
        </w:tc>
        <w:tc>
          <w:tcPr>
            <w:tcW w:w="5163"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保守型、稳健型、平衡型、成长型、进取型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7" w:type="dxa"/>
            <w:noWrap w:val="0"/>
            <w:vAlign w:val="top"/>
          </w:tcPr>
          <w:p>
            <w:pPr>
              <w:pStyle w:val="14"/>
              <w:widowControl w:val="0"/>
              <w:autoSpaceDE w:val="0"/>
              <w:autoSpaceDN w:val="0"/>
              <w:adjustRightInd/>
              <w:spacing w:line="360" w:lineRule="auto"/>
              <w:jc w:val="center"/>
              <w:rPr>
                <w:rFonts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R2</w:t>
            </w:r>
          </w:p>
        </w:tc>
        <w:tc>
          <w:tcPr>
            <w:tcW w:w="1502" w:type="dxa"/>
            <w:noWrap w:val="0"/>
            <w:vAlign w:val="top"/>
          </w:tcPr>
          <w:p>
            <w:pPr>
              <w:pStyle w:val="14"/>
              <w:widowControl w:val="0"/>
              <w:autoSpaceDE w:val="0"/>
              <w:autoSpaceDN w:val="0"/>
              <w:adjustRightInd/>
              <w:spacing w:line="360" w:lineRule="auto"/>
              <w:jc w:val="center"/>
              <w:rPr>
                <w:rFonts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中低</w:t>
            </w:r>
          </w:p>
        </w:tc>
        <w:tc>
          <w:tcPr>
            <w:tcW w:w="5163" w:type="dxa"/>
            <w:noWrap w:val="0"/>
            <w:vAlign w:val="top"/>
          </w:tcPr>
          <w:p>
            <w:pPr>
              <w:pStyle w:val="14"/>
              <w:widowControl w:val="0"/>
              <w:autoSpaceDE w:val="0"/>
              <w:autoSpaceDN w:val="0"/>
              <w:adjustRightInd/>
              <w:spacing w:line="360" w:lineRule="auto"/>
              <w:jc w:val="center"/>
              <w:rPr>
                <w:rFonts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稳健型、平衡型、成长型、进取型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7"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R3</w:t>
            </w:r>
          </w:p>
        </w:tc>
        <w:tc>
          <w:tcPr>
            <w:tcW w:w="1502"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中</w:t>
            </w:r>
          </w:p>
        </w:tc>
        <w:tc>
          <w:tcPr>
            <w:tcW w:w="5163"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平衡型、成长型、进取型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7"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R4</w:t>
            </w:r>
          </w:p>
        </w:tc>
        <w:tc>
          <w:tcPr>
            <w:tcW w:w="1502"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中高</w:t>
            </w:r>
          </w:p>
        </w:tc>
        <w:tc>
          <w:tcPr>
            <w:tcW w:w="5163"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7"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R5</w:t>
            </w:r>
          </w:p>
        </w:tc>
        <w:tc>
          <w:tcPr>
            <w:tcW w:w="1502"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高</w:t>
            </w:r>
          </w:p>
        </w:tc>
        <w:tc>
          <w:tcPr>
            <w:tcW w:w="5163" w:type="dxa"/>
            <w:noWrap w:val="0"/>
            <w:vAlign w:val="top"/>
          </w:tcPr>
          <w:p>
            <w:pPr>
              <w:pStyle w:val="14"/>
              <w:widowControl w:val="0"/>
              <w:autoSpaceDE w:val="0"/>
              <w:autoSpaceDN w:val="0"/>
              <w:adjustRightInd/>
              <w:spacing w:line="360" w:lineRule="auto"/>
              <w:jc w:val="center"/>
              <w:rPr>
                <w:rFonts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进取型</w:t>
            </w:r>
          </w:p>
        </w:tc>
      </w:tr>
    </w:tbl>
    <w:p>
      <w:pPr>
        <w:pStyle w:val="14"/>
        <w:adjustRightInd/>
        <w:spacing w:line="360" w:lineRule="auto"/>
        <w:ind w:firstLine="480" w:firstLineChars="200"/>
        <w:rPr>
          <w:rFonts w:ascii="宋体" w:hAnsi="宋体" w:cs="宋体"/>
          <w:bCs/>
          <w:color w:val="auto"/>
          <w:kern w:val="2"/>
          <w:highlight w:val="none"/>
        </w:rPr>
      </w:pPr>
      <w:r>
        <w:rPr>
          <w:rFonts w:hint="eastAsia" w:ascii="宋体" w:hAnsi="宋体" w:cs="宋体"/>
          <w:bCs/>
          <w:color w:val="auto"/>
          <w:kern w:val="2"/>
          <w:highlight w:val="none"/>
        </w:rPr>
        <w:t>投资者风险承受能力评级水平以销售机构评估为准。</w:t>
      </w:r>
    </w:p>
    <w:p>
      <w:pPr>
        <w:pStyle w:val="14"/>
        <w:adjustRightInd/>
        <w:spacing w:line="360" w:lineRule="auto"/>
        <w:rPr>
          <w:rFonts w:hint="eastAsia" w:ascii="宋体" w:hAnsi="宋体" w:cs="宋体"/>
          <w:bCs/>
          <w:color w:val="auto"/>
          <w:kern w:val="2"/>
          <w:highlight w:val="none"/>
        </w:rPr>
      </w:pPr>
    </w:p>
    <w:p>
      <w:pPr>
        <w:pStyle w:val="14"/>
        <w:numPr>
          <w:ilvl w:val="0"/>
          <w:numId w:val="18"/>
        </w:numPr>
        <w:adjustRightInd/>
        <w:spacing w:line="360" w:lineRule="auto"/>
        <w:outlineLvl w:val="1"/>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产品名称</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幸福99丰裕固收（稳利低波颐养款）386天25190期理财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widowControl/>
              <w:spacing w:line="360" w:lineRule="auto"/>
              <w:contextualSpacing/>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产品简称</w:t>
            </w:r>
          </w:p>
        </w:tc>
        <w:tc>
          <w:tcPr>
            <w:tcW w:w="7185" w:type="dxa"/>
            <w:noWrap w:val="0"/>
            <w:vAlign w:val="center"/>
          </w:tcPr>
          <w:p>
            <w:pPr>
              <w:widowControl/>
              <w:spacing w:line="360" w:lineRule="auto"/>
              <w:contextualSpacing/>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丰裕固收25190期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widowControl/>
              <w:spacing w:line="360" w:lineRule="auto"/>
              <w:contextualSpacing/>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产品编号</w:t>
            </w:r>
          </w:p>
        </w:tc>
        <w:tc>
          <w:tcPr>
            <w:tcW w:w="7185" w:type="dxa"/>
            <w:noWrap w:val="0"/>
            <w:vAlign w:val="center"/>
          </w:tcPr>
          <w:p>
            <w:pPr>
              <w:widowControl/>
              <w:spacing w:line="360" w:lineRule="auto"/>
              <w:contextualSpacing/>
              <w:jc w:val="both"/>
              <w:rPr>
                <w:rFonts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〖FYG25190〗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登记编码</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本理财计划在全国银行业理财信息登记系统的登记编码是〖Z7002225000370〗，投资者可依据该编码在“中国理财网（www.chinawealth.com.cn）”查询本理财计划信息。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发行对象</w:t>
            </w:r>
          </w:p>
        </w:tc>
        <w:tc>
          <w:tcPr>
            <w:tcW w:w="7185" w:type="dxa"/>
            <w:noWrap w:val="0"/>
            <w:vAlign w:val="center"/>
          </w:tcPr>
          <w:p>
            <w:pPr>
              <w:widowControl/>
              <w:spacing w:line="360" w:lineRule="auto"/>
              <w:contextualSpacing/>
              <w:jc w:val="both"/>
              <w:rPr>
                <w:rFonts w:hint="eastAsia" w:ascii="宋体" w:hAnsi="宋体" w:eastAsia="宋体" w:cs="宋体"/>
                <w:b/>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本理财计划适合</w:t>
            </w:r>
            <w:r>
              <w:rPr>
                <w:rFonts w:hint="eastAsia" w:ascii="宋体" w:hAnsi="宋体" w:eastAsia="宋体" w:cs="宋体"/>
                <w:b/>
                <w:kern w:val="2"/>
                <w:sz w:val="21"/>
                <w:szCs w:val="21"/>
                <w:highlight w:val="none"/>
                <w:lang w:val="en-US" w:eastAsia="zh-CN" w:bidi="ar-SA"/>
              </w:rPr>
              <w:t>〖</w:t>
            </w:r>
            <w:r>
              <w:rPr>
                <w:rFonts w:hint="eastAsia" w:ascii="宋体" w:hAnsi="宋体" w:eastAsia="宋体" w:cs="宋体"/>
                <w:b/>
                <w:color w:val="000000"/>
                <w:kern w:val="2"/>
                <w:sz w:val="21"/>
                <w:szCs w:val="21"/>
                <w:highlight w:val="none"/>
                <w:lang w:val="en-US" w:eastAsia="zh-CN" w:bidi="ar-SA"/>
              </w:rPr>
              <w:t>机构投资者〗以及〖稳健型、平衡型、成长型、进取型〗的个人投资者。</w:t>
            </w:r>
            <w:r>
              <w:rPr>
                <w:rFonts w:hint="eastAsia" w:ascii="宋体" w:hAnsi="宋体" w:eastAsia="宋体" w:cs="宋体"/>
                <w:bCs/>
                <w:kern w:val="2"/>
                <w:sz w:val="21"/>
                <w:szCs w:val="24"/>
                <w:highlight w:val="none"/>
                <w:lang w:val="en-US" w:eastAsia="zh-CN" w:bidi="ar-SA"/>
              </w:rPr>
              <w:t>投资者风险承受能力评级水平以销售机构评估为准。</w:t>
            </w:r>
          </w:p>
          <w:p>
            <w:pPr>
              <w:widowControl/>
              <w:spacing w:line="300" w:lineRule="auto"/>
              <w:contextualSpacing/>
              <w:jc w:val="both"/>
              <w:rPr>
                <w:rFonts w:hint="eastAsia" w:ascii="宋体" w:hAnsi="宋体" w:eastAsia="宋体" w:cs="黑体"/>
                <w:color w:val="000000"/>
                <w:kern w:val="2"/>
                <w:sz w:val="21"/>
                <w:szCs w:val="21"/>
                <w:highlight w:val="none"/>
                <w:lang w:val="en-US" w:eastAsia="zh-CN" w:bidi="ar-SA"/>
              </w:rPr>
            </w:pPr>
            <w:r>
              <w:rPr>
                <w:rFonts w:hint="eastAsia" w:ascii="宋体" w:hAnsi="宋体" w:eastAsia="宋体" w:cs="宋体"/>
                <w:bCs/>
                <w:color w:val="000000"/>
                <w:kern w:val="2"/>
                <w:sz w:val="21"/>
                <w:szCs w:val="21"/>
                <w:highlight w:val="none"/>
                <w:lang w:val="en-US" w:eastAsia="zh-CN" w:bidi="ar-SA"/>
              </w:rPr>
              <w:t>其中：</w:t>
            </w:r>
            <w:r>
              <w:rPr>
                <w:rFonts w:hint="eastAsia" w:ascii="宋体" w:hAnsi="宋体" w:eastAsia="宋体" w:cs="黑体"/>
                <w:color w:val="000000"/>
                <w:kern w:val="2"/>
                <w:sz w:val="21"/>
                <w:szCs w:val="21"/>
                <w:highlight w:val="none"/>
                <w:lang w:val="en-US" w:eastAsia="zh-CN" w:bidi="ar-SA"/>
              </w:rPr>
              <w:t xml:space="preserve"> </w:t>
            </w:r>
          </w:p>
          <w:p>
            <w:pPr>
              <w:widowControl/>
              <w:spacing w:line="360" w:lineRule="auto"/>
              <w:contextualSpacing/>
              <w:jc w:val="both"/>
              <w:rPr>
                <w:rFonts w:hint="eastAsia" w:ascii="宋体" w:hAnsi="宋体" w:eastAsia="宋体" w:cs="宋体"/>
                <w:b/>
                <w:color w:val="000000"/>
                <w:kern w:val="2"/>
                <w:sz w:val="21"/>
                <w:szCs w:val="21"/>
                <w:highlight w:val="none"/>
                <w:lang w:val="en-US" w:eastAsia="zh-CN" w:bidi="ar-SA"/>
              </w:rPr>
            </w:pPr>
            <w:r>
              <w:rPr>
                <w:rFonts w:hint="eastAsia" w:ascii="宋体" w:hAnsi="宋体" w:eastAsia="宋体" w:cs="宋体"/>
                <w:b w:val="0"/>
                <w:bCs/>
                <w:color w:val="000000"/>
                <w:kern w:val="2"/>
                <w:sz w:val="21"/>
                <w:szCs w:val="21"/>
                <w:highlight w:val="none"/>
                <w:lang w:val="en-US" w:eastAsia="zh-CN" w:bidi="ar-SA"/>
              </w:rPr>
              <w:t>A份额（销售代码〖FYG25190A〗）：普通个人投资者和机构客户。</w:t>
            </w:r>
            <w:r>
              <w:rPr>
                <w:rFonts w:hint="eastAsia" w:ascii="宋体" w:hAnsi="宋体" w:eastAsia="宋体" w:cs="宋体"/>
                <w:b w:val="0"/>
                <w:bCs/>
                <w:color w:val="000000"/>
                <w:kern w:val="2"/>
                <w:sz w:val="21"/>
                <w:szCs w:val="21"/>
                <w:highlight w:val="none"/>
                <w:lang w:val="en-US" w:eastAsia="zh-CN" w:bidi="ar-SA"/>
              </w:rPr>
              <w:br w:type="textWrapping"/>
            </w:r>
            <w:r>
              <w:rPr>
                <w:rFonts w:hint="eastAsia" w:ascii="宋体" w:hAnsi="宋体" w:eastAsia="宋体" w:cs="宋体"/>
                <w:b w:val="0"/>
                <w:bCs/>
                <w:color w:val="000000"/>
                <w:kern w:val="2"/>
                <w:sz w:val="21"/>
                <w:szCs w:val="21"/>
                <w:highlight w:val="none"/>
                <w:lang w:val="en-US" w:eastAsia="zh-CN" w:bidi="ar-SA"/>
              </w:rPr>
              <w:t>B份额（销售代码〖FYG25190B〗）：普通个人投资者和机构客户。</w:t>
            </w:r>
            <w:r>
              <w:rPr>
                <w:rFonts w:hint="eastAsia" w:ascii="宋体" w:hAnsi="宋体" w:eastAsia="宋体" w:cs="宋体"/>
                <w:b w:val="0"/>
                <w:bCs/>
                <w:color w:val="000000"/>
                <w:kern w:val="2"/>
                <w:sz w:val="21"/>
                <w:szCs w:val="21"/>
                <w:highlight w:val="none"/>
                <w:lang w:val="en-US" w:eastAsia="zh-CN" w:bidi="ar-SA"/>
              </w:rPr>
              <w:br w:type="textWrapping"/>
            </w:r>
            <w:r>
              <w:rPr>
                <w:rFonts w:hint="eastAsia" w:ascii="宋体" w:hAnsi="宋体" w:eastAsia="宋体" w:cs="宋体"/>
                <w:b w:val="0"/>
                <w:bCs/>
                <w:color w:val="000000"/>
                <w:kern w:val="2"/>
                <w:sz w:val="21"/>
                <w:szCs w:val="21"/>
                <w:highlight w:val="none"/>
                <w:lang w:val="en-US" w:eastAsia="zh-CN" w:bidi="ar-SA"/>
              </w:rPr>
              <w:t>C份额（销售代码〖FYG25190C〗）：普通个人投资者和机构客户。</w:t>
            </w:r>
            <w:r>
              <w:rPr>
                <w:rFonts w:hint="eastAsia" w:ascii="宋体" w:hAnsi="宋体" w:eastAsia="宋体" w:cs="宋体"/>
                <w:b w:val="0"/>
                <w:bCs/>
                <w:color w:val="000000"/>
                <w:kern w:val="2"/>
                <w:sz w:val="21"/>
                <w:szCs w:val="21"/>
                <w:highlight w:val="none"/>
                <w:lang w:val="en-US" w:eastAsia="zh-CN" w:bidi="ar-SA"/>
              </w:rPr>
              <w:br w:type="textWrapping"/>
            </w:r>
            <w:r>
              <w:rPr>
                <w:rFonts w:hint="eastAsia" w:ascii="宋体" w:hAnsi="宋体" w:eastAsia="宋体" w:cs="宋体"/>
                <w:b w:val="0"/>
                <w:bCs/>
                <w:color w:val="000000"/>
                <w:kern w:val="2"/>
                <w:sz w:val="21"/>
                <w:szCs w:val="21"/>
                <w:highlight w:val="none"/>
                <w:lang w:val="en-US" w:eastAsia="zh-CN" w:bidi="ar-SA"/>
              </w:rPr>
              <w:t>D份额（银发专属）（销售代码〖FYG25190D〗）：普通个人投资者和机构客户。</w:t>
            </w:r>
            <w:r>
              <w:rPr>
                <w:rFonts w:hint="eastAsia" w:ascii="宋体" w:hAnsi="宋体" w:eastAsia="宋体" w:cs="宋体"/>
                <w:b w:val="0"/>
                <w:bCs/>
                <w:color w:val="000000"/>
                <w:kern w:val="2"/>
                <w:sz w:val="21"/>
                <w:szCs w:val="21"/>
                <w:highlight w:val="none"/>
                <w:lang w:val="en-US" w:eastAsia="zh-CN" w:bidi="ar-SA"/>
              </w:rPr>
              <w:br w:type="textWrapping"/>
            </w:r>
            <w:r>
              <w:rPr>
                <w:rFonts w:hint="eastAsia" w:ascii="宋体" w:hAnsi="宋体" w:eastAsia="宋体" w:cs="宋体"/>
                <w:b w:val="0"/>
                <w:bCs/>
                <w:color w:val="000000"/>
                <w:kern w:val="2"/>
                <w:sz w:val="21"/>
                <w:szCs w:val="21"/>
                <w:highlight w:val="none"/>
                <w:lang w:val="en-US" w:eastAsia="zh-CN" w:bidi="ar-SA"/>
              </w:rPr>
              <w:t>E份额（幸福金桂）（销售代码〖FYG25190E〗）：普通个人投资者和机构客户。</w:t>
            </w:r>
            <w:r>
              <w:rPr>
                <w:rFonts w:hint="eastAsia" w:ascii="宋体" w:hAnsi="宋体" w:eastAsia="宋体" w:cs="宋体"/>
                <w:b w:val="0"/>
                <w:bCs/>
                <w:color w:val="000000"/>
                <w:kern w:val="2"/>
                <w:sz w:val="21"/>
                <w:szCs w:val="21"/>
                <w:highlight w:val="none"/>
                <w:lang w:val="en-US" w:eastAsia="zh-CN" w:bidi="ar-SA"/>
              </w:rPr>
              <w:br w:type="textWrapping"/>
            </w:r>
            <w:r>
              <w:rPr>
                <w:rFonts w:hint="eastAsia" w:ascii="宋体" w:hAnsi="宋体" w:eastAsia="宋体" w:cs="宋体"/>
                <w:b w:val="0"/>
                <w:bCs/>
                <w:color w:val="000000"/>
                <w:kern w:val="2"/>
                <w:sz w:val="21"/>
                <w:szCs w:val="21"/>
                <w:highlight w:val="none"/>
                <w:lang w:val="en-US" w:eastAsia="zh-CN" w:bidi="ar-SA"/>
              </w:rPr>
              <w:t>F份额吉行乡村振兴（销售代码〖FYG25190F〗）：普通个人投资者和机构客户。</w:t>
            </w:r>
            <w:r>
              <w:rPr>
                <w:rFonts w:hint="eastAsia" w:ascii="宋体" w:hAnsi="宋体" w:eastAsia="宋体" w:cs="宋体"/>
                <w:b w:val="0"/>
                <w:bCs/>
                <w:color w:val="000000"/>
                <w:kern w:val="2"/>
                <w:sz w:val="21"/>
                <w:szCs w:val="21"/>
                <w:highlight w:val="none"/>
                <w:lang w:val="en-US" w:eastAsia="zh-CN" w:bidi="ar-SA"/>
              </w:rPr>
              <w:br w:type="textWrapping"/>
            </w:r>
            <w:r>
              <w:rPr>
                <w:rFonts w:hint="eastAsia" w:ascii="宋体" w:hAnsi="宋体" w:eastAsia="宋体" w:cs="宋体"/>
                <w:b w:val="0"/>
                <w:bCs/>
                <w:color w:val="000000"/>
                <w:kern w:val="2"/>
                <w:sz w:val="21"/>
                <w:szCs w:val="21"/>
                <w:highlight w:val="none"/>
                <w:lang w:val="en-US" w:eastAsia="zh-CN" w:bidi="ar-SA"/>
              </w:rPr>
              <w:t>G份额（销售代码〖FYG25190G〗）：普通个人投资者和机构客户。</w:t>
            </w:r>
            <w:r>
              <w:rPr>
                <w:rFonts w:hint="eastAsia" w:ascii="宋体" w:hAnsi="宋体" w:eastAsia="宋体" w:cs="宋体"/>
                <w:b w:val="0"/>
                <w:bCs/>
                <w:color w:val="000000"/>
                <w:kern w:val="2"/>
                <w:sz w:val="21"/>
                <w:szCs w:val="21"/>
                <w:highlight w:val="none"/>
                <w:lang w:val="en-US" w:eastAsia="zh-CN" w:bidi="ar-SA"/>
              </w:rPr>
              <w:br w:type="textWrapping"/>
            </w:r>
            <w:r>
              <w:rPr>
                <w:rFonts w:hint="eastAsia" w:ascii="宋体" w:hAnsi="宋体" w:eastAsia="宋体" w:cs="宋体"/>
                <w:b w:val="0"/>
                <w:bCs/>
                <w:color w:val="000000"/>
                <w:kern w:val="2"/>
                <w:sz w:val="21"/>
                <w:szCs w:val="21"/>
                <w:highlight w:val="none"/>
                <w:lang w:val="en-US" w:eastAsia="zh-CN" w:bidi="ar-SA"/>
              </w:rPr>
              <w:t>H份额（汉口银行专属）（销售代码〖FYG25190H〗）：普通个人投资者和机构客户。</w:t>
            </w:r>
            <w:r>
              <w:rPr>
                <w:rFonts w:hint="eastAsia" w:ascii="宋体" w:hAnsi="宋体" w:eastAsia="宋体" w:cs="宋体"/>
                <w:b w:val="0"/>
                <w:bCs/>
                <w:color w:val="000000"/>
                <w:kern w:val="2"/>
                <w:sz w:val="21"/>
                <w:szCs w:val="21"/>
                <w:highlight w:val="none"/>
                <w:lang w:val="en-US" w:eastAsia="zh-CN" w:bidi="ar-SA"/>
              </w:rPr>
              <w:br w:type="textWrapping"/>
            </w:r>
            <w:r>
              <w:rPr>
                <w:rFonts w:hint="eastAsia" w:ascii="宋体" w:hAnsi="宋体" w:eastAsia="宋体" w:cs="宋体"/>
                <w:b w:val="0"/>
                <w:bCs/>
                <w:color w:val="000000"/>
                <w:kern w:val="2"/>
                <w:sz w:val="21"/>
                <w:szCs w:val="21"/>
                <w:highlight w:val="none"/>
                <w:lang w:val="en-US" w:eastAsia="zh-CN" w:bidi="ar-SA"/>
              </w:rPr>
              <w:t>W份额惠享款（销售代码〖FYG25190W〗）：普通个人投资者和机构客户。</w:t>
            </w:r>
            <w:r>
              <w:rPr>
                <w:rFonts w:hint="eastAsia" w:ascii="宋体" w:hAnsi="宋体" w:eastAsia="宋体" w:cs="宋体"/>
                <w:b w:val="0"/>
                <w:bCs/>
                <w:color w:val="000000"/>
                <w:kern w:val="2"/>
                <w:sz w:val="21"/>
                <w:szCs w:val="21"/>
                <w:highlight w:val="none"/>
                <w:lang w:val="en-US" w:eastAsia="zh-CN" w:bidi="ar-SA"/>
              </w:rPr>
              <w:br w:type="textWrapping"/>
            </w:r>
            <w:r>
              <w:rPr>
                <w:rFonts w:hint="eastAsia" w:ascii="宋体" w:hAnsi="宋体" w:eastAsia="宋体" w:cs="宋体"/>
                <w:b w:val="0"/>
                <w:bCs/>
                <w:color w:val="000000"/>
                <w:kern w:val="2"/>
                <w:sz w:val="21"/>
                <w:szCs w:val="21"/>
                <w:highlight w:val="none"/>
                <w:lang w:val="en-US" w:eastAsia="zh-CN" w:bidi="ar-SA"/>
              </w:rPr>
              <w:t>Z份额惠享款（销售代码〖FYG25190Z〗）：普通个人投资者和机构客户。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发行方式</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产品类型</w:t>
            </w:r>
          </w:p>
        </w:tc>
        <w:tc>
          <w:tcPr>
            <w:tcW w:w="7185" w:type="dxa"/>
            <w:noWrap w:val="0"/>
            <w:vAlign w:val="center"/>
          </w:tcPr>
          <w:p>
            <w:pPr>
              <w:widowControl/>
              <w:spacing w:line="360" w:lineRule="auto"/>
              <w:contextualSpacing/>
              <w:jc w:val="both"/>
              <w:rPr>
                <w:rFonts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〖固定收益类〗</w:t>
            </w:r>
            <w:r>
              <w:rPr>
                <w:rFonts w:hint="eastAsia" w:ascii="宋体" w:hAnsi="宋体" w:eastAsia="宋体" w:cs="宋体"/>
                <w:color w:val="000000"/>
                <w:kern w:val="2"/>
                <w:sz w:val="21"/>
                <w:szCs w:val="21"/>
                <w:highlight w:val="none"/>
                <w:lang w:val="en-US" w:eastAsia="zh-CN" w:bidi="ar-SA"/>
              </w:rPr>
              <w:t>，非保本浮动收益型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widowControl/>
              <w:spacing w:line="360" w:lineRule="auto"/>
              <w:contextualSpacing/>
              <w:jc w:val="center"/>
              <w:rPr>
                <w:rFonts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运作模式</w:t>
            </w:r>
          </w:p>
        </w:tc>
        <w:tc>
          <w:tcPr>
            <w:tcW w:w="7185" w:type="dxa"/>
            <w:noWrap w:val="0"/>
            <w:vAlign w:val="center"/>
          </w:tcPr>
          <w:p>
            <w:pPr>
              <w:widowControl/>
              <w:spacing w:line="360" w:lineRule="auto"/>
              <w:contextualSpacing/>
              <w:jc w:val="both"/>
              <w:rPr>
                <w:rFonts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分级产品</w:t>
            </w:r>
          </w:p>
        </w:tc>
        <w:tc>
          <w:tcPr>
            <w:tcW w:w="7185" w:type="dxa"/>
            <w:noWrap w:val="0"/>
            <w:vAlign w:val="center"/>
          </w:tcPr>
          <w:p>
            <w:pPr>
              <w:widowControl/>
              <w:spacing w:line="360" w:lineRule="auto"/>
              <w:contextualSpacing/>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销售范围</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w:t>
            </w:r>
            <w:r>
              <w:rPr>
                <w:rFonts w:hint="eastAsia" w:ascii="宋体" w:hAnsi="宋体" w:eastAsia="宋体" w:cs="宋体"/>
                <w:color w:val="000000"/>
                <w:kern w:val="2"/>
                <w:sz w:val="21"/>
                <w:szCs w:val="21"/>
                <w:highlight w:val="none"/>
                <w:lang w:val="en-US" w:eastAsia="zh-CN" w:bidi="ar-SA"/>
              </w:rPr>
              <w:t>全国</w:t>
            </w:r>
            <w:r>
              <w:rPr>
                <w:rFonts w:hint="eastAsia" w:ascii="宋体" w:hAnsi="宋体" w:eastAsia="宋体" w:cs="宋体"/>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销售渠道</w:t>
            </w:r>
          </w:p>
        </w:tc>
        <w:tc>
          <w:tcPr>
            <w:tcW w:w="7185" w:type="dxa"/>
            <w:noWrap w:val="0"/>
            <w:vAlign w:val="center"/>
          </w:tcPr>
          <w:p>
            <w:pPr>
              <w:widowControl/>
              <w:spacing w:line="360" w:lineRule="auto"/>
              <w:contextualSpacing/>
              <w:jc w:val="left"/>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可通过杭银理财直销渠道和代理销售机构的</w:t>
            </w:r>
            <w:r>
              <w:rPr>
                <w:rFonts w:hint="eastAsia" w:ascii="宋体" w:hAnsi="宋体" w:eastAsia="宋体" w:cs="宋体"/>
                <w:kern w:val="2"/>
                <w:sz w:val="21"/>
                <w:szCs w:val="21"/>
                <w:highlight w:val="none"/>
                <w:lang w:val="en-US" w:eastAsia="zh-CN" w:bidi="ar-SA"/>
              </w:rPr>
              <w:t>〖</w:t>
            </w:r>
            <w:r>
              <w:rPr>
                <w:rFonts w:hint="eastAsia" w:ascii="宋体" w:hAnsi="宋体" w:eastAsia="宋体" w:cs="宋体"/>
                <w:color w:val="000000"/>
                <w:kern w:val="2"/>
                <w:sz w:val="21"/>
                <w:szCs w:val="21"/>
                <w:highlight w:val="none"/>
                <w:lang w:val="en-US" w:eastAsia="zh-CN" w:bidi="ar-SA"/>
              </w:rPr>
              <w:t>营业网点、网上银行、手机银行</w:t>
            </w:r>
            <w:r>
              <w:rPr>
                <w:rFonts w:hint="eastAsia" w:ascii="宋体" w:hAnsi="宋体" w:eastAsia="宋体" w:cs="宋体"/>
                <w:kern w:val="2"/>
                <w:sz w:val="21"/>
                <w:szCs w:val="21"/>
                <w:highlight w:val="none"/>
                <w:lang w:val="en-US" w:eastAsia="zh-CN" w:bidi="ar-SA"/>
              </w:rPr>
              <w:t>〗</w:t>
            </w:r>
            <w:r>
              <w:rPr>
                <w:rFonts w:hint="eastAsia" w:ascii="宋体" w:hAnsi="宋体" w:eastAsia="宋体" w:cs="宋体"/>
                <w:color w:val="000000"/>
                <w:kern w:val="2"/>
                <w:sz w:val="21"/>
                <w:szCs w:val="21"/>
                <w:highlight w:val="none"/>
                <w:lang w:val="en-US" w:eastAsia="zh-CN" w:bidi="ar-SA"/>
              </w:rPr>
              <w:t>等渠道购买，通过代理销售机构购买的，具体销售渠道以代理销售机构披露为准。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交易币种</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发行规模上限</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认购期</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〖2025〗年〖10〗月〖14〗日-〖2025〗年〖10〗月〖20〗日</w:t>
            </w:r>
            <w:r>
              <w:rPr>
                <w:rFonts w:hint="eastAsia" w:ascii="宋体" w:hAnsi="宋体" w:eastAsia="宋体" w:cs="宋体"/>
                <w:color w:val="000000"/>
                <w:kern w:val="0"/>
                <w:sz w:val="21"/>
                <w:szCs w:val="21"/>
                <w:highlight w:val="none"/>
                <w:lang w:val="en-US" w:eastAsia="zh-CN" w:bidi="ar-SA"/>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认购时间</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认购期首日〖9：00〗至认购结束日〖17：00〗</w:t>
            </w:r>
            <w:r>
              <w:rPr>
                <w:rFonts w:hint="eastAsia" w:ascii="宋体" w:hAnsi="宋体" w:eastAsia="宋体" w:cs="宋体"/>
                <w:color w:val="000000"/>
                <w:kern w:val="0"/>
                <w:sz w:val="21"/>
                <w:szCs w:val="21"/>
                <w:highlight w:val="none"/>
                <w:lang w:val="en-US" w:eastAsia="zh-CN" w:bidi="ar-SA"/>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成立日</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〖2025〗年〖10〗月〖21〗日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到期日</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〖2026〗年〖11〗月〖11〗日，若到期日为非工作日则顺延至下一个工作日。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理财期限</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〖386〗天（实际理财期限受制于管理人提前终止权等条款）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认购起点金额</w:t>
            </w:r>
          </w:p>
        </w:tc>
        <w:tc>
          <w:tcPr>
            <w:tcW w:w="7185" w:type="dxa"/>
            <w:noWrap w:val="0"/>
            <w:vAlign w:val="center"/>
          </w:tcPr>
          <w:p>
            <w:pPr>
              <w:widowControl/>
              <w:spacing w:line="360" w:lineRule="auto"/>
              <w:contextualSpacing/>
              <w:jc w:val="both"/>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p>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认购份额</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认购份额=认购金额</w:t>
            </w:r>
            <w:r>
              <w:rPr>
                <w:rFonts w:hint="eastAsia" w:ascii="宋体" w:hAnsi="宋体" w:eastAsia="宋体" w:cs="宋体"/>
                <w:bCs/>
                <w:color w:val="000000"/>
                <w:kern w:val="2"/>
                <w:sz w:val="21"/>
                <w:szCs w:val="21"/>
                <w:highlight w:val="none"/>
                <w:lang w:val="en-US" w:eastAsia="zh-CN" w:bidi="ar-SA"/>
              </w:rPr>
              <w:t>÷</w:t>
            </w:r>
            <w:r>
              <w:rPr>
                <w:rFonts w:hint="eastAsia" w:ascii="宋体" w:hAnsi="宋体" w:eastAsia="宋体" w:cs="宋体"/>
                <w:color w:val="000000"/>
                <w:kern w:val="2"/>
                <w:sz w:val="21"/>
                <w:szCs w:val="21"/>
                <w:highlight w:val="none"/>
                <w:lang w:val="en-US" w:eastAsia="zh-CN" w:bidi="ar-SA"/>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产品成立</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kern w:val="2"/>
                <w:sz w:val="21"/>
                <w:szCs w:val="21"/>
                <w:highlight w:val="none"/>
                <w:lang w:val="en-US" w:eastAsia="zh-CN" w:bidi="ar-SA"/>
              </w:rPr>
              <w:t>〖3000〗</w:t>
            </w:r>
            <w:r>
              <w:rPr>
                <w:rFonts w:hint="eastAsia" w:ascii="宋体" w:hAnsi="宋体" w:eastAsia="宋体" w:cs="宋体"/>
                <w:color w:val="000000"/>
                <w:kern w:val="2"/>
                <w:sz w:val="21"/>
                <w:szCs w:val="21"/>
                <w:highlight w:val="none"/>
                <w:lang w:val="en-US" w:eastAsia="zh-CN" w:bidi="ar-SA"/>
              </w:rPr>
              <w:t>万元，则管理人可宣布本理财计划不成立并在原定理财计划成立日后</w:t>
            </w:r>
            <w:r>
              <w:rPr>
                <w:rFonts w:hint="eastAsia" w:ascii="宋体" w:hAnsi="宋体" w:eastAsia="宋体" w:cs="宋体"/>
                <w:kern w:val="2"/>
                <w:sz w:val="21"/>
                <w:szCs w:val="21"/>
                <w:highlight w:val="none"/>
                <w:lang w:val="en-US" w:eastAsia="zh-CN" w:bidi="ar-SA"/>
              </w:rPr>
              <w:t>〖</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kern w:val="2"/>
                <w:sz w:val="21"/>
                <w:szCs w:val="21"/>
                <w:highlight w:val="none"/>
                <w:lang w:val="en-US" w:eastAsia="zh-CN" w:bidi="ar-SA"/>
              </w:rPr>
              <w:t>〗</w:t>
            </w:r>
            <w:r>
              <w:rPr>
                <w:rFonts w:hint="eastAsia" w:ascii="宋体" w:hAnsi="宋体" w:eastAsia="宋体" w:cs="宋体"/>
                <w:color w:val="000000"/>
                <w:kern w:val="2"/>
                <w:sz w:val="21"/>
                <w:szCs w:val="21"/>
                <w:highlight w:val="none"/>
                <w:lang w:val="en-US" w:eastAsia="zh-CN" w:bidi="ar-SA"/>
              </w:rPr>
              <w:t>个工作日内通过管理人或销售机构发布不成立信息，投资者购买的理财资金将在原定成立日后2个工作日内划转至投资者指定理财账户，</w:t>
            </w:r>
            <w:r>
              <w:rPr>
                <w:rFonts w:hint="eastAsia" w:ascii="宋体" w:hAnsi="宋体" w:eastAsia="宋体" w:cs="宋体"/>
                <w:b/>
                <w:color w:val="000000"/>
                <w:kern w:val="2"/>
                <w:sz w:val="21"/>
                <w:szCs w:val="21"/>
                <w:highlight w:val="none"/>
                <w:lang w:val="en-US" w:eastAsia="zh-CN" w:bidi="ar-SA"/>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单户限额</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单位净值</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单位净值=理财计划估值日理财计划总净值</w:t>
            </w:r>
            <w:r>
              <w:rPr>
                <w:rFonts w:hint="eastAsia" w:ascii="宋体" w:hAnsi="宋体" w:eastAsia="宋体" w:cs="宋体"/>
                <w:bCs/>
                <w:color w:val="000000"/>
                <w:kern w:val="2"/>
                <w:sz w:val="21"/>
                <w:szCs w:val="21"/>
                <w:highlight w:val="none"/>
                <w:lang w:val="en-US" w:eastAsia="zh-CN" w:bidi="ar-SA"/>
              </w:rPr>
              <w:t>÷</w:t>
            </w:r>
            <w:r>
              <w:rPr>
                <w:rFonts w:hint="eastAsia" w:ascii="宋体" w:hAnsi="宋体" w:eastAsia="宋体" w:cs="宋体"/>
                <w:color w:val="000000"/>
                <w:kern w:val="2"/>
                <w:sz w:val="21"/>
                <w:szCs w:val="21"/>
                <w:highlight w:val="none"/>
                <w:lang w:val="en-US" w:eastAsia="zh-CN" w:bidi="ar-SA"/>
              </w:rPr>
              <w:t>理财计划总份额，单位净值保留小数点后四位，四舍五入。</w:t>
            </w:r>
          </w:p>
          <w:p>
            <w:pPr>
              <w:widowControl/>
              <w:spacing w:line="360" w:lineRule="auto"/>
              <w:contextualSpacing/>
              <w:jc w:val="both"/>
              <w:rPr>
                <w:rFonts w:hint="eastAsia" w:ascii="宋体" w:hAnsi="宋体" w:eastAsia="宋体" w:cs="宋体"/>
                <w:b/>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理财计划总净值=理财计划认购总额+理财计划所获总收益-理财计划总费用（包括但不限于固定管理费、托管费、销售服务费、浮动管理费等）。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资金与收益支付方式</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理财计划到期后，最快</w:t>
            </w:r>
            <w:r>
              <w:rPr>
                <w:rFonts w:hint="eastAsia" w:ascii="宋体" w:hAnsi="宋体" w:eastAsia="宋体" w:cs="宋体"/>
                <w:kern w:val="2"/>
                <w:sz w:val="21"/>
                <w:szCs w:val="21"/>
                <w:highlight w:val="none"/>
                <w:lang w:val="en-US" w:eastAsia="zh-CN" w:bidi="ar-SA"/>
              </w:rPr>
              <w:t>〖1〗</w:t>
            </w:r>
            <w:r>
              <w:rPr>
                <w:rFonts w:hint="eastAsia" w:ascii="宋体" w:hAnsi="宋体" w:eastAsia="宋体" w:cs="宋体"/>
                <w:color w:val="000000"/>
                <w:kern w:val="2"/>
                <w:sz w:val="21"/>
                <w:szCs w:val="21"/>
                <w:highlight w:val="none"/>
                <w:lang w:val="en-US" w:eastAsia="zh-CN" w:bidi="ar-SA"/>
              </w:rPr>
              <w:t>个工作日，最晚</w:t>
            </w:r>
            <w:r>
              <w:rPr>
                <w:rFonts w:hint="eastAsia" w:ascii="宋体" w:hAnsi="宋体" w:eastAsia="宋体" w:cs="宋体"/>
                <w:kern w:val="2"/>
                <w:sz w:val="21"/>
                <w:szCs w:val="21"/>
                <w:highlight w:val="none"/>
                <w:lang w:val="en-US" w:eastAsia="zh-CN" w:bidi="ar-SA"/>
              </w:rPr>
              <w:t>〖3〗</w:t>
            </w:r>
            <w:r>
              <w:rPr>
                <w:rFonts w:hint="eastAsia" w:ascii="宋体" w:hAnsi="宋体" w:eastAsia="宋体" w:cs="宋体"/>
                <w:color w:val="000000"/>
                <w:kern w:val="2"/>
                <w:sz w:val="21"/>
                <w:szCs w:val="21"/>
                <w:highlight w:val="none"/>
                <w:lang w:val="en-US" w:eastAsia="zh-CN" w:bidi="ar-SA"/>
              </w:rPr>
              <w:t>个工作日内（遇节假日顺延）支付。如遇资金在途或法定工作日调整，实际资金到账日以公告为准。</w:t>
            </w:r>
            <w:r>
              <w:rPr>
                <w:rFonts w:hint="eastAsia" w:ascii="宋体" w:hAnsi="宋体" w:eastAsia="宋体" w:cs="宋体"/>
                <w:color w:val="000000"/>
                <w:kern w:val="0"/>
                <w:sz w:val="21"/>
                <w:szCs w:val="21"/>
                <w:highlight w:val="none"/>
                <w:lang w:val="en-US" w:eastAsia="zh-CN" w:bidi="ar-SA"/>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业绩比较基准</w:t>
            </w:r>
          </w:p>
        </w:tc>
        <w:tc>
          <w:tcPr>
            <w:tcW w:w="7185" w:type="dxa"/>
            <w:noWrap w:val="0"/>
            <w:vAlign w:val="center"/>
          </w:tcPr>
          <w:p>
            <w:pPr>
              <w:widowControl/>
              <w:spacing w:line="360" w:lineRule="auto"/>
              <w:jc w:val="lef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本理财计划〖A份额〗业绩比较基准为〖2.00%〗（年化）。</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本理财计划〖B份额〗业绩比较基准为〖2.10%〗（年化）。</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本理财计划〖C份额〗业绩比较基准为〖2.20%〗（年化）。</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本理财计划〖D份额〗业绩比较基准为〖2.15%〗（年化）。</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本理财计划〖E份额〗业绩比较基准为〖2.10%〗（年化）。</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本理财计划〖F份额〗业绩比较基准为〖2.20%〗（年化）。</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本理财计划〖G份额〗业绩比较基准为〖1.90%〗（年化）。</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本理财计划〖H份额〗业绩比较基准为〖2.00%〗（年化）。</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本理财计划〖W份额〗业绩比较基准为〖2.00%〗（年化）。</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本理财计划〖Z份额〗业绩比较基准为〖2.20%〗（年化）。</w:t>
            </w:r>
          </w:p>
          <w:p>
            <w:pPr>
              <w:widowControl/>
              <w:spacing w:line="360" w:lineRule="auto"/>
              <w:jc w:val="left"/>
              <w:rPr>
                <w:rFonts w:hint="eastAsia" w:ascii="宋体" w:hAnsi="宋体" w:eastAsia="宋体" w:cs="宋体"/>
                <w:b/>
                <w:bCs/>
                <w:kern w:val="2"/>
                <w:sz w:val="21"/>
                <w:szCs w:val="21"/>
                <w:highlight w:val="none"/>
                <w:lang w:val="en-US" w:eastAsia="zh-CN" w:bidi="ar-SA"/>
              </w:rPr>
            </w:pPr>
            <w:r>
              <w:rPr>
                <w:rFonts w:hint="eastAsia" w:ascii="宋体" w:hAnsi="宋体" w:eastAsia="宋体" w:cs="宋体"/>
                <w:b/>
                <w:bCs/>
                <w:kern w:val="2"/>
                <w:sz w:val="21"/>
                <w:szCs w:val="21"/>
                <w:highlight w:val="none"/>
                <w:lang w:val="en-US" w:eastAsia="zh-CN" w:bidi="ar-SA"/>
              </w:rPr>
              <w:t>业绩基准测算依据：本理财计划重点投资于货币市场工具、债券、非标准化债权类资产等资产，管理人根据固定收益市场历史表现，结合当前利率水平、资产配比及市场同类型产品情况，经综合判断得出。</w:t>
            </w:r>
          </w:p>
          <w:p>
            <w:pPr>
              <w:widowControl/>
              <w:spacing w:line="360" w:lineRule="auto"/>
              <w:jc w:val="left"/>
              <w:rPr>
                <w:rFonts w:hint="eastAsia" w:ascii="宋体" w:hAnsi="宋体" w:eastAsia="宋体" w:cs="宋体"/>
                <w:b/>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管理人有权根据市场情况及理财计划运作情况调整业绩基准，并至少于新业绩基准启用前</w:t>
            </w:r>
            <w:r>
              <w:rPr>
                <w:rFonts w:hint="eastAsia" w:ascii="宋体" w:hAnsi="宋体" w:eastAsia="宋体" w:cs="宋体"/>
                <w:kern w:val="0"/>
                <w:sz w:val="21"/>
                <w:szCs w:val="24"/>
                <w:highlight w:val="none"/>
                <w:lang w:val="en-US" w:eastAsia="zh-CN" w:bidi="ar-SA"/>
              </w:rPr>
              <w:t>〖2〗</w:t>
            </w:r>
            <w:r>
              <w:rPr>
                <w:rFonts w:hint="eastAsia" w:ascii="宋体" w:hAnsi="宋体" w:eastAsia="宋体" w:cs="宋体"/>
                <w:kern w:val="2"/>
                <w:sz w:val="21"/>
                <w:szCs w:val="21"/>
                <w:highlight w:val="none"/>
                <w:lang w:val="en-US" w:eastAsia="zh-CN" w:bidi="ar-SA"/>
              </w:rPr>
              <w:t>个工作日公告。</w:t>
            </w:r>
          </w:p>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b/>
                <w:kern w:val="2"/>
                <w:sz w:val="21"/>
                <w:szCs w:val="21"/>
                <w:highlight w:val="none"/>
                <w:lang w:val="en-US" w:eastAsia="zh-CN" w:bidi="ar-SA"/>
              </w:rPr>
              <w:t>本理财计划为净值型理财产品，其业绩表现将随市场波动具有不确定性。本公司提醒投资者关注，业绩比较基准不是预期收益率，并不代表理财计划的未来表现和实际收益率，不构成对理财计划收益的承诺。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产品费用</w:t>
            </w:r>
          </w:p>
        </w:tc>
        <w:tc>
          <w:tcPr>
            <w:tcW w:w="7185" w:type="dxa"/>
            <w:noWrap w:val="0"/>
            <w:vAlign w:val="center"/>
          </w:tcPr>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1.销售服务费：〖A份额〗收取年化〖0.30%〗的销售服务费, 〖B份额〗收取年化〖0.20%〗的销售服务费, 〖C份额〗收取年化〖0.10%〗的销售服务费, 〖D份额〗收取年化〖0.15%〗的销售服务费, 〖E份额〗收取年化〖0.20%〗的销售服务费, 〖F份额〗收取年化〖0.10%〗的销售服务费, 〖G份额〗收取年化〖0.40%〗的销售服务费, 〖H份额〗收取年化〖0.30%〗的销售服务费, 〖W份额〗收取年化〖0.30%〗的销售服务费, 〖Z份额〗收取年化〖0.10%〗的销售服务费。其中〖A份额〗、〖B份额〗、〖C份额〗、〖D份额〗、〖E份额〗、〖F份额〗、〖G份额〗、〖H份额〗对应份额每日计提销售服务费；〖W份额〗、〖Z份额〗对应份额销售服务费于产品成立日一次性收取。</w:t>
            </w:r>
          </w:p>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2.托管费：收取年化</w:t>
            </w:r>
            <w:r>
              <w:rPr>
                <w:rFonts w:hint="eastAsia" w:ascii="宋体" w:hAnsi="宋体" w:eastAsia="宋体" w:cs="宋体"/>
                <w:kern w:val="2"/>
                <w:sz w:val="21"/>
                <w:szCs w:val="21"/>
                <w:highlight w:val="none"/>
                <w:lang w:val="en-US" w:eastAsia="zh-CN" w:bidi="ar-SA"/>
              </w:rPr>
              <w:t>〖0.025%〗</w:t>
            </w:r>
            <w:r>
              <w:rPr>
                <w:rFonts w:hint="eastAsia" w:ascii="宋体" w:hAnsi="宋体" w:eastAsia="宋体" w:cs="宋体"/>
                <w:color w:val="000000"/>
                <w:kern w:val="2"/>
                <w:sz w:val="21"/>
                <w:szCs w:val="21"/>
                <w:highlight w:val="none"/>
                <w:lang w:val="en-US" w:eastAsia="zh-CN" w:bidi="ar-SA"/>
              </w:rPr>
              <w:t>的托管费。</w:t>
            </w:r>
          </w:p>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3.固定管理费：〖A份额〗收取年化〖0.05%〗的固定管理费, 〖B份额〗收取年化〖0.05%〗的固定管理费, 〖C份额〗收取年化〖0.05%〗的固定管理费, 〖D份额〗收取年化〖0.05%〗的固定管理费, 〖E份额〗收取年化〖0.05%〗的固定管理费, 〖F份额〗收取年化〖0.05%〗的固定管理费, 〖G份额〗收取年化〖0.05%〗的固定管理费, 〖H份额〗收取年化〖0.05%〗的固定管理费, 〖W份额〗收取年化〖0.05%〗的固定管理费, 〖Z份额〗收取年化〖0.05%〗的固定管理费。</w:t>
            </w:r>
          </w:p>
          <w:p>
            <w:pPr>
              <w:widowControl/>
              <w:spacing w:line="360" w:lineRule="auto"/>
              <w:contextualSpacing/>
              <w:jc w:val="both"/>
              <w:rPr>
                <w:rFonts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4.认购费：本理财计划免除认购费。</w:t>
            </w:r>
          </w:p>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5.浮动管理费：</w:t>
            </w:r>
            <w:r>
              <w:rPr>
                <w:rFonts w:hint="eastAsia" w:ascii="宋体" w:hAnsi="宋体" w:eastAsia="宋体" w:cs="宋体"/>
                <w:b w:val="0"/>
                <w:bCs/>
                <w:color w:val="000000"/>
                <w:kern w:val="2"/>
                <w:sz w:val="21"/>
                <w:szCs w:val="21"/>
                <w:highlight w:val="none"/>
                <w:lang w:val="en-US" w:eastAsia="zh-CN" w:bidi="ar-SA"/>
              </w:rPr>
              <w:t>管理人根据理财计划投资情况计算浮动管理费，本理财计划份额到期日（提前终止日）的折合年化收益率超过该份额业绩比较基准的部分,管理人提取〖80%〗作为浮动管理费。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提前终止</w:t>
            </w:r>
          </w:p>
        </w:tc>
        <w:tc>
          <w:tcPr>
            <w:tcW w:w="7185" w:type="dxa"/>
            <w:noWrap w:val="0"/>
            <w:vAlign w:val="center"/>
          </w:tcPr>
          <w:p>
            <w:pPr>
              <w:widowControl/>
              <w:spacing w:line="360" w:lineRule="auto"/>
              <w:contextualSpacing/>
              <w:jc w:val="both"/>
              <w:rPr>
                <w:rFonts w:hint="eastAsia" w:ascii="宋体" w:hAnsi="宋体" w:eastAsia="宋体" w:cs="宋体"/>
                <w:b/>
                <w:color w:val="000000"/>
                <w:kern w:val="0"/>
                <w:sz w:val="21"/>
                <w:szCs w:val="21"/>
                <w:highlight w:val="none"/>
                <w:lang w:val="en-US" w:eastAsia="zh-CN" w:bidi="ar-SA"/>
              </w:rPr>
            </w:pPr>
            <w:r>
              <w:rPr>
                <w:rFonts w:hint="eastAsia" w:ascii="宋体" w:hAnsi="宋体" w:eastAsia="宋体" w:cs="宋体"/>
                <w:b/>
                <w:color w:val="000000"/>
                <w:kern w:val="0"/>
                <w:sz w:val="21"/>
                <w:szCs w:val="21"/>
                <w:highlight w:val="none"/>
                <w:lang w:val="en-US" w:eastAsia="zh-CN" w:bidi="ar-SA"/>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税费规定</w:t>
            </w:r>
          </w:p>
        </w:tc>
        <w:tc>
          <w:tcPr>
            <w:tcW w:w="7185" w:type="dxa"/>
            <w:noWrap w:val="0"/>
            <w:vAlign w:val="center"/>
          </w:tcPr>
          <w:p>
            <w:pPr>
              <w:widowControl w:val="0"/>
              <w:spacing w:line="360" w:lineRule="auto"/>
              <w:jc w:val="both"/>
              <w:outlineLvl w:val="0"/>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widowControl/>
              <w:spacing w:line="360" w:lineRule="auto"/>
              <w:contextualSpacing/>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融资服务</w:t>
            </w:r>
          </w:p>
        </w:tc>
        <w:tc>
          <w:tcPr>
            <w:tcW w:w="7185" w:type="dxa"/>
            <w:noWrap w:val="0"/>
            <w:vAlign w:val="bottom"/>
          </w:tcPr>
          <w:p>
            <w:pPr>
              <w:widowControl w:val="0"/>
              <w:spacing w:line="360" w:lineRule="auto"/>
              <w:jc w:val="both"/>
              <w:rPr>
                <w:rFonts w:hint="eastAsia" w:ascii="宋体" w:hAnsi="宋体" w:eastAsia="宋体" w:cs="宋体"/>
                <w:b/>
                <w:color w:val="000000"/>
                <w:kern w:val="0"/>
                <w:sz w:val="21"/>
                <w:szCs w:val="21"/>
                <w:highlight w:val="none"/>
                <w:lang w:val="en-US" w:eastAsia="zh-CN" w:bidi="ar-SA"/>
              </w:rPr>
            </w:pPr>
            <w:r>
              <w:rPr>
                <w:rFonts w:hint="eastAsia" w:ascii="宋体" w:hAnsi="宋体" w:eastAsia="宋体" w:cs="宋体"/>
                <w:b/>
                <w:color w:val="000000"/>
                <w:kern w:val="2"/>
                <w:sz w:val="21"/>
                <w:szCs w:val="21"/>
                <w:highlight w:val="none"/>
                <w:lang w:val="en-US" w:eastAsia="zh-CN" w:bidi="ar-SA"/>
              </w:rPr>
              <w:t>投资者在理财期限内不能提前赎回，如需质押按销售机构相关规定执行。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contextualSpacing/>
              <w:jc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both"/>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认购期内按照活期存款利率计息，认购期内的利息不计入认购本金份额。到期日（或理财计划实际终止日）到理财资金返还到账日为清算期，清算期内不计付利息。</w:t>
            </w:r>
            <w:r>
              <w:rPr>
                <w:rFonts w:hint="eastAsia" w:ascii="宋体" w:hAnsi="宋体" w:eastAsia="宋体" w:cs="宋体"/>
                <w:color w:val="000000"/>
                <w:kern w:val="0"/>
                <w:sz w:val="21"/>
                <w:szCs w:val="21"/>
                <w:highlight w:val="none"/>
                <w:lang w:val="en-US" w:eastAsia="zh-CN" w:bidi="ar-SA"/>
              </w:rPr>
              <w:t>（具体以销售机构规定为准）</w:t>
            </w:r>
          </w:p>
          <w:p>
            <w:pPr>
              <w:widowControl w:val="0"/>
              <w:spacing w:line="360" w:lineRule="auto"/>
              <w:jc w:val="both"/>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1"/>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固定收益类资产：包括但不限于各类债券、存款、货币市场金融工具、债券基金、质押式及买断式回购、非标准化债权类资产，其他符合监管要求的固定收益类资产及资产管理产品。</w:t>
      </w:r>
    </w:p>
    <w:p>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r>
        <w:rPr>
          <w:rFonts w:hint="eastAsia" w:ascii="宋体" w:hAnsi="宋体" w:cs="宋体"/>
          <w:bCs/>
          <w:color w:val="FF0000"/>
          <w:sz w:val="24"/>
          <w:highlight w:val="none"/>
        </w:rPr>
        <w:t xml:space="preserve"> </w:t>
      </w:r>
    </w:p>
    <w:tbl>
      <w:tblPr>
        <w:tblStyle w:val="8"/>
        <w:tblW w:w="829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790"/>
        <w:gridCol w:w="4716"/>
        <w:gridCol w:w="179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rPr>
          <w:trHeight w:val="470" w:hRule="atLeast"/>
        </w:trPr>
        <w:tc>
          <w:tcPr>
            <w:tcW w:w="1790" w:type="dxa"/>
            <w:noWrap w:val="0"/>
            <w:vAlign w:val="center"/>
          </w:tcPr>
          <w:p>
            <w:pPr>
              <w:widowControl w:val="0"/>
              <w:jc w:val="center"/>
              <w:textAlignment w:val="center"/>
              <w:rPr>
                <w:rFonts w:ascii="Calibri" w:hAnsi="Calibri" w:eastAsia="宋体" w:cs="黑体"/>
                <w:kern w:val="2"/>
                <w:sz w:val="21"/>
                <w:szCs w:val="24"/>
                <w:lang w:val="en-US" w:eastAsia="zh-CN" w:bidi="ar-SA"/>
              </w:rPr>
            </w:pPr>
          </w:p>
        </w:tc>
        <w:tc>
          <w:tcPr>
            <w:tcW w:w="4716" w:type="dxa"/>
            <w:noWrap w:val="0"/>
            <w:vAlign w:val="center"/>
          </w:tcPr>
          <w:p>
            <w:pPr>
              <w:widowControl w:val="0"/>
              <w:jc w:val="center"/>
              <w:textAlignment w:val="center"/>
              <w:rPr>
                <w:rFonts w:ascii="Calibri" w:hAnsi="Calibri" w:eastAsia="宋体" w:cs="黑体"/>
                <w:kern w:val="2"/>
                <w:sz w:val="21"/>
                <w:szCs w:val="24"/>
                <w:lang w:val="en-US" w:eastAsia="zh-CN" w:bidi="ar-SA"/>
              </w:rPr>
            </w:pPr>
            <w:r>
              <w:rPr>
                <w:rFonts w:ascii="宋体" w:hAnsi="宋体" w:eastAsia="宋体" w:cs="宋体"/>
                <w:kern w:val="2"/>
                <w:sz w:val="20"/>
                <w:szCs w:val="24"/>
                <w:lang w:val="en-US" w:eastAsia="zh-CN" w:bidi="ar-SA"/>
              </w:rPr>
              <w:t>投资资产</w:t>
            </w:r>
          </w:p>
        </w:tc>
        <w:tc>
          <w:tcPr>
            <w:tcW w:w="1790" w:type="dxa"/>
            <w:noWrap w:val="0"/>
            <w:vAlign w:val="center"/>
          </w:tcPr>
          <w:p>
            <w:pPr>
              <w:widowControl w:val="0"/>
              <w:jc w:val="center"/>
              <w:textAlignment w:val="center"/>
              <w:rPr>
                <w:rFonts w:ascii="Calibri" w:hAnsi="Calibri" w:eastAsia="宋体" w:cs="黑体"/>
                <w:kern w:val="2"/>
                <w:sz w:val="21"/>
                <w:szCs w:val="24"/>
                <w:lang w:val="en-US" w:eastAsia="zh-CN" w:bidi="ar-SA"/>
              </w:rPr>
            </w:pPr>
            <w:r>
              <w:rPr>
                <w:rFonts w:ascii="宋体" w:hAnsi="宋体" w:eastAsia="宋体" w:cs="宋体"/>
                <w:kern w:val="2"/>
                <w:sz w:val="20"/>
                <w:szCs w:val="24"/>
                <w:lang w:val="en-US" w:eastAsia="zh-CN" w:bidi="ar-SA"/>
              </w:rPr>
              <w:t>配置比例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rPr>
          <w:trHeight w:val="470" w:hRule="atLeast"/>
        </w:trPr>
        <w:tc>
          <w:tcPr>
            <w:tcW w:w="1790" w:type="dxa"/>
            <w:noWrap w:val="0"/>
            <w:vAlign w:val="center"/>
          </w:tcPr>
          <w:p>
            <w:pPr>
              <w:widowControl w:val="0"/>
              <w:jc w:val="center"/>
              <w:textAlignment w:val="center"/>
              <w:rPr>
                <w:rFonts w:ascii="Calibri" w:hAnsi="Calibri" w:eastAsia="宋体" w:cs="黑体"/>
                <w:kern w:val="2"/>
                <w:sz w:val="21"/>
                <w:szCs w:val="24"/>
                <w:lang w:val="en-US" w:eastAsia="zh-CN" w:bidi="ar-SA"/>
              </w:rPr>
            </w:pPr>
            <w:r>
              <w:rPr>
                <w:rFonts w:ascii="宋体" w:hAnsi="宋体" w:eastAsia="宋体" w:cs="宋体"/>
                <w:kern w:val="2"/>
                <w:sz w:val="20"/>
                <w:szCs w:val="24"/>
                <w:lang w:val="en-US" w:eastAsia="zh-CN" w:bidi="ar-SA"/>
              </w:rPr>
              <w:t>大类资产类型</w:t>
            </w:r>
          </w:p>
        </w:tc>
        <w:tc>
          <w:tcPr>
            <w:tcW w:w="4716" w:type="dxa"/>
            <w:noWrap w:val="0"/>
            <w:vAlign w:val="center"/>
          </w:tcPr>
          <w:p>
            <w:pPr>
              <w:widowControl w:val="0"/>
              <w:jc w:val="center"/>
              <w:textAlignment w:val="center"/>
              <w:rPr>
                <w:rFonts w:ascii="Calibri" w:hAnsi="Calibri" w:eastAsia="宋体" w:cs="黑体"/>
                <w:kern w:val="2"/>
                <w:sz w:val="21"/>
                <w:szCs w:val="24"/>
                <w:lang w:val="en-US" w:eastAsia="zh-CN" w:bidi="ar-SA"/>
              </w:rPr>
            </w:pPr>
            <w:r>
              <w:rPr>
                <w:rFonts w:ascii="宋体" w:hAnsi="宋体" w:eastAsia="宋体" w:cs="宋体"/>
                <w:kern w:val="2"/>
                <w:sz w:val="20"/>
                <w:szCs w:val="24"/>
                <w:lang w:val="en-US" w:eastAsia="zh-CN" w:bidi="ar-SA"/>
              </w:rPr>
              <w:t>固定收益类资产</w:t>
            </w:r>
          </w:p>
        </w:tc>
        <w:tc>
          <w:tcPr>
            <w:tcW w:w="1790" w:type="dxa"/>
            <w:noWrap w:val="0"/>
            <w:vAlign w:val="center"/>
          </w:tcPr>
          <w:p>
            <w:pPr>
              <w:widowControl w:val="0"/>
              <w:jc w:val="center"/>
              <w:textAlignment w:val="center"/>
              <w:rPr>
                <w:rFonts w:ascii="Calibri" w:hAnsi="Calibri" w:eastAsia="宋体" w:cs="黑体"/>
                <w:kern w:val="2"/>
                <w:sz w:val="21"/>
                <w:szCs w:val="24"/>
                <w:lang w:val="en-US" w:eastAsia="zh-CN" w:bidi="ar-SA"/>
              </w:rPr>
            </w:pPr>
            <w:r>
              <w:rPr>
                <w:rFonts w:ascii="宋体" w:hAnsi="宋体" w:eastAsia="宋体" w:cs="宋体"/>
                <w:kern w:val="2"/>
                <w:sz w:val="20"/>
                <w:szCs w:val="24"/>
                <w:lang w:val="en-US" w:eastAsia="zh-CN" w:bidi="ar-SA"/>
              </w:rPr>
              <w:t>100%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rPr>
          <w:trHeight w:val="470" w:hRule="atLeast"/>
        </w:trPr>
        <w:tc>
          <w:tcPr>
            <w:tcW w:w="1790" w:type="dxa"/>
            <w:noWrap w:val="0"/>
            <w:vAlign w:val="center"/>
          </w:tcPr>
          <w:p>
            <w:pPr>
              <w:widowControl w:val="0"/>
              <w:jc w:val="center"/>
              <w:textAlignment w:val="center"/>
              <w:rPr>
                <w:rFonts w:ascii="Calibri" w:hAnsi="Calibri" w:eastAsia="宋体" w:cs="黑体"/>
                <w:kern w:val="2"/>
                <w:sz w:val="21"/>
                <w:szCs w:val="24"/>
                <w:lang w:val="en-US" w:eastAsia="zh-CN" w:bidi="ar-SA"/>
              </w:rPr>
            </w:pPr>
            <w:r>
              <w:rPr>
                <w:rFonts w:ascii="宋体" w:hAnsi="宋体" w:eastAsia="宋体" w:cs="宋体"/>
                <w:kern w:val="2"/>
                <w:sz w:val="20"/>
                <w:szCs w:val="24"/>
                <w:lang w:val="en-US" w:eastAsia="zh-CN" w:bidi="ar-SA"/>
              </w:rPr>
              <w:t>特殊资产类型</w:t>
            </w:r>
          </w:p>
        </w:tc>
        <w:tc>
          <w:tcPr>
            <w:tcW w:w="4716" w:type="dxa"/>
            <w:noWrap w:val="0"/>
            <w:vAlign w:val="center"/>
          </w:tcPr>
          <w:p>
            <w:pPr>
              <w:widowControl w:val="0"/>
              <w:jc w:val="center"/>
              <w:textAlignment w:val="center"/>
              <w:rPr>
                <w:rFonts w:ascii="Calibri" w:hAnsi="Calibri" w:eastAsia="宋体" w:cs="黑体"/>
                <w:kern w:val="2"/>
                <w:sz w:val="21"/>
                <w:szCs w:val="24"/>
                <w:lang w:val="en-US" w:eastAsia="zh-CN" w:bidi="ar-SA"/>
              </w:rPr>
            </w:pPr>
            <w:r>
              <w:rPr>
                <w:rFonts w:ascii="宋体" w:hAnsi="宋体" w:eastAsia="宋体" w:cs="宋体"/>
                <w:kern w:val="2"/>
                <w:sz w:val="20"/>
                <w:szCs w:val="24"/>
                <w:lang w:val="en-US" w:eastAsia="zh-CN" w:bidi="ar-SA"/>
              </w:rPr>
              <w:t>非标准化债权类资产</w:t>
            </w:r>
          </w:p>
        </w:tc>
        <w:tc>
          <w:tcPr>
            <w:tcW w:w="1790" w:type="dxa"/>
            <w:noWrap w:val="0"/>
            <w:vAlign w:val="center"/>
          </w:tcPr>
          <w:p>
            <w:pPr>
              <w:widowControl w:val="0"/>
              <w:jc w:val="center"/>
              <w:textAlignment w:val="center"/>
              <w:rPr>
                <w:rFonts w:ascii="Calibri" w:hAnsi="Calibri" w:eastAsia="宋体" w:cs="黑体"/>
                <w:kern w:val="2"/>
                <w:sz w:val="21"/>
                <w:szCs w:val="24"/>
                <w:lang w:val="en-US" w:eastAsia="zh-CN" w:bidi="ar-SA"/>
              </w:rPr>
            </w:pPr>
            <w:r>
              <w:rPr>
                <w:rFonts w:ascii="宋体" w:hAnsi="宋体" w:eastAsia="宋体" w:cs="宋体"/>
                <w:kern w:val="2"/>
                <w:sz w:val="20"/>
                <w:szCs w:val="24"/>
                <w:lang w:val="en-US" w:eastAsia="zh-CN" w:bidi="ar-SA"/>
              </w:rPr>
              <w:t>0%-50%</w:t>
            </w:r>
          </w:p>
        </w:tc>
      </w:tr>
    </w:tbl>
    <w:p>
      <w:pPr>
        <w:pStyle w:val="14"/>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本理财计划特殊资产类型为基于大类资产类型项下的进一步细化分类，其配置比例不得超过大类资产配置比例。</w:t>
      </w:r>
    </w:p>
    <w:p>
      <w:pPr>
        <w:pStyle w:val="14"/>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本理财计划自成立日起</w:t>
      </w:r>
      <w:r>
        <w:rPr>
          <w:rFonts w:hint="eastAsia" w:ascii="宋体" w:hAnsi="宋体" w:cs="宋体"/>
          <w:highlight w:val="none"/>
        </w:rPr>
        <w:t>〖</w:t>
      </w:r>
      <w:r>
        <w:rPr>
          <w:rFonts w:hint="eastAsia" w:ascii="宋体" w:hAnsi="宋体" w:cs="宋体"/>
          <w:bCs/>
          <w:color w:val="auto"/>
          <w:kern w:val="2"/>
          <w:highlight w:val="none"/>
          <w:lang w:val="en-US" w:eastAsia="zh-CN"/>
        </w:rPr>
        <w:t>1个月</w:t>
      </w:r>
      <w:r>
        <w:rPr>
          <w:rFonts w:hint="eastAsia" w:ascii="宋体" w:hAnsi="宋体" w:cs="宋体"/>
          <w:highlight w:val="none"/>
        </w:rPr>
        <w:t>〗</w:t>
      </w:r>
      <w:r>
        <w:rPr>
          <w:rFonts w:hint="eastAsia" w:ascii="宋体" w:hAnsi="宋体" w:cs="宋体"/>
          <w:bCs/>
          <w:color w:val="auto"/>
          <w:kern w:val="2"/>
          <w:highlight w:val="none"/>
        </w:rPr>
        <w:t>为建仓期，管理人应当在建仓期结束前使各项投资比例符合约定。在理财计划存续期间如遇市场变化导致各类投资品投资比例暂时超出以上范围，为保护投资者利益，管理人将在流动性受限资产可出售、可转让或者恢复交易的15个交易日内调整至上述比例范围。</w:t>
      </w:r>
    </w:p>
    <w:p>
      <w:pPr>
        <w:pStyle w:val="14"/>
        <w:adjustRightInd/>
        <w:spacing w:line="360" w:lineRule="auto"/>
        <w:ind w:firstLine="458" w:firstLineChars="190"/>
        <w:rPr>
          <w:rFonts w:ascii="宋体" w:hAnsi="宋体" w:cs="宋体"/>
          <w:b/>
          <w:bCs w:val="0"/>
          <w:color w:val="auto"/>
          <w:kern w:val="2"/>
          <w:highlight w:val="none"/>
        </w:rPr>
      </w:pPr>
      <w:r>
        <w:rPr>
          <w:rFonts w:hint="eastAsia" w:ascii="宋体" w:hAnsi="宋体" w:cs="宋体"/>
          <w:b/>
          <w:bCs w:val="0"/>
          <w:color w:val="auto"/>
          <w:kern w:val="2"/>
          <w:highlight w:val="none"/>
        </w:rPr>
        <w:t>本理财计划可以投资不存在活跃交易市场并且需要采用估值技术确定公允价值的资产，上述资产比例可以达到50%以上。</w:t>
      </w:r>
    </w:p>
    <w:p>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投资策略</w:t>
      </w:r>
    </w:p>
    <w:p>
      <w:pPr>
        <w:pStyle w:val="14"/>
        <w:numPr>
          <w:ilvl w:val="0"/>
          <w:numId w:val="21"/>
        </w:numPr>
        <w:adjustRightInd/>
        <w:spacing w:line="360" w:lineRule="auto"/>
        <w:rPr>
          <w:rFonts w:hint="eastAsia" w:ascii="宋体" w:hAnsi="宋体" w:cs="宋体"/>
          <w:bCs/>
          <w:color w:val="auto"/>
          <w:kern w:val="2"/>
          <w:highlight w:val="none"/>
        </w:rPr>
      </w:pPr>
      <w:r>
        <w:rPr>
          <w:rFonts w:hint="eastAsia" w:ascii="宋体" w:hAnsi="宋体" w:cs="宋体"/>
          <w:bCs/>
          <w:color w:val="auto"/>
          <w:kern w:val="2"/>
          <w:highlight w:val="none"/>
        </w:rPr>
        <w:t>资产配置策略</w:t>
      </w:r>
    </w:p>
    <w:p>
      <w:pPr>
        <w:pStyle w:val="14"/>
        <w:adjustRightInd/>
        <w:spacing w:line="360" w:lineRule="auto"/>
        <w:rPr>
          <w:rFonts w:ascii="宋体" w:cs="宋体"/>
          <w:sz w:val="21"/>
          <w:szCs w:val="21"/>
          <w:highlight w:val="none"/>
        </w:rPr>
      </w:pPr>
      <w:r>
        <w:rPr>
          <w:rFonts w:hint="eastAsia" w:ascii="宋体" w:hAnsi="宋体" w:cs="宋体"/>
          <w:bCs/>
          <w:color w:val="auto"/>
          <w:kern w:val="2"/>
          <w:highlight w:val="none"/>
        </w:rPr>
        <w:t xml:space="preserve">    将通过对宏观经济形势、各项国家政策、及证券市场环境的分析来判断经济周期目前的位置，主动判断市场时机进行资产配置，确定在债券、非标准化债权类资产、权益类资产等各类资产上的投资比例。</w:t>
      </w:r>
    </w:p>
    <w:p>
      <w:pPr>
        <w:numPr>
          <w:ilvl w:val="0"/>
          <w:numId w:val="22"/>
        </w:numPr>
        <w:spacing w:line="360" w:lineRule="auto"/>
        <w:jc w:val="left"/>
        <w:rPr>
          <w:rFonts w:hint="eastAsia" w:ascii="宋体" w:hAnsi="宋体" w:cs="宋体"/>
          <w:bCs/>
          <w:sz w:val="24"/>
          <w:highlight w:val="none"/>
        </w:rPr>
      </w:pPr>
      <w:r>
        <w:rPr>
          <w:rFonts w:hint="eastAsia" w:ascii="宋体" w:hAnsi="宋体" w:cs="宋体"/>
          <w:bCs/>
          <w:sz w:val="24"/>
          <w:highlight w:val="none"/>
        </w:rPr>
        <w:t>债券投资策略</w:t>
      </w:r>
    </w:p>
    <w:p>
      <w:pPr>
        <w:pStyle w:val="14"/>
        <w:adjustRightInd/>
        <w:spacing w:line="360" w:lineRule="auto"/>
        <w:ind w:firstLine="480" w:firstLineChars="200"/>
        <w:rPr>
          <w:rFonts w:hint="eastAsia" w:ascii="宋体" w:hAnsi="宋体" w:cs="宋体"/>
          <w:bCs/>
          <w:highlight w:val="none"/>
        </w:rPr>
      </w:pPr>
      <w:r>
        <w:rPr>
          <w:rFonts w:hint="eastAsia" w:ascii="宋体" w:hAnsi="宋体" w:cs="宋体"/>
          <w:bCs/>
          <w:color w:val="auto"/>
          <w:kern w:val="2"/>
          <w:highlight w:val="none"/>
        </w:rPr>
        <w:t>管理人本着稳健投资的理念，在研究债券市场宏观环境和利率走势的基础上，严格评估信用风险，通过久期策略、骑乘策略、杠杆策略和交易策略等，配置固定收益资产及资产管理产品，力争获取稳定收益。</w:t>
      </w:r>
    </w:p>
    <w:p>
      <w:pPr>
        <w:numPr>
          <w:ilvl w:val="0"/>
          <w:numId w:val="22"/>
        </w:numPr>
        <w:spacing w:line="360" w:lineRule="auto"/>
        <w:jc w:val="left"/>
        <w:rPr>
          <w:rFonts w:hint="eastAsia" w:ascii="宋体" w:hAnsi="宋体" w:cs="宋体"/>
          <w:bCs/>
          <w:sz w:val="24"/>
          <w:highlight w:val="none"/>
        </w:rPr>
      </w:pPr>
      <w:r>
        <w:rPr>
          <w:rFonts w:hint="eastAsia" w:ascii="宋体" w:hAnsi="宋体" w:cs="宋体"/>
          <w:bCs/>
          <w:sz w:val="24"/>
          <w:highlight w:val="none"/>
        </w:rPr>
        <w:t>非标准化债权类资产投资策略</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管理人发挥自身能力优势，在合规前提下开展风险可控、期限匹配的非标准化债权类资产投资，力争获取稳定收益。</w:t>
      </w:r>
    </w:p>
    <w:p>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left="0" w:firstLine="480" w:firstLineChars="200"/>
        <w:jc w:val="left"/>
        <w:outlineLvl w:val="2"/>
        <w:rPr>
          <w:rFonts w:hint="eastAsia" w:ascii="宋体" w:hAnsi="宋体" w:cs="宋体"/>
          <w:b/>
          <w:sz w:val="24"/>
          <w:highlight w:val="none"/>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3"/>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4"/>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fldChar w:fldCharType="separate"/>
      </w:r>
      <w:r>
        <w:rPr>
          <w:rFonts w:ascii="宋体" w:hAnsi="宋体" w:cs="宋体"/>
          <w:bCs/>
          <w:sz w:val="24"/>
          <w:highlight w:val="none"/>
        </w:rPr>
        <w:t>证券投资基金</w:t>
      </w:r>
      <w: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4"/>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4"/>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3"/>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3"/>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3"/>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fldChar w:fldCharType="separate"/>
      </w:r>
      <w:r>
        <w:rPr>
          <w:rFonts w:ascii="宋体" w:hAnsi="宋体" w:cs="宋体"/>
          <w:bCs/>
          <w:sz w:val="24"/>
          <w:highlight w:val="none"/>
        </w:rPr>
        <w:t>资产支持证券</w:t>
      </w:r>
      <w: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拟投资市场、资产的流动性风险评估</w:t>
      </w:r>
    </w:p>
    <w:p>
      <w:pPr>
        <w:spacing w:line="360" w:lineRule="auto"/>
        <w:ind w:left="420"/>
        <w:jc w:val="left"/>
        <w:rPr>
          <w:rFonts w:hint="eastAsia" w:ascii="宋体" w:hAnsi="宋体" w:cs="宋体"/>
          <w:bCs/>
          <w:sz w:val="24"/>
          <w:highlight w:val="none"/>
        </w:rPr>
      </w:pPr>
      <w:r>
        <w:rPr>
          <w:rFonts w:hint="eastAsia" w:ascii="宋体" w:hAnsi="宋体" w:cs="宋体"/>
          <w:bCs/>
          <w:sz w:val="24"/>
          <w:highlight w:val="none"/>
        </w:rPr>
        <w:t>本理财计划拟投资市场可能面临的流动性风险如下：</w:t>
      </w:r>
    </w:p>
    <w:p>
      <w:pPr>
        <w:numPr>
          <w:ilvl w:val="0"/>
          <w:numId w:val="25"/>
        </w:numPr>
        <w:spacing w:line="360" w:lineRule="auto"/>
        <w:jc w:val="left"/>
        <w:rPr>
          <w:rFonts w:hint="eastAsia" w:ascii="宋体" w:hAnsi="宋体" w:cs="宋体"/>
          <w:bCs/>
          <w:sz w:val="24"/>
          <w:highlight w:val="none"/>
        </w:rPr>
      </w:pPr>
      <w:r>
        <w:rPr>
          <w:rFonts w:hint="eastAsia" w:ascii="宋体" w:hAnsi="宋体" w:cs="宋体"/>
          <w:bCs/>
          <w:sz w:val="24"/>
          <w:highlight w:val="none"/>
        </w:rPr>
        <w:t>投资于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5"/>
        </w:numPr>
        <w:spacing w:line="360" w:lineRule="auto"/>
        <w:jc w:val="left"/>
        <w:rPr>
          <w:rFonts w:hint="eastAsia" w:ascii="宋体" w:hAnsi="宋体" w:cs="宋体"/>
          <w:bCs/>
          <w:sz w:val="24"/>
          <w:highlight w:val="none"/>
        </w:rPr>
      </w:pPr>
      <w:r>
        <w:rPr>
          <w:rFonts w:hint="eastAsia" w:ascii="宋体" w:hAnsi="宋体" w:cs="宋体"/>
          <w:bCs/>
          <w:sz w:val="24"/>
          <w:highlight w:val="none"/>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5"/>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以上风险仅为列举性质，未能详尽列明拟投资市场和资产面临的全部流动性风险</w:t>
      </w:r>
      <w:r>
        <w:rPr>
          <w:rFonts w:ascii="宋体" w:hAnsi="宋体" w:cs="宋体"/>
          <w:bCs/>
          <w:sz w:val="24"/>
          <w:highlight w:val="none"/>
        </w:rPr>
        <w:t>可能导致投资者投资本金及收益损失</w:t>
      </w:r>
      <w:r>
        <w:rPr>
          <w:rFonts w:hint="eastAsia" w:ascii="宋体" w:hAnsi="宋体" w:cs="宋体"/>
          <w:bCs/>
          <w:sz w:val="24"/>
          <w:highlight w:val="none"/>
        </w:rPr>
        <w:t>或延期兑付</w:t>
      </w:r>
      <w:r>
        <w:rPr>
          <w:rFonts w:ascii="宋体" w:hAnsi="宋体" w:cs="宋体"/>
          <w:bCs/>
          <w:sz w:val="24"/>
          <w:highlight w:val="none"/>
        </w:rPr>
        <w:t>的所有因素</w:t>
      </w:r>
      <w:r>
        <w:rPr>
          <w:rFonts w:hint="eastAsia" w:ascii="宋体" w:hAnsi="宋体" w:cs="宋体"/>
          <w:bCs/>
          <w:sz w:val="24"/>
          <w:highlight w:val="none"/>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6"/>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7"/>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托管人</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9"/>
        <w:gridCol w:w="6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969" w:type="dxa"/>
            <w:noWrap w:val="0"/>
            <w:vAlign w:val="center"/>
          </w:tcPr>
          <w:p>
            <w:pPr>
              <w:widowControl w:val="0"/>
              <w:spacing w:line="360" w:lineRule="auto"/>
              <w:jc w:val="center"/>
              <w:rPr>
                <w:rFonts w:ascii="宋体" w:hAnsi="宋体" w:eastAsia="宋体" w:cs="宋体"/>
                <w:bCs/>
                <w:kern w:val="2"/>
                <w:sz w:val="21"/>
                <w:szCs w:val="21"/>
                <w:highlight w:val="none"/>
                <w:lang w:val="en-US" w:eastAsia="zh-CN" w:bidi="ar-SA"/>
              </w:rPr>
            </w:pPr>
            <w:r>
              <w:rPr>
                <w:rFonts w:hint="eastAsia" w:ascii="宋体" w:hAnsi="宋体" w:eastAsia="宋体" w:cs="宋体"/>
                <w:bCs/>
                <w:kern w:val="2"/>
                <w:sz w:val="21"/>
                <w:szCs w:val="21"/>
                <w:highlight w:val="none"/>
                <w:lang w:val="en-US" w:eastAsia="zh-CN" w:bidi="ar-SA"/>
              </w:rPr>
              <w:t>托管人名称</w:t>
            </w:r>
          </w:p>
        </w:tc>
        <w:tc>
          <w:tcPr>
            <w:tcW w:w="6553" w:type="dxa"/>
            <w:noWrap w:val="0"/>
            <w:vAlign w:val="top"/>
          </w:tcPr>
          <w:p>
            <w:pPr>
              <w:widowControl w:val="0"/>
              <w:spacing w:line="360" w:lineRule="auto"/>
              <w:jc w:val="left"/>
              <w:rPr>
                <w:rFonts w:ascii="宋体" w:hAnsi="宋体" w:eastAsia="宋体" w:cs="宋体"/>
                <w:bCs/>
                <w:kern w:val="2"/>
                <w:sz w:val="21"/>
                <w:szCs w:val="21"/>
                <w:highlight w:val="none"/>
                <w:lang w:val="en-US" w:eastAsia="zh-CN" w:bidi="ar-SA"/>
              </w:rPr>
            </w:pPr>
            <w:r>
              <w:rPr>
                <w:rFonts w:hint="eastAsia"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969" w:type="dxa"/>
            <w:noWrap w:val="0"/>
            <w:vAlign w:val="center"/>
          </w:tcPr>
          <w:p>
            <w:pPr>
              <w:widowControl w:val="0"/>
              <w:spacing w:line="360" w:lineRule="auto"/>
              <w:jc w:val="center"/>
              <w:rPr>
                <w:rFonts w:ascii="宋体" w:hAnsi="宋体" w:eastAsia="宋体" w:cs="宋体"/>
                <w:bCs/>
                <w:kern w:val="2"/>
                <w:sz w:val="21"/>
                <w:szCs w:val="21"/>
                <w:highlight w:val="none"/>
                <w:lang w:val="en-US" w:eastAsia="zh-CN" w:bidi="ar-SA"/>
              </w:rPr>
            </w:pPr>
            <w:r>
              <w:rPr>
                <w:rFonts w:hint="eastAsia" w:ascii="宋体" w:hAnsi="宋体" w:eastAsia="宋体" w:cs="宋体"/>
                <w:bCs/>
                <w:kern w:val="2"/>
                <w:sz w:val="21"/>
                <w:szCs w:val="21"/>
                <w:highlight w:val="none"/>
                <w:lang w:val="en-US" w:eastAsia="zh-CN" w:bidi="ar-SA"/>
              </w:rPr>
              <w:t>托管人住所</w:t>
            </w:r>
          </w:p>
        </w:tc>
        <w:tc>
          <w:tcPr>
            <w:tcW w:w="6553" w:type="dxa"/>
            <w:noWrap w:val="0"/>
            <w:vAlign w:val="top"/>
          </w:tcPr>
          <w:p>
            <w:pPr>
              <w:widowControl w:val="0"/>
              <w:spacing w:line="360" w:lineRule="auto"/>
              <w:jc w:val="left"/>
              <w:rPr>
                <w:rFonts w:hint="eastAsia" w:ascii="宋体" w:hAnsi="宋体" w:eastAsia="宋体" w:cs="宋体"/>
                <w:bCs/>
                <w:kern w:val="2"/>
                <w:sz w:val="21"/>
                <w:szCs w:val="21"/>
                <w:highlight w:val="none"/>
                <w:lang w:val="en-US" w:eastAsia="zh-CN" w:bidi="ar-SA"/>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969" w:type="dxa"/>
            <w:noWrap w:val="0"/>
            <w:vAlign w:val="center"/>
          </w:tcPr>
          <w:p>
            <w:pPr>
              <w:widowControl w:val="0"/>
              <w:spacing w:line="360" w:lineRule="auto"/>
              <w:jc w:val="center"/>
              <w:rPr>
                <w:rFonts w:ascii="宋体" w:hAnsi="宋体" w:eastAsia="宋体" w:cs="宋体"/>
                <w:bCs/>
                <w:kern w:val="2"/>
                <w:sz w:val="21"/>
                <w:szCs w:val="21"/>
                <w:highlight w:val="none"/>
                <w:lang w:val="en-US" w:eastAsia="zh-CN" w:bidi="ar-SA"/>
              </w:rPr>
            </w:pPr>
            <w:r>
              <w:rPr>
                <w:rFonts w:hint="eastAsia" w:ascii="宋体" w:hAnsi="宋体" w:eastAsia="宋体" w:cs="宋体"/>
                <w:bCs/>
                <w:kern w:val="2"/>
                <w:sz w:val="21"/>
                <w:szCs w:val="21"/>
                <w:highlight w:val="none"/>
                <w:lang w:val="en-US" w:eastAsia="zh-CN" w:bidi="ar-SA"/>
              </w:rPr>
              <w:t>托管人职责</w:t>
            </w:r>
          </w:p>
        </w:tc>
        <w:tc>
          <w:tcPr>
            <w:tcW w:w="6553" w:type="dxa"/>
            <w:noWrap w:val="0"/>
            <w:vAlign w:val="top"/>
          </w:tcPr>
          <w:p>
            <w:pPr>
              <w:widowControl w:val="0"/>
              <w:spacing w:line="360" w:lineRule="auto"/>
              <w:jc w:val="left"/>
              <w:rPr>
                <w:rFonts w:hint="eastAsia" w:ascii="宋体" w:hAnsi="宋体" w:eastAsia="宋体" w:cs="宋体"/>
                <w:bCs/>
                <w:kern w:val="2"/>
                <w:sz w:val="21"/>
                <w:szCs w:val="21"/>
                <w:highlight w:val="none"/>
                <w:lang w:val="en-US" w:eastAsia="zh-CN" w:bidi="ar-SA"/>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8"/>
        </w:numPr>
        <w:spacing w:line="360" w:lineRule="auto"/>
        <w:ind w:firstLine="482"/>
        <w:jc w:val="left"/>
        <w:outlineLvl w:val="2"/>
        <w:rPr>
          <w:rFonts w:hint="eastAsia" w:ascii="宋体" w:hAnsi="宋体" w:cs="宋体"/>
          <w:bCs/>
          <w:color w:val="000000"/>
          <w:sz w:val="24"/>
          <w:highlight w:val="none"/>
        </w:rPr>
      </w:pPr>
      <w:r>
        <w:rPr>
          <w:rFonts w:hint="eastAsia" w:ascii="宋体" w:hAnsi="宋体" w:cs="宋体"/>
          <w:b/>
          <w:sz w:val="24"/>
          <w:highlight w:val="none"/>
        </w:rPr>
        <w:t>销售机构</w:t>
      </w:r>
    </w:p>
    <w:tbl>
      <w:tblPr>
        <w:tblStyle w:val="8"/>
        <w:tblW w:w="8522" w:type="dxa"/>
        <w:tblInd w:w="0" w:type="dxa"/>
        <w:tblLayout w:type="fixed"/>
        <w:tblCellMar>
          <w:top w:w="0" w:type="dxa"/>
          <w:left w:w="108" w:type="dxa"/>
          <w:bottom w:w="0" w:type="dxa"/>
          <w:right w:w="108" w:type="dxa"/>
        </w:tblCellMar>
      </w:tblPr>
      <w:tblGrid>
        <w:gridCol w:w="675"/>
        <w:gridCol w:w="1701"/>
        <w:gridCol w:w="1718"/>
        <w:gridCol w:w="4428"/>
      </w:tblGrid>
      <w:tr>
        <w:tblPrEx>
          <w:tblLayout w:type="fixed"/>
          <w:tblCellMar>
            <w:top w:w="0" w:type="dxa"/>
            <w:left w:w="108" w:type="dxa"/>
            <w:bottom w:w="0" w:type="dxa"/>
            <w:right w:w="108" w:type="dxa"/>
          </w:tblCellMar>
        </w:tblPrEx>
        <w:trPr>
          <w:trHeight w:val="300" w:hRule="atLeast"/>
        </w:trPr>
        <w:tc>
          <w:tcPr>
            <w:tcW w:w="675"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销售机构信息</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杭州银行股份有限公司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bCs/>
                <w:kern w:val="2"/>
                <w:sz w:val="21"/>
                <w:szCs w:val="21"/>
                <w:highlight w:val="none"/>
                <w:lang w:val="en-US" w:eastAsia="zh-CN" w:bidi="ar-SA"/>
              </w:rPr>
              <w:t>浙江省杭州市上城区解放东路168号</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95398</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杭银理财有限责任公司</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浙江省杭州市拱墅区庆春路38号金龙财富中心</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400-8950-999</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交通银行股份有限公司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中国（上海）自由贸易试验区银城中路188号</w:t>
            </w:r>
          </w:p>
        </w:tc>
      </w:tr>
      <w:tr>
        <w:tblPrEx>
          <w:tblLayout w:type="fixed"/>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95559</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上海农村商业银行股份有限公司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上海市黄浦区中山东二路70号</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4006962999</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浙江萧山农村商业银行股份有限公司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浙江省杭州市萧山区城厢街道人民路258号</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4008896596</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江苏常熟农村商业银行股份有限公司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江苏省常熟市新世纪大道58号</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956020</w:t>
            </w:r>
          </w:p>
        </w:tc>
      </w:tr>
      <w:tr>
        <w:tblPrEx>
          <w:tblLayout w:type="fixed"/>
          <w:tblCellMar>
            <w:top w:w="0" w:type="dxa"/>
            <w:left w:w="108" w:type="dxa"/>
            <w:bottom w:w="0" w:type="dxa"/>
            <w:right w:w="108" w:type="dxa"/>
          </w:tblCellMar>
        </w:tblPrEx>
        <w:trPr>
          <w:trHeight w:val="51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石嘴山银行股份有限公司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宁夏回族自治区石嘴山市大武口区朝阳西街39号</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0951-96789</w:t>
            </w:r>
          </w:p>
        </w:tc>
      </w:tr>
      <w:tr>
        <w:tblPrEx>
          <w:tblLayout w:type="fixed"/>
          <w:tblCellMar>
            <w:top w:w="0" w:type="dxa"/>
            <w:left w:w="108" w:type="dxa"/>
            <w:bottom w:w="0" w:type="dxa"/>
            <w:right w:w="108" w:type="dxa"/>
          </w:tblCellMar>
        </w:tblPrEx>
        <w:trPr>
          <w:trHeight w:val="51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汉口银行股份有限公司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湖北省武汉市江汉区建设大道933号武汉商业银行大厦</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400-609-6558</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浙江萧山农村商业银行股份有限公司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浙江省杭州市萧山区城厢街道人民路258号</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4008896596</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江苏江南农村商业银行股份有限公司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常州市武进区延政中路9号</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0519-96005</w:t>
            </w:r>
          </w:p>
        </w:tc>
      </w:tr>
      <w:tr>
        <w:tblPrEx>
          <w:tblLayout w:type="fixed"/>
          <w:tblCellMar>
            <w:top w:w="0" w:type="dxa"/>
            <w:left w:w="108" w:type="dxa"/>
            <w:bottom w:w="0" w:type="dxa"/>
            <w:right w:w="108" w:type="dxa"/>
          </w:tblCellMar>
        </w:tblPrEx>
        <w:trPr>
          <w:trHeight w:val="465"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苏州银行股份有限公司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江苏省苏州工业园区钟园路728号</w:t>
            </w:r>
          </w:p>
        </w:tc>
      </w:tr>
      <w:tr>
        <w:tblPrEx>
          <w:tblLayout w:type="fixed"/>
          <w:tblCellMar>
            <w:top w:w="0" w:type="dxa"/>
            <w:left w:w="108" w:type="dxa"/>
            <w:bottom w:w="0" w:type="dxa"/>
            <w:right w:w="108" w:type="dxa"/>
          </w:tblCellMar>
        </w:tblPrEx>
        <w:trPr>
          <w:trHeight w:val="465"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96067</w:t>
            </w:r>
          </w:p>
        </w:tc>
      </w:tr>
      <w:tr>
        <w:tblPrEx>
          <w:tblLayout w:type="fixed"/>
          <w:tblCellMar>
            <w:top w:w="0" w:type="dxa"/>
            <w:left w:w="108" w:type="dxa"/>
            <w:bottom w:w="0" w:type="dxa"/>
            <w:right w:w="108" w:type="dxa"/>
          </w:tblCellMar>
        </w:tblPrEx>
        <w:trPr>
          <w:trHeight w:val="465"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台州银行股份有限公司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浙江省台州市路桥区南官大道92号</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95371</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汉口银行股份有限公司</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住所</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湖北省武汉市江汉区建设大道933号武汉商业银行大厦</w:t>
            </w:r>
          </w:p>
        </w:tc>
      </w:tr>
      <w:tr>
        <w:tblPrEx>
          <w:tblLayout w:type="fixed"/>
          <w:tblCellMar>
            <w:top w:w="0" w:type="dxa"/>
            <w:left w:w="108" w:type="dxa"/>
            <w:bottom w:w="0" w:type="dxa"/>
            <w:right w:w="108" w:type="dxa"/>
          </w:tblCellMar>
        </w:tblPrEx>
        <w:trPr>
          <w:trHeight w:val="270" w:hRule="atLeast"/>
        </w:trPr>
        <w:tc>
          <w:tcPr>
            <w:tcW w:w="675" w:type="dxa"/>
            <w:vMerge w:val="continue"/>
            <w:tcBorders>
              <w:left w:val="single" w:color="auto" w:sz="4" w:space="0"/>
              <w:right w:val="single" w:color="auto" w:sz="4" w:space="0"/>
            </w:tcBorders>
            <w:noWrap w:val="0"/>
            <w:vAlign w:val="center"/>
          </w:tcPr>
          <w:p>
            <w:pPr>
              <w:widowControl w:val="0"/>
              <w:jc w:val="center"/>
              <w:rPr>
                <w:rFonts w:hint="eastAsia" w:ascii="宋体" w:hAnsi="宋体" w:eastAsia="宋体" w:cs="宋体"/>
                <w:color w:val="000000"/>
                <w:kern w:val="0"/>
                <w:sz w:val="21"/>
                <w:szCs w:val="21"/>
                <w:highlight w:val="none"/>
                <w:lang w:val="en-US" w:eastAsia="zh-CN" w:bidi="ar-SA"/>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val="0"/>
              <w:jc w:val="center"/>
              <w:textAlignment w:val="center"/>
              <w:rPr>
                <w:rFonts w:hint="eastAsia" w:ascii="宋体" w:hAnsi="宋体" w:eastAsia="宋体" w:cs="宋体"/>
                <w:i w:val="0"/>
                <w:color w:val="000000"/>
                <w:kern w:val="0"/>
                <w:sz w:val="21"/>
                <w:szCs w:val="21"/>
                <w:highlight w:val="none"/>
                <w:u w:val="none"/>
                <w:lang w:val="en-US" w:eastAsia="zh-CN" w:bidi="ar"/>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客服热线</w:t>
            </w:r>
          </w:p>
        </w:tc>
        <w:tc>
          <w:tcPr>
            <w:tcW w:w="44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400-609-6558</w:t>
            </w:r>
          </w:p>
        </w:tc>
      </w:tr>
      <w:tr>
        <w:tblPrEx>
          <w:tblLayout w:type="fixed"/>
          <w:tblCellMar>
            <w:top w:w="0" w:type="dxa"/>
            <w:left w:w="108" w:type="dxa"/>
            <w:bottom w:w="0" w:type="dxa"/>
            <w:right w:w="108" w:type="dxa"/>
          </w:tblCellMar>
        </w:tblPrEx>
        <w:trPr>
          <w:trHeight w:val="1635" w:hRule="atLeast"/>
        </w:trPr>
        <w:tc>
          <w:tcPr>
            <w:tcW w:w="67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销售机构职责</w:t>
            </w:r>
          </w:p>
        </w:tc>
        <w:tc>
          <w:tcPr>
            <w:tcW w:w="784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主要负责理财计划推广、投资者风险承受能力评估、投资者适当性管理、理财计划份额认购、申购及赎回办理。</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后续如新增</w:t>
      </w:r>
      <w:r>
        <w:rPr>
          <w:rFonts w:hint="eastAsia" w:ascii="宋体" w:hAnsi="宋体" w:cs="宋体"/>
          <w:bCs/>
          <w:color w:val="000000"/>
          <w:sz w:val="24"/>
          <w:highlight w:val="none"/>
          <w:lang w:val="en-US" w:eastAsia="zh-CN"/>
        </w:rPr>
        <w:t>/减少销售机构或销售机构信息变更，请以管理人最新公告或官方网站展示为准</w:t>
      </w:r>
      <w:r>
        <w:rPr>
          <w:rFonts w:hint="eastAsia" w:ascii="宋体" w:hAnsi="宋体" w:cs="宋体"/>
          <w:bCs/>
          <w:color w:val="000000"/>
          <w:sz w:val="24"/>
          <w:highlight w:val="none"/>
        </w:rPr>
        <w:t>。</w:t>
      </w:r>
    </w:p>
    <w:p>
      <w:pPr>
        <w:spacing w:line="360" w:lineRule="auto"/>
        <w:ind w:firstLine="480" w:firstLineChars="200"/>
        <w:rPr>
          <w:rFonts w:hint="eastAsia" w:ascii="宋体" w:hAnsi="宋体" w:cs="宋体"/>
          <w:bCs/>
          <w:color w:val="000000"/>
          <w:sz w:val="24"/>
          <w:highlight w:val="none"/>
        </w:rPr>
      </w:pPr>
    </w:p>
    <w:p>
      <w:pPr>
        <w:numPr>
          <w:ilvl w:val="0"/>
          <w:numId w:val="26"/>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估值</w:t>
      </w:r>
    </w:p>
    <w:p>
      <w:pPr>
        <w:numPr>
          <w:ilvl w:val="0"/>
          <w:numId w:val="2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本理财计划估值日为每个工作日，定期由理财管理人和理财托管人核对估值结果并向投资者披露，具体日期以管理人公告为准。</w:t>
      </w:r>
    </w:p>
    <w:p>
      <w:pPr>
        <w:numPr>
          <w:ilvl w:val="0"/>
          <w:numId w:val="2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2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2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0"/>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货币市场工具类资产</w:t>
      </w:r>
    </w:p>
    <w:p>
      <w:pPr>
        <w:pStyle w:val="14"/>
        <w:adjustRightInd/>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银行存款及回购，以本金列示，按商定利率在实际持有期间内逐日计提利息。</w:t>
      </w:r>
    </w:p>
    <w:p>
      <w:pPr>
        <w:numPr>
          <w:ilvl w:val="0"/>
          <w:numId w:val="30"/>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债券及同业存单类资产</w:t>
      </w:r>
    </w:p>
    <w:p>
      <w:p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以收取合同现金流量为目的并持有到期的债券及同业存单类资产，按摊余成本法进行计量。其余债券及同业存单类资产，按市价法估值。市价法不能确定公允价值的，采用估值技术进行估值。</w:t>
      </w:r>
    </w:p>
    <w:p>
      <w:pPr>
        <w:numPr>
          <w:ilvl w:val="0"/>
          <w:numId w:val="30"/>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债权类资产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rPr>
        <w:t xml:space="preserve">    对于符合监管要求的债权类资产，按照摊余成本法进行计量。其余债权类资产，按市价法估值。市价法不能确定其公允价值的，采用估值技术进行估值。</w:t>
      </w:r>
    </w:p>
    <w:p>
      <w:pPr>
        <w:numPr>
          <w:ilvl w:val="0"/>
          <w:numId w:val="30"/>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股权类资产</w:t>
      </w:r>
    </w:p>
    <w:p>
      <w:pPr>
        <w:numPr>
          <w:ilvl w:val="0"/>
          <w:numId w:val="31"/>
        </w:numPr>
        <w:spacing w:line="360" w:lineRule="auto"/>
        <w:ind w:left="0" w:firstLine="480"/>
        <w:rPr>
          <w:rFonts w:ascii="宋体" w:hAnsi="宋体" w:cs="宋体"/>
          <w:bCs/>
          <w:color w:val="000000"/>
          <w:sz w:val="24"/>
          <w:highlight w:val="none"/>
        </w:rPr>
      </w:pPr>
      <w:r>
        <w:rPr>
          <w:rFonts w:hint="eastAsia" w:ascii="宋体" w:hAnsi="宋体" w:cs="宋体"/>
          <w:bCs/>
          <w:color w:val="000000"/>
          <w:sz w:val="24"/>
          <w:highlight w:val="none"/>
        </w:rPr>
        <w:t>上市流通股票按估值日其所在证券交易所的收盘价估值；估值日无交易，且最近交易日后未发生影响公允价值计量的重大事件的，以最近交易日的收盘价估值。</w:t>
      </w:r>
    </w:p>
    <w:p>
      <w:pPr>
        <w:numPr>
          <w:ilvl w:val="0"/>
          <w:numId w:val="31"/>
        </w:numPr>
        <w:spacing w:line="360" w:lineRule="auto"/>
        <w:ind w:left="0" w:firstLine="480"/>
        <w:rPr>
          <w:rFonts w:ascii="宋体" w:hAnsi="宋体" w:cs="宋体"/>
          <w:bCs/>
          <w:color w:val="000000"/>
          <w:sz w:val="24"/>
          <w:highlight w:val="none"/>
        </w:rPr>
      </w:pPr>
      <w:r>
        <w:rPr>
          <w:rFonts w:hint="eastAsia" w:ascii="宋体" w:hAnsi="宋体" w:cs="宋体"/>
          <w:bCs/>
          <w:color w:val="000000"/>
          <w:sz w:val="24"/>
          <w:highlight w:val="none"/>
        </w:rPr>
        <w:t>未上市股票的估值：</w:t>
      </w:r>
    </w:p>
    <w:p>
      <w:pPr>
        <w:spacing w:line="360" w:lineRule="auto"/>
        <w:rPr>
          <w:rFonts w:hint="eastAsia" w:ascii="宋体" w:hAnsi="宋体"/>
          <w:sz w:val="24"/>
          <w:highlight w:val="none"/>
        </w:rPr>
      </w:pPr>
      <w:r>
        <w:rPr>
          <w:rFonts w:hint="eastAsia" w:ascii="宋体" w:hAnsi="宋体" w:cs="宋体"/>
          <w:bCs/>
          <w:color w:val="000000"/>
          <w:sz w:val="24"/>
          <w:highlight w:val="none"/>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spacing w:line="360" w:lineRule="auto"/>
        <w:rPr>
          <w:rFonts w:hint="eastAsia" w:ascii="宋体" w:hAnsi="宋体"/>
          <w:sz w:val="24"/>
          <w:highlight w:val="none"/>
        </w:rPr>
      </w:pPr>
      <w:r>
        <w:rPr>
          <w:rFonts w:hint="eastAsia" w:ascii="宋体" w:hAnsi="宋体"/>
          <w:sz w:val="24"/>
          <w:highlight w:val="none"/>
        </w:rPr>
        <w:t xml:space="preserve">      2）首次公开发行有明确锁定期的股票，同一股票在交易所上市后，按交易所上市的同一股票的市价估值；</w:t>
      </w:r>
    </w:p>
    <w:p>
      <w:pPr>
        <w:spacing w:line="360" w:lineRule="auto"/>
        <w:rPr>
          <w:rFonts w:hint="eastAsia" w:ascii="宋体" w:hAnsi="宋体"/>
          <w:sz w:val="24"/>
          <w:highlight w:val="none"/>
        </w:rPr>
      </w:pPr>
      <w:r>
        <w:rPr>
          <w:rFonts w:hint="eastAsia" w:ascii="宋体" w:hAnsi="宋体"/>
          <w:sz w:val="24"/>
          <w:highlight w:val="none"/>
        </w:rPr>
        <w:t xml:space="preserve">      3）首次发行未上市的股票，按发行价格进行估值；</w:t>
      </w:r>
    </w:p>
    <w:p>
      <w:pPr>
        <w:spacing w:line="360" w:lineRule="auto"/>
        <w:rPr>
          <w:rFonts w:hint="eastAsia" w:ascii="宋体" w:hAnsi="宋体"/>
          <w:sz w:val="24"/>
          <w:highlight w:val="none"/>
        </w:rPr>
      </w:pPr>
      <w:r>
        <w:rPr>
          <w:rFonts w:hint="eastAsia" w:ascii="宋体" w:hAnsi="宋体"/>
          <w:sz w:val="24"/>
          <w:highlight w:val="none"/>
        </w:rPr>
        <w:t xml:space="preserve">      4）因持有股票而享有的配股权，采用估值技术确定公允价值。</w:t>
      </w:r>
    </w:p>
    <w:p>
      <w:pPr>
        <w:numPr>
          <w:ilvl w:val="0"/>
          <w:numId w:val="31"/>
        </w:numPr>
        <w:spacing w:line="360" w:lineRule="auto"/>
        <w:ind w:left="0" w:firstLine="480"/>
        <w:rPr>
          <w:rFonts w:ascii="宋体" w:hAnsi="宋体" w:cs="宋体"/>
          <w:bCs/>
          <w:color w:val="000000"/>
          <w:sz w:val="24"/>
          <w:highlight w:val="none"/>
        </w:rPr>
      </w:pPr>
      <w:r>
        <w:rPr>
          <w:rFonts w:hint="eastAsia" w:ascii="宋体" w:hAnsi="宋体" w:cs="宋体"/>
          <w:bCs/>
          <w:color w:val="000000"/>
          <w:sz w:val="24"/>
          <w:highlight w:val="none"/>
        </w:rPr>
        <w:t>非上市股权的估值：</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0"/>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基金、资产管理计划类资产</w:t>
      </w:r>
    </w:p>
    <w:p>
      <w:p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0"/>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4"/>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4"/>
        <w:spacing w:line="360" w:lineRule="auto"/>
        <w:ind w:firstLine="480" w:firstLineChars="200"/>
        <w:rPr>
          <w:rFonts w:hint="eastAsia" w:ascii="宋体" w:hAnsi="宋体" w:cs="宋体"/>
          <w:bCs/>
          <w:highlight w:val="none"/>
        </w:rPr>
      </w:pPr>
      <w:r>
        <w:rPr>
          <w:rFonts w:hint="eastAsia" w:ascii="宋体" w:hAnsi="宋体" w:cs="宋体"/>
          <w:bCs/>
          <w:kern w:val="2"/>
          <w:highlight w:val="none"/>
        </w:rPr>
        <w:t>以</w:t>
      </w:r>
      <w:r>
        <w:rPr>
          <w:rFonts w:hint="eastAsia" w:ascii="宋体" w:hAnsi="宋体" w:cs="宋体"/>
          <w:bCs/>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4"/>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当理财计划管理人或托管人认为按上述方法对理财计划进行估值不能客观反映其公允价值的，可以在满足监管要求的前提下协商一致后，按最能反映公允价值的价格估值，并自协商一致日后执行。</w:t>
      </w:r>
    </w:p>
    <w:p>
      <w:pPr>
        <w:pStyle w:val="14"/>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2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2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理财计划投资所涉及的交易市场遇法定节假日或因其他原因暂停营业时暂停估值，该种情况理财计划估值日期提前到上一交易日。</w:t>
      </w:r>
    </w:p>
    <w:p>
      <w:pPr>
        <w:numPr>
          <w:ilvl w:val="0"/>
          <w:numId w:val="3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2"/>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2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6"/>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费用及税收</w:t>
      </w:r>
    </w:p>
    <w:p>
      <w:pPr>
        <w:numPr>
          <w:ilvl w:val="0"/>
          <w:numId w:val="33"/>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本理财计划涉及费用包括销售服务费、托管费、固定管理费、认购费、浮动管理费以及理财计划运作和清算中产生的其他费用等。</w:t>
      </w:r>
    </w:p>
    <w:p>
      <w:pPr>
        <w:numPr>
          <w:ilvl w:val="0"/>
          <w:numId w:val="33"/>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4"/>
        </w:numPr>
        <w:spacing w:line="360" w:lineRule="auto"/>
        <w:jc w:val="left"/>
        <w:rPr>
          <w:rFonts w:hint="eastAsia" w:ascii="宋体" w:hAnsi="宋体" w:cs="宋体"/>
          <w:b/>
          <w:sz w:val="24"/>
          <w:highlight w:val="none"/>
        </w:rPr>
      </w:pPr>
      <w:r>
        <w:rPr>
          <w:rFonts w:hint="eastAsia" w:ascii="宋体" w:hAnsi="宋体" w:cs="宋体"/>
          <w:b/>
          <w:sz w:val="24"/>
          <w:highlight w:val="none"/>
        </w:rPr>
        <w:t>销售服务费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lang w:val="en-US" w:eastAsia="zh-CN"/>
        </w:rPr>
        <w:t>理财计划财产分为每日计提销售服务费的〖A份额〗、〖B份额〗、〖C份额〗、〖D份额〗、〖E份额〗、〖F份额〗、〖G份额〗、〖H份额〗和销售服务费于产品成立日一次性收取的〖W份额〗、〖Z份额〗。A份额的年化销售服务费率为〖0.30%〗, B份额的年化销售服务费率为〖0.20%〗, C份额的年化销售服务费率为〖0.10%〗, D份额的年化销售服务费率为〖0.15%〗, E份额的年化销售服务费率为〖0.20%〗, F份额的年化销售服务费率为〖0.10%〗, G份额的年化销售服务费率为〖0.40%〗, H份额的年化销售服务费率为〖0.30%〗, W份额的年化销售服务费率为〖0.30%〗, Z份额的年化销售服务费率为〖0.10%〗。两种计算方法如下：</w:t>
      </w:r>
      <w:r>
        <w:rPr>
          <w:rFonts w:hint="eastAsia" w:ascii="宋体" w:hAnsi="宋体" w:cs="宋体"/>
          <w:bCs/>
          <w:color w:val="000000"/>
          <w:sz w:val="24"/>
          <w:highlight w:val="none"/>
          <w:lang w:val="en-US" w:eastAsia="zh-CN"/>
        </w:rPr>
        <w:br w:type="textWrapping"/>
      </w:r>
      <w:r>
        <w:rPr>
          <w:rFonts w:hint="eastAsia" w:ascii="宋体" w:hAnsi="宋体" w:cs="宋体"/>
          <w:bCs/>
          <w:color w:val="000000"/>
          <w:sz w:val="24"/>
          <w:highlight w:val="none"/>
          <w:lang w:val="en-US" w:eastAsia="zh-CN"/>
        </w:rPr>
        <w:t xml:space="preserve">    （1）销售费按日计提</w:t>
      </w:r>
      <w:r>
        <w:rPr>
          <w:rFonts w:hint="eastAsia" w:ascii="宋体" w:hAnsi="宋体" w:cs="宋体"/>
          <w:bCs/>
          <w:color w:val="000000"/>
          <w:sz w:val="24"/>
          <w:highlight w:val="none"/>
          <w:lang w:val="en-US" w:eastAsia="zh-CN"/>
        </w:rPr>
        <w:br w:type="textWrapping"/>
      </w:r>
      <w:r>
        <w:rPr>
          <w:rFonts w:hint="eastAsia" w:ascii="宋体" w:hAnsi="宋体" w:cs="宋体"/>
          <w:bCs/>
          <w:color w:val="000000"/>
          <w:sz w:val="24"/>
          <w:highlight w:val="none"/>
          <w:lang w:val="en-US" w:eastAsia="zh-CN"/>
        </w:rPr>
        <w:t xml:space="preserve">    H1＝E1×〖0.30%〗÷365</w:t>
      </w:r>
      <w:r>
        <w:rPr>
          <w:rFonts w:hint="eastAsia" w:ascii="宋体" w:hAnsi="宋体" w:cs="宋体"/>
          <w:bCs/>
          <w:color w:val="000000"/>
          <w:sz w:val="24"/>
          <w:highlight w:val="none"/>
          <w:lang w:val="en-US" w:eastAsia="zh-CN"/>
        </w:rPr>
        <w:br w:type="textWrapping"/>
      </w:r>
      <w:r>
        <w:rPr>
          <w:rFonts w:hint="eastAsia" w:ascii="宋体" w:hAnsi="宋体" w:cs="宋体"/>
          <w:bCs/>
          <w:color w:val="000000"/>
          <w:sz w:val="24"/>
          <w:highlight w:val="none"/>
          <w:lang w:val="en-US" w:eastAsia="zh-CN"/>
        </w:rPr>
        <w:t xml:space="preserve">    H1为〖A份额〗每日应计提的销售服务费</w:t>
      </w:r>
      <w:r>
        <w:rPr>
          <w:rFonts w:hint="eastAsia" w:ascii="宋体" w:hAnsi="宋体" w:cs="宋体"/>
          <w:bCs/>
          <w:color w:val="000000"/>
          <w:sz w:val="24"/>
          <w:highlight w:val="none"/>
          <w:lang w:val="en-US" w:eastAsia="zh-CN"/>
        </w:rPr>
        <w:br w:type="textWrapping"/>
      </w:r>
      <w:r>
        <w:rPr>
          <w:rFonts w:hint="eastAsia" w:ascii="宋体" w:hAnsi="宋体" w:cs="宋体"/>
          <w:bCs/>
          <w:color w:val="000000"/>
          <w:sz w:val="24"/>
          <w:highlight w:val="none"/>
          <w:lang w:val="en-US" w:eastAsia="zh-CN"/>
        </w:rPr>
        <w:t xml:space="preserve">    E1为〖A份额〗前一日资产净值</w:t>
      </w:r>
      <w:r>
        <w:rPr>
          <w:rFonts w:hint="eastAsia" w:ascii="宋体" w:hAnsi="宋体" w:cs="宋体"/>
          <w:bCs/>
          <w:color w:val="000000"/>
          <w:sz w:val="24"/>
          <w:highlight w:val="none"/>
          <w:lang w:val="en-US" w:eastAsia="zh-CN"/>
        </w:rPr>
        <w:br w:type="textWrapping"/>
      </w:r>
      <w:r>
        <w:rPr>
          <w:rFonts w:hint="eastAsia" w:ascii="宋体" w:hAnsi="宋体" w:cs="宋体"/>
          <w:bCs/>
          <w:color w:val="000000"/>
          <w:sz w:val="24"/>
          <w:highlight w:val="none"/>
          <w:lang w:val="en-US" w:eastAsia="zh-CN"/>
        </w:rPr>
        <w:t xml:space="preserve">    销售服务费原则上按日计提。</w:t>
      </w:r>
      <w:r>
        <w:rPr>
          <w:rFonts w:hint="eastAsia" w:ascii="宋体" w:hAnsi="宋体" w:cs="宋体"/>
          <w:bCs/>
          <w:color w:val="000000"/>
          <w:sz w:val="24"/>
          <w:highlight w:val="none"/>
          <w:lang w:val="en-US" w:eastAsia="zh-CN"/>
        </w:rPr>
        <w:br w:type="textWrapping"/>
      </w:r>
      <w:r>
        <w:rPr>
          <w:rFonts w:hint="eastAsia" w:ascii="宋体" w:hAnsi="宋体" w:cs="宋体"/>
          <w:bCs/>
          <w:color w:val="000000"/>
          <w:sz w:val="24"/>
          <w:highlight w:val="none"/>
          <w:lang w:val="en-US" w:eastAsia="zh-CN"/>
        </w:rPr>
        <w:t xml:space="preserve">    （2）销售费一次性收取</w:t>
      </w:r>
      <w:r>
        <w:rPr>
          <w:rFonts w:hint="eastAsia" w:ascii="宋体" w:hAnsi="宋体" w:cs="宋体"/>
          <w:bCs/>
          <w:color w:val="000000"/>
          <w:sz w:val="24"/>
          <w:highlight w:val="none"/>
          <w:lang w:val="en-US" w:eastAsia="zh-CN"/>
        </w:rPr>
        <w:br w:type="textWrapping"/>
      </w:r>
      <w:r>
        <w:rPr>
          <w:rFonts w:hint="eastAsia" w:ascii="宋体" w:hAnsi="宋体" w:cs="宋体"/>
          <w:bCs/>
          <w:color w:val="000000"/>
          <w:sz w:val="24"/>
          <w:highlight w:val="none"/>
          <w:lang w:val="en-US" w:eastAsia="zh-CN"/>
        </w:rPr>
        <w:t xml:space="preserve">    H2＝E2×〖0.30%〗×P÷365</w:t>
      </w:r>
      <w:r>
        <w:rPr>
          <w:rFonts w:hint="eastAsia" w:ascii="宋体" w:hAnsi="宋体" w:cs="宋体"/>
          <w:bCs/>
          <w:color w:val="000000"/>
          <w:sz w:val="24"/>
          <w:highlight w:val="none"/>
          <w:lang w:val="en-US" w:eastAsia="zh-CN"/>
        </w:rPr>
        <w:br w:type="textWrapping"/>
      </w:r>
      <w:r>
        <w:rPr>
          <w:rFonts w:hint="eastAsia" w:ascii="宋体" w:hAnsi="宋体" w:cs="宋体"/>
          <w:bCs/>
          <w:color w:val="000000"/>
          <w:sz w:val="24"/>
          <w:highlight w:val="none"/>
          <w:lang w:val="en-US" w:eastAsia="zh-CN"/>
        </w:rPr>
        <w:t xml:space="preserve">    H2为〖W份额〗应计提的销售服务费</w:t>
      </w:r>
      <w:r>
        <w:rPr>
          <w:rFonts w:hint="eastAsia" w:ascii="宋体" w:hAnsi="宋体" w:cs="宋体"/>
          <w:bCs/>
          <w:color w:val="000000"/>
          <w:sz w:val="24"/>
          <w:highlight w:val="none"/>
          <w:lang w:val="en-US" w:eastAsia="zh-CN"/>
        </w:rPr>
        <w:br w:type="textWrapping"/>
      </w:r>
      <w:r>
        <w:rPr>
          <w:rFonts w:hint="eastAsia" w:ascii="宋体" w:hAnsi="宋体" w:cs="宋体"/>
          <w:bCs/>
          <w:color w:val="000000"/>
          <w:sz w:val="24"/>
          <w:highlight w:val="none"/>
          <w:lang w:val="en-US" w:eastAsia="zh-CN"/>
        </w:rPr>
        <w:t xml:space="preserve">    E2为〖W份额〗成立日产品份额</w:t>
      </w:r>
      <w:r>
        <w:rPr>
          <w:rFonts w:hint="eastAsia" w:ascii="宋体" w:hAnsi="宋体" w:cs="宋体"/>
          <w:bCs/>
          <w:color w:val="000000"/>
          <w:sz w:val="24"/>
          <w:highlight w:val="none"/>
          <w:lang w:val="en-US" w:eastAsia="zh-CN"/>
        </w:rPr>
        <w:br w:type="textWrapping"/>
      </w:r>
      <w:r>
        <w:rPr>
          <w:rFonts w:hint="eastAsia" w:ascii="宋体" w:hAnsi="宋体" w:cs="宋体"/>
          <w:bCs/>
          <w:color w:val="000000"/>
          <w:sz w:val="24"/>
          <w:highlight w:val="none"/>
          <w:lang w:val="en-US" w:eastAsia="zh-CN"/>
        </w:rPr>
        <w:t xml:space="preserve">    P为产品投资期限天数</w:t>
      </w:r>
      <w:r>
        <w:rPr>
          <w:rFonts w:hint="eastAsia" w:ascii="宋体" w:hAnsi="宋体" w:cs="宋体"/>
          <w:bCs/>
          <w:color w:val="000000"/>
          <w:sz w:val="24"/>
          <w:highlight w:val="none"/>
          <w:lang w:val="en-US" w:eastAsia="zh-CN"/>
        </w:rPr>
        <w:br w:type="textWrapping"/>
      </w:r>
      <w:r>
        <w:rPr>
          <w:rFonts w:hint="eastAsia" w:ascii="宋体" w:hAnsi="宋体" w:cs="宋体"/>
          <w:bCs/>
          <w:color w:val="000000"/>
          <w:sz w:val="24"/>
          <w:highlight w:val="none"/>
          <w:lang w:val="en-US" w:eastAsia="zh-CN"/>
        </w:rPr>
        <w:t xml:space="preserve">    销售服务费于产品成立日一次性收取，每日摊销。</w:t>
      </w:r>
    </w:p>
    <w:p>
      <w:pPr>
        <w:numPr>
          <w:ilvl w:val="0"/>
          <w:numId w:val="34"/>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bCs/>
          <w:color w:val="000000"/>
          <w:sz w:val="24"/>
          <w:highlight w:val="none"/>
          <w:lang w:val="en-US" w:eastAsia="zh-CN"/>
        </w:rPr>
        <w:t>0.025</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bCs/>
          <w:color w:val="000000"/>
          <w:sz w:val="24"/>
          <w:highlight w:val="none"/>
          <w:lang w:val="en-US" w:eastAsia="zh-CN"/>
        </w:rPr>
        <w:t>0.025</w:t>
      </w:r>
      <w:r>
        <w:rPr>
          <w:rFonts w:hint="eastAsia" w:ascii="宋体" w:hAnsi="宋体" w:cs="宋体"/>
          <w:bCs/>
          <w:color w:val="000000"/>
          <w:sz w:val="24"/>
          <w:highlight w:val="none"/>
        </w:rPr>
        <w:t>%</w:t>
      </w:r>
      <w:r>
        <w:rPr>
          <w:rFonts w:hint="eastAsia" w:ascii="宋体" w:hAnsi="宋体" w:cs="宋体"/>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4"/>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理财计划财产A份额的年化固定管理费率为〖0.05%〗, B份额的年化固定管理费率为〖0.05%〗, C份额的年化固定管理费率为〖0.05%〗, D份额的年化固定管理费率为〖0.05%〗, E份额的年化固定管理费率为〖0.05%〗, F份额的年化固定管理费率为〖0.05%〗, G份额的年化固定管理费率为〖0.05%〗, H份额的年化固定管理费率为〖0.05%〗, W份额的年化固定管理费率为〖0.05%〗, Z份额的年化固定管理费率为〖0.05%〗, 以〖A份额〗为例，计算方法如下：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H＝E×〖0.05%</w:t>
      </w:r>
      <w:r>
        <w:rPr>
          <w:rFonts w:hint="eastAsia" w:ascii="宋体" w:hAnsi="宋体" w:cs="宋体"/>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w:t>
      </w:r>
      <w:r>
        <w:rPr>
          <w:rFonts w:hint="eastAsia" w:ascii="宋体" w:hAnsi="宋体" w:cs="宋体"/>
          <w:sz w:val="24"/>
          <w:highlight w:val="none"/>
          <w:lang w:val="en-US" w:eastAsia="zh-CN"/>
        </w:rPr>
        <w:t>A</w:t>
      </w:r>
      <w:r>
        <w:rPr>
          <w:rFonts w:hint="eastAsia" w:ascii="宋体" w:hAnsi="宋体" w:cs="宋体"/>
          <w:bCs/>
          <w:color w:val="000000"/>
          <w:sz w:val="24"/>
          <w:highlight w:val="none"/>
        </w:rPr>
        <w:t>份额每日应计提的固定管理费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w:t>
      </w:r>
      <w:r>
        <w:rPr>
          <w:rFonts w:hint="eastAsia" w:ascii="宋体" w:hAnsi="宋体" w:cs="宋体"/>
          <w:sz w:val="24"/>
          <w:highlight w:val="none"/>
          <w:lang w:val="en-US" w:eastAsia="zh-CN"/>
        </w:rPr>
        <w:t>A</w:t>
      </w:r>
      <w:r>
        <w:rPr>
          <w:rFonts w:hint="eastAsia" w:ascii="宋体" w:hAnsi="宋体" w:cs="宋体"/>
          <w:bCs/>
          <w:color w:val="000000"/>
          <w:sz w:val="24"/>
          <w:highlight w:val="none"/>
        </w:rPr>
        <w:t>份额前一日资产净值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p>
    <w:p>
      <w:pPr>
        <w:numPr>
          <w:ilvl w:val="0"/>
          <w:numId w:val="34"/>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4"/>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理财管理人根据理财计划投资情况计算浮动管理费，本理财计划</w:t>
      </w:r>
      <w:r>
        <w:rPr>
          <w:rFonts w:hint="eastAsia" w:ascii="宋体" w:hAnsi="宋体" w:cs="宋体"/>
          <w:color w:val="000000"/>
          <w:sz w:val="24"/>
          <w:highlight w:val="none"/>
        </w:rPr>
        <w:t>份额</w:t>
      </w:r>
      <w:r>
        <w:rPr>
          <w:rFonts w:hint="eastAsia" w:ascii="宋体" w:hAnsi="宋体" w:cs="宋体"/>
          <w:bCs/>
          <w:color w:val="000000"/>
          <w:sz w:val="24"/>
          <w:highlight w:val="none"/>
        </w:rPr>
        <w:t>到期日（提前终止日）的折合年化收益率超过</w:t>
      </w:r>
      <w:r>
        <w:rPr>
          <w:rFonts w:hint="eastAsia" w:ascii="宋体" w:hAnsi="宋体" w:cs="宋体"/>
          <w:sz w:val="24"/>
          <w:highlight w:val="none"/>
        </w:rPr>
        <w:t>业绩比较基准</w:t>
      </w:r>
      <w:r>
        <w:rPr>
          <w:rFonts w:hint="eastAsia" w:ascii="宋体" w:hAnsi="宋体" w:cs="宋体"/>
          <w:bCs/>
          <w:color w:val="000000"/>
          <w:sz w:val="24"/>
          <w:highlight w:val="none"/>
        </w:rPr>
        <w:t>的部分管理人收取</w:t>
      </w:r>
      <w:r>
        <w:rPr>
          <w:rFonts w:hint="eastAsia" w:ascii="宋体" w:hAnsi="宋体" w:cs="宋体"/>
          <w:color w:val="000000"/>
          <w:sz w:val="24"/>
          <w:highlight w:val="none"/>
        </w:rPr>
        <w:t>〖</w:t>
      </w:r>
      <w:r>
        <w:rPr>
          <w:rFonts w:hint="eastAsia" w:ascii="宋体" w:hAnsi="宋体" w:cs="宋体"/>
          <w:color w:val="000000"/>
          <w:sz w:val="24"/>
          <w:highlight w:val="none"/>
          <w:lang w:val="en-US" w:eastAsia="zh-CN"/>
        </w:rPr>
        <w:t>80</w:t>
      </w:r>
      <w:r>
        <w:rPr>
          <w:rFonts w:hint="eastAsia" w:ascii="宋体" w:hAnsi="宋体" w:cs="宋体"/>
          <w:bCs/>
          <w:color w:val="000000"/>
          <w:sz w:val="24"/>
          <w:highlight w:val="none"/>
        </w:rPr>
        <w:t>%</w:t>
      </w:r>
      <w:r>
        <w:rPr>
          <w:rFonts w:hint="eastAsia" w:ascii="宋体" w:hAnsi="宋体" w:cs="宋体"/>
          <w:szCs w:val="21"/>
          <w:highlight w:val="none"/>
        </w:rPr>
        <w:t>〗</w:t>
      </w:r>
      <w:r>
        <w:rPr>
          <w:rFonts w:hint="eastAsia" w:ascii="宋体" w:hAnsi="宋体" w:cs="宋体"/>
          <w:bCs/>
          <w:color w:val="000000"/>
          <w:sz w:val="24"/>
          <w:highlight w:val="none"/>
        </w:rPr>
        <w:t>作为浮动管理费。本理财计划到期日（提前终止日）的折合年化收益率若小于或等于</w:t>
      </w:r>
      <w:r>
        <w:rPr>
          <w:rFonts w:hint="eastAsia" w:ascii="宋体" w:hAnsi="宋体" w:cs="宋体"/>
          <w:sz w:val="24"/>
          <w:highlight w:val="none"/>
        </w:rPr>
        <w:t>业绩比较基准</w:t>
      </w:r>
      <w:r>
        <w:rPr>
          <w:rFonts w:hint="eastAsia" w:ascii="宋体" w:hAnsi="宋体" w:cs="宋体"/>
          <w:bCs/>
          <w:color w:val="000000"/>
          <w:sz w:val="24"/>
          <w:highlight w:val="none"/>
        </w:rPr>
        <w:t>则不收取浮动管理费。浮动管理费原则上按估值日计提，到期收取。具体计算方法如下：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H＝E×NAV0×(K-R)×</w:t>
      </w:r>
      <w:r>
        <w:rPr>
          <w:rFonts w:hint="eastAsia" w:ascii="宋体" w:hAnsi="宋体" w:cs="宋体"/>
          <w:color w:val="000000"/>
          <w:sz w:val="24"/>
          <w:highlight w:val="none"/>
        </w:rPr>
        <w:t>〖</w:t>
      </w:r>
      <w:r>
        <w:rPr>
          <w:rFonts w:hint="eastAsia" w:ascii="宋体" w:hAnsi="宋体" w:cs="宋体"/>
          <w:color w:val="000000"/>
          <w:sz w:val="24"/>
          <w:highlight w:val="none"/>
          <w:lang w:val="en-US" w:eastAsia="zh-CN"/>
        </w:rPr>
        <w:t>80</w:t>
      </w:r>
      <w:r>
        <w:rPr>
          <w:rFonts w:hint="eastAsia" w:ascii="宋体" w:hAnsi="宋体" w:cs="宋体"/>
          <w:bCs/>
          <w:color w:val="000000"/>
          <w:sz w:val="24"/>
          <w:highlight w:val="none"/>
        </w:rPr>
        <w:t>%</w:t>
      </w:r>
      <w:r>
        <w:rPr>
          <w:rFonts w:hint="eastAsia" w:ascii="宋体" w:hAnsi="宋体" w:cs="宋体"/>
          <w:szCs w:val="21"/>
          <w:highlight w:val="none"/>
        </w:rPr>
        <w:t>〗</w:t>
      </w:r>
      <w:r>
        <w:rPr>
          <w:rFonts w:hint="eastAsia" w:ascii="宋体" w:hAnsi="宋体" w:cs="宋体"/>
          <w:bCs/>
          <w:color w:val="000000"/>
          <w:sz w:val="24"/>
          <w:highlight w:val="none"/>
        </w:rPr>
        <w:t>×N÷365</w:t>
      </w:r>
    </w:p>
    <w:p>
      <w:pPr>
        <w:spacing w:line="360" w:lineRule="auto"/>
        <w:ind w:firstLine="480" w:firstLineChars="200"/>
        <w:jc w:val="left"/>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rPr>
        <w:t>其中，K=(NAV1-NAV0+T)÷NAV0×365÷N</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w:t>
      </w:r>
      <w:r>
        <w:rPr>
          <w:rFonts w:hint="eastAsia" w:ascii="宋体" w:hAnsi="宋体" w:cs="宋体"/>
          <w:bCs/>
          <w:color w:val="000000"/>
          <w:sz w:val="24"/>
          <w:highlight w:val="none"/>
          <w:lang w:val="en-US" w:eastAsia="zh-CN"/>
        </w:rPr>
        <w:t>理财计划到期（提前终止）时应</w:t>
      </w:r>
      <w:r>
        <w:rPr>
          <w:rFonts w:hint="eastAsia" w:ascii="宋体" w:hAnsi="宋体" w:cs="宋体"/>
          <w:bCs/>
          <w:color w:val="000000"/>
          <w:sz w:val="24"/>
          <w:highlight w:val="none"/>
        </w:rPr>
        <w:t>收取浮动管理费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w:t>
      </w:r>
      <w:r>
        <w:rPr>
          <w:rFonts w:hint="eastAsia" w:ascii="宋体" w:hAnsi="宋体" w:cs="宋体"/>
          <w:bCs/>
          <w:color w:val="000000"/>
          <w:sz w:val="24"/>
          <w:highlight w:val="none"/>
          <w:lang w:val="en-US" w:eastAsia="zh-CN"/>
        </w:rPr>
        <w:t>投资者持有</w:t>
      </w:r>
      <w:r>
        <w:rPr>
          <w:rFonts w:hint="eastAsia" w:ascii="宋体" w:hAnsi="宋体" w:cs="宋体"/>
          <w:bCs/>
          <w:color w:val="000000"/>
          <w:sz w:val="24"/>
          <w:highlight w:val="none"/>
        </w:rPr>
        <w:t>份额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K为收取浮动管理费前投资者</w:t>
      </w:r>
      <w:r>
        <w:rPr>
          <w:rFonts w:hint="eastAsia" w:ascii="宋体" w:hAnsi="宋体" w:cs="宋体"/>
          <w:bCs/>
          <w:color w:val="000000"/>
          <w:sz w:val="24"/>
          <w:highlight w:val="none"/>
          <w:lang w:val="en-US" w:eastAsia="zh-CN"/>
        </w:rPr>
        <w:t>持有</w:t>
      </w:r>
      <w:r>
        <w:rPr>
          <w:rFonts w:hint="eastAsia" w:ascii="宋体" w:hAnsi="宋体" w:cs="宋体"/>
          <w:bCs/>
          <w:color w:val="000000"/>
          <w:sz w:val="24"/>
          <w:highlight w:val="none"/>
        </w:rPr>
        <w:t>份额对应持有区间折合年化收益率</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NAV0为</w:t>
      </w:r>
      <w:r>
        <w:rPr>
          <w:rFonts w:hint="eastAsia" w:ascii="宋体" w:hAnsi="宋体" w:cs="宋体"/>
          <w:bCs/>
          <w:color w:val="000000"/>
          <w:sz w:val="24"/>
          <w:highlight w:val="none"/>
          <w:lang w:val="en-US" w:eastAsia="zh-CN"/>
        </w:rPr>
        <w:t>理财计划成立日之初</w:t>
      </w:r>
      <w:r>
        <w:rPr>
          <w:rFonts w:hint="eastAsia" w:ascii="宋体" w:hAnsi="宋体" w:cs="宋体"/>
          <w:bCs/>
          <w:color w:val="000000"/>
          <w:sz w:val="24"/>
          <w:highlight w:val="none"/>
        </w:rPr>
        <w:t>单位净值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NAV1为</w:t>
      </w:r>
      <w:r>
        <w:rPr>
          <w:rFonts w:hint="eastAsia" w:ascii="宋体" w:hAnsi="宋体" w:cs="宋体"/>
          <w:bCs/>
          <w:color w:val="000000"/>
          <w:sz w:val="24"/>
          <w:highlight w:val="none"/>
          <w:lang w:val="en-US" w:eastAsia="zh-CN"/>
        </w:rPr>
        <w:t>理财计划到期日</w:t>
      </w:r>
      <w:r>
        <w:rPr>
          <w:rFonts w:hint="eastAsia" w:ascii="宋体" w:hAnsi="宋体" w:cs="宋体"/>
          <w:bCs/>
          <w:color w:val="000000"/>
          <w:sz w:val="24"/>
          <w:highlight w:val="none"/>
        </w:rPr>
        <w:t>未扣除浮动管理费前的单位净值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R</w:t>
      </w:r>
      <w:r>
        <w:rPr>
          <w:rFonts w:hint="eastAsia" w:ascii="宋体" w:hAnsi="宋体" w:cs="宋体"/>
          <w:bCs/>
          <w:color w:val="000000"/>
          <w:sz w:val="24"/>
          <w:highlight w:val="none"/>
          <w:lang w:val="en-US" w:eastAsia="zh-CN"/>
        </w:rPr>
        <w:t>为浮动管理费计提基数</w:t>
      </w:r>
    </w:p>
    <w:p>
      <w:pPr>
        <w:spacing w:line="360" w:lineRule="auto"/>
        <w:ind w:firstLine="480" w:firstLineChars="200"/>
        <w:jc w:val="left"/>
        <w:rPr>
          <w:rFonts w:hint="eastAsia" w:ascii="宋体" w:hAnsi="宋体" w:cs="宋体"/>
          <w:bCs/>
          <w:color w:val="000000"/>
          <w:sz w:val="24"/>
          <w:highlight w:val="none"/>
          <w:lang w:val="en-US" w:eastAsia="zh-CN"/>
        </w:rPr>
      </w:pPr>
      <w:r>
        <w:rPr>
          <w:rFonts w:hint="eastAsia" w:ascii="宋体" w:hAnsi="宋体" w:cs="宋体"/>
          <w:bCs/>
          <w:color w:val="000000"/>
          <w:sz w:val="24"/>
          <w:highlight w:val="none"/>
        </w:rPr>
        <w:t>N为</w:t>
      </w:r>
      <w:r>
        <w:rPr>
          <w:rFonts w:hint="eastAsia" w:ascii="宋体" w:hAnsi="宋体" w:cs="宋体"/>
          <w:bCs/>
          <w:color w:val="000000"/>
          <w:sz w:val="24"/>
          <w:highlight w:val="none"/>
          <w:lang w:val="en-US" w:eastAsia="zh-CN"/>
        </w:rPr>
        <w:t>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T为</w:t>
      </w:r>
      <w:r>
        <w:rPr>
          <w:rFonts w:hint="eastAsia" w:ascii="宋体" w:hAnsi="宋体" w:cs="宋体"/>
          <w:bCs/>
          <w:color w:val="000000"/>
          <w:sz w:val="24"/>
          <w:highlight w:val="none"/>
          <w:lang w:val="en-US" w:eastAsia="zh-CN"/>
        </w:rPr>
        <w:t>理财计划运作期间每单位份额的实际分红金额合计</w:t>
      </w:r>
      <w:r>
        <w:rPr>
          <w:rFonts w:hint="eastAsia" w:ascii="宋体" w:hAnsi="宋体" w:cs="宋体"/>
          <w:bCs/>
          <w:color w:val="000000"/>
          <w:sz w:val="24"/>
          <w:highlight w:val="none"/>
        </w:rPr>
        <w:t>（如有）</w:t>
      </w:r>
    </w:p>
    <w:p>
      <w:pPr>
        <w:numPr>
          <w:ilvl w:val="0"/>
          <w:numId w:val="34"/>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6"/>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税收说明</w:t>
      </w:r>
    </w:p>
    <w:p>
      <w:pPr>
        <w:numPr>
          <w:ilvl w:val="0"/>
          <w:numId w:val="37"/>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7"/>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7"/>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6"/>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收益计算</w:t>
      </w:r>
    </w:p>
    <w:p>
      <w:pPr>
        <w:numPr>
          <w:ilvl w:val="0"/>
          <w:numId w:val="38"/>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8"/>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示例说明</w:t>
      </w:r>
    </w:p>
    <w:p>
      <w:pPr>
        <w:numPr>
          <w:ilvl w:val="0"/>
          <w:numId w:val="0"/>
        </w:numPr>
        <w:spacing w:line="360" w:lineRule="auto"/>
        <w:ind w:left="420" w:firstLine="0"/>
        <w:jc w:val="left"/>
        <w:outlineLvl w:val="2"/>
        <w:rPr>
          <w:rFonts w:hint="eastAsia" w:ascii="宋体" w:hAnsi="宋体" w:cs="宋体"/>
          <w:b/>
          <w:sz w:val="24"/>
          <w:highlight w:val="none"/>
        </w:rPr>
      </w:pPr>
      <w:r>
        <w:rPr>
          <w:rFonts w:hint="eastAsia" w:ascii="宋体" w:hAnsi="宋体" w:cs="宋体"/>
          <w:b/>
          <w:sz w:val="24"/>
          <w:highlight w:val="none"/>
        </w:rPr>
        <w:t>以下示例均为假设情况，不构成业绩预测，不代表本理财计划实际投资业绩。</w:t>
      </w:r>
    </w:p>
    <w:p>
      <w:pPr>
        <w:numPr>
          <w:ilvl w:val="0"/>
          <w:numId w:val="39"/>
        </w:numPr>
        <w:spacing w:line="360" w:lineRule="auto"/>
        <w:jc w:val="left"/>
        <w:rPr>
          <w:rFonts w:hint="eastAsia" w:ascii="宋体" w:hAnsi="宋体" w:cs="宋体"/>
          <w:b/>
          <w:sz w:val="24"/>
          <w:highlight w:val="none"/>
        </w:rPr>
      </w:pPr>
      <w:r>
        <w:rPr>
          <w:rFonts w:hint="eastAsia" w:ascii="宋体" w:hAnsi="宋体" w:cs="宋体"/>
          <w:b/>
          <w:sz w:val="24"/>
          <w:highlight w:val="none"/>
        </w:rPr>
        <w:t>示例一</w:t>
      </w:r>
    </w:p>
    <w:p>
      <w:pPr>
        <w:spacing w:line="360" w:lineRule="auto"/>
        <w:ind w:firstLine="482" w:firstLineChars="200"/>
        <w:jc w:val="left"/>
        <w:rPr>
          <w:rFonts w:hint="eastAsia" w:ascii="宋体" w:hAnsi="宋体" w:cs="宋体"/>
          <w:bCs/>
          <w:color w:val="000000"/>
          <w:sz w:val="24"/>
          <w:highlight w:val="none"/>
        </w:rPr>
      </w:pPr>
      <w:r>
        <w:rPr>
          <w:rFonts w:hint="eastAsia" w:ascii="宋体" w:hAnsi="宋体" w:cs="宋体"/>
          <w:b/>
          <w:color w:val="000000"/>
          <w:sz w:val="24"/>
          <w:highlight w:val="none"/>
        </w:rPr>
        <w:t>扣除托管费、固定管理费、销售服务费（如有）后，投资收益率超过浮动管理费计提基数。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以某投资者投资10万元为例，假设购买时理财计划净值为1.00</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元，折算份额为100,000.00份,假设份额成立日（含）至估值日（含）的区间天数为362天。假设管理人提取超过</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.00%的</w:t>
      </w:r>
      <w:r>
        <w:rPr>
          <w:rFonts w:hint="eastAsia" w:ascii="宋体" w:hAnsi="宋体" w:cs="宋体"/>
          <w:bCs/>
          <w:color w:val="000000"/>
          <w:sz w:val="24"/>
          <w:highlight w:val="none"/>
          <w:lang w:val="en-US" w:eastAsia="zh-CN"/>
        </w:rPr>
        <w:t>8</w:t>
      </w:r>
      <w:r>
        <w:rPr>
          <w:rFonts w:hint="eastAsia" w:ascii="宋体" w:hAnsi="宋体" w:cs="宋体"/>
          <w:bCs/>
          <w:color w:val="000000"/>
          <w:sz w:val="24"/>
          <w:highlight w:val="none"/>
        </w:rPr>
        <w:t>0%作为浮动管理费，</w:t>
      </w:r>
      <w:r>
        <w:rPr>
          <w:rFonts w:hint="eastAsia" w:ascii="宋体" w:hAnsi="宋体" w:cs="宋体"/>
          <w:bCs/>
          <w:color w:val="000000"/>
          <w:sz w:val="24"/>
          <w:highlight w:val="none"/>
          <w:lang w:val="en-US" w:eastAsia="zh-CN"/>
        </w:rPr>
        <w:t>即浮动管理费计提基数为4.00%。</w:t>
      </w:r>
      <w:r>
        <w:rPr>
          <w:rFonts w:hint="eastAsia" w:ascii="宋体" w:hAnsi="宋体" w:cs="宋体"/>
          <w:bCs/>
          <w:color w:val="000000"/>
          <w:sz w:val="24"/>
          <w:highlight w:val="none"/>
        </w:rPr>
        <w:t>到期时扣除托管费、固定管理费、</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（如有）后，如理财计划未扣除浮动管理费前的净值为1.0</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15，此时，(1.0</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15</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1.00</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-1)×365</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362=</w:t>
      </w:r>
      <w:r>
        <w:rPr>
          <w:rFonts w:hint="eastAsia" w:ascii="宋体" w:hAnsi="宋体" w:cs="宋体"/>
          <w:bCs/>
          <w:color w:val="000000"/>
          <w:sz w:val="24"/>
          <w:highlight w:val="none"/>
          <w:lang w:val="en-US" w:eastAsia="zh-CN"/>
        </w:rPr>
        <w:t>4.18</w:t>
      </w:r>
      <w:r>
        <w:rPr>
          <w:rFonts w:hint="eastAsia" w:ascii="宋体" w:hAnsi="宋体" w:cs="宋体"/>
          <w:bCs/>
          <w:color w:val="000000"/>
          <w:sz w:val="24"/>
          <w:highlight w:val="none"/>
        </w:rPr>
        <w:t>%&gt;</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.00%，即投资收益超过</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.00%，则投资管理人对超过</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.00%部分收益收取浮动管理费，浮动管理费为：</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100,000.00×</w:t>
      </w:r>
      <w:r>
        <w:rPr>
          <w:rFonts w:hint="eastAsia" w:ascii="宋体" w:hAnsi="宋体" w:cs="宋体"/>
          <w:bCs/>
          <w:color w:val="000000"/>
          <w:sz w:val="24"/>
          <w:highlight w:val="none"/>
          <w:lang w:val="en-US" w:eastAsia="zh-CN"/>
        </w:rPr>
        <w:t>1.0000</w:t>
      </w:r>
      <w:r>
        <w:rPr>
          <w:rFonts w:hint="eastAsia" w:ascii="宋体" w:hAnsi="宋体" w:cs="宋体"/>
          <w:bCs/>
          <w:color w:val="000000"/>
          <w:sz w:val="24"/>
          <w:highlight w:val="none"/>
        </w:rPr>
        <w:t>×</w:t>
      </w:r>
      <w:r>
        <w:rPr>
          <w:rFonts w:hint="eastAsia" w:ascii="宋体" w:hAnsi="宋体" w:cs="宋体"/>
          <w:bCs/>
          <w:color w:val="000000"/>
          <w:sz w:val="24"/>
          <w:highlight w:val="none"/>
          <w:lang w:val="en-US" w:eastAsia="zh-CN"/>
        </w:rPr>
        <w:t>[</w:t>
      </w:r>
      <w:r>
        <w:rPr>
          <w:rFonts w:hint="eastAsia" w:ascii="宋体" w:hAnsi="宋体" w:cs="宋体"/>
          <w:bCs/>
          <w:color w:val="000000"/>
          <w:sz w:val="24"/>
          <w:highlight w:val="none"/>
        </w:rPr>
        <w:t>(1.0</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15</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1.0</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0-1)×365</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362</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.00%</w:t>
      </w:r>
      <w:r>
        <w:rPr>
          <w:rFonts w:hint="eastAsia" w:ascii="宋体" w:hAnsi="宋体" w:cs="宋体"/>
          <w:bCs/>
          <w:color w:val="000000"/>
          <w:sz w:val="24"/>
          <w:highlight w:val="none"/>
          <w:lang w:val="en-US" w:eastAsia="zh-CN"/>
        </w:rPr>
        <w:t>]</w:t>
      </w:r>
      <w:r>
        <w:rPr>
          <w:rFonts w:hint="eastAsia" w:ascii="宋体" w:hAnsi="宋体" w:cs="宋体"/>
          <w:bCs/>
          <w:color w:val="000000"/>
          <w:sz w:val="24"/>
          <w:highlight w:val="none"/>
        </w:rPr>
        <w:t>×</w:t>
      </w:r>
      <w:r>
        <w:rPr>
          <w:rFonts w:hint="eastAsia" w:ascii="宋体" w:hAnsi="宋体" w:cs="宋体"/>
          <w:bCs/>
          <w:color w:val="000000"/>
          <w:sz w:val="24"/>
          <w:highlight w:val="none"/>
          <w:lang w:val="en-US" w:eastAsia="zh-CN"/>
        </w:rPr>
        <w:t>80%</w:t>
      </w:r>
      <w:r>
        <w:rPr>
          <w:rFonts w:hint="eastAsia" w:ascii="宋体" w:hAnsi="宋体" w:cs="宋体"/>
          <w:bCs/>
          <w:color w:val="000000"/>
          <w:sz w:val="24"/>
          <w:highlight w:val="none"/>
        </w:rPr>
        <w:t>×362÷365</w:t>
      </w:r>
      <w:r>
        <w:rPr>
          <w:rFonts w:hint="eastAsia" w:ascii="宋体" w:hAnsi="宋体" w:cs="宋体"/>
          <w:bCs/>
          <w:color w:val="000000"/>
          <w:sz w:val="24"/>
          <w:highlight w:val="none"/>
          <w:lang w:val="en-US" w:eastAsia="zh-CN"/>
        </w:rPr>
        <w:t>=146.30</w:t>
      </w:r>
      <w:r>
        <w:rPr>
          <w:rFonts w:hint="eastAsia" w:ascii="宋体" w:hAnsi="宋体" w:cs="宋体"/>
          <w:bCs/>
          <w:color w:val="000000"/>
          <w:sz w:val="24"/>
          <w:highlight w:val="none"/>
        </w:rPr>
        <w:t>（元）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扣除浮动管理费后，投资者最终收益为：</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100,000.00×（1.0</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15-1.00</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w:t>
      </w:r>
      <w:r>
        <w:rPr>
          <w:rFonts w:hint="eastAsia" w:ascii="宋体" w:hAnsi="宋体" w:cs="宋体"/>
          <w:bCs/>
          <w:color w:val="000000"/>
          <w:sz w:val="24"/>
          <w:highlight w:val="none"/>
          <w:lang w:val="en-US" w:eastAsia="zh-CN"/>
        </w:rPr>
        <w:t>146.30</w:t>
      </w:r>
      <w:r>
        <w:rPr>
          <w:rFonts w:hint="eastAsia" w:ascii="宋体" w:hAnsi="宋体" w:cs="宋体"/>
          <w:bCs/>
          <w:color w:val="000000"/>
          <w:sz w:val="24"/>
          <w:highlight w:val="none"/>
        </w:rPr>
        <w:t>=</w:t>
      </w:r>
      <w:r>
        <w:rPr>
          <w:rFonts w:hint="eastAsia" w:ascii="宋体" w:hAnsi="宋体" w:cs="宋体"/>
          <w:bCs/>
          <w:color w:val="000000"/>
          <w:sz w:val="24"/>
          <w:highlight w:val="none"/>
          <w:lang w:val="en-US" w:eastAsia="zh-CN"/>
        </w:rPr>
        <w:t>4,003.70</w:t>
      </w:r>
      <w:r>
        <w:rPr>
          <w:rFonts w:hint="eastAsia" w:ascii="宋体" w:hAnsi="宋体" w:cs="宋体"/>
          <w:bCs/>
          <w:color w:val="000000"/>
          <w:sz w:val="24"/>
          <w:highlight w:val="none"/>
        </w:rPr>
        <w:t>（元）。</w:t>
      </w:r>
    </w:p>
    <w:p>
      <w:pPr>
        <w:numPr>
          <w:ilvl w:val="0"/>
          <w:numId w:val="39"/>
        </w:numPr>
        <w:spacing w:line="360" w:lineRule="auto"/>
        <w:jc w:val="left"/>
        <w:rPr>
          <w:rFonts w:hint="eastAsia" w:ascii="宋体" w:hAnsi="宋体" w:cs="宋体"/>
          <w:b/>
          <w:sz w:val="24"/>
          <w:highlight w:val="none"/>
        </w:rPr>
      </w:pPr>
      <w:r>
        <w:rPr>
          <w:rFonts w:hint="eastAsia" w:ascii="宋体" w:hAnsi="宋体" w:cs="宋体"/>
          <w:b/>
          <w:sz w:val="24"/>
          <w:highlight w:val="none"/>
        </w:rPr>
        <w:t>示例二</w:t>
      </w:r>
    </w:p>
    <w:p>
      <w:pPr>
        <w:spacing w:line="360" w:lineRule="auto"/>
        <w:ind w:firstLine="482" w:firstLineChars="200"/>
        <w:jc w:val="left"/>
        <w:rPr>
          <w:rFonts w:hint="eastAsia" w:ascii="宋体" w:hAnsi="宋体" w:cs="宋体"/>
          <w:bCs/>
          <w:color w:val="000000"/>
          <w:sz w:val="24"/>
          <w:highlight w:val="none"/>
        </w:rPr>
      </w:pPr>
      <w:r>
        <w:rPr>
          <w:rFonts w:hint="eastAsia" w:ascii="宋体" w:hAnsi="宋体" w:cs="宋体"/>
          <w:b/>
          <w:color w:val="000000"/>
          <w:sz w:val="24"/>
          <w:highlight w:val="none"/>
        </w:rPr>
        <w:t>扣除托管费、固定管理费、销售服务费（如有）后，投资收益率未达到浮动管理费计提基数。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以某投资者投资10万元为例，假设购买时理财计划净值为1.00</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元，折算份额为100,000.00份，假设份额成立日（含）至估值日（含）的区间天数为362天。假设管理人提取超过</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.00%的</w:t>
      </w:r>
      <w:r>
        <w:rPr>
          <w:rFonts w:hint="eastAsia" w:ascii="宋体" w:hAnsi="宋体" w:cs="宋体"/>
          <w:bCs/>
          <w:color w:val="000000"/>
          <w:sz w:val="24"/>
          <w:highlight w:val="none"/>
          <w:lang w:val="en-US" w:eastAsia="zh-CN"/>
        </w:rPr>
        <w:t>8</w:t>
      </w:r>
      <w:r>
        <w:rPr>
          <w:rFonts w:hint="eastAsia" w:ascii="宋体" w:hAnsi="宋体" w:cs="宋体"/>
          <w:bCs/>
          <w:color w:val="000000"/>
          <w:sz w:val="24"/>
          <w:highlight w:val="none"/>
        </w:rPr>
        <w:t>0%作为浮动管理费，</w:t>
      </w:r>
      <w:r>
        <w:rPr>
          <w:rFonts w:hint="eastAsia" w:ascii="宋体" w:hAnsi="宋体" w:cs="宋体"/>
          <w:bCs/>
          <w:color w:val="000000"/>
          <w:sz w:val="24"/>
          <w:highlight w:val="none"/>
          <w:lang w:val="en-US" w:eastAsia="zh-CN"/>
        </w:rPr>
        <w:t>即浮动管理费计提基数为4.00%。</w:t>
      </w:r>
      <w:r>
        <w:rPr>
          <w:rFonts w:hint="eastAsia" w:ascii="宋体" w:hAnsi="宋体" w:cs="宋体"/>
          <w:bCs/>
          <w:color w:val="000000"/>
          <w:sz w:val="24"/>
          <w:highlight w:val="none"/>
        </w:rPr>
        <w:t>到期时扣除托管费、固定管理费、</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（如有）后，如理财计划未扣除浮动管理费前的净值为1.0</w:t>
      </w:r>
      <w:r>
        <w:rPr>
          <w:rFonts w:hint="eastAsia" w:ascii="宋体" w:hAnsi="宋体" w:cs="宋体"/>
          <w:bCs/>
          <w:color w:val="000000"/>
          <w:sz w:val="24"/>
          <w:highlight w:val="none"/>
          <w:lang w:val="en-US" w:eastAsia="zh-CN"/>
        </w:rPr>
        <w:t>362</w:t>
      </w:r>
      <w:r>
        <w:rPr>
          <w:rFonts w:hint="eastAsia" w:ascii="宋体" w:hAnsi="宋体" w:cs="宋体"/>
          <w:bCs/>
          <w:color w:val="000000"/>
          <w:sz w:val="24"/>
          <w:highlight w:val="none"/>
        </w:rPr>
        <w:t>，此时，(1.0</w:t>
      </w:r>
      <w:r>
        <w:rPr>
          <w:rFonts w:hint="eastAsia" w:ascii="宋体" w:hAnsi="宋体" w:cs="宋体"/>
          <w:bCs/>
          <w:color w:val="000000"/>
          <w:sz w:val="24"/>
          <w:highlight w:val="none"/>
          <w:lang w:val="en-US" w:eastAsia="zh-CN"/>
        </w:rPr>
        <w:t>362</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1.00</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-1)×365</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362=</w:t>
      </w:r>
      <w:r>
        <w:rPr>
          <w:rFonts w:hint="eastAsia" w:ascii="宋体" w:hAnsi="宋体" w:cs="宋体"/>
          <w:bCs/>
          <w:color w:val="000000"/>
          <w:sz w:val="24"/>
          <w:highlight w:val="none"/>
          <w:lang w:val="en-US" w:eastAsia="zh-CN"/>
        </w:rPr>
        <w:t>3.65</w:t>
      </w:r>
      <w:r>
        <w:rPr>
          <w:rFonts w:hint="eastAsia" w:ascii="宋体" w:hAnsi="宋体" w:cs="宋体"/>
          <w:bCs/>
          <w:color w:val="000000"/>
          <w:sz w:val="24"/>
          <w:highlight w:val="none"/>
        </w:rPr>
        <w:t>%&lt;</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.00%，即投资收益未达到</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.00%，则投资管理人不收取浮动管理费，投资者最终收益为：100,000.00×(1.0</w:t>
      </w:r>
      <w:r>
        <w:rPr>
          <w:rFonts w:hint="eastAsia" w:ascii="宋体" w:hAnsi="宋体" w:cs="宋体"/>
          <w:bCs/>
          <w:color w:val="000000"/>
          <w:sz w:val="24"/>
          <w:highlight w:val="none"/>
          <w:lang w:val="en-US" w:eastAsia="zh-CN"/>
        </w:rPr>
        <w:t>362</w:t>
      </w:r>
      <w:r>
        <w:rPr>
          <w:rFonts w:hint="eastAsia" w:ascii="宋体" w:hAnsi="宋体" w:cs="宋体"/>
          <w:bCs/>
          <w:color w:val="000000"/>
          <w:sz w:val="24"/>
          <w:highlight w:val="none"/>
        </w:rPr>
        <w:t>-1.00</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w:t>
      </w:r>
      <w:r>
        <w:rPr>
          <w:rFonts w:hint="eastAsia" w:ascii="宋体" w:hAnsi="宋体" w:cs="宋体"/>
          <w:bCs/>
          <w:color w:val="000000"/>
          <w:sz w:val="24"/>
          <w:highlight w:val="none"/>
          <w:lang w:val="en-US" w:eastAsia="zh-CN"/>
        </w:rPr>
        <w:t>3</w:t>
      </w:r>
      <w:r>
        <w:rPr>
          <w:rFonts w:hint="eastAsia" w:ascii="宋体" w:hAnsi="宋体" w:cs="宋体"/>
          <w:bCs/>
          <w:color w:val="000000"/>
          <w:sz w:val="24"/>
          <w:highlight w:val="none"/>
        </w:rPr>
        <w:t>,</w:t>
      </w:r>
      <w:r>
        <w:rPr>
          <w:rFonts w:hint="eastAsia" w:ascii="宋体" w:hAnsi="宋体" w:cs="宋体"/>
          <w:bCs/>
          <w:color w:val="000000"/>
          <w:sz w:val="24"/>
          <w:highlight w:val="none"/>
          <w:lang w:val="en-US" w:eastAsia="zh-CN"/>
        </w:rPr>
        <w:t>620</w:t>
      </w:r>
      <w:r>
        <w:rPr>
          <w:rFonts w:hint="eastAsia" w:ascii="宋体" w:hAnsi="宋体" w:cs="宋体"/>
          <w:bCs/>
          <w:color w:val="000000"/>
          <w:sz w:val="24"/>
          <w:highlight w:val="none"/>
        </w:rPr>
        <w:t>.00（元）</w:t>
      </w:r>
    </w:p>
    <w:p>
      <w:pPr>
        <w:numPr>
          <w:ilvl w:val="0"/>
          <w:numId w:val="39"/>
        </w:numPr>
        <w:spacing w:line="360" w:lineRule="auto"/>
        <w:jc w:val="left"/>
        <w:rPr>
          <w:rFonts w:hint="eastAsia" w:ascii="宋体" w:hAnsi="宋体" w:cs="宋体"/>
          <w:b/>
          <w:sz w:val="24"/>
          <w:highlight w:val="none"/>
        </w:rPr>
      </w:pPr>
      <w:r>
        <w:rPr>
          <w:rFonts w:hint="eastAsia" w:ascii="宋体" w:hAnsi="宋体" w:cs="宋体"/>
          <w:b/>
          <w:sz w:val="24"/>
          <w:highlight w:val="none"/>
        </w:rPr>
        <w:t>示例三</w:t>
      </w:r>
    </w:p>
    <w:p>
      <w:pPr>
        <w:spacing w:line="360" w:lineRule="auto"/>
        <w:ind w:firstLine="482" w:firstLineChars="200"/>
        <w:jc w:val="left"/>
        <w:rPr>
          <w:rFonts w:hint="eastAsia" w:ascii="宋体" w:hAnsi="宋体" w:cs="宋体"/>
          <w:b/>
          <w:color w:val="000000"/>
          <w:sz w:val="24"/>
          <w:highlight w:val="none"/>
        </w:rPr>
      </w:pPr>
      <w:r>
        <w:rPr>
          <w:rFonts w:hint="eastAsia" w:ascii="宋体" w:hAnsi="宋体" w:cs="宋体"/>
          <w:b/>
          <w:color w:val="000000"/>
          <w:sz w:val="24"/>
          <w:highlight w:val="none"/>
        </w:rPr>
        <w:t>扣除托管费、固定管理费、销售服务费（如有）后，投资发生亏损。</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以某投资者投资10万元为例，假设购买时理财计划净值为1.00</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元，折算份额为100,000.00份，假设份额成立日（含）至估值日（含）的区间天数为362天。假设管理人提取超过</w:t>
      </w:r>
      <w:r>
        <w:rPr>
          <w:rFonts w:hint="eastAsia" w:ascii="宋体" w:hAnsi="宋体" w:cs="宋体"/>
          <w:bCs/>
          <w:color w:val="000000"/>
          <w:sz w:val="24"/>
          <w:highlight w:val="none"/>
          <w:lang w:val="en-US" w:eastAsia="zh-CN"/>
        </w:rPr>
        <w:t>4</w:t>
      </w:r>
      <w:r>
        <w:rPr>
          <w:rFonts w:hint="eastAsia" w:ascii="宋体" w:hAnsi="宋体" w:cs="宋体"/>
          <w:bCs/>
          <w:color w:val="000000"/>
          <w:sz w:val="24"/>
          <w:highlight w:val="none"/>
        </w:rPr>
        <w:t>.00%的</w:t>
      </w:r>
      <w:r>
        <w:rPr>
          <w:rFonts w:hint="eastAsia" w:ascii="宋体" w:hAnsi="宋体" w:cs="宋体"/>
          <w:bCs/>
          <w:color w:val="000000"/>
          <w:sz w:val="24"/>
          <w:highlight w:val="none"/>
          <w:lang w:val="en-US" w:eastAsia="zh-CN"/>
        </w:rPr>
        <w:t>8</w:t>
      </w:r>
      <w:r>
        <w:rPr>
          <w:rFonts w:hint="eastAsia" w:ascii="宋体" w:hAnsi="宋体" w:cs="宋体"/>
          <w:bCs/>
          <w:color w:val="000000"/>
          <w:sz w:val="24"/>
          <w:highlight w:val="none"/>
        </w:rPr>
        <w:t>0%作为浮动管理费，</w:t>
      </w:r>
      <w:r>
        <w:rPr>
          <w:rFonts w:hint="eastAsia" w:ascii="宋体" w:hAnsi="宋体" w:cs="宋体"/>
          <w:bCs/>
          <w:color w:val="000000"/>
          <w:sz w:val="24"/>
          <w:highlight w:val="none"/>
          <w:lang w:val="en-US" w:eastAsia="zh-CN"/>
        </w:rPr>
        <w:t>即浮动管理费计提基数为4.00%。</w:t>
      </w:r>
      <w:r>
        <w:rPr>
          <w:rFonts w:hint="eastAsia" w:ascii="宋体" w:hAnsi="宋体" w:cs="宋体"/>
          <w:bCs/>
          <w:color w:val="000000"/>
          <w:sz w:val="24"/>
          <w:highlight w:val="none"/>
        </w:rPr>
        <w:t>到期时扣除托管费、固定管理费、</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（如有）后，如理财计划未扣除浮动管理费前的净值为0.9975，则投资管理人不收取浮动管理费，投资者最终收益为：100,000.00×（0.9975-1.00</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）=-250.00（元）。</w:t>
      </w:r>
    </w:p>
    <w:p>
      <w:pPr>
        <w:numPr>
          <w:ilvl w:val="0"/>
          <w:numId w:val="38"/>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6"/>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交易规则</w:t>
      </w:r>
    </w:p>
    <w:p>
      <w:pPr>
        <w:numPr>
          <w:ilvl w:val="0"/>
          <w:numId w:val="4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认购</w:t>
      </w:r>
    </w:p>
    <w:p>
      <w:pPr>
        <w:numPr>
          <w:ilvl w:val="0"/>
          <w:numId w:val="41"/>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p>
    <w:p>
      <w:pPr>
        <w:numPr>
          <w:ilvl w:val="0"/>
          <w:numId w:val="41"/>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1"/>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如新增认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产品的认购申请。投资者持有份额的计算以管理人登记为准。</w:t>
      </w:r>
    </w:p>
    <w:p>
      <w:pPr>
        <w:numPr>
          <w:ilvl w:val="0"/>
          <w:numId w:val="4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成立</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2"/>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到期清算</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1〗个工作日、最晚〖3〗个工作日内（遇节假日顺延）将资金按规定的要求划入投资者授权指定的理财账户。（具体以销售机构规定为准）</w:t>
      </w:r>
    </w:p>
    <w:p>
      <w:pPr>
        <w:numPr>
          <w:ilvl w:val="0"/>
          <w:numId w:val="4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highlight w:val="none"/>
        </w:rPr>
        <w:t>〖</w:t>
      </w:r>
      <w:r>
        <w:rPr>
          <w:rFonts w:hint="eastAsia" w:ascii="宋体" w:hAnsi="宋体" w:cs="宋体"/>
          <w:bCs/>
          <w:sz w:val="24"/>
          <w:highlight w:val="none"/>
        </w:rPr>
        <w:t>2</w:t>
      </w:r>
      <w:r>
        <w:rPr>
          <w:rFonts w:hint="eastAsia" w:ascii="宋体" w:hAnsi="宋体" w:cs="宋体"/>
          <w:bCs/>
          <w:color w:val="000000"/>
          <w:sz w:val="24"/>
          <w:highlight w:val="none"/>
        </w:rPr>
        <w:t>〗</w:t>
      </w:r>
      <w:r>
        <w:rPr>
          <w:rFonts w:hint="eastAsia" w:ascii="宋体" w:hAnsi="宋体" w:cs="宋体"/>
          <w:bCs/>
          <w:sz w:val="24"/>
          <w:highlight w:val="none"/>
        </w:rPr>
        <w:t>个工作日通过管理人或销售机构发布提前终止公告，并于终止日后</w:t>
      </w:r>
      <w:r>
        <w:rPr>
          <w:rFonts w:hint="eastAsia" w:ascii="宋体" w:hAnsi="宋体" w:cs="宋体"/>
          <w:sz w:val="24"/>
          <w:highlight w:val="none"/>
        </w:rPr>
        <w:t>〖</w:t>
      </w:r>
      <w:r>
        <w:rPr>
          <w:rFonts w:hint="eastAsia" w:ascii="宋体" w:hAnsi="宋体" w:cs="宋体"/>
          <w:sz w:val="24"/>
          <w:szCs w:val="24"/>
          <w:highlight w:val="none"/>
        </w:rPr>
        <w:t>3</w:t>
      </w:r>
      <w:r>
        <w:rPr>
          <w:rFonts w:hint="eastAsia" w:ascii="宋体" w:hAnsi="宋体" w:cs="宋体"/>
          <w:bCs/>
          <w:color w:val="000000"/>
          <w:sz w:val="24"/>
          <w:highlight w:val="none"/>
        </w:rPr>
        <w:t>〗</w:t>
      </w:r>
      <w:r>
        <w:rPr>
          <w:rFonts w:hint="eastAsia" w:ascii="宋体" w:hAnsi="宋体" w:cs="宋体"/>
          <w:bCs/>
          <w:sz w:val="24"/>
          <w:highlight w:val="none"/>
        </w:rPr>
        <w:t>个工作日内将可兑付款项按规定的要求划入投资者授权指定的理财账户。终止日至资金实际到账日之间，投资者资金不计息。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如发生以下事项时，管理人可对本理财计划行使全部或部分提前终止权：</w:t>
      </w:r>
    </w:p>
    <w:p>
      <w:pPr>
        <w:numPr>
          <w:ilvl w:val="0"/>
          <w:numId w:val="43"/>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3"/>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3"/>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3"/>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3"/>
        </w:numPr>
        <w:spacing w:line="360" w:lineRule="auto"/>
        <w:jc w:val="left"/>
        <w:rPr>
          <w:rFonts w:ascii="宋体" w:hAnsi="宋体" w:cs="宋体"/>
          <w:b/>
          <w:sz w:val="24"/>
          <w:highlight w:val="none"/>
        </w:rPr>
      </w:pPr>
      <w:r>
        <w:rPr>
          <w:rFonts w:hint="eastAsia" w:ascii="宋体" w:hAnsi="宋体" w:cs="宋体"/>
          <w:b/>
          <w:sz w:val="24"/>
          <w:highlight w:val="none"/>
        </w:rPr>
        <w:t>融资人行使提前到期或还款权利的。</w:t>
      </w:r>
    </w:p>
    <w:p>
      <w:pPr>
        <w:numPr>
          <w:ilvl w:val="0"/>
          <w:numId w:val="43"/>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6"/>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信息披露</w:t>
      </w:r>
    </w:p>
    <w:p>
      <w:pPr>
        <w:numPr>
          <w:ilvl w:val="0"/>
          <w:numId w:val="45"/>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6"/>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7"/>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理财计划合同：管理人应在正式办理理财计划份额认购前披露，包括但不限于理财计划风险揭示书、理财计划产品说明书、投资者权益须知、理财计划投资协议书以及理财计划销售协议书。</w:t>
      </w:r>
    </w:p>
    <w:p>
      <w:pPr>
        <w:numPr>
          <w:ilvl w:val="0"/>
          <w:numId w:val="47"/>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发行公告：管理人应在理财计划成立日后3个工作日内披露，包括成立日期、募集规模等信息。</w:t>
      </w:r>
    </w:p>
    <w:p>
      <w:pPr>
        <w:numPr>
          <w:ilvl w:val="0"/>
          <w:numId w:val="46"/>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8"/>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p>
    <w:p>
      <w:pPr>
        <w:numPr>
          <w:ilvl w:val="0"/>
          <w:numId w:val="0"/>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如本理财计划成立不足90个工作日或剩余存续期不超过90个工作日的，管理人可不编制当期的季度、半年和年度报告等运行报告。</w:t>
      </w:r>
    </w:p>
    <w:p>
      <w:pPr>
        <w:numPr>
          <w:ilvl w:val="0"/>
          <w:numId w:val="48"/>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6"/>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管理人应在运用收取短期赎回费、摆动定价等措施后，3个交易日内发布相关事项公告；应在运用暂停认购、延期办理巨额赎回申请、暂停接受赎回申请、延缓支付赎回款项、暂停理财产品估值等措施后，3个交易日内发布相关事项公告，说明运用相关措施的原因、拟采取的应对安排等；应在发生可能对理财计划投资者或者理财计划收益产生重大事项的事件后2个工作日内发布重大事项公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临时公告：管理人应当及时披露除重大事项以外的其他信息，包括但不限于理财计划终止、更换理财计划管理人和托管人、涉及理财计划管理业务的重大诉讼、涉及费率相关事项的变动、理财计划延期兑付等。</w:t>
      </w:r>
    </w:p>
    <w:p>
      <w:pPr>
        <w:numPr>
          <w:ilvl w:val="0"/>
          <w:numId w:val="45"/>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6"/>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其他</w:t>
      </w:r>
    </w:p>
    <w:p>
      <w:pPr>
        <w:numPr>
          <w:ilvl w:val="0"/>
          <w:numId w:val="5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0"/>
        </w:numPr>
        <w:tabs>
          <w:tab w:val="left" w:pos="6090"/>
        </w:tabs>
        <w:spacing w:line="360" w:lineRule="auto"/>
        <w:jc w:val="left"/>
        <w:outlineLvl w:val="2"/>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授权使用时限与履行相关法律法规和监管要求的必要时限一致。</w:t>
      </w:r>
    </w:p>
    <w:p>
      <w:pPr>
        <w:numPr>
          <w:ilvl w:val="0"/>
          <w:numId w:val="5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被告人所在地有管辖权的人民法院诉讼解决。</w:t>
      </w:r>
    </w:p>
    <w:p>
      <w:pPr>
        <w:numPr>
          <w:ilvl w:val="0"/>
          <w:numId w:val="5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spacing w:line="360" w:lineRule="auto"/>
        <w:jc w:val="center"/>
        <w:outlineLvl w:val="0"/>
        <w:rPr>
          <w:rFonts w:hint="eastAsia" w:ascii="宋体" w:hAnsi="宋体" w:cs="宋体"/>
          <w:b/>
          <w:bCs/>
          <w:color w:val="000000"/>
          <w:sz w:val="44"/>
          <w:szCs w:val="44"/>
          <w:highlight w:val="none"/>
        </w:rPr>
      </w:pPr>
      <w:r>
        <w:rPr>
          <w:rFonts w:hint="eastAsia" w:ascii="宋体" w:hAnsi="宋体" w:cs="宋体"/>
          <w:bCs/>
          <w:color w:val="000000"/>
          <w:sz w:val="24"/>
          <w:highlight w:val="none"/>
        </w:rPr>
        <w:br w:type="page"/>
      </w: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1"/>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2"/>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2"/>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2"/>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2"/>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2"/>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p>
    <w:p>
      <w:pPr>
        <w:numPr>
          <w:ilvl w:val="0"/>
          <w:numId w:val="52"/>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3"/>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center"/>
              <w:rPr>
                <w:rFonts w:hint="eastAsia" w:ascii="宋体" w:hAnsi="宋体" w:eastAsia="宋体" w:cs="宋体"/>
                <w:b/>
                <w:kern w:val="0"/>
                <w:sz w:val="24"/>
                <w:szCs w:val="24"/>
                <w:highlight w:val="none"/>
                <w:lang w:val="en-US" w:eastAsia="zh-CN" w:bidi="ar-SA"/>
              </w:rPr>
            </w:pPr>
            <w:r>
              <w:rPr>
                <w:rFonts w:hint="eastAsia" w:ascii="宋体" w:hAnsi="宋体" w:eastAsia="宋体" w:cs="宋体"/>
                <w:b/>
                <w:kern w:val="0"/>
                <w:sz w:val="24"/>
                <w:szCs w:val="24"/>
                <w:highlight w:val="none"/>
                <w:lang w:val="en-US" w:eastAsia="zh-CN" w:bidi="ar-SA"/>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center"/>
              <w:rPr>
                <w:rFonts w:hint="eastAsia" w:ascii="宋体" w:hAnsi="宋体" w:eastAsia="宋体" w:cs="宋体"/>
                <w:b/>
                <w:kern w:val="0"/>
                <w:sz w:val="24"/>
                <w:szCs w:val="24"/>
                <w:highlight w:val="none"/>
                <w:lang w:val="en-US" w:eastAsia="zh-CN" w:bidi="ar-SA"/>
              </w:rPr>
            </w:pPr>
            <w:r>
              <w:rPr>
                <w:rFonts w:hint="eastAsia" w:ascii="宋体" w:hAnsi="宋体" w:eastAsia="宋体" w:cs="宋体"/>
                <w:b/>
                <w:kern w:val="0"/>
                <w:sz w:val="24"/>
                <w:szCs w:val="24"/>
                <w:highlight w:val="none"/>
                <w:lang w:val="en-US" w:eastAsia="zh-CN" w:bidi="ar-SA"/>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center"/>
              <w:rPr>
                <w:rFonts w:hint="eastAsia" w:ascii="宋体" w:hAnsi="宋体" w:eastAsia="宋体" w:cs="宋体"/>
                <w:b/>
                <w:kern w:val="0"/>
                <w:sz w:val="24"/>
                <w:szCs w:val="24"/>
                <w:highlight w:val="none"/>
                <w:lang w:val="en-US" w:eastAsia="zh-CN" w:bidi="ar-SA"/>
              </w:rPr>
            </w:pPr>
            <w:r>
              <w:rPr>
                <w:rFonts w:hint="eastAsia" w:ascii="宋体" w:hAnsi="宋体" w:eastAsia="宋体" w:cs="宋体"/>
                <w:b/>
                <w:kern w:val="0"/>
                <w:sz w:val="24"/>
                <w:szCs w:val="24"/>
                <w:highlight w:val="none"/>
                <w:lang w:val="en-US" w:eastAsia="zh-CN" w:bidi="ar-SA"/>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黑体"/>
                <w:kern w:val="0"/>
                <w:sz w:val="24"/>
                <w:szCs w:val="24"/>
                <w:highlight w:val="none"/>
                <w:lang w:val="en-US" w:eastAsia="zh-CN" w:bidi="ar-SA"/>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黑体"/>
                <w:kern w:val="0"/>
                <w:sz w:val="24"/>
                <w:szCs w:val="24"/>
                <w:highlight w:val="none"/>
                <w:lang w:val="en-US" w:eastAsia="zh-CN" w:bidi="ar-SA"/>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黑体"/>
                <w:kern w:val="0"/>
                <w:sz w:val="24"/>
                <w:szCs w:val="24"/>
                <w:highlight w:val="none"/>
                <w:lang w:val="en-US" w:eastAsia="zh-CN" w:bidi="ar-SA"/>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黑体"/>
                <w:kern w:val="0"/>
                <w:sz w:val="24"/>
                <w:szCs w:val="24"/>
                <w:highlight w:val="none"/>
                <w:lang w:val="en-US" w:eastAsia="zh-CN" w:bidi="ar-SA"/>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黑体"/>
                <w:kern w:val="0"/>
                <w:sz w:val="24"/>
                <w:szCs w:val="24"/>
                <w:highlight w:val="none"/>
                <w:lang w:val="en-US" w:eastAsia="zh-CN" w:bidi="ar-SA"/>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机构投资者及进取型的个人投资者</w:t>
            </w:r>
          </w:p>
        </w:tc>
      </w:tr>
    </w:tbl>
    <w:p>
      <w:pPr>
        <w:pStyle w:val="14"/>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4"/>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5"/>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5"/>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5"/>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6"/>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6"/>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6"/>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6"/>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7"/>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7"/>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7"/>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8"/>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8"/>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59"/>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59"/>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fldChar w:fldCharType="begin"/>
      </w:r>
      <w:r>
        <w:rPr>
          <w:rStyle w:val="11"/>
          <w:rFonts w:hint="eastAsia" w:ascii="宋体" w:hAnsi="宋体" w:cs="宋体"/>
          <w:color w:val="auto"/>
          <w:kern w:val="0"/>
          <w:sz w:val="24"/>
          <w:highlight w:val="none"/>
          <w:u w:val="none"/>
          <w:lang w:val="en-US" w:eastAsia="zh-CN"/>
        </w:rPr>
        <w:instrText xml:space="preserve"> HYPERLINK "http://www.hzbankwealth.cn" </w:instrText>
      </w:r>
      <w:r>
        <w:fldChar w:fldCharType="separate"/>
      </w:r>
      <w:r>
        <w:rPr>
          <w:rStyle w:val="11"/>
          <w:rFonts w:hint="eastAsia" w:ascii="宋体" w:hAnsi="宋体" w:cs="宋体"/>
          <w:color w:val="auto"/>
          <w:kern w:val="0"/>
          <w:sz w:val="24"/>
          <w:highlight w:val="none"/>
          <w:u w:val="none"/>
          <w:lang w:val="en-US" w:eastAsia="zh-CN"/>
        </w:rPr>
        <w:t>www.hzbank.com.cn</w:t>
      </w:r>
      <w: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hint="eastAsia" w:ascii="宋体" w:hAnsi="宋体" w:eastAsia="宋体" w:cs="宋体"/>
          <w:kern w:val="0"/>
          <w:sz w:val="24"/>
          <w:highlight w:val="none"/>
          <w:lang w:eastAsia="zh-CN"/>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jc w:val="center"/>
        <w:outlineLvl w:val="0"/>
        <w:rPr>
          <w:rFonts w:hint="eastAsia"/>
          <w:b/>
          <w:sz w:val="44"/>
          <w:szCs w:val="44"/>
          <w:highlight w:val="none"/>
        </w:rPr>
      </w:pPr>
      <w:r>
        <w:rPr>
          <w:rFonts w:hint="eastAsia"/>
          <w:b/>
          <w:sz w:val="44"/>
          <w:szCs w:val="44"/>
          <w:highlight w:val="none"/>
        </w:rPr>
        <w:br w:type="page"/>
      </w: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0"/>
        </w:numPr>
        <w:spacing w:line="360" w:lineRule="auto"/>
        <w:ind w:firstLine="482" w:firstLineChars="200"/>
        <w:outlineLvl w:val="1"/>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0"/>
        </w:numPr>
        <w:spacing w:line="360" w:lineRule="auto"/>
        <w:ind w:firstLine="482" w:firstLineChars="200"/>
        <w:outlineLvl w:val="1"/>
        <w:rPr>
          <w:rFonts w:hint="eastAsia"/>
          <w:b/>
          <w:sz w:val="24"/>
          <w:highlight w:val="none"/>
        </w:rPr>
      </w:pPr>
      <w:r>
        <w:rPr>
          <w:rFonts w:hint="eastAsia"/>
          <w:b/>
          <w:sz w:val="24"/>
          <w:highlight w:val="none"/>
        </w:rPr>
        <w:t>投资者权利与义务</w:t>
      </w:r>
    </w:p>
    <w:p>
      <w:pPr>
        <w:widowControl/>
        <w:numPr>
          <w:ilvl w:val="0"/>
          <w:numId w:val="61"/>
        </w:numPr>
        <w:spacing w:line="360" w:lineRule="auto"/>
        <w:contextualSpacing/>
        <w:outlineLvl w:val="2"/>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1"/>
        </w:numPr>
        <w:spacing w:line="360" w:lineRule="auto"/>
        <w:contextualSpacing/>
        <w:outlineLvl w:val="2"/>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1"/>
        </w:numPr>
        <w:spacing w:line="360" w:lineRule="auto"/>
        <w:contextualSpacing/>
        <w:outlineLvl w:val="2"/>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1"/>
        </w:numPr>
        <w:spacing w:line="360" w:lineRule="auto"/>
        <w:contextualSpacing/>
        <w:outlineLvl w:val="2"/>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1"/>
        </w:numPr>
        <w:spacing w:line="360" w:lineRule="auto"/>
        <w:contextualSpacing/>
        <w:outlineLvl w:val="2"/>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1"/>
        </w:numPr>
        <w:spacing w:line="360" w:lineRule="auto"/>
        <w:contextualSpacing/>
        <w:outlineLvl w:val="2"/>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1"/>
        </w:numPr>
        <w:spacing w:line="360" w:lineRule="auto"/>
        <w:contextualSpacing/>
        <w:outlineLvl w:val="2"/>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1"/>
        </w:numPr>
        <w:spacing w:line="360" w:lineRule="auto"/>
        <w:contextualSpacing/>
        <w:outlineLvl w:val="2"/>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1"/>
        </w:numPr>
        <w:spacing w:line="360" w:lineRule="auto"/>
        <w:contextualSpacing/>
        <w:outlineLvl w:val="2"/>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0"/>
        </w:numPr>
        <w:spacing w:line="360" w:lineRule="auto"/>
        <w:ind w:firstLine="482" w:firstLineChars="200"/>
        <w:outlineLvl w:val="1"/>
        <w:rPr>
          <w:rFonts w:hint="eastAsia"/>
          <w:b/>
          <w:sz w:val="24"/>
          <w:highlight w:val="none"/>
        </w:rPr>
      </w:pPr>
      <w:r>
        <w:rPr>
          <w:rFonts w:hint="eastAsia"/>
          <w:b/>
          <w:sz w:val="24"/>
          <w:highlight w:val="none"/>
        </w:rPr>
        <w:t>管理人权利与义务</w:t>
      </w:r>
    </w:p>
    <w:p>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2"/>
        </w:numPr>
        <w:spacing w:line="360" w:lineRule="auto"/>
        <w:contextualSpacing/>
        <w:outlineLvl w:val="2"/>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0"/>
        </w:numPr>
        <w:spacing w:line="360" w:lineRule="auto"/>
        <w:ind w:firstLine="482" w:firstLineChars="200"/>
        <w:outlineLvl w:val="1"/>
        <w:rPr>
          <w:rFonts w:hint="eastAsia"/>
          <w:b/>
          <w:sz w:val="24"/>
          <w:highlight w:val="none"/>
        </w:rPr>
      </w:pPr>
      <w:r>
        <w:rPr>
          <w:rFonts w:hint="eastAsia"/>
          <w:b/>
          <w:sz w:val="24"/>
          <w:highlight w:val="none"/>
        </w:rPr>
        <w:t>理财计划认（申）购、赎回及终止</w:t>
      </w:r>
    </w:p>
    <w:p>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3"/>
        </w:numPr>
        <w:spacing w:line="360" w:lineRule="auto"/>
        <w:contextualSpacing/>
        <w:outlineLvl w:val="2"/>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0"/>
        </w:numPr>
        <w:spacing w:line="360" w:lineRule="auto"/>
        <w:ind w:firstLine="482" w:firstLineChars="200"/>
        <w:outlineLvl w:val="1"/>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0"/>
        </w:numPr>
        <w:spacing w:line="360" w:lineRule="auto"/>
        <w:ind w:firstLine="482" w:firstLineChars="200"/>
        <w:outlineLvl w:val="1"/>
        <w:rPr>
          <w:rFonts w:hint="eastAsia"/>
          <w:b/>
          <w:sz w:val="24"/>
          <w:highlight w:val="none"/>
        </w:rPr>
      </w:pPr>
      <w:r>
        <w:rPr>
          <w:rFonts w:hint="eastAsia"/>
          <w:b/>
          <w:sz w:val="24"/>
          <w:highlight w:val="none"/>
        </w:rPr>
        <w:t>违约责任及免责条款</w:t>
      </w:r>
    </w:p>
    <w:p>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4"/>
        </w:numPr>
        <w:spacing w:line="360" w:lineRule="auto"/>
        <w:contextualSpacing/>
        <w:outlineLvl w:val="2"/>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4"/>
        </w:numPr>
        <w:spacing w:line="360" w:lineRule="auto"/>
        <w:contextualSpacing/>
        <w:outlineLvl w:val="2"/>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4"/>
        </w:numPr>
        <w:spacing w:line="360" w:lineRule="auto"/>
        <w:contextualSpacing/>
        <w:outlineLvl w:val="2"/>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0"/>
        </w:numPr>
        <w:spacing w:line="360" w:lineRule="auto"/>
        <w:ind w:firstLine="482" w:firstLineChars="200"/>
        <w:outlineLvl w:val="1"/>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0"/>
        </w:numPr>
        <w:spacing w:line="360" w:lineRule="auto"/>
        <w:ind w:firstLine="482" w:firstLineChars="200"/>
        <w:outlineLvl w:val="1"/>
        <w:rPr>
          <w:rFonts w:hint="eastAsia"/>
          <w:b/>
          <w:sz w:val="24"/>
          <w:highlight w:val="none"/>
        </w:rPr>
      </w:pPr>
      <w:r>
        <w:rPr>
          <w:rFonts w:hint="eastAsia"/>
          <w:b/>
          <w:sz w:val="24"/>
          <w:highlight w:val="none"/>
        </w:rPr>
        <w:t>协议生效和终止</w:t>
      </w:r>
    </w:p>
    <w:p>
      <w:pPr>
        <w:widowControl/>
        <w:numPr>
          <w:ilvl w:val="0"/>
          <w:numId w:val="65"/>
        </w:numPr>
        <w:spacing w:line="360" w:lineRule="auto"/>
        <w:contextualSpacing/>
        <w:outlineLvl w:val="2"/>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0"/>
        </w:numPr>
        <w:spacing w:line="360" w:lineRule="auto"/>
        <w:ind w:firstLine="482" w:firstLineChars="200"/>
        <w:outlineLvl w:val="1"/>
        <w:rPr>
          <w:b/>
          <w:sz w:val="24"/>
          <w:highlight w:val="none"/>
        </w:rPr>
      </w:pPr>
      <w:r>
        <w:rPr>
          <w:rFonts w:hint="eastAsia"/>
          <w:b/>
          <w:sz w:val="24"/>
          <w:highlight w:val="none"/>
        </w:rPr>
        <w:t>附则</w:t>
      </w:r>
    </w:p>
    <w:p>
      <w:pPr>
        <w:widowControl/>
        <w:numPr>
          <w:ilvl w:val="0"/>
          <w:numId w:val="66"/>
        </w:numPr>
        <w:spacing w:line="360" w:lineRule="auto"/>
        <w:contextualSpacing/>
        <w:outlineLvl w:val="2"/>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6"/>
        </w:numPr>
        <w:spacing w:line="360" w:lineRule="auto"/>
        <w:contextualSpacing/>
        <w:outlineLvl w:val="2"/>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6"/>
        </w:numPr>
        <w:spacing w:line="360" w:lineRule="auto"/>
        <w:contextualSpacing/>
        <w:outlineLvl w:val="2"/>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hint="eastAsia" w:ascii="宋体" w:hAnsi="Wingdings" w:cs="宋体"/>
          <w:color w:val="000000"/>
          <w:kern w:val="0"/>
          <w:highlight w:val="none"/>
        </w:rPr>
      </w:pPr>
      <w:r>
        <w:rPr>
          <w:rFonts w:hint="eastAsia" w:ascii="宋体" w:hAnsi="宋体" w:cs="宋体"/>
          <w:kern w:val="0"/>
          <w:highlight w:val="none"/>
        </w:rPr>
        <w:t>杭银理财有限责任公司</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spacing w:line="360" w:lineRule="auto"/>
        <w:rPr>
          <w:rFonts w:ascii="宋体" w:hAnsi="宋体" w:cs="宋体"/>
          <w:bCs/>
          <w:color w:val="000000"/>
          <w:sz w:val="24"/>
          <w:highlight w:val="none"/>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0"/>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7"/>
        </w:numPr>
        <w:spacing w:line="360" w:lineRule="auto"/>
        <w:ind w:left="0" w:leftChars="0" w:firstLine="420" w:firstLineChars="0"/>
        <w:contextualSpacing/>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7"/>
        </w:numPr>
        <w:spacing w:line="360" w:lineRule="auto"/>
        <w:ind w:left="0" w:leftChars="0" w:firstLine="420" w:firstLineChars="0"/>
        <w:contextualSpacing/>
        <w:outlineLvl w:val="2"/>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7"/>
        </w:numPr>
        <w:spacing w:line="360" w:lineRule="auto"/>
        <w:ind w:left="0" w:leftChars="0" w:firstLine="420" w:firstLineChars="0"/>
        <w:contextualSpacing/>
        <w:outlineLvl w:val="2"/>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8"/>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8"/>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8"/>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8"/>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8"/>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8"/>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8"/>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8"/>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w:t>
      </w:r>
      <w:bookmarkStart w:id="1" w:name="OLE_LINK3"/>
      <w:r>
        <w:rPr>
          <w:rFonts w:hint="eastAsia" w:ascii="宋体" w:hAnsi="宋体" w:eastAsia="宋体" w:cs="黑体"/>
          <w:sz w:val="24"/>
          <w:highlight w:val="none"/>
          <w:lang w:val="en-US" w:eastAsia="zh-CN"/>
        </w:rPr>
        <w:t>、监管机构</w:t>
      </w:r>
      <w:bookmarkEnd w:id="1"/>
      <w:r>
        <w:rPr>
          <w:rFonts w:hint="eastAsia" w:ascii="宋体" w:hAnsi="宋体" w:eastAsia="宋体" w:cs="黑体"/>
          <w:sz w:val="24"/>
          <w:highlight w:val="none"/>
          <w:lang w:val="en-US" w:eastAsia="zh-CN"/>
        </w:rPr>
        <w:t>另有规定的除外。</w:t>
      </w:r>
    </w:p>
    <w:p>
      <w:pPr>
        <w:keepNext w:val="0"/>
        <w:keepLines w:val="0"/>
        <w:pageBreakBefore w:val="0"/>
        <w:widowControl/>
        <w:numPr>
          <w:ilvl w:val="0"/>
          <w:numId w:val="68"/>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2"/>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2"/>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2"/>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default"/>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val="0"/>
          <w:bCs w:val="0"/>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val="0"/>
          <w:bCs w:val="0"/>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宋体" w:hAnsi="宋体" w:eastAsia="宋体" w:cs="黑体"/>
          <w:b w:val="0"/>
          <w:bCs w:val="0"/>
          <w:sz w:val="24"/>
          <w:szCs w:val="24"/>
          <w:highlight w:val="none"/>
          <w:lang w:val="en-US" w:eastAsia="zh-CN"/>
        </w:rPr>
      </w:pPr>
      <w:bookmarkStart w:id="2" w:name="_GoBack"/>
      <w:bookmarkEnd w:id="2"/>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spacing w:line="360" w:lineRule="auto"/>
        <w:rPr>
          <w:rFonts w:ascii="宋体" w:hAnsi="宋体" w:cs="宋体"/>
          <w:bCs/>
          <w:color w:val="000000"/>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p>
    <w:p>
      <w:pPr>
        <w:spacing w:line="360" w:lineRule="auto"/>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34</w:t>
                          </w:r>
                          <w:r>
                            <w:rPr>
                              <w:rFonts w:hint="eastAsia"/>
                              <w:sz w:val="18"/>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c17eW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34</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w:t>
    </w:r>
    <w:r>
      <w:rPr>
        <w:rFonts w:hint="eastAsia"/>
        <w:b/>
        <w:bCs/>
        <w:lang w:val="en-US" w:eastAsia="zh-CN"/>
      </w:rPr>
      <w:t>须</w:t>
    </w:r>
    <w:r>
      <w:rPr>
        <w:rFonts w:hint="eastAsia"/>
        <w:b/>
        <w:bCs/>
      </w:rPr>
      <w:t>谨慎</w:t>
    </w:r>
    <w:r>
      <w:rPr>
        <w:b/>
        <w:bCs/>
      </w:rPr>
      <w:drawing>
        <wp:anchor distT="0" distB="0" distL="114300" distR="114300" simplePos="0" relativeHeight="251658240"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1"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74CE87F"/>
    <w:multiLevelType w:val="singleLevel"/>
    <w:tmpl w:val="B74CE87F"/>
    <w:lvl w:ilvl="0" w:tentative="0">
      <w:start w:val="1"/>
      <w:numFmt w:val="decimal"/>
      <w:suff w:val="nothing"/>
      <w:lvlText w:val="%1．"/>
      <w:lvlJc w:val="left"/>
      <w:pPr>
        <w:ind w:left="0" w:firstLine="400"/>
      </w:pPr>
      <w:rPr>
        <w:rFonts w:hint="default"/>
      </w:rPr>
    </w:lvl>
  </w:abstractNum>
  <w:abstractNum w:abstractNumId="18">
    <w:nsid w:val="BB4AE6C3"/>
    <w:multiLevelType w:val="singleLevel"/>
    <w:tmpl w:val="BB4AE6C3"/>
    <w:lvl w:ilvl="0" w:tentative="0">
      <w:start w:val="2"/>
      <w:numFmt w:val="decimal"/>
      <w:suff w:val="nothing"/>
      <w:lvlText w:val="%1．"/>
      <w:lvlJc w:val="left"/>
      <w:pPr>
        <w:ind w:left="0" w:firstLine="403"/>
      </w:pPr>
      <w:rPr>
        <w:rFonts w:hint="default"/>
        <w:b/>
        <w:bCs/>
      </w:rPr>
    </w:lvl>
  </w:abstractNum>
  <w:abstractNum w:abstractNumId="19">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20">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1">
    <w:nsid w:val="CEBF199A"/>
    <w:multiLevelType w:val="singleLevel"/>
    <w:tmpl w:val="CEBF199A"/>
    <w:lvl w:ilvl="0" w:tentative="0">
      <w:start w:val="1"/>
      <w:numFmt w:val="chineseCounting"/>
      <w:suff w:val="nothing"/>
      <w:lvlText w:val="（%1）"/>
      <w:lvlJc w:val="left"/>
      <w:pPr>
        <w:ind w:left="0" w:firstLine="420"/>
      </w:pPr>
      <w:rPr>
        <w:rFonts w:hint="eastAsia"/>
      </w:rPr>
    </w:lvl>
  </w:abstractNum>
  <w:abstractNum w:abstractNumId="22">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3">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4">
    <w:nsid w:val="D8D75090"/>
    <w:multiLevelType w:val="singleLevel"/>
    <w:tmpl w:val="D8D75090"/>
    <w:lvl w:ilvl="0" w:tentative="0">
      <w:start w:val="1"/>
      <w:numFmt w:val="decimal"/>
      <w:suff w:val="nothing"/>
      <w:lvlText w:val="（%1）"/>
      <w:lvlJc w:val="left"/>
      <w:rPr>
        <w:rFonts w:hint="default"/>
        <w:b w:val="0"/>
        <w:bCs w:val="0"/>
      </w:rPr>
    </w:lvl>
  </w:abstractNum>
  <w:abstractNum w:abstractNumId="25">
    <w:nsid w:val="DD2251DF"/>
    <w:multiLevelType w:val="singleLevel"/>
    <w:tmpl w:val="DD2251DF"/>
    <w:lvl w:ilvl="0" w:tentative="0">
      <w:start w:val="1"/>
      <w:numFmt w:val="decimal"/>
      <w:suff w:val="nothing"/>
      <w:lvlText w:val="（%1）"/>
      <w:lvlJc w:val="left"/>
      <w:rPr>
        <w:rFonts w:hint="default"/>
        <w:b w:val="0"/>
        <w:bCs w:val="0"/>
      </w:rPr>
    </w:lvl>
  </w:abstractNum>
  <w:abstractNum w:abstractNumId="26">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7">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8">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9">
    <w:nsid w:val="F574F5B6"/>
    <w:multiLevelType w:val="singleLevel"/>
    <w:tmpl w:val="F574F5B6"/>
    <w:lvl w:ilvl="0" w:tentative="0">
      <w:start w:val="1"/>
      <w:numFmt w:val="decimal"/>
      <w:suff w:val="nothing"/>
      <w:lvlText w:val="（%1）"/>
      <w:lvlJc w:val="left"/>
    </w:lvl>
  </w:abstractNum>
  <w:abstractNum w:abstractNumId="30">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31">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0">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1">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2">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3">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4">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5">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6">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7">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8">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59">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0">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1">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2">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3">
    <w:nsid w:val="61CBC088"/>
    <w:multiLevelType w:val="singleLevel"/>
    <w:tmpl w:val="61CBC088"/>
    <w:lvl w:ilvl="0" w:tentative="0">
      <w:start w:val="1"/>
      <w:numFmt w:val="chineseCounting"/>
      <w:suff w:val="nothing"/>
      <w:lvlText w:val="（%1）"/>
      <w:lvlJc w:val="left"/>
      <w:pPr>
        <w:ind w:left="0" w:firstLine="420"/>
      </w:pPr>
      <w:rPr>
        <w:rFonts w:hint="eastAsia"/>
      </w:rPr>
    </w:lvl>
  </w:abstractNum>
  <w:abstractNum w:abstractNumId="64">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5">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6">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7">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8">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69">
    <w:nsid w:val="62F21FDB"/>
    <w:multiLevelType w:val="multilevel"/>
    <w:tmpl w:val="62F21FDB"/>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0">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1">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2">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21"/>
  </w:num>
  <w:num w:numId="6">
    <w:abstractNumId w:val="71"/>
  </w:num>
  <w:num w:numId="7">
    <w:abstractNumId w:val="32"/>
  </w:num>
  <w:num w:numId="8">
    <w:abstractNumId w:val="72"/>
  </w:num>
  <w:num w:numId="9">
    <w:abstractNumId w:val="47"/>
  </w:num>
  <w:num w:numId="10">
    <w:abstractNumId w:val="44"/>
  </w:num>
  <w:num w:numId="11">
    <w:abstractNumId w:val="30"/>
  </w:num>
  <w:num w:numId="12">
    <w:abstractNumId w:val="28"/>
  </w:num>
  <w:num w:numId="13">
    <w:abstractNumId w:val="33"/>
  </w:num>
  <w:num w:numId="14">
    <w:abstractNumId w:val="27"/>
  </w:num>
  <w:num w:numId="15">
    <w:abstractNumId w:val="22"/>
  </w:num>
  <w:num w:numId="16">
    <w:abstractNumId w:val="11"/>
  </w:num>
  <w:num w:numId="17">
    <w:abstractNumId w:val="18"/>
  </w:num>
  <w:num w:numId="18">
    <w:abstractNumId w:val="8"/>
  </w:num>
  <w:num w:numId="19">
    <w:abstractNumId w:val="9"/>
  </w:num>
  <w:num w:numId="20">
    <w:abstractNumId w:val="7"/>
  </w:num>
  <w:num w:numId="21">
    <w:abstractNumId w:val="5"/>
  </w:num>
  <w:num w:numId="22">
    <w:abstractNumId w:val="1"/>
  </w:num>
  <w:num w:numId="23">
    <w:abstractNumId w:val="43"/>
  </w:num>
  <w:num w:numId="24">
    <w:abstractNumId w:val="29"/>
  </w:num>
  <w:num w:numId="25">
    <w:abstractNumId w:val="20"/>
  </w:num>
  <w:num w:numId="26">
    <w:abstractNumId w:val="38"/>
  </w:num>
  <w:num w:numId="27">
    <w:abstractNumId w:val="23"/>
  </w:num>
  <w:num w:numId="28">
    <w:abstractNumId w:val="6"/>
  </w:num>
  <w:num w:numId="29">
    <w:abstractNumId w:val="46"/>
  </w:num>
  <w:num w:numId="30">
    <w:abstractNumId w:val="4"/>
  </w:num>
  <w:num w:numId="31">
    <w:abstractNumId w:val="69"/>
  </w:num>
  <w:num w:numId="32">
    <w:abstractNumId w:val="36"/>
  </w:num>
  <w:num w:numId="33">
    <w:abstractNumId w:val="70"/>
  </w:num>
  <w:num w:numId="34">
    <w:abstractNumId w:val="31"/>
  </w:num>
  <w:num w:numId="35">
    <w:abstractNumId w:val="25"/>
  </w:num>
  <w:num w:numId="36">
    <w:abstractNumId w:val="41"/>
  </w:num>
  <w:num w:numId="37">
    <w:abstractNumId w:val="2"/>
  </w:num>
  <w:num w:numId="38">
    <w:abstractNumId w:val="26"/>
  </w:num>
  <w:num w:numId="39">
    <w:abstractNumId w:val="17"/>
  </w:num>
  <w:num w:numId="40">
    <w:abstractNumId w:val="45"/>
  </w:num>
  <w:num w:numId="41">
    <w:abstractNumId w:val="34"/>
  </w:num>
  <w:num w:numId="42">
    <w:abstractNumId w:val="19"/>
  </w:num>
  <w:num w:numId="43">
    <w:abstractNumId w:val="48"/>
  </w:num>
  <w:num w:numId="44">
    <w:abstractNumId w:val="12"/>
  </w:num>
  <w:num w:numId="45">
    <w:abstractNumId w:val="10"/>
  </w:num>
  <w:num w:numId="46">
    <w:abstractNumId w:val="13"/>
  </w:num>
  <w:num w:numId="47">
    <w:abstractNumId w:val="35"/>
  </w:num>
  <w:num w:numId="48">
    <w:abstractNumId w:val="24"/>
  </w:num>
  <w:num w:numId="49">
    <w:abstractNumId w:val="3"/>
  </w:num>
  <w:num w:numId="50">
    <w:abstractNumId w:val="40"/>
  </w:num>
  <w:num w:numId="51">
    <w:abstractNumId w:val="56"/>
  </w:num>
  <w:num w:numId="52">
    <w:abstractNumId w:val="55"/>
  </w:num>
  <w:num w:numId="53">
    <w:abstractNumId w:val="57"/>
  </w:num>
  <w:num w:numId="54">
    <w:abstractNumId w:val="58"/>
  </w:num>
  <w:num w:numId="55">
    <w:abstractNumId w:val="59"/>
  </w:num>
  <w:num w:numId="56">
    <w:abstractNumId w:val="60"/>
  </w:num>
  <w:num w:numId="57">
    <w:abstractNumId w:val="61"/>
  </w:num>
  <w:num w:numId="58">
    <w:abstractNumId w:val="62"/>
  </w:num>
  <w:num w:numId="59">
    <w:abstractNumId w:val="39"/>
  </w:num>
  <w:num w:numId="60">
    <w:abstractNumId w:val="16"/>
  </w:num>
  <w:num w:numId="61">
    <w:abstractNumId w:val="49"/>
  </w:num>
  <w:num w:numId="62">
    <w:abstractNumId w:val="50"/>
  </w:num>
  <w:num w:numId="63">
    <w:abstractNumId w:val="51"/>
  </w:num>
  <w:num w:numId="64">
    <w:abstractNumId w:val="52"/>
  </w:num>
  <w:num w:numId="65">
    <w:abstractNumId w:val="53"/>
  </w:num>
  <w:num w:numId="66">
    <w:abstractNumId w:val="54"/>
  </w:num>
  <w:num w:numId="67">
    <w:abstractNumId w:val="63"/>
  </w:num>
  <w:num w:numId="68">
    <w:abstractNumId w:val="64"/>
  </w:num>
  <w:num w:numId="69">
    <w:abstractNumId w:val="15"/>
  </w:num>
  <w:num w:numId="70">
    <w:abstractNumId w:val="65"/>
  </w:num>
  <w:num w:numId="71">
    <w:abstractNumId w:val="66"/>
  </w:num>
  <w:num w:numId="72">
    <w:abstractNumId w:val="67"/>
  </w:num>
  <w:num w:numId="73">
    <w:abstractNumId w:val="6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jOWZhYjNhMDcwZTUwMzk1N2Q1ZTljMmJlZmYyNzcifQ=="/>
  </w:docVars>
  <w:rsids>
    <w:rsidRoot w:val="00172A27"/>
    <w:rsid w:val="000107D6"/>
    <w:rsid w:val="000A19CC"/>
    <w:rsid w:val="000B1563"/>
    <w:rsid w:val="000C5797"/>
    <w:rsid w:val="00123AE9"/>
    <w:rsid w:val="00140EE3"/>
    <w:rsid w:val="00175D3F"/>
    <w:rsid w:val="00187BC5"/>
    <w:rsid w:val="00194470"/>
    <w:rsid w:val="001B4676"/>
    <w:rsid w:val="001C01B2"/>
    <w:rsid w:val="001D2C7B"/>
    <w:rsid w:val="002141BE"/>
    <w:rsid w:val="00232E3B"/>
    <w:rsid w:val="0023532C"/>
    <w:rsid w:val="00263368"/>
    <w:rsid w:val="00274E11"/>
    <w:rsid w:val="00304AEE"/>
    <w:rsid w:val="00327FC6"/>
    <w:rsid w:val="00343F73"/>
    <w:rsid w:val="00386FEC"/>
    <w:rsid w:val="003A1A36"/>
    <w:rsid w:val="003A3C2F"/>
    <w:rsid w:val="003D1B3C"/>
    <w:rsid w:val="003E5127"/>
    <w:rsid w:val="003E5FE8"/>
    <w:rsid w:val="004556BB"/>
    <w:rsid w:val="00475C26"/>
    <w:rsid w:val="004A724E"/>
    <w:rsid w:val="005571F8"/>
    <w:rsid w:val="00557E0E"/>
    <w:rsid w:val="00652A77"/>
    <w:rsid w:val="006B63C1"/>
    <w:rsid w:val="00720124"/>
    <w:rsid w:val="007542C9"/>
    <w:rsid w:val="00765C48"/>
    <w:rsid w:val="00773199"/>
    <w:rsid w:val="00793C62"/>
    <w:rsid w:val="007C65CD"/>
    <w:rsid w:val="008207F1"/>
    <w:rsid w:val="00852C69"/>
    <w:rsid w:val="00873DE6"/>
    <w:rsid w:val="008C74C9"/>
    <w:rsid w:val="008D78BD"/>
    <w:rsid w:val="008E13C5"/>
    <w:rsid w:val="00901BED"/>
    <w:rsid w:val="00902D93"/>
    <w:rsid w:val="00914DAB"/>
    <w:rsid w:val="00993044"/>
    <w:rsid w:val="009B2DC4"/>
    <w:rsid w:val="009B40C6"/>
    <w:rsid w:val="009B64A7"/>
    <w:rsid w:val="009C3F7C"/>
    <w:rsid w:val="009C43A4"/>
    <w:rsid w:val="00A20F48"/>
    <w:rsid w:val="00A338FE"/>
    <w:rsid w:val="00A77F3E"/>
    <w:rsid w:val="00B765F3"/>
    <w:rsid w:val="00C012A2"/>
    <w:rsid w:val="00C07905"/>
    <w:rsid w:val="00C2564F"/>
    <w:rsid w:val="00C944CB"/>
    <w:rsid w:val="00D06904"/>
    <w:rsid w:val="00D07D02"/>
    <w:rsid w:val="00D14693"/>
    <w:rsid w:val="00D16C82"/>
    <w:rsid w:val="00D34068"/>
    <w:rsid w:val="00D41665"/>
    <w:rsid w:val="00D44268"/>
    <w:rsid w:val="00D47AB0"/>
    <w:rsid w:val="00D61838"/>
    <w:rsid w:val="00D767CF"/>
    <w:rsid w:val="00DA1B4C"/>
    <w:rsid w:val="00DC5F5C"/>
    <w:rsid w:val="00DF33CE"/>
    <w:rsid w:val="00E13193"/>
    <w:rsid w:val="00E35C54"/>
    <w:rsid w:val="00E406C4"/>
    <w:rsid w:val="00E7096F"/>
    <w:rsid w:val="00EB473B"/>
    <w:rsid w:val="00EE319D"/>
    <w:rsid w:val="00F0077E"/>
    <w:rsid w:val="00F50192"/>
    <w:rsid w:val="00F5498F"/>
    <w:rsid w:val="00F5749D"/>
    <w:rsid w:val="00F8181B"/>
    <w:rsid w:val="00FA0296"/>
    <w:rsid w:val="00FA6CE7"/>
    <w:rsid w:val="00FE2923"/>
    <w:rsid w:val="02562BF7"/>
    <w:rsid w:val="03BA3F56"/>
    <w:rsid w:val="0460442C"/>
    <w:rsid w:val="04CC55AF"/>
    <w:rsid w:val="0500018B"/>
    <w:rsid w:val="05B13762"/>
    <w:rsid w:val="07376664"/>
    <w:rsid w:val="09130B13"/>
    <w:rsid w:val="096968FC"/>
    <w:rsid w:val="0A0968C5"/>
    <w:rsid w:val="0B1A5A6E"/>
    <w:rsid w:val="0B2D0BA7"/>
    <w:rsid w:val="0C583EF5"/>
    <w:rsid w:val="0D6706EF"/>
    <w:rsid w:val="0DBE77E4"/>
    <w:rsid w:val="0E2830EC"/>
    <w:rsid w:val="101F6BD5"/>
    <w:rsid w:val="10504FB0"/>
    <w:rsid w:val="110C5156"/>
    <w:rsid w:val="110E3B80"/>
    <w:rsid w:val="117A174C"/>
    <w:rsid w:val="118D4B5D"/>
    <w:rsid w:val="11BF48B2"/>
    <w:rsid w:val="120050A9"/>
    <w:rsid w:val="133A19E0"/>
    <w:rsid w:val="13FC36E3"/>
    <w:rsid w:val="1442705A"/>
    <w:rsid w:val="14AD62A1"/>
    <w:rsid w:val="155F3FC2"/>
    <w:rsid w:val="15841F16"/>
    <w:rsid w:val="15C972B9"/>
    <w:rsid w:val="162A128A"/>
    <w:rsid w:val="16563388"/>
    <w:rsid w:val="17432384"/>
    <w:rsid w:val="17611875"/>
    <w:rsid w:val="1783542D"/>
    <w:rsid w:val="179972B0"/>
    <w:rsid w:val="18FC27C6"/>
    <w:rsid w:val="1CAD01AC"/>
    <w:rsid w:val="1D866C77"/>
    <w:rsid w:val="1D9446FE"/>
    <w:rsid w:val="1E831DF3"/>
    <w:rsid w:val="1E856DEB"/>
    <w:rsid w:val="1F3C1565"/>
    <w:rsid w:val="20BD2325"/>
    <w:rsid w:val="24A67BC4"/>
    <w:rsid w:val="25801A05"/>
    <w:rsid w:val="27CE3874"/>
    <w:rsid w:val="27EB3D24"/>
    <w:rsid w:val="28B13D99"/>
    <w:rsid w:val="2A4135AD"/>
    <w:rsid w:val="2AD52CEA"/>
    <w:rsid w:val="2B683C5D"/>
    <w:rsid w:val="2B8255D3"/>
    <w:rsid w:val="2C9E7656"/>
    <w:rsid w:val="2CED7384"/>
    <w:rsid w:val="2CF00433"/>
    <w:rsid w:val="2D131CD0"/>
    <w:rsid w:val="2D751B53"/>
    <w:rsid w:val="2DD45D89"/>
    <w:rsid w:val="307B1E47"/>
    <w:rsid w:val="348C31DF"/>
    <w:rsid w:val="348E01C6"/>
    <w:rsid w:val="350A3841"/>
    <w:rsid w:val="354C4323"/>
    <w:rsid w:val="356F56A9"/>
    <w:rsid w:val="35CD15B7"/>
    <w:rsid w:val="35D86BDE"/>
    <w:rsid w:val="35FD5667"/>
    <w:rsid w:val="36310E4A"/>
    <w:rsid w:val="36591675"/>
    <w:rsid w:val="36F2378A"/>
    <w:rsid w:val="372216A6"/>
    <w:rsid w:val="385F03D4"/>
    <w:rsid w:val="38663D34"/>
    <w:rsid w:val="39310E98"/>
    <w:rsid w:val="3AA66AF1"/>
    <w:rsid w:val="3AEC297D"/>
    <w:rsid w:val="3B885E8A"/>
    <w:rsid w:val="3D3D1991"/>
    <w:rsid w:val="3E6E2E42"/>
    <w:rsid w:val="3EA23778"/>
    <w:rsid w:val="3EAC1C1C"/>
    <w:rsid w:val="3EDC7FBA"/>
    <w:rsid w:val="3EE67142"/>
    <w:rsid w:val="3EFE04EE"/>
    <w:rsid w:val="3FCF347B"/>
    <w:rsid w:val="3FE830E5"/>
    <w:rsid w:val="40221B6B"/>
    <w:rsid w:val="41487A0A"/>
    <w:rsid w:val="42342BAA"/>
    <w:rsid w:val="425B6A60"/>
    <w:rsid w:val="426E7500"/>
    <w:rsid w:val="43685ADB"/>
    <w:rsid w:val="44045C03"/>
    <w:rsid w:val="46DB254E"/>
    <w:rsid w:val="47C36E36"/>
    <w:rsid w:val="48A3615E"/>
    <w:rsid w:val="48E00B0C"/>
    <w:rsid w:val="4B954EA0"/>
    <w:rsid w:val="4CC84C98"/>
    <w:rsid w:val="4E754A4E"/>
    <w:rsid w:val="4E9967DA"/>
    <w:rsid w:val="4F1025D9"/>
    <w:rsid w:val="4FC27339"/>
    <w:rsid w:val="502B3CEE"/>
    <w:rsid w:val="50544F23"/>
    <w:rsid w:val="509F5AAF"/>
    <w:rsid w:val="50EE58D7"/>
    <w:rsid w:val="514C13A9"/>
    <w:rsid w:val="519E097B"/>
    <w:rsid w:val="51EB2798"/>
    <w:rsid w:val="53A84543"/>
    <w:rsid w:val="56A66316"/>
    <w:rsid w:val="581B0D4D"/>
    <w:rsid w:val="5851778C"/>
    <w:rsid w:val="58A020D2"/>
    <w:rsid w:val="5A5F3178"/>
    <w:rsid w:val="5A7E2982"/>
    <w:rsid w:val="5B24597E"/>
    <w:rsid w:val="5B7358EA"/>
    <w:rsid w:val="5BEF430C"/>
    <w:rsid w:val="5C531CB6"/>
    <w:rsid w:val="5CF01D88"/>
    <w:rsid w:val="5D5C0387"/>
    <w:rsid w:val="604D22FF"/>
    <w:rsid w:val="608F3A1C"/>
    <w:rsid w:val="6336483C"/>
    <w:rsid w:val="646D7D7D"/>
    <w:rsid w:val="64A47711"/>
    <w:rsid w:val="64BB6AA4"/>
    <w:rsid w:val="64EB1FB1"/>
    <w:rsid w:val="65085FDD"/>
    <w:rsid w:val="66A625FE"/>
    <w:rsid w:val="66BC7D07"/>
    <w:rsid w:val="66FC1953"/>
    <w:rsid w:val="672D0717"/>
    <w:rsid w:val="68782DAE"/>
    <w:rsid w:val="69644745"/>
    <w:rsid w:val="69BC658F"/>
    <w:rsid w:val="6ABE1B22"/>
    <w:rsid w:val="6B29233B"/>
    <w:rsid w:val="6B8C2015"/>
    <w:rsid w:val="6C1B5E3A"/>
    <w:rsid w:val="6C3E06A6"/>
    <w:rsid w:val="6D966DB7"/>
    <w:rsid w:val="6EE209DA"/>
    <w:rsid w:val="70597F18"/>
    <w:rsid w:val="7082330A"/>
    <w:rsid w:val="725917A9"/>
    <w:rsid w:val="73631A55"/>
    <w:rsid w:val="774820A9"/>
    <w:rsid w:val="77B75243"/>
    <w:rsid w:val="77C21A5F"/>
    <w:rsid w:val="77D23D86"/>
    <w:rsid w:val="792D1E0D"/>
    <w:rsid w:val="79321117"/>
    <w:rsid w:val="7A3A7C0C"/>
    <w:rsid w:val="7A835F66"/>
    <w:rsid w:val="7A8955BC"/>
    <w:rsid w:val="7A9D6576"/>
    <w:rsid w:val="7B4A3EED"/>
    <w:rsid w:val="7DAE1C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tblPr>
      <w:tblStyle w:val="8"/>
      <w:tblLayout w:type="fixed"/>
      <w:tblCellMar>
        <w:top w:w="0" w:type="dxa"/>
        <w:left w:w="108" w:type="dxa"/>
        <w:bottom w:w="0" w:type="dxa"/>
        <w:right w:w="108" w:type="dxa"/>
      </w:tblCellMar>
    </w:tblPr>
  </w:style>
  <w:style w:type="paragraph" w:styleId="2">
    <w:name w:val="annotation text"/>
    <w:basedOn w:val="1"/>
    <w:link w:val="17"/>
    <w:uiPriority w:val="0"/>
    <w:pPr>
      <w:jc w:val="left"/>
    </w:pPr>
    <w:rPr>
      <w:rFonts w:cs="Times New Roman"/>
    </w:rPr>
  </w:style>
  <w:style w:type="paragraph" w:styleId="3">
    <w:name w:val="Balloon Text"/>
    <w:basedOn w:val="1"/>
    <w:link w:val="15"/>
    <w:uiPriority w:val="0"/>
    <w:rPr>
      <w:rFonts w:cs="Times New Roman"/>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rPr>
      <w:sz w:val="24"/>
    </w:rPr>
  </w:style>
  <w:style w:type="paragraph" w:styleId="7">
    <w:name w:val="annotation subject"/>
    <w:basedOn w:val="2"/>
    <w:next w:val="2"/>
    <w:link w:val="16"/>
    <w:uiPriority w:val="0"/>
    <w:rPr>
      <w:b/>
      <w:bCs/>
    </w:rPr>
  </w:style>
  <w:style w:type="table" w:styleId="9">
    <w:name w:val="Table Grid"/>
    <w:basedOn w:val="8"/>
    <w:unhideWhenUsed/>
    <w:qFormat/>
    <w:uiPriority w:val="99"/>
    <w:pPr>
      <w:widowControl w:val="0"/>
      <w:jc w:val="both"/>
    </w:pPr>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paragraph" w:customStyle="1" w:styleId="13">
    <w:name w:val="List Paragraph"/>
    <w:basedOn w:val="1"/>
    <w:unhideWhenUsed/>
    <w:uiPriority w:val="99"/>
    <w:pPr>
      <w:ind w:firstLine="420" w:firstLineChars="200"/>
    </w:pPr>
  </w:style>
  <w:style w:type="paragraph" w:customStyle="1" w:styleId="14">
    <w:name w:val="Default"/>
    <w:qFormat/>
    <w:uiPriority w:val="0"/>
    <w:pPr>
      <w:widowControl w:val="0"/>
      <w:autoSpaceDE w:val="0"/>
      <w:autoSpaceDN w:val="0"/>
      <w:adjustRightInd w:val="0"/>
    </w:pPr>
    <w:rPr>
      <w:color w:val="000000"/>
      <w:sz w:val="24"/>
      <w:szCs w:val="24"/>
      <w:lang w:val="en-US" w:eastAsia="zh-CN" w:bidi="ar-SA"/>
    </w:rPr>
  </w:style>
  <w:style w:type="character" w:customStyle="1" w:styleId="15">
    <w:name w:val="批注框文本 Char"/>
    <w:link w:val="3"/>
    <w:uiPriority w:val="0"/>
    <w:rPr>
      <w:rFonts w:ascii="Calibri" w:hAnsi="Calibri" w:cs="黑体"/>
      <w:kern w:val="2"/>
      <w:sz w:val="18"/>
      <w:szCs w:val="18"/>
    </w:rPr>
  </w:style>
  <w:style w:type="character" w:customStyle="1" w:styleId="16">
    <w:name w:val="批注主题 Char"/>
    <w:link w:val="7"/>
    <w:uiPriority w:val="0"/>
    <w:rPr>
      <w:rFonts w:ascii="Calibri" w:hAnsi="Calibri" w:cs="黑体"/>
      <w:b/>
      <w:bCs/>
      <w:kern w:val="2"/>
      <w:sz w:val="21"/>
      <w:szCs w:val="24"/>
    </w:rPr>
  </w:style>
  <w:style w:type="character" w:customStyle="1" w:styleId="17">
    <w:name w:val="批注文字 Char"/>
    <w:link w:val="2"/>
    <w:uiPriority w:val="0"/>
    <w:rPr>
      <w:rFonts w:ascii="Calibri" w:hAnsi="Calibri" w:cs="黑体"/>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35290</Words>
  <Characters>37354</Characters>
  <Lines>272</Lines>
  <Paragraphs>76</Paragraphs>
  <TotalTime>0</TotalTime>
  <ScaleCrop>false</ScaleCrop>
  <LinksUpToDate>false</LinksUpToDate>
  <CharactersWithSpaces>37798</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2022-10-31T03:18:00Z</dcterms:created>
  <dc:creator>Administrator</dc:creator>
  <cp:lastModifiedBy>hccb</cp:lastModifiedBy>
  <dcterms:modified xsi:type="dcterms:W3CDTF">2025-09-29T02:20:31Z</dcterms:modified>
  <dc:title>杭银理财幸福99XXXX理财计划合同</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A70A2227A99B4340974191B47870DEF5</vt:lpwstr>
  </property>
  <property fmtid="{D5CDD505-2E9C-101B-9397-08002B2CF9AE}" pid="3" name="KSOProductBuildVer">
    <vt:lpwstr>2052-11.8.2.8411</vt:lpwstr>
  </property>
</Properties>
</file>