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幸福99丰裕固收386天25191期理财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幸福99丰裕固收386天25191期理财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幸福99丰裕固收386天25191期理财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幸福99丰裕固收386天25191期理财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幸福99丰裕固收386天25191期理财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幸福99丰裕固收386天25191期理财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Z7002225000375</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幸福99丰裕固收386天25191期理财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幸福99丰裕固收386天25191期理财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幸福99丰裕固收386天25191期理财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幸福99丰裕固收386天25191期理财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幸福99丰裕固收386天25191期理财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幸福99丰裕固收386天25191期理财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bookmarkStart w:id="0" w:name="_GoBack"/>
      <w:bookmarkEnd w:id="0"/>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kern w:val="2"/>
                <w:sz w:val="21"/>
                <w:szCs w:val="21"/>
                <w:highlight w:val="none"/>
                <w:lang w:val="en-US" w:eastAsia="zh-CN" w:bidi="ar-SA"/>
              </w:rPr>
              <w:t>幸福99丰裕固收386天25191期理财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丰裕固收25191期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FYG25191</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Z7002225000375</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b/>
                <w:color w:val="000000"/>
                <w:szCs w:val="21"/>
                <w:highlight w:val="none"/>
                <w:lang w:eastAsia="zh"/>
              </w:rPr>
            </w:pPr>
            <w:r>
              <w:rPr>
                <w:rFonts w:hint="eastAsia" w:ascii="宋体" w:hAnsi="宋体" w:eastAsia="宋体" w:cs="宋体"/>
                <w:b w:val="0"/>
                <w:bCs/>
                <w:color w:val="000000"/>
                <w:kern w:val="2"/>
                <w:sz w:val="21"/>
                <w:szCs w:val="21"/>
                <w:highlight w:val="none"/>
                <w:lang w:val="en-US" w:eastAsia="zh" w:bidi="ar-SA"/>
              </w:rPr>
              <w:t>其中：</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A份额（销售代码〖FYG25191A〗）：普通个人投资者和机构客户。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B份额（销售代码〖FYG25191B〗）：普通个人投资者和机构客户。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C份额（销售代码〖FYG25191C〗）：普通个人投资者和机构客户。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D份额（销售代码〖FYG25191D〗）：普通个人投资者和机构客户。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E份额（公司专属）（销售代码〖FYG25191E〗）：普通个人投资者和机构客户。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F份额（销售代码〖FYG25191F〗）：普通个人投资者和机构客户。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G份额（汉口银行专属）（销售代码〖FYG25191G〗）：普通个人投资者和机构客户。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H份额（北行专属）（销售代码〖FYG25191H〗）：普通个人投资者和机构客户。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I份额（爽盈优选）（销售代码〖FYG25191I〗）：普通个人投资者和机构客户。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J份额（销售代码〖FYG25191J〗）：普通个人投资者和机构客户。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K份额（鲲鹏优选）（销售代码〖FYG25191K〗）：普通个人投资者和机构客户。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N份额惠享款（长长财富·专属）（销售代码〖FYG25191N〗）：普通个人投资者和机构客户。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O份额（销售代码〖FYG25191O〗）：普通个人投资者和机构客户。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P份额（芙蓉锦程·优选）（销售代码〖FYG25191P〗）：普通个人投资者和机构客户。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Q份额惠享款（候鸟专属）（销售代码〖FYG25191Q〗）：普通个人投资者和机构客户。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R份额惠享款吉行十二号（销售代码〖FYG25191R〗）：普通个人投资者和机构客户。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S份额惠享款（齐鲁-逢六有约）（销售代码〖FYG25191S〗）：普通个人投资者和机构客户。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U份额惠享款（销售代码〖FYG25191U〗）：普通个人投资者和机构客户。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V份额（金芙蓉专属）（销售代码〖FYG25191V〗）：普通个人投资者和机构客户。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W份额惠享款（销售代码〖FYG25191W〗）：普通个人投资者和机构客户。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X份额（销售代码〖FYG25191X〗）：普通个人投资者。</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Y份额惠享款（销售代码〖FYG25191Y〗）：普通个人投资者和机构客户。</w:t>
            </w:r>
            <w:r>
              <w:rPr>
                <w:rFonts w:hint="eastAsia" w:ascii="宋体" w:hAnsi="宋体" w:eastAsia="宋体" w:cs="宋体"/>
                <w:b w:val="0"/>
                <w:bCs/>
                <w:color w:val="000000"/>
                <w:kern w:val="2"/>
                <w:sz w:val="21"/>
                <w:szCs w:val="21"/>
                <w:highlight w:val="none"/>
                <w:lang w:val="en-US" w:eastAsia="zh" w:bidi="ar-SA"/>
              </w:rPr>
              <w:br w:type="textWrapping"/>
            </w:r>
            <w:r>
              <w:rPr>
                <w:rFonts w:hint="eastAsia" w:ascii="宋体" w:hAnsi="宋体" w:eastAsia="宋体" w:cs="宋体"/>
                <w:b w:val="0"/>
                <w:bCs/>
                <w:color w:val="000000"/>
                <w:kern w:val="2"/>
                <w:sz w:val="21"/>
                <w:szCs w:val="21"/>
                <w:highlight w:val="none"/>
                <w:lang w:val="en-US" w:eastAsia="zh" w:bidi="ar-SA"/>
              </w:rPr>
              <w:t>Z份额惠享款（销售代码〖FYG25191Z〗）：普通个人投资者和机构客户。</w:t>
            </w:r>
            <w:r>
              <w:rPr>
                <w:rFonts w:hint="eastAsia" w:ascii="宋体" w:hAnsi="宋体" w:cs="宋体"/>
                <w:b w:val="0"/>
                <w:bCs/>
                <w:color w:val="000000"/>
                <w:szCs w:val="21"/>
                <w:highlight w:val="none"/>
                <w:lang w:eastAsia="zh"/>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14</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20</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21</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〖A份额〗起点〖1〗元整，超过认购起点部分，应为〖1〗元的整数倍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〖B份额〗起点〖1〗元整，超过认购起点部分，应为〖1〗元的整数倍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〖C份额〗起点〖1〗元整，超过认购起点部分，应为〖1〗元的整数倍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〖D份额〗起点〖1〗元整，超过认购起点部分，应为〖1〗元的整数倍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〖E份额〗起点〖1〗元整，超过认购起点部分，应为〖1〗元的整数倍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〖F份额〗起点〖1〗元整，超过认购起点部分，应为〖1〗元的整数倍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〖G份额〗起点〖1〗元整，超过认购起点部分，应为〖1〗元的整数倍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〖H份额〗起点〖1〗元整，超过认购起点部分，应为〖1〗元的整数倍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〖I份额〗起点〖1〗元整，超过认购起点部分，应为〖1〗元的整数倍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〖J份额〗起点〖1〗元整，超过认购起点部分，应为〖1〗元的整数倍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〖K份额〗起点〖1〗元整，超过认购起点部分，应为〖1〗元的整数倍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〖N份额〗起点〖1〗元整，超过认购起点部分，应为〖1〗元的整数倍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〖O份额〗起点〖1〗元整，超过认购起点部分，应为〖1〗元的整数倍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〖P份额〗起点〖1〗元整，超过认购起点部分，应为〖1〗元的整数倍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〖Q份额〗起点〖1〗万元整，超过认购起点部分，应为〖1〗元的整数倍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〖R份额〗起点〖1〗元整，超过认购起点部分，应为〖1〗元的整数倍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〖S份额〗起点〖1〗元整，超过认购起点部分，应为〖1〗元的整数倍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〖U份额〗起点〖10〗万元整，超过认购起点部分，应为〖1〗元的整数倍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〖V份额〗起点〖100〗万元整，超过认购起点部分，应为〖1〗元的整数倍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〖W份额〗起点〖1〗元整，超过认购起点部分，应为〖1〗元的整数倍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〖X份额〗起点〖1〗元整，超过认购起点部分，应为〖1〗元的整数倍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〖Y份额〗起点〖1〗元整，超过认购起点部分，应为〖1〗元的整数倍</w:t>
            </w:r>
            <w:r>
              <w:rPr>
                <w:rFonts w:hint="eastAsia" w:ascii="宋体" w:hAnsi="宋体" w:eastAsia="宋体" w:cs="宋体"/>
                <w:kern w:val="2"/>
                <w:sz w:val="21"/>
                <w:szCs w:val="21"/>
                <w:highlight w:val="none"/>
                <w:lang w:val="en-US" w:eastAsia="zh-CN" w:bidi="ar-SA"/>
              </w:rPr>
              <w:br w:type="textWrapping"/>
            </w:r>
            <w:r>
              <w:rPr>
                <w:rFonts w:hint="eastAsia" w:ascii="宋体" w:hAnsi="宋体" w:eastAsia="宋体" w:cs="宋体"/>
                <w:kern w:val="2"/>
                <w:sz w:val="21"/>
                <w:szCs w:val="21"/>
                <w:highlight w:val="none"/>
                <w:lang w:val="en-US" w:eastAsia="zh-CN" w:bidi="ar-SA"/>
              </w:rPr>
              <w:t>〖Z份额〗起点〖1〗元整，超过认购起点部分，应为〖1〗元的整数倍</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FF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1" w:right="-1"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本理财计划〖A份额〗业绩比较基准为〖2.45%-2.75%〗（年化）。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本理财计划〖C份额〗业绩比较基准为〖2.65%-2.95%〗（年化）。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本理财计划〖D份额〗业绩比较基准为〖2.60%-2.90%〗（年化）。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本理财计划〖E份额〗业绩比较基准为〖2.30%-2.60%〗（年化）。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本理财计划〖F份额〗业绩比较基准为〖2.60%-2.90%〗（年化）。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本理财计划〖G份额〗业绩比较基准为〖2.70%-3.00%〗（年化）。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本理财计划〖I份额〗业绩比较基准为〖2.45%-2.75%〗（年化）。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本理财计划〖J份额〗业绩比较基准为〖2.70%-3.00%〗（年化）。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本理财计划〖K份额〗业绩比较基准为〖2.45%-2.75%〗（年化）。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本理财计划〖O份额〗业绩比较基准为〖2.55%-2.85%〗（年化）。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本理财计划〖P份额〗业绩比较基准为〖2.60%-2.90%〗（年化）。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本理财计划〖Q份额〗业绩比较基准为〖2.65%-2.95%〗（年化）。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本理财计划〖R份额〗业绩比较基准为〖2.60%-2.90%〗（年化）。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本理财计划〖S份额〗业绩比较基准为〖2.61%-2.91%〗（年化）。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本理财计划〖U份额〗业绩比较基准为〖2.55%-2.85%〗（年化）。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本理财计划〖V份额〗业绩比较基准为〖2.65%-2.95%〗（年化）。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本理财计划〖W份额〗业绩比较基准为〖2.45%-2.75%〗（年化）。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本理财计划〖X份额〗业绩比较基准为〖2.70%-3.00%〗（年化）。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本理财计划〖Y份额〗业绩比较基准为〖2.55%-2.85%〗（年化）。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本理财计划〖Z份额〗业绩比较基准为〖2.65%-2.95%〗（年化）。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〖E份额〗收取年化〖0.40%〗的销售服务费, 〖F份额〗收取年化〖0.15%〗的销售服务费, 〖G份额〗收取年化〖0.05%〗的销售服务费, 〖H份额〗收取年化〖0.20%〗的销售服务费, 〖I份额〗收取年化〖0.30%〗的销售服务费, 〖J份额〗收取年化〖0.05%〗的销售服务费, 〖K份额〗收取年化〖0.30%〗的销售服务费, 〖N份额〗收取年化〖0.20%〗的销售服务费, 〖O份额〗收取年化〖0.20%〗的销售服务费, 〖P份额〗收取年化〖0.15%〗的销售服务费, 〖Q份额〗收取年化〖0.10%〗的销售服务费, 〖R份额〗收取年化〖0.15%〗的销售服务费, 〖S份额〗收取年化〖0.15%〗的销售服务费, 〖U份额〗收取年化〖0.20%〗的销售服务费, 〖V份额〗收取年化〖0.10%〗的销售服务费, 〖W份额〗收取年化〖0.30%〗的销售服务费, 〖X份额〗收取年化〖0.05%〗的销售服务费,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〖E份额〗收取年化〖0.10%〗的固定管理费, 〖F份额〗收取年化〖0.05%〗的固定管理费, 〖G份额〗收取年化〖0.05%〗的固定管理费, 〖H份额〗收取年化〖0.05%〗的固定管理费, 〖I份额〗收取年化〖0.05%〗的固定管理费, 〖J份额〗收取年化〖0.05%〗的固定管理费, 〖K份额〗收取年化〖0.05%〗的固定管理费, 〖N份额〗收取年化〖0.05%〗的固定管理费, 〖O份额〗收取年化〖0.05%〗的固定管理费, 〖P份额〗收取年化〖0.05%〗的固定管理费, 〖Q份额〗收取年化〖0.05%〗的固定管理费, 〖R份额〗收取年化〖0.05%〗的固定管理费, 〖S份额〗收取年化〖0.04%〗的固定管理费, 〖U份额〗收取年化〖0.05%〗的固定管理费, 〖V份额〗收取年化〖0.05%〗的固定管理费, 〖W份额〗收取年化〖0.05%〗的固定管理费, 〖X份额〗收取年化〖0.05%〗的固定管理费, 〖Y份额〗收取年化〖0.05%〗的固定管理费,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除O份额）到期日（提前终止日）的折合年化收益率在〖业绩比较基准下限（含）至业绩比较基准上限（含）〗的部分，管理人提取〖50%〗作为浮动管理费，在折合年化收益率超过〖业绩比较基准上限〗的部分，管理人提取〖80%〗作为浮动管理费；〖O份额〗到期日（提前终止日）的折合年化收益率在〖业绩比较基准下限（含）至业绩比较基准中枢（含）〗的部分，管理人提取〖50%〗作为浮动管理费，在折合年化收益率超过〖业绩比较基准中枢〗的部分，管理人提取〖60%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auto"/>
          <w:kern w:val="2"/>
          <w:position w:val="-1"/>
          <w:sz w:val="24"/>
          <w:u w:val="none"/>
          <w:vertAlign w:val="baseline"/>
        </w:rPr>
        <w:t>1. 固定收益类资产：包括但不限于各类债券、存款、货币市场金融工具、债券基金、质押式及买断式回购、非标准化债权类资产，其他符合监管要求的固定收益类资产及资产管理产品。</w:t>
      </w:r>
      <w:r>
        <w:rPr>
          <w:rFonts w:ascii="宋体" w:hAnsi="宋体" w:eastAsia="宋体" w:cs="宋体"/>
          <w:b w:val="0"/>
          <w:i w:val="0"/>
          <w:caps w:val="0"/>
          <w:strike w:val="0"/>
          <w:dstrike w:val="0"/>
          <w:shadow w:val="0"/>
          <w:emboss w:val="0"/>
          <w:imprint w:val="0"/>
          <w:color w:val="auto"/>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auto"/>
          <w:kern w:val="2"/>
          <w:position w:val="-1"/>
          <w:sz w:val="24"/>
          <w:u w:val="none"/>
          <w:vertAlign w:val="baseline"/>
        </w:rPr>
        <w:t xml:space="preserve">    2. 权益类资产：仅限境内发行优先股和永续债。</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投资比例</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eastAsia="zh-CN"/>
        </w:rPr>
        <w:t>总</w:t>
      </w:r>
      <w:r>
        <w:rPr>
          <w:rFonts w:hint="eastAsia" w:ascii="宋体" w:hAnsi="宋体" w:cs="宋体"/>
          <w:bCs/>
          <w:sz w:val="24"/>
          <w:highlight w:val="none"/>
        </w:rPr>
        <w:t>资产的配置比例如下：</w:t>
      </w: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450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投资资产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配置比例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Merge w:val="restart"/>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固定收益类资产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90%-100%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Merge w:val="continue"/>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权益类资产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特殊资产类型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非标准化债权类资产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0%-50%</w:t>
            </w:r>
          </w:p>
        </w:tc>
      </w:tr>
    </w:tbl>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本理财计划特殊资产类型为基于大类资产类型项下的进一步细化分类，其配置比例不得超过大类资产配置比例。</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将通过对宏观经济形势、各项国家政策、及证券市场环境的分析来判断经济周期目前的位置，主动判断市场时机进行资产配置，确定在股票、债券、金融衍生品等各类资产上的投资比例。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w:t>
            </w:r>
            <w:r>
              <w:rPr>
                <w:rFonts w:hint="eastAsia" w:ascii="宋体" w:hAnsi="宋体" w:eastAsia="宋体" w:cs="宋体"/>
                <w:color w:val="000000"/>
                <w:kern w:val="0"/>
                <w:sz w:val="21"/>
                <w:szCs w:val="21"/>
                <w:lang w:val="en-US" w:eastAsia="zh-CN" w:bidi="ar"/>
              </w:rPr>
              <w:br w:type="textWrapping"/>
            </w:r>
            <w:r>
              <w:rPr>
                <w:rFonts w:hint="eastAsia" w:ascii="宋体" w:hAnsi="宋体" w:eastAsia="宋体" w:cs="宋体"/>
                <w:color w:val="000000"/>
                <w:kern w:val="0"/>
                <w:sz w:val="21"/>
                <w:szCs w:val="21"/>
                <w:lang w:val="en-US" w:eastAsia="zh-CN" w:bidi="ar"/>
              </w:rPr>
              <w:t>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I份额〗、〖J份额〗、〖K份额〗、〖O份额〗、〖P份额〗、〖V份额〗、〖X份额〗和销售服务费于产品成立日一次性收取的〖N份额〗、〖Q份额〗、〖R份额〗、〖S份额〗、〖U份额〗、〖W份额〗、〖Y份额〗、〖Z份额〗。A份额的年化销售服务费率为〖0.30%〗, B份额的年化销售服务费率为〖0.20%〗, C份额的年化销售服务费率为〖0.10%〗, D份额的年化销售服务费率为〖0.15%〗, E份额的年化销售服务费率为〖0.40%〗, F份额的年化销售服务费率为〖0.15%〗, G份额的年化销售服务费率为〖0.05%〗, H份额的年化销售服务费率为〖0.20%〗, I份额的年化销售服务费率为〖0.30%〗, J份额的年化销售服务费率为〖0.05%〗, K份额的年化销售服务费率为〖0.30%〗, N份额的年化销售服务费率为〖0.20%〗, O份额的年化销售服务费率为〖0.20%〗, P份额的年化销售服务费率为〖0.15%〗, Q份额的年化销售服务费率为〖0.10%〗, R份额的年化销售服务费率为〖0.15%〗, S份额的年化销售服务费率为〖0.15%〗, U份额的年化销售服务费率为〖0.20%〗, V份额的年化销售服务费率为〖0.10%〗, W份额的年化销售服务费率为〖0.30%〗, X份额的年化销售服务费率为〖0.05%〗,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lang w:val="en-US" w:eastAsia="zh-CN"/>
        </w:rPr>
        <w:t>以</w:t>
      </w:r>
      <w:r>
        <w:rPr>
          <w:rFonts w:hint="eastAsia" w:ascii="宋体" w:hAnsi="宋体" w:cs="宋体"/>
          <w:bCs/>
          <w:color w:val="000000"/>
          <w:sz w:val="24"/>
          <w:highlight w:val="none"/>
        </w:rPr>
        <w:t>〖</w:t>
      </w:r>
      <w:r>
        <w:rPr>
          <w:rFonts w:hint="eastAsia" w:ascii="宋体" w:hAnsi="宋体" w:eastAsia="宋体" w:cs="宋体"/>
          <w:bCs/>
          <w:color w:val="000000"/>
          <w:kern w:val="2"/>
          <w:sz w:val="24"/>
          <w:szCs w:val="24"/>
          <w:highlight w:val="none"/>
          <w:lang w:val="en-US" w:eastAsia="zh-CN" w:bidi="ar-SA"/>
        </w:rPr>
        <w:t>A</w:t>
      </w:r>
      <w:r>
        <w:rPr>
          <w:rFonts w:hint="eastAsia" w:ascii="宋体" w:hAnsi="宋体" w:cs="宋体"/>
          <w:bCs/>
          <w:color w:val="000000"/>
          <w:kern w:val="2"/>
          <w:sz w:val="24"/>
          <w:szCs w:val="24"/>
          <w:highlight w:val="none"/>
          <w:lang w:val="en-US" w:eastAsia="zh" w:bidi="ar-SA"/>
        </w:rPr>
        <w:t>份额</w:t>
      </w:r>
      <w:r>
        <w:rPr>
          <w:rFonts w:hint="eastAsia" w:ascii="宋体" w:hAnsi="宋体" w:cs="宋体"/>
          <w:color w:val="000000"/>
          <w:szCs w:val="21"/>
          <w:highlight w:val="none"/>
        </w:rPr>
        <w:t>〗</w:t>
      </w:r>
      <w:r>
        <w:rPr>
          <w:rFonts w:hint="eastAsia" w:ascii="宋体" w:hAnsi="宋体" w:cs="宋体"/>
          <w:bCs/>
          <w:color w:val="000000"/>
          <w:sz w:val="24"/>
          <w:highlight w:val="none"/>
        </w:rPr>
        <w:t>为例</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理财计划财产的年化固定管理费率为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80%作为浮动管理费，超过〖5.00%〗部分的投资收益管理人收取100%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100,000×1.0000×{[（1.0615÷1.0000-1）×365÷362-5.00%]×100%+(5.00%-4.00%)×80%}×362÷365=1,984.52（元）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100,000.00×（1.0615-1.0000）-1,984.52= 4,165.48（元）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80%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100,000.00×（1.0415-1.0000）-146.30 =4,003.70（元）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both"/>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spacing w:line="360" w:lineRule="auto"/>
        <w:rPr>
          <w:rFonts w:ascii="宋体" w:hAnsi="宋体" w:cs="宋体"/>
          <w:bCs/>
          <w:color w:val="000000"/>
          <w:sz w:val="24"/>
        </w:rPr>
      </w:pP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4F37C50"/>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1F6D90"/>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77307FA"/>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FF95C2"/>
    <w:rsid w:val="4E08799D"/>
    <w:rsid w:val="4E2B414A"/>
    <w:rsid w:val="4F5679CC"/>
    <w:rsid w:val="501840BA"/>
    <w:rsid w:val="52B042C0"/>
    <w:rsid w:val="53827B5D"/>
    <w:rsid w:val="53E86B53"/>
    <w:rsid w:val="54D66C67"/>
    <w:rsid w:val="568633C7"/>
    <w:rsid w:val="57061882"/>
    <w:rsid w:val="57280BF2"/>
    <w:rsid w:val="57FE8B5E"/>
    <w:rsid w:val="582C3B01"/>
    <w:rsid w:val="582D059F"/>
    <w:rsid w:val="582D396D"/>
    <w:rsid w:val="59083CAE"/>
    <w:rsid w:val="592570E8"/>
    <w:rsid w:val="59435FE6"/>
    <w:rsid w:val="59480030"/>
    <w:rsid w:val="59A3360E"/>
    <w:rsid w:val="5ADE2855"/>
    <w:rsid w:val="5B056CAE"/>
    <w:rsid w:val="5C664A4B"/>
    <w:rsid w:val="5CE67D31"/>
    <w:rsid w:val="5E5F4050"/>
    <w:rsid w:val="5F04726A"/>
    <w:rsid w:val="5F6D37D2"/>
    <w:rsid w:val="5F9C081D"/>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702573F3"/>
    <w:rsid w:val="70B57531"/>
    <w:rsid w:val="70FA499F"/>
    <w:rsid w:val="730C182D"/>
    <w:rsid w:val="73FC9A3F"/>
    <w:rsid w:val="751974A1"/>
    <w:rsid w:val="758B30E4"/>
    <w:rsid w:val="75F42331"/>
    <w:rsid w:val="761F7C3C"/>
    <w:rsid w:val="76683D2A"/>
    <w:rsid w:val="76C62D9E"/>
    <w:rsid w:val="78244617"/>
    <w:rsid w:val="7A923507"/>
    <w:rsid w:val="7ACB640D"/>
    <w:rsid w:val="7BFF1A29"/>
    <w:rsid w:val="7C044D89"/>
    <w:rsid w:val="7C63442B"/>
    <w:rsid w:val="7D3AA22F"/>
    <w:rsid w:val="7DE35ECA"/>
    <w:rsid w:val="7E1A0C5A"/>
    <w:rsid w:val="7E3212D3"/>
    <w:rsid w:val="7F5F887D"/>
    <w:rsid w:val="7FCC7D05"/>
    <w:rsid w:val="7FEF42B8"/>
    <w:rsid w:val="7FEFE414"/>
    <w:rsid w:val="9FD01BC3"/>
    <w:rsid w:val="B3FE25BF"/>
    <w:rsid w:val="BE6E0F8F"/>
    <w:rsid w:val="C679D4D5"/>
    <w:rsid w:val="D3FFF2E3"/>
    <w:rsid w:val="D4B948F0"/>
    <w:rsid w:val="D7BE90C3"/>
    <w:rsid w:val="DF76007A"/>
    <w:rsid w:val="F3F331A4"/>
    <w:rsid w:val="F3FF81F7"/>
    <w:rsid w:val="F7FE62B6"/>
    <w:rsid w:val="FA543BA3"/>
    <w:rsid w:val="FD7F9463"/>
    <w:rsid w:val="FEAED78B"/>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uiPriority w:val="0"/>
    <w:rPr>
      <w:rFonts w:ascii="Calibri" w:hAnsi="Calibri" w:cs="黑体"/>
      <w:kern w:val="2"/>
      <w:sz w:val="18"/>
      <w:szCs w:val="18"/>
    </w:rPr>
  </w:style>
  <w:style w:type="character" w:customStyle="1" w:styleId="15">
    <w:name w:val="批注主题 字符"/>
    <w:link w:val="7"/>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58</Pages>
  <Words>37973</Words>
  <Characters>40822</Characters>
  <Lines>1</Lines>
  <Paragraphs>1</Paragraphs>
  <TotalTime>4</TotalTime>
  <ScaleCrop>false</ScaleCrop>
  <LinksUpToDate>false</LinksUpToDate>
  <CharactersWithSpaces>41307</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2014-11-01T12:08:00Z</dcterms:created>
  <dc:creator>Administrator</dc:creator>
  <cp:lastModifiedBy>hccb</cp:lastModifiedBy>
  <dcterms:modified xsi:type="dcterms:W3CDTF">2025-09-29T02:32:47Z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