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2025HY311D  </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176 </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highlight w:val="none"/>
          <w:lang w:val="en-US" w:eastAsia="zh-CN"/>
        </w:rPr>
      </w:pPr>
      <w:r>
        <w:rPr>
          <w:rFonts w:hint="eastAsia" w:ascii="仿宋" w:hAnsi="仿宋" w:eastAsia="仿宋"/>
          <w:b/>
          <w:kern w:val="0"/>
          <w:sz w:val="32"/>
          <w:szCs w:val="32"/>
          <w:highlight w:val="none"/>
          <w:lang w:val="en-US" w:eastAsia="zh-CN"/>
        </w:rPr>
        <w:t>2025年涵屿财富311期封闭式净值型理财产品说明书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85"/>
        <w:gridCol w:w="135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2025涵屿财富311期-D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2025HY311D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C1080325000748</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7"/>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，天津银行有权根据实际情况进行调整，本产品最终发行规模以实际发行金额为准。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6"/>
            <w:vAlign w:val="center"/>
          </w:tcPr>
          <w:p>
            <w:pPr>
              <w:jc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2025年11月12日起至2025年11月18日止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232" w:type="dxa"/>
            <w:gridSpan w:val="4"/>
            <w:vAlign w:val="center"/>
          </w:tcPr>
          <w:p>
            <w:pPr>
              <w:jc w:val="left"/>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bCs/>
                <w:sz w:val="21"/>
                <w:szCs w:val="21"/>
                <w:highlight w:val="none"/>
                <w:lang w:val="en-US" w:eastAsia="zh-CN"/>
              </w:rPr>
              <w:t>2025年11月19日</w:t>
            </w:r>
          </w:p>
        </w:tc>
        <w:tc>
          <w:tcPr>
            <w:tcW w:w="1358" w:type="dxa"/>
            <w:vAlign w:val="center"/>
          </w:tcPr>
          <w:p>
            <w:pP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268" w:type="dxa"/>
            <w:vAlign w:val="center"/>
          </w:tcPr>
          <w:p>
            <w:pPr>
              <w:ind w:firstLine="420" w:firstLineChars="0"/>
              <w:jc w:val="both"/>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2026年5月14日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6"/>
            <w:vAlign w:val="center"/>
          </w:tcPr>
          <w:p>
            <w:pP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6"/>
            <w:vAlign w:val="center"/>
          </w:tcPr>
          <w:p>
            <w:pPr>
              <w:rPr>
                <w:rFonts w:hint="eastAsia" w:ascii="仿宋_GB2312" w:hAnsi="仿宋_GB2312" w:eastAsia="仿宋_GB2312" w:cs="仿宋_GB2312"/>
                <w:sz w:val="21"/>
                <w:szCs w:val="21"/>
                <w:highlight w:val="none"/>
              </w:rPr>
            </w:pPr>
            <w:r>
              <w:rPr>
                <w:rFonts w:hint="eastAsia" w:ascii="仿宋_GB2312" w:hAnsi="仿宋_GB2312" w:eastAsia="仿宋_GB2312" w:cs="仿宋_GB2312"/>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6"/>
            <w:vAlign w:val="center"/>
          </w:tcPr>
          <w:p>
            <w:pPr>
              <w:spacing w:line="240" w:lineRule="exact"/>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Cs w:val="21"/>
                <w:highlight w:val="none"/>
              </w:rPr>
              <w:t>产品到期日或提前终止日至理财资金返还到账日之间，最迟不超</w:t>
            </w:r>
            <w:r>
              <w:rPr>
                <w:rFonts w:hint="eastAsia" w:ascii="仿宋_GB2312" w:hAnsi="仿宋_GB2312" w:eastAsia="仿宋_GB2312" w:cs="仿宋_GB2312"/>
                <w:bCs/>
                <w:szCs w:val="21"/>
                <w:highlight w:val="none"/>
                <w:lang w:val="en-US" w:eastAsia="zh-CN"/>
              </w:rPr>
              <w:t>过两</w:t>
            </w:r>
            <w:r>
              <w:rPr>
                <w:rFonts w:hint="eastAsia" w:ascii="仿宋_GB2312" w:hAnsi="仿宋_GB2312" w:eastAsia="仿宋_GB2312" w:cs="仿宋_GB2312"/>
                <w:bCs/>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7"/>
            <w:vAlign w:val="center"/>
          </w:tcPr>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7"/>
            <w:vAlign w:val="center"/>
          </w:tcPr>
          <w:p>
            <w:pPr>
              <w:pStyle w:val="23"/>
              <w:keepNext w:val="0"/>
              <w:keepLines w:val="0"/>
              <w:pageBreakBefore w:val="0"/>
              <w:numPr>
                <w:ilvl w:val="0"/>
                <w:numId w:val="2"/>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2.投资比例：固定收益类资产、货币市场工具以及以前述资产为投资标的的金融产品占比80%-100%，权益类及其他资产占比0%-20%。本产品杠杆水平上限为200%。</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3.投资团队为： </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2.23%</w:t>
            </w:r>
            <w:r>
              <w:rPr>
                <w:rFonts w:hint="eastAsia" w:ascii="仿宋_GB2312" w:hAnsi="仿宋_GB2312" w:eastAsia="仿宋_GB2312" w:cs="仿宋_GB2312"/>
                <w:b/>
                <w:bCs w:val="0"/>
                <w:color w:val="000000"/>
                <w:sz w:val="21"/>
                <w:szCs w:val="21"/>
                <w:highlight w:val="none"/>
              </w:rPr>
              <w:t>(年化)</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7"/>
            <w:vAlign w:val="center"/>
          </w:tcPr>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%，投资管理费率：</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lang w:eastAsia="zh-CN"/>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r>
              <w:rPr>
                <w:rFonts w:hint="eastAsia" w:ascii="仿宋_GB2312" w:hAnsi="仿宋_GB2312" w:eastAsia="仿宋_GB2312" w:cs="仿宋_GB2312"/>
                <w:bCs/>
                <w:sz w:val="21"/>
                <w:szCs w:val="21"/>
                <w:highlight w:val="none"/>
              </w:rPr>
              <w:t>。</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7"/>
            <w:vAlign w:val="center"/>
          </w:tcPr>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情景一：扣除销售手续费、投资管理费、托管费、产品运营管理费后，年化收益率为业绩比较基准</w:t>
            </w:r>
            <w:r>
              <w:rPr>
                <w:rFonts w:hint="eastAsia" w:ascii="仿宋_GB2312" w:hAnsi="仿宋_GB2312" w:eastAsia="仿宋_GB2312" w:cs="仿宋_GB2312"/>
                <w:b/>
                <w:bCs/>
                <w:sz w:val="21"/>
                <w:szCs w:val="21"/>
                <w:highlight w:val="none"/>
              </w:rPr>
              <w:t>。</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1.010753</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1.010753</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2.23%</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1.010753</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107.53</w:t>
            </w:r>
            <w:r>
              <w:rPr>
                <w:rFonts w:hint="eastAsia" w:ascii="仿宋_GB2312" w:hAnsi="仿宋_GB2312" w:eastAsia="仿宋_GB2312" w:cs="仿宋_GB2312"/>
                <w:bCs/>
                <w:sz w:val="21"/>
                <w:szCs w:val="21"/>
                <w:highlight w:val="none"/>
              </w:rPr>
              <w:t>（元）</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情景二</w:t>
            </w:r>
            <w:r>
              <w:rPr>
                <w:rFonts w:hint="eastAsia" w:ascii="仿宋_GB2312" w:hAnsi="仿宋_GB2312" w:eastAsia="仿宋_GB2312" w:cs="仿宋_GB2312"/>
                <w:b/>
                <w:bCs/>
                <w:sz w:val="21"/>
                <w:szCs w:val="21"/>
                <w:highlight w:val="none"/>
              </w:rPr>
              <w:t>：最不利情况，扣除销售手续费、投资管理费、托管费、产品运营管理费后，收益率为负。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wordWrap/>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wordWrap/>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w:t>
            </w:r>
            <w:r>
              <w:rPr>
                <w:rFonts w:hint="eastAsia" w:ascii="仿宋_GB2312" w:hAnsi="仿宋_GB2312" w:eastAsia="仿宋_GB2312" w:cs="仿宋_GB2312"/>
                <w:b/>
                <w:bCs/>
                <w:kern w:val="0"/>
                <w:sz w:val="21"/>
                <w:szCs w:val="21"/>
                <w:highlight w:val="none"/>
                <w:lang w:val="en-US" w:eastAsia="zh-CN"/>
              </w:rPr>
              <w:t>机构</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eastAsia="zh-CN"/>
              </w:rPr>
              <w:t>上海银行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资产托管人主要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sz w:val="21"/>
                <w:szCs w:val="21"/>
                <w:highlight w:val="none"/>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（1）理财产品所投资资产对投资者权益或投资收益等产生重大影响的突发事件；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（2）金融市场发生重大变化导致理财产品投资比例暂时超出浮动区间且可能对理财产品收益产生重大影响的。</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6．临时性信息披露，包括但不限于如下事件：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（1）如本产品需延期清算，将最迟于到期日后5个工作日内在官方网站或营业网点等渠道发布相关信息公告。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8．客户不得利用金融产品和服务从事违法活动。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sz w:val="21"/>
                <w:szCs w:val="21"/>
                <w:highlight w:val="none"/>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特别提示</w:t>
            </w:r>
          </w:p>
        </w:tc>
        <w:tc>
          <w:tcPr>
            <w:tcW w:w="8457" w:type="dxa"/>
            <w:gridSpan w:val="7"/>
            <w:vAlign w:val="center"/>
          </w:tcPr>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wordWrap/>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1220E84"/>
    <w:rsid w:val="01CE5F3B"/>
    <w:rsid w:val="0239305F"/>
    <w:rsid w:val="03DF4439"/>
    <w:rsid w:val="03F87BE7"/>
    <w:rsid w:val="05CD556E"/>
    <w:rsid w:val="06286368"/>
    <w:rsid w:val="09171878"/>
    <w:rsid w:val="0A373B6D"/>
    <w:rsid w:val="0A741C60"/>
    <w:rsid w:val="0AE21A76"/>
    <w:rsid w:val="0C9C1A42"/>
    <w:rsid w:val="0E063FDD"/>
    <w:rsid w:val="12DD021B"/>
    <w:rsid w:val="147614D3"/>
    <w:rsid w:val="17090146"/>
    <w:rsid w:val="17197D96"/>
    <w:rsid w:val="1ADB1A1A"/>
    <w:rsid w:val="1C4A3993"/>
    <w:rsid w:val="1CCD1E84"/>
    <w:rsid w:val="1D33051A"/>
    <w:rsid w:val="1F1F18FF"/>
    <w:rsid w:val="22C01E95"/>
    <w:rsid w:val="25DF7AE3"/>
    <w:rsid w:val="266E1C2D"/>
    <w:rsid w:val="276A51EC"/>
    <w:rsid w:val="2794610B"/>
    <w:rsid w:val="2B4D4829"/>
    <w:rsid w:val="2C493E89"/>
    <w:rsid w:val="2CA4302C"/>
    <w:rsid w:val="2FB26991"/>
    <w:rsid w:val="2FE55345"/>
    <w:rsid w:val="32CC52D6"/>
    <w:rsid w:val="33060D42"/>
    <w:rsid w:val="335B7966"/>
    <w:rsid w:val="3645473A"/>
    <w:rsid w:val="38C80F97"/>
    <w:rsid w:val="3B2A2297"/>
    <w:rsid w:val="3DD25FAD"/>
    <w:rsid w:val="3E3A53EA"/>
    <w:rsid w:val="3E961DBD"/>
    <w:rsid w:val="3EE12706"/>
    <w:rsid w:val="3F6A4899"/>
    <w:rsid w:val="450223F6"/>
    <w:rsid w:val="478156FC"/>
    <w:rsid w:val="47A64894"/>
    <w:rsid w:val="49BE01E4"/>
    <w:rsid w:val="4A6E00CF"/>
    <w:rsid w:val="4CF80DC4"/>
    <w:rsid w:val="4E2F15F1"/>
    <w:rsid w:val="4E545988"/>
    <w:rsid w:val="4EF22B42"/>
    <w:rsid w:val="50161982"/>
    <w:rsid w:val="57410D47"/>
    <w:rsid w:val="594F42E4"/>
    <w:rsid w:val="597E77BA"/>
    <w:rsid w:val="5A273F0C"/>
    <w:rsid w:val="5A866748"/>
    <w:rsid w:val="5B8804A8"/>
    <w:rsid w:val="5BA91053"/>
    <w:rsid w:val="5BBF4D92"/>
    <w:rsid w:val="5D9A5640"/>
    <w:rsid w:val="5E5512FB"/>
    <w:rsid w:val="5EE84E75"/>
    <w:rsid w:val="626C2134"/>
    <w:rsid w:val="62D95485"/>
    <w:rsid w:val="669A301A"/>
    <w:rsid w:val="69545BB2"/>
    <w:rsid w:val="69904A9A"/>
    <w:rsid w:val="6ADE25F0"/>
    <w:rsid w:val="6D51076D"/>
    <w:rsid w:val="6D7E74BE"/>
    <w:rsid w:val="6E2D219B"/>
    <w:rsid w:val="6FFB165D"/>
    <w:rsid w:val="714527E9"/>
    <w:rsid w:val="717D03D8"/>
    <w:rsid w:val="74656C19"/>
    <w:rsid w:val="75D32807"/>
    <w:rsid w:val="76985210"/>
    <w:rsid w:val="77F570B1"/>
    <w:rsid w:val="7A8A7E14"/>
    <w:rsid w:val="7B75497C"/>
    <w:rsid w:val="7BDB7DDB"/>
    <w:rsid w:val="7D402603"/>
    <w:rsid w:val="7E931BE6"/>
    <w:rsid w:val="7EAF1651"/>
    <w:rsid w:val="7F3E5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17895</Words>
  <Characters>18392</Characters>
  <Lines>34</Lines>
  <Paragraphs>9</Paragraphs>
  <ScaleCrop>false</ScaleCrop>
  <LinksUpToDate>false</LinksUpToDate>
  <CharactersWithSpaces>18700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2025-11-10T09:09:18Z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