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w:t>
      </w:r>
      <w:r>
        <w:rPr>
          <w:rFonts w:hint="eastAsia" w:ascii="黑体" w:hAnsi="黑体" w:eastAsia="黑体"/>
          <w:b/>
          <w:sz w:val="44"/>
          <w:szCs w:val="44"/>
          <w:lang w:eastAsia="zh-CN"/>
        </w:rPr>
        <w:t>安盈</w:t>
      </w:r>
      <w:r>
        <w:rPr>
          <w:rFonts w:hint="eastAsia" w:ascii="黑体" w:hAnsi="黑体" w:eastAsia="黑体"/>
          <w:b/>
          <w:sz w:val="44"/>
          <w:szCs w:val="44"/>
        </w:rPr>
        <w:t>封闭式】理财产品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w:t>
      </w:r>
      <w:r>
        <w:rPr>
          <w:rFonts w:hint="eastAsia" w:ascii="黑体" w:hAnsi="黑体" w:eastAsia="黑体"/>
          <w:b/>
          <w:sz w:val="44"/>
          <w:szCs w:val="44"/>
          <w:lang w:eastAsia="zh-CN"/>
        </w:rPr>
        <w:t>安盈</w:t>
      </w:r>
      <w:r>
        <w:rPr>
          <w:rFonts w:hint="eastAsia" w:ascii="黑体" w:hAnsi="黑体" w:eastAsia="黑体"/>
          <w:b/>
          <w:sz w:val="44"/>
          <w:szCs w:val="44"/>
        </w:rPr>
        <w:t>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23112224"/>
      <w:bookmarkStart w:id="2" w:name="_Toc139992301"/>
      <w:bookmarkStart w:id="3" w:name="_Toc139991726"/>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112225"/>
      <w:bookmarkStart w:id="7" w:name="_Toc123112264"/>
      <w:bookmarkStart w:id="8" w:name="_Toc123701384"/>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11</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701386"/>
      <w:bookmarkStart w:id="12" w:name="_Toc139991729"/>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【兴银理财稳利安盈封闭式2025年</w:t>
            </w:r>
            <w:r>
              <w:rPr>
                <w:rFonts w:hint="eastAsia" w:ascii="宋体" w:hAnsi="宋体"/>
                <w:bCs/>
                <w:color w:val="auto"/>
                <w:sz w:val="18"/>
                <w:szCs w:val="18"/>
                <w:highlight w:val="none"/>
                <w:lang w:eastAsia="zh-CN"/>
              </w:rPr>
              <w:t>432期</w:t>
            </w:r>
            <w:r>
              <w:rPr>
                <w:rFonts w:hint="eastAsia" w:ascii="宋体" w:hAnsi="宋体"/>
                <w:bCs/>
                <w:color w:val="auto"/>
                <w:sz w:val="18"/>
                <w:szCs w:val="18"/>
                <w:highlight w:val="none"/>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432期</w:t>
            </w:r>
            <w:r>
              <w:rPr>
                <w:rFonts w:hint="eastAsia" w:ascii="宋体" w:hAnsi="宋体"/>
                <w:bCs/>
                <w:color w:val="auto"/>
                <w:sz w:val="18"/>
                <w:szCs w:val="18"/>
                <w:highlight w:val="none"/>
              </w:rPr>
              <w:t>A】（适用【A】类份额）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432期</w:t>
            </w:r>
            <w:r>
              <w:rPr>
                <w:rFonts w:hint="eastAsia" w:ascii="宋体" w:hAnsi="宋体"/>
                <w:bCs/>
                <w:color w:val="auto"/>
                <w:sz w:val="18"/>
                <w:szCs w:val="18"/>
                <w:highlight w:val="none"/>
              </w:rPr>
              <w:t>B】（适用【B】类份额）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432期</w:t>
            </w:r>
            <w:r>
              <w:rPr>
                <w:rFonts w:hint="eastAsia" w:ascii="宋体" w:hAnsi="宋体"/>
                <w:bCs/>
                <w:color w:val="auto"/>
                <w:sz w:val="18"/>
                <w:szCs w:val="18"/>
                <w:highlight w:val="none"/>
              </w:rPr>
              <w:t>C】（适用【C】类份额）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432期</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432期</w:t>
            </w:r>
            <w:r>
              <w:rPr>
                <w:rFonts w:hint="eastAsia" w:ascii="宋体" w:hAnsi="宋体"/>
                <w:bCs/>
                <w:color w:val="auto"/>
                <w:sz w:val="18"/>
                <w:szCs w:val="18"/>
                <w:highlight w:val="none"/>
              </w:rPr>
              <w:t>F】（适用【</w:t>
            </w:r>
            <w:r>
              <w:rPr>
                <w:rFonts w:hint="eastAsia" w:ascii="宋体" w:hAnsi="宋体"/>
                <w:bCs/>
                <w:color w:val="auto"/>
                <w:sz w:val="18"/>
                <w:szCs w:val="18"/>
                <w:highlight w:val="none"/>
                <w:lang w:val="en-US" w:eastAsia="zh-CN"/>
              </w:rPr>
              <w:t>F</w:t>
            </w:r>
            <w:r>
              <w:rPr>
                <w:rFonts w:hint="eastAsia" w:ascii="宋体" w:hAnsi="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color w:val="auto"/>
                <w:sz w:val="18"/>
                <w:szCs w:val="18"/>
              </w:rPr>
            </w:pPr>
            <w:r>
              <w:rPr>
                <w:rFonts w:hint="eastAsia" w:asciiTheme="majorEastAsia" w:hAnsiTheme="majorEastAsia" w:eastAsiaTheme="majorEastAsia"/>
                <w:color w:val="auto"/>
                <w:sz w:val="18"/>
                <w:szCs w:val="18"/>
                <w:highlight w:val="none"/>
              </w:rPr>
              <w:t>【</w:t>
            </w:r>
            <w:r>
              <w:rPr>
                <w:rFonts w:hint="eastAsia" w:asciiTheme="minorEastAsia" w:hAnsiTheme="minorEastAsia"/>
                <w:color w:val="auto"/>
                <w:sz w:val="18"/>
                <w:szCs w:val="18"/>
              </w:rPr>
              <w:t>Z7002025001373</w:t>
            </w:r>
            <w:r>
              <w:rPr>
                <w:rFonts w:hint="eastAsia" w:asciiTheme="majorEastAsia" w:hAnsiTheme="majorEastAsia" w:eastAsiaTheme="majorEastAsia"/>
                <w:color w:val="auto"/>
                <w:sz w:val="18"/>
                <w:szCs w:val="18"/>
                <w:highlight w:val="none"/>
              </w:rPr>
              <w:t>】</w:t>
            </w:r>
            <w:r>
              <w:rPr>
                <w:rFonts w:hint="eastAsia" w:ascii="宋体" w:hAnsi="宋体"/>
                <w:bCs/>
                <w:color w:val="auto"/>
                <w:sz w:val="18"/>
                <w:szCs w:val="18"/>
              </w:rPr>
              <w:t>注：投资者可依据理财产品登记编码在中国理财网查询产品信息</w:t>
            </w:r>
            <w:r>
              <w:rPr>
                <w:color w:val="auto"/>
              </w:rPr>
              <w:fldChar w:fldCharType="begin"/>
            </w:r>
            <w:r>
              <w:rPr>
                <w:color w:val="auto"/>
              </w:rPr>
              <w:instrText xml:space="preserve"> HYPERLINK "http://www.chinawealth.com.cn" </w:instrText>
            </w:r>
            <w:r>
              <w:rPr>
                <w:color w:val="auto"/>
              </w:rPr>
              <w:fldChar w:fldCharType="separate"/>
            </w:r>
            <w:r>
              <w:rPr>
                <w:rFonts w:ascii="宋体" w:hAnsi="宋体"/>
                <w:bCs/>
                <w:color w:val="auto"/>
                <w:sz w:val="18"/>
                <w:szCs w:val="18"/>
              </w:rPr>
              <w:t>www.chinawealth.com.cn</w:t>
            </w:r>
            <w:r>
              <w:rPr>
                <w:rFonts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color w:val="auto"/>
                <w:sz w:val="18"/>
                <w:szCs w:val="18"/>
                <w:highlight w:val="none"/>
              </w:rPr>
            </w:pPr>
            <w:r>
              <w:rPr>
                <w:rFonts w:ascii="宋体" w:hAnsi="宋体"/>
                <w:bCs/>
                <w:color w:val="auto"/>
                <w:sz w:val="18"/>
                <w:szCs w:val="18"/>
              </w:rPr>
              <w:t>【</w:t>
            </w:r>
            <w:r>
              <w:rPr>
                <w:rFonts w:hint="eastAsia" w:ascii="宋体" w:hAnsi="宋体"/>
                <w:bCs/>
                <w:color w:val="auto"/>
                <w:sz w:val="18"/>
                <w:szCs w:val="18"/>
                <w:lang w:eastAsia="zh-CN"/>
              </w:rPr>
              <w:t>9A254320</w:t>
            </w:r>
            <w:r>
              <w:rPr>
                <w:rFonts w:hint="eastAsia"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9A25432A</w:t>
            </w:r>
            <w:r>
              <w:rPr>
                <w:rFonts w:hint="eastAsia" w:ascii="宋体" w:hAnsi="宋体"/>
                <w:bCs/>
                <w:color w:val="auto"/>
                <w:sz w:val="18"/>
                <w:szCs w:val="18"/>
                <w:highlight w:val="none"/>
              </w:rPr>
              <w:t>】（适用【A】类份额）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9A25432B</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B</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9A25432C</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C</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9A25432</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9A25432F</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F</w:t>
            </w:r>
            <w:r>
              <w:rPr>
                <w:rFonts w:hint="eastAsia" w:ascii="宋体" w:hAnsi="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4966"/>
      <w:bookmarkStart w:id="15" w:name="_Toc123112229"/>
      <w:bookmarkStart w:id="16" w:name="_Toc26897"/>
      <w:bookmarkStart w:id="17" w:name="_Toc123112268"/>
      <w:bookmarkStart w:id="18" w:name="_Toc30935"/>
      <w:bookmarkStart w:id="19" w:name="_Toc139991730"/>
      <w:bookmarkStart w:id="20" w:name="_Toc29629"/>
      <w:bookmarkStart w:id="21" w:name="_Toc123701389"/>
      <w:bookmarkStart w:id="22" w:name="_Toc4867"/>
      <w:bookmarkStart w:id="23" w:name="_Toc141703880"/>
      <w:bookmarkStart w:id="24" w:name="_Toc23386"/>
      <w:bookmarkStart w:id="25" w:name="_Toc32639"/>
      <w:bookmarkStart w:id="26" w:name="_Toc6306"/>
      <w:bookmarkStart w:id="27" w:name="_Toc15517"/>
      <w:bookmarkStart w:id="28" w:name="_Toc872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1301"/>
      <w:bookmarkStart w:id="33" w:name="_Toc3224"/>
      <w:bookmarkStart w:id="34" w:name="_Toc24860"/>
      <w:bookmarkStart w:id="35" w:name="_Toc19592"/>
      <w:bookmarkStart w:id="36" w:name="_Toc258829399"/>
      <w:bookmarkStart w:id="37" w:name="_Toc2465"/>
      <w:bookmarkStart w:id="38" w:name="_Toc22864"/>
      <w:bookmarkStart w:id="39" w:name="_Toc13020"/>
      <w:bookmarkStart w:id="40" w:name="_Toc819"/>
      <w:bookmarkStart w:id="41" w:name="_Toc6617"/>
      <w:bookmarkStart w:id="42" w:name="_Toc1506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2708"/>
      <w:bookmarkStart w:id="48" w:name="_Toc6149"/>
      <w:bookmarkStart w:id="49" w:name="_Toc13288"/>
      <w:bookmarkStart w:id="50" w:name="_Toc6683"/>
      <w:bookmarkStart w:id="51" w:name="_Toc733"/>
      <w:bookmarkStart w:id="52" w:name="_Toc20627"/>
      <w:bookmarkStart w:id="53" w:name="_Toc18631"/>
      <w:bookmarkStart w:id="54" w:name="_Toc74065740"/>
      <w:bookmarkStart w:id="55" w:name="_Toc24571"/>
      <w:bookmarkStart w:id="56" w:name="_Toc545"/>
      <w:bookmarkStart w:id="57" w:name="_Toc2031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w:t>
      </w:r>
      <w:r>
        <w:rPr>
          <w:rFonts w:hint="eastAsia" w:ascii="黑体" w:hAnsi="黑体" w:eastAsia="黑体"/>
          <w:b/>
          <w:bCs/>
          <w:sz w:val="44"/>
          <w:szCs w:val="44"/>
          <w:lang w:eastAsia="zh-CN"/>
        </w:rPr>
        <w:t>安盈</w:t>
      </w:r>
      <w:r>
        <w:rPr>
          <w:rFonts w:hint="eastAsia" w:ascii="黑体" w:hAnsi="黑体" w:eastAsia="黑体"/>
          <w:b/>
          <w:bCs/>
          <w:sz w:val="44"/>
          <w:szCs w:val="44"/>
        </w:rPr>
        <w:t>封闭式】理财产品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11</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cs="宋体"/>
                <w:bCs/>
                <w:color w:val="auto"/>
                <w:sz w:val="18"/>
                <w:szCs w:val="18"/>
              </w:rPr>
            </w:pPr>
            <w:r>
              <w:rPr>
                <w:rFonts w:hint="eastAsia" w:ascii="宋体" w:hAnsi="宋体" w:cs="宋体"/>
                <w:bCs/>
                <w:color w:val="auto"/>
                <w:sz w:val="18"/>
                <w:szCs w:val="18"/>
                <w:highlight w:val="none"/>
              </w:rPr>
              <w:t>【兴银理财稳利安盈封闭式2025年</w:t>
            </w:r>
            <w:r>
              <w:rPr>
                <w:rFonts w:hint="eastAsia" w:ascii="宋体" w:hAnsi="宋体" w:cs="宋体"/>
                <w:bCs/>
                <w:color w:val="auto"/>
                <w:sz w:val="18"/>
                <w:szCs w:val="18"/>
                <w:highlight w:val="none"/>
                <w:lang w:eastAsia="zh-CN"/>
              </w:rPr>
              <w:t>432期</w:t>
            </w:r>
            <w:r>
              <w:rPr>
                <w:rFonts w:hint="eastAsia" w:ascii="宋体" w:hAnsi="宋体" w:cs="宋体"/>
                <w:bCs/>
                <w:color w:val="auto"/>
                <w:sz w:val="18"/>
                <w:szCs w:val="18"/>
                <w:highlight w:val="none"/>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432期</w:t>
            </w:r>
            <w:r>
              <w:rPr>
                <w:rFonts w:hint="eastAsia" w:ascii="宋体" w:hAnsi="宋体" w:cs="宋体"/>
                <w:bCs/>
                <w:color w:val="auto"/>
                <w:sz w:val="18"/>
                <w:szCs w:val="18"/>
                <w:highlight w:val="none"/>
              </w:rPr>
              <w:t>A】（适用【A】类份额）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432期</w:t>
            </w:r>
            <w:r>
              <w:rPr>
                <w:rFonts w:hint="eastAsia" w:ascii="宋体" w:hAnsi="宋体" w:cs="宋体"/>
                <w:bCs/>
                <w:color w:val="auto"/>
                <w:sz w:val="18"/>
                <w:szCs w:val="18"/>
                <w:highlight w:val="none"/>
              </w:rPr>
              <w:t>B】（适用【B】类份额）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432期</w:t>
            </w:r>
            <w:r>
              <w:rPr>
                <w:rFonts w:hint="eastAsia" w:ascii="宋体" w:hAnsi="宋体" w:cs="宋体"/>
                <w:bCs/>
                <w:color w:val="auto"/>
                <w:sz w:val="18"/>
                <w:szCs w:val="18"/>
                <w:highlight w:val="none"/>
              </w:rPr>
              <w:t>C】（适用【C】类份额）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432期</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】类份额）</w:t>
            </w:r>
          </w:p>
          <w:p>
            <w:pPr>
              <w:spacing w:line="360" w:lineRule="auto"/>
              <w:jc w:val="left"/>
              <w:rPr>
                <w:rFonts w:hint="eastAsia" w:ascii="Calibri" w:hAnsi="宋体" w:cs="宋体"/>
                <w:color w:val="auto"/>
                <w:sz w:val="18"/>
                <w:szCs w:val="18"/>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432期</w:t>
            </w:r>
            <w:r>
              <w:rPr>
                <w:rFonts w:hint="eastAsia" w:ascii="宋体" w:hAnsi="宋体" w:cs="宋体"/>
                <w:bCs/>
                <w:color w:val="auto"/>
                <w:sz w:val="18"/>
                <w:szCs w:val="18"/>
                <w:highlight w:val="none"/>
              </w:rPr>
              <w:t>F】（适用【</w:t>
            </w:r>
            <w:r>
              <w:rPr>
                <w:rFonts w:hint="eastAsia" w:ascii="宋体" w:hAnsi="宋体" w:cs="宋体"/>
                <w:bCs/>
                <w:color w:val="auto"/>
                <w:sz w:val="18"/>
                <w:szCs w:val="18"/>
                <w:highlight w:val="none"/>
                <w:lang w:val="en-US" w:eastAsia="zh-CN"/>
              </w:rPr>
              <w:t>F</w:t>
            </w:r>
            <w:r>
              <w:rPr>
                <w:rFonts w:hint="eastAsia" w:ascii="宋体" w:hAnsi="宋体" w:cs="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spacing w:line="360" w:lineRule="auto"/>
              <w:jc w:val="left"/>
              <w:rPr>
                <w:rFonts w:ascii="宋体" w:hAnsi="宋体" w:cs="宋体"/>
                <w:b/>
                <w:sz w:val="18"/>
                <w:szCs w:val="18"/>
              </w:rPr>
            </w:pPr>
            <w:r>
              <w:rPr>
                <w:rFonts w:hint="eastAsia" w:ascii="宋体" w:hAnsi="宋体" w:cs="宋体"/>
                <w:sz w:val="18"/>
                <w:szCs w:val="18"/>
              </w:rPr>
              <w:t>【</w:t>
            </w:r>
            <w:r>
              <w:rPr>
                <w:rFonts w:hint="eastAsia" w:ascii="宋体" w:hAnsi="宋体" w:cs="宋体"/>
                <w:color w:val="auto"/>
                <w:sz w:val="18"/>
                <w:szCs w:val="18"/>
              </w:rPr>
              <w:t>Z7002025001373</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color w:val="auto"/>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9A254320</w:t>
            </w:r>
            <w:r>
              <w:rPr>
                <w:rFonts w:hint="eastAsia"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9A25432A</w:t>
            </w:r>
            <w:r>
              <w:rPr>
                <w:rFonts w:hint="eastAsia" w:ascii="宋体" w:hAnsi="宋体" w:cs="宋体"/>
                <w:bCs/>
                <w:color w:val="auto"/>
                <w:sz w:val="18"/>
                <w:szCs w:val="18"/>
                <w:highlight w:val="none"/>
              </w:rPr>
              <w:t>】（适用【A】类份额）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9A25432B</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B</w:t>
            </w:r>
            <w:r>
              <w:rPr>
                <w:rFonts w:hint="eastAsia" w:ascii="宋体" w:hAnsi="宋体" w:cs="宋体"/>
                <w:bCs/>
                <w:color w:val="auto"/>
                <w:sz w:val="18"/>
                <w:szCs w:val="18"/>
                <w:highlight w:val="none"/>
              </w:rPr>
              <w:t>】类份额）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9A25432C</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C</w:t>
            </w:r>
            <w:r>
              <w:rPr>
                <w:rFonts w:hint="eastAsia" w:ascii="宋体" w:hAnsi="宋体" w:cs="宋体"/>
                <w:bCs/>
                <w:color w:val="auto"/>
                <w:sz w:val="18"/>
                <w:szCs w:val="18"/>
                <w:highlight w:val="none"/>
              </w:rPr>
              <w:t>】类份额）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9A25432</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】类份额）</w:t>
            </w:r>
          </w:p>
          <w:p>
            <w:pPr>
              <w:spacing w:line="360" w:lineRule="auto"/>
              <w:jc w:val="left"/>
              <w:rPr>
                <w:rFonts w:hint="eastAsia" w:ascii="Calibri" w:hAnsi="宋体" w:cs="宋体"/>
                <w:color w:val="auto"/>
                <w:sz w:val="18"/>
                <w:szCs w:val="18"/>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9A25432F</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F</w:t>
            </w:r>
            <w:r>
              <w:rPr>
                <w:rFonts w:hint="eastAsia" w:ascii="宋体" w:hAnsi="宋体" w:cs="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hint="eastAsia" w:ascii="Calibri" w:hAnsi="宋体" w:cs="宋体"/>
                <w:sz w:val="18"/>
                <w:szCs w:val="18"/>
              </w:rPr>
              <w:t>（适用【</w:t>
            </w:r>
            <w:r>
              <w:rPr>
                <w:rFonts w:hint="eastAsia" w:ascii="宋体" w:hAnsi="宋体" w:eastAsia="宋体" w:cs="宋体"/>
                <w:bCs/>
                <w:color w:val="000000"/>
                <w:sz w:val="18"/>
                <w:szCs w:val="18"/>
                <w:lang w:val="en-US" w:eastAsia="zh-CN"/>
              </w:rPr>
              <w:t>A/B/C/E/F】类</w:t>
            </w:r>
            <w:r>
              <w:rPr>
                <w:rFonts w:hint="eastAsia" w:ascii="Calibri" w:hAnsi="宋体" w:cs="宋体"/>
                <w:sz w:val="18"/>
                <w:szCs w:val="18"/>
              </w:rPr>
              <w:t>份额）</w:t>
            </w:r>
          </w:p>
          <w:p>
            <w:pPr>
              <w:spacing w:line="360" w:lineRule="auto"/>
              <w:rPr>
                <w:rFonts w:ascii="宋体" w:hAnsi="宋体" w:eastAsia="宋体" w:cs="宋体"/>
                <w:bCs/>
                <w:color w:val="000000"/>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color w:val="auto"/>
                <w:sz w:val="18"/>
                <w:szCs w:val="18"/>
                <w:lang w:val="en-US" w:eastAsia="zh-CN"/>
              </w:rPr>
              <w:t>5</w:t>
            </w:r>
            <w:r>
              <w:rPr>
                <w:rFonts w:hint="eastAsia" w:ascii="宋体" w:hAnsi="宋体" w:eastAsia="宋体" w:cs="宋体"/>
                <w:bCs/>
                <w:color w:val="auto"/>
                <w:sz w:val="18"/>
                <w:szCs w:val="18"/>
              </w:rPr>
              <w:t>】</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■有固定期限：【</w:t>
            </w:r>
            <w:r>
              <w:rPr>
                <w:rFonts w:hint="eastAsia" w:ascii="宋体" w:hAnsi="宋体" w:cs="Times New Roman"/>
                <w:color w:val="auto"/>
                <w:sz w:val="18"/>
                <w:szCs w:val="18"/>
                <w:lang w:val="en-US" w:eastAsia="zh-CN"/>
              </w:rPr>
              <w:t>428</w:t>
            </w:r>
            <w:r>
              <w:rPr>
                <w:rFonts w:hint="eastAsia" w:ascii="宋体" w:hAnsi="宋体" w:cs="Times New Roman"/>
                <w:sz w:val="18"/>
                <w:szCs w:val="18"/>
                <w:lang w:val="en-US" w:eastAsia="zh-CN"/>
              </w:rPr>
              <w:t>日】</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□无固定期限</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1.本产品认购期/募集期为：【2025】年【11】月</w:t>
            </w:r>
            <w:r>
              <w:rPr>
                <w:rFonts w:hint="eastAsia" w:ascii="宋体" w:hAnsi="宋体" w:cs="Times New Roman"/>
                <w:color w:val="auto"/>
                <w:sz w:val="18"/>
                <w:szCs w:val="18"/>
                <w:lang w:val="en-US" w:eastAsia="zh-CN"/>
              </w:rPr>
              <w:t>【10</w:t>
            </w:r>
            <w:r>
              <w:rPr>
                <w:rFonts w:hint="eastAsia" w:ascii="宋体" w:hAnsi="宋体" w:cs="Times New Roman"/>
                <w:sz w:val="18"/>
                <w:szCs w:val="18"/>
                <w:lang w:val="en-US" w:eastAsia="zh-CN"/>
              </w:rPr>
              <w:t>】日【9:00】至【2025】年【11】月【18】日【17:00】。</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2.投资者在认购期/募集期内认购本理财产品后，理财资金将在成立日开始进行投资。</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3.认购期/募集期内资金产生的利息不计入认购资金。</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注：关于代理销售机构的实际工作服务时段的提示</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1.本产品的计划成立日为：【2025】年【11】月【19</w:t>
            </w:r>
            <w:r>
              <w:rPr>
                <w:rFonts w:hint="eastAsia" w:ascii="宋体" w:hAnsi="宋体" w:cs="Times New Roman"/>
                <w:color w:val="auto"/>
                <w:sz w:val="18"/>
                <w:szCs w:val="18"/>
                <w:lang w:val="en-US" w:eastAsia="zh-CN"/>
              </w:rPr>
              <w:t>】</w:t>
            </w:r>
            <w:r>
              <w:rPr>
                <w:rFonts w:hint="eastAsia" w:ascii="宋体" w:hAnsi="宋体" w:cs="Times New Roman"/>
                <w:sz w:val="18"/>
                <w:szCs w:val="18"/>
                <w:lang w:val="en-US" w:eastAsia="zh-CN"/>
              </w:rPr>
              <w:t>日（遇节假日顺延）。</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2.产品管理人有权根据实际募集情况提前或延后产品成立日期，并相应调整其他产品要素，将依约定进行公告。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1.本产品的计划终止日为：【2027】年【01】月【21】日（遇节假日顺延）。</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每笔购买起点金额为【1.00】元；超出起点金额的部分以【0.01】元的整数倍递增。（适用【</w:t>
            </w:r>
            <w:r>
              <w:rPr>
                <w:rFonts w:hint="eastAsia" w:ascii="宋体" w:hAnsi="宋体" w:eastAsia="宋体" w:cs="宋体"/>
                <w:bCs/>
                <w:color w:val="000000"/>
                <w:sz w:val="18"/>
                <w:szCs w:val="18"/>
                <w:lang w:val="en-US" w:eastAsia="zh-CN"/>
              </w:rPr>
              <w:t>A/B/C/E/F</w:t>
            </w:r>
            <w:r>
              <w:rPr>
                <w:rFonts w:hint="eastAsia" w:ascii="宋体" w:hAnsi="宋体" w:cs="Times New Roman"/>
                <w:sz w:val="18"/>
                <w:szCs w:val="18"/>
                <w:lang w:val="en-US" w:eastAsia="zh-CN"/>
              </w:rPr>
              <w:t>】类份额）</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注：关于代理销售机构的实际销售起点金额的提示</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①本产品在代理销售机构的实际销售起点金额，因代理销售机构的不同可能存在差异（可能高于销售文件约定的销售起点金额），应当以代理销售机构展示为准。</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②代理销售机构的实际销售起点金额，不得低于销售文件约定的销售起点金额。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（适用【A/B/C/E/F】类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产品管理人设置业绩比较基准。</w:t>
            </w:r>
          </w:p>
          <w:p>
            <w:pPr>
              <w:autoSpaceDE w:val="0"/>
              <w:autoSpaceDN w:val="0"/>
              <w:adjustRightInd w:val="0"/>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【产品投资债权类资产不低于80%，根据当前市场环境下大类资产合理配置比例及大类资产收益情况，考虑杠杆和费率等因素，并结合产品投资策略，设定业绩比较基准。</w:t>
            </w:r>
            <w:r>
              <w:rPr>
                <w:rFonts w:ascii="宋体" w:hAnsi="宋体" w:cs="宋体"/>
                <w:bCs/>
                <w:sz w:val="18"/>
                <w:szCs w:val="18"/>
              </w:rPr>
              <w:t>】</w:t>
            </w:r>
          </w:p>
          <w:p>
            <w:pPr>
              <w:spacing w:line="360" w:lineRule="auto"/>
              <w:jc w:val="left"/>
              <w:rPr>
                <w:rFonts w:hint="eastAsia" w:ascii="宋体" w:hAnsi="宋体" w:cs="宋体"/>
                <w:sz w:val="18"/>
                <w:szCs w:val="22"/>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cs="宋体"/>
                <w:sz w:val="18"/>
                <w:szCs w:val="22"/>
              </w:rPr>
              <w:t>管理人对</w:t>
            </w:r>
            <w:r>
              <w:rPr>
                <w:rFonts w:ascii="宋体" w:hAnsi="宋体" w:cs="宋体"/>
                <w:sz w:val="18"/>
                <w:szCs w:val="22"/>
              </w:rPr>
              <w:t>本产品设定</w:t>
            </w:r>
            <w:r>
              <w:rPr>
                <w:rFonts w:hint="eastAsia" w:ascii="宋体" w:hAnsi="宋体" w:cs="宋体"/>
                <w:sz w:val="18"/>
                <w:szCs w:val="22"/>
              </w:rPr>
              <w:t>业绩比较基准：</w:t>
            </w:r>
          </w:p>
          <w:p>
            <w:pPr>
              <w:autoSpaceDE w:val="0"/>
              <w:autoSpaceDN w:val="0"/>
              <w:adjustRightInd w:val="0"/>
              <w:spacing w:line="360" w:lineRule="auto"/>
              <w:jc w:val="left"/>
              <w:rPr>
                <w:rFonts w:hint="eastAsia" w:ascii="Calibri" w:hAnsi="宋体" w:cs="宋体"/>
                <w:color w:val="auto"/>
                <w:sz w:val="18"/>
                <w:szCs w:val="18"/>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2.20%</w:t>
            </w:r>
            <w:r>
              <w:rPr>
                <w:rFonts w:ascii="宋体" w:hAnsi="宋体" w:cs="宋体"/>
                <w:bCs/>
                <w:color w:val="auto"/>
                <w:sz w:val="18"/>
                <w:szCs w:val="18"/>
              </w:rPr>
              <w:t>】</w:t>
            </w:r>
            <w:r>
              <w:rPr>
                <w:rFonts w:hint="eastAsia" w:ascii="Calibri" w:hAnsi="宋体" w:cs="宋体"/>
                <w:color w:val="auto"/>
                <w:sz w:val="18"/>
                <w:szCs w:val="18"/>
              </w:rPr>
              <w:t>（适用【</w:t>
            </w:r>
            <w:r>
              <w:rPr>
                <w:rFonts w:hint="eastAsia" w:ascii="Calibri" w:hAnsi="宋体" w:cs="宋体"/>
                <w:color w:val="auto"/>
                <w:sz w:val="18"/>
                <w:szCs w:val="18"/>
                <w:lang w:val="en-US" w:eastAsia="zh-CN"/>
              </w:rPr>
              <w:t>A】</w:t>
            </w:r>
            <w:r>
              <w:rPr>
                <w:rFonts w:hint="eastAsia" w:ascii="Calibri" w:hAnsi="宋体" w:cs="宋体"/>
                <w:color w:val="auto"/>
                <w:sz w:val="18"/>
                <w:szCs w:val="18"/>
              </w:rPr>
              <w:t>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2.21%</w:t>
            </w:r>
            <w:r>
              <w:rPr>
                <w:rFonts w:ascii="宋体" w:hAnsi="宋体" w:cs="宋体"/>
                <w:bCs/>
                <w:color w:val="auto"/>
                <w:sz w:val="18"/>
                <w:szCs w:val="18"/>
              </w:rPr>
              <w:t>】</w:t>
            </w:r>
            <w:r>
              <w:rPr>
                <w:rFonts w:hint="eastAsia" w:ascii="宋体" w:hAnsi="宋体" w:cs="宋体"/>
                <w:color w:val="auto"/>
                <w:sz w:val="18"/>
                <w:szCs w:val="22"/>
                <w:lang w:val="en-US" w:eastAsia="zh-CN"/>
              </w:rPr>
              <w:t>（适用【B】类份额）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年化【2.16%】（适用【C】类份额）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年化【2.11%】（适用【E】类份额）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年化【2.06%】（适用【F】类份额）</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年化【2.20%】（适用【A】类份额）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年化【2.21%】（适用【B】类份额）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年化【2.16%】（适用【C】类份额）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年化【2.11%】（适用【E】类份额）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年化【2.06%】（适用【F】类份额）</w:t>
            </w: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0.0</w:t>
            </w:r>
            <w:r>
              <w:rPr>
                <w:rFonts w:hint="eastAsia" w:ascii="黑体" w:hAnsi="黑体" w:eastAsia="黑体" w:cs="宋体"/>
                <w:sz w:val="18"/>
                <w:szCs w:val="18"/>
                <w:lang w:val="en-US" w:eastAsia="zh-CN"/>
              </w:rPr>
              <w:t>6%</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A</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w:t>
            </w:r>
            <w:r>
              <w:rPr>
                <w:rFonts w:hint="eastAsia" w:ascii="黑体" w:hAnsi="黑体" w:eastAsia="黑体" w:cs="宋体"/>
                <w:sz w:val="18"/>
                <w:szCs w:val="18"/>
                <w:lang w:val="en-US" w:eastAsia="zh-CN"/>
              </w:rPr>
              <w:t>05%</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B</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0.10</w:t>
            </w:r>
            <w:r>
              <w:rPr>
                <w:rFonts w:hint="eastAsia" w:ascii="黑体" w:hAnsi="黑体" w:eastAsia="黑体" w:cs="宋体"/>
                <w:sz w:val="18"/>
                <w:szCs w:val="18"/>
                <w:lang w:val="en-US" w:eastAsia="zh-CN"/>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C</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0.15</w:t>
            </w:r>
            <w:r>
              <w:rPr>
                <w:rFonts w:hint="eastAsia" w:ascii="黑体" w:hAnsi="黑体" w:eastAsia="黑体" w:cs="宋体"/>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E</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0.20</w:t>
            </w:r>
            <w:r>
              <w:rPr>
                <w:rFonts w:hint="eastAsia" w:ascii="黑体" w:hAnsi="黑体" w:eastAsia="黑体" w:cs="宋体"/>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F</w:t>
            </w:r>
            <w:r>
              <w:rPr>
                <w:rFonts w:hint="eastAsia" w:ascii="宋体" w:hAnsi="宋体" w:eastAsia="宋体" w:cs="宋体"/>
                <w:bCs/>
                <w:color w:val="auto"/>
                <w:sz w:val="18"/>
                <w:szCs w:val="18"/>
              </w:rPr>
              <w:t>】类份额）</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0.01%</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0.01%</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cs="宋体"/>
                <w:sz w:val="18"/>
                <w:szCs w:val="18"/>
                <w:lang w:val="en-US" w:eastAsia="zh-CN"/>
              </w:rPr>
              <w:t>50%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7151"/>
      <w:bookmarkStart w:id="78" w:name="_Toc6714"/>
      <w:bookmarkStart w:id="79" w:name="_Toc29948"/>
      <w:bookmarkStart w:id="80" w:name="_Toc16265"/>
      <w:bookmarkStart w:id="81" w:name="_Toc29784"/>
      <w:bookmarkStart w:id="82" w:name="_Toc3266"/>
      <w:bookmarkStart w:id="83" w:name="_Toc27189"/>
      <w:bookmarkStart w:id="84" w:name="_Toc90742688"/>
      <w:bookmarkStart w:id="85" w:name="_Toc27226"/>
      <w:bookmarkStart w:id="86" w:name="_Toc90742390"/>
      <w:bookmarkStart w:id="87" w:name="_Toc22074"/>
      <w:bookmarkStart w:id="88" w:name="_Toc15203"/>
      <w:bookmarkStart w:id="89" w:name="_Toc74065741"/>
      <w:bookmarkStart w:id="90" w:name="_Toc90742321"/>
      <w:bookmarkStart w:id="91" w:name="_Toc7915466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（3）符合监管要求的债权类资产。</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000000"/>
          <w:sz w:val="18"/>
          <w:szCs w:val="18"/>
          <w:lang w:val="en-US" w:eastAsia="zh-CN" w:bidi="ar-SA"/>
        </w:rPr>
        <w:t>（4）</w:t>
      </w:r>
      <w:r>
        <w:rPr>
          <w:rFonts w:hint="eastAsia" w:ascii="宋体" w:hAnsi="宋体" w:eastAsia="宋体" w:cs="宋体"/>
          <w:bCs/>
          <w:color w:val="auto"/>
          <w:sz w:val="18"/>
          <w:szCs w:val="18"/>
          <w:lang w:val="en-US" w:eastAsia="zh-CN" w:bidi="ar-SA"/>
        </w:rPr>
        <w:t>投资于上述资产的资产管理产品，包括资金信托，证券公司、证券公司子公司、基金管理公</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司、基金管理子公司、期货公司、期货公司子公司、保险资产管理机构、金融资产投资公司发行的</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w:t>
      </w:r>
      <w:r>
        <w:rPr>
          <w:rFonts w:hint="eastAsia" w:ascii="宋体" w:hAnsi="宋体" w:eastAsia="宋体" w:cs="宋体"/>
          <w:bCs/>
          <w:sz w:val="18"/>
          <w:szCs w:val="18"/>
        </w:rPr>
        <w:t>符合监管要求的非标准化债权类资产占产品净资产比例不高于50%</w:t>
      </w:r>
      <w:r>
        <w:rPr>
          <w:rFonts w:hint="eastAsia" w:ascii="宋体" w:hAnsi="宋体" w:eastAsia="宋体" w:cs="宋体"/>
          <w:bCs/>
          <w:kern w:val="0"/>
          <w:sz w:val="18"/>
          <w:szCs w:val="18"/>
        </w:rPr>
        <w:t>。</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eastAsia="zh-CN"/>
        </w:rPr>
      </w:pPr>
      <w:r>
        <w:rPr>
          <w:rFonts w:hint="eastAsia" w:ascii="宋体" w:hAnsi="宋体" w:eastAsia="宋体" w:cs="宋体"/>
          <w:bCs/>
          <w:sz w:val="18"/>
          <w:szCs w:val="18"/>
          <w:lang w:eastAsia="zh-CN"/>
        </w:rPr>
        <w:t>（</w:t>
      </w:r>
      <w:r>
        <w:rPr>
          <w:rFonts w:hint="eastAsia" w:ascii="宋体" w:hAnsi="宋体" w:eastAsia="宋体" w:cs="宋体"/>
          <w:bCs/>
          <w:sz w:val="18"/>
          <w:szCs w:val="18"/>
          <w:lang w:val="en-US" w:eastAsia="zh-CN"/>
        </w:rPr>
        <w:t>6</w:t>
      </w:r>
      <w:r>
        <w:rPr>
          <w:rFonts w:hint="eastAsia" w:ascii="宋体" w:hAnsi="宋体" w:eastAsia="宋体" w:cs="宋体"/>
          <w:bCs/>
          <w:sz w:val="18"/>
          <w:szCs w:val="18"/>
          <w:lang w:eastAsia="zh-CN"/>
        </w:rPr>
        <w:t>）本产品投资于信用债券、银行存款、非标准化债权类资产融资人的信用评级均不得低于AA+。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7912"/>
      <w:bookmarkStart w:id="94" w:name="_Toc14893"/>
      <w:bookmarkStart w:id="95" w:name="_Toc79154669"/>
      <w:bookmarkStart w:id="96" w:name="_Toc1823"/>
      <w:bookmarkStart w:id="97" w:name="_Toc7848"/>
      <w:bookmarkStart w:id="98" w:name="_Toc18797"/>
      <w:bookmarkStart w:id="99" w:name="_Toc18329"/>
      <w:bookmarkStart w:id="100" w:name="_Toc21988"/>
      <w:bookmarkStart w:id="101" w:name="_Toc176189758"/>
      <w:bookmarkStart w:id="102" w:name="_Toc4741"/>
      <w:bookmarkStart w:id="103" w:name="_Toc74065742"/>
      <w:bookmarkStart w:id="104" w:name="_Toc141703885"/>
      <w:bookmarkStart w:id="105" w:name="_Toc26986"/>
      <w:bookmarkStart w:id="106" w:name="_Toc18526"/>
      <w:bookmarkStart w:id="107" w:name="_Toc139991735"/>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9154670"/>
      <w:bookmarkStart w:id="110" w:name="_Toc4003"/>
      <w:bookmarkStart w:id="111" w:name="_Toc23261"/>
      <w:bookmarkStart w:id="112" w:name="_Toc139991736"/>
      <w:bookmarkStart w:id="113" w:name="_Toc176189759"/>
      <w:bookmarkStart w:id="114" w:name="_Toc98560352"/>
      <w:bookmarkStart w:id="115" w:name="_Toc20733"/>
      <w:bookmarkStart w:id="116" w:name="_Toc48649707"/>
      <w:bookmarkStart w:id="117" w:name="_Toc610"/>
      <w:bookmarkStart w:id="118" w:name="_Toc79392606"/>
      <w:bookmarkStart w:id="119" w:name="_Toc7920"/>
      <w:bookmarkStart w:id="120" w:name="_Toc10463"/>
      <w:bookmarkStart w:id="121" w:name="_Toc123112234"/>
      <w:bookmarkStart w:id="122" w:name="_Toc123102453"/>
      <w:bookmarkStart w:id="123" w:name="_Toc23822"/>
      <w:bookmarkStart w:id="124" w:name="_Toc1427"/>
      <w:bookmarkStart w:id="125" w:name="_Toc141703886"/>
      <w:bookmarkStart w:id="126" w:name="_Toc123051452"/>
      <w:bookmarkStart w:id="127" w:name="_Toc17244"/>
      <w:bookmarkStart w:id="128" w:name="_Toc1270"/>
      <w:bookmarkStart w:id="129" w:name="_Toc7406574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98560353"/>
      <w:bookmarkStart w:id="132" w:name="_Toc31653"/>
      <w:bookmarkStart w:id="133" w:name="_Toc15143"/>
      <w:bookmarkStart w:id="134" w:name="_Toc139991737"/>
      <w:bookmarkStart w:id="135" w:name="_Toc123102454"/>
      <w:bookmarkStart w:id="136" w:name="_Toc176189760"/>
      <w:bookmarkStart w:id="137" w:name="_Toc12245"/>
      <w:bookmarkStart w:id="138" w:name="_Toc6405"/>
      <w:bookmarkStart w:id="139" w:name="_Toc3601"/>
      <w:bookmarkStart w:id="140" w:name="_Toc74065744"/>
      <w:bookmarkStart w:id="141" w:name="_Toc141703887"/>
      <w:bookmarkStart w:id="142" w:name="_Toc14835"/>
      <w:bookmarkStart w:id="143" w:name="_Toc29251"/>
      <w:bookmarkStart w:id="144" w:name="_Toc26207"/>
      <w:bookmarkStart w:id="145" w:name="_Toc123051453"/>
      <w:bookmarkStart w:id="146" w:name="_Toc31235"/>
      <w:bookmarkStart w:id="147" w:name="_Toc79154671"/>
      <w:bookmarkStart w:id="148" w:name="_Toc123112235"/>
      <w:bookmarkStart w:id="149" w:name="_Toc31644"/>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15118234"/>
      <w:bookmarkStart w:id="153" w:name="_Toc523711668"/>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0650"/>
      <w:bookmarkStart w:id="158" w:name="_Toc6447"/>
      <w:bookmarkStart w:id="159" w:name="_Toc123051454"/>
      <w:bookmarkStart w:id="160" w:name="_Toc123102455"/>
      <w:bookmarkStart w:id="161" w:name="_Toc123112236"/>
      <w:bookmarkStart w:id="162" w:name="_Toc98560354"/>
      <w:bookmarkStart w:id="163" w:name="_Toc7058"/>
      <w:bookmarkStart w:id="164" w:name="_Toc4559"/>
      <w:bookmarkStart w:id="165" w:name="_Toc139991738"/>
      <w:bookmarkStart w:id="166" w:name="_Toc3321"/>
      <w:bookmarkStart w:id="167" w:name="_Toc25783"/>
      <w:bookmarkStart w:id="168" w:name="_Toc18567"/>
      <w:bookmarkStart w:id="169" w:name="_Toc176189761"/>
      <w:bookmarkStart w:id="170" w:name="_Toc79392583"/>
      <w:bookmarkStart w:id="171" w:name="_Toc141703888"/>
      <w:bookmarkStart w:id="172" w:name="_Toc79154672"/>
      <w:bookmarkStart w:id="173" w:name="_Toc9706"/>
      <w:bookmarkStart w:id="174" w:name="_Toc74065745"/>
      <w:bookmarkStart w:id="175" w:name="_Toc3771"/>
      <w:bookmarkStart w:id="176" w:name="_Toc11030"/>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宋体" w:hAnsi="宋体" w:eastAsia="宋体" w:cs="宋体"/>
          <w:color w:val="auto"/>
          <w:kern w:val="2"/>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val="0"/>
        <w:autoSpaceDE w:val="0"/>
        <w:autoSpaceDN w:val="0"/>
        <w:adjustRightInd w:val="0"/>
        <w:spacing w:line="360" w:lineRule="auto"/>
        <w:ind w:firstLine="360" w:firstLineChars="200"/>
        <w:rPr>
          <w:rFonts w:ascii="宋体" w:hAnsi="宋体" w:eastAsia="宋体" w:cs="宋体"/>
          <w:color w:val="auto"/>
          <w:kern w:val="2"/>
          <w:sz w:val="18"/>
          <w:szCs w:val="18"/>
          <w:lang w:val="en-US" w:eastAsia="zh-CN" w:bidi="ar-SA"/>
        </w:rPr>
      </w:pP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每份产品份额超额业绩报酬每日计提，产品终止日</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lang w:val="en-US" w:eastAsia="zh-CN"/>
        </w:rPr>
        <w:t>不含部分终止日</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rPr>
        <w:t>结算。</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③超额业绩报酬的计算</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产品管理人对每</w:t>
      </w:r>
      <w:r>
        <w:rPr>
          <w:rFonts w:ascii="宋体" w:hAnsi="宋体" w:eastAsia="宋体" w:cs="宋体"/>
          <w:b w:val="0"/>
          <w:bCs w:val="0"/>
          <w:sz w:val="18"/>
          <w:szCs w:val="18"/>
        </w:rPr>
        <w:t>份</w:t>
      </w:r>
      <w:r>
        <w:rPr>
          <w:rFonts w:hint="eastAsia" w:ascii="宋体" w:hAnsi="宋体" w:eastAsia="宋体" w:cs="宋体"/>
          <w:b w:val="0"/>
          <w:bCs w:val="0"/>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当R≤当前业绩报酬计提基准，超额业绩报酬=0；</w:t>
      </w:r>
    </w:p>
    <w:p>
      <w:pPr>
        <w:widowControl/>
        <w:spacing w:line="360" w:lineRule="auto"/>
        <w:ind w:firstLine="360" w:firstLineChars="200"/>
        <w:jc w:val="left"/>
        <w:rPr>
          <w:rFonts w:hint="eastAsia" w:ascii="宋体" w:hAnsi="宋体" w:eastAsia="宋体" w:cs="宋体"/>
          <w:sz w:val="18"/>
          <w:szCs w:val="18"/>
        </w:rPr>
      </w:pPr>
      <w:r>
        <w:rPr>
          <w:rFonts w:hint="eastAsia" w:ascii="宋体" w:hAnsi="宋体" w:eastAsia="宋体" w:cs="宋体"/>
          <w:b w:val="0"/>
          <w:bCs w:val="0"/>
          <w:sz w:val="18"/>
          <w:szCs w:val="18"/>
        </w:rPr>
        <w:t>当R＞当前业绩报酬计提基准，超额业绩报酬=产品终止</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lang w:val="en-US" w:eastAsia="zh-CN"/>
        </w:rPr>
        <w:t>不含部分终止</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rPr>
        <w:t>时投资者持有的产</w:t>
      </w:r>
      <w:r>
        <w:rPr>
          <w:rFonts w:hint="eastAsia" w:ascii="宋体" w:hAnsi="宋体" w:eastAsia="宋体" w:cs="宋体"/>
          <w:sz w:val="18"/>
          <w:szCs w:val="18"/>
        </w:rPr>
        <w:t>品份额×产品成立日产品份额净值×（R-当前业绩报酬计提基准）×N×D/365。</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361" w:firstLineChars="200"/>
        <w:jc w:val="left"/>
        <w:rPr>
          <w:rFonts w:hint="eastAsia" w:ascii="宋体" w:hAnsi="宋体" w:eastAsia="宋体" w:cs="宋体"/>
          <w:b/>
          <w:bCs/>
          <w:kern w:val="0"/>
          <w:sz w:val="18"/>
          <w:szCs w:val="18"/>
          <w:lang w:val="en-US" w:eastAsia="zh-CN" w:bidi="ar-SA"/>
        </w:rPr>
      </w:pPr>
      <w:r>
        <w:rPr>
          <w:rFonts w:hint="eastAsia" w:ascii="宋体" w:hAnsi="宋体" w:eastAsia="宋体" w:cs="宋体"/>
          <w:b/>
          <w:bCs/>
          <w:kern w:val="0"/>
          <w:sz w:val="18"/>
          <w:szCs w:val="18"/>
          <w:lang w:val="en-US" w:eastAsia="zh-CN" w:bidi="ar-SA"/>
        </w:rPr>
        <w:t>注：产品部分提前终止情况下，部分提前终止份额不收取超额业绩报酬。</w:t>
      </w:r>
    </w:p>
    <w:p>
      <w:pPr>
        <w:widowControl/>
        <w:spacing w:line="360" w:lineRule="auto"/>
        <w:ind w:firstLine="360" w:firstLineChars="200"/>
        <w:jc w:val="left"/>
        <w:rPr>
          <w:rFonts w:ascii="宋体" w:hAnsi="宋体" w:eastAsia="宋体" w:cs="宋体"/>
          <w:sz w:val="18"/>
          <w:szCs w:val="18"/>
        </w:rPr>
      </w:pP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112237"/>
      <w:bookmarkStart w:id="180" w:name="_Toc176189762"/>
      <w:bookmarkStart w:id="181" w:name="_Toc21735"/>
      <w:bookmarkStart w:id="182" w:name="_Toc725"/>
      <w:bookmarkStart w:id="183" w:name="_Toc31821"/>
      <w:bookmarkStart w:id="184" w:name="_Toc18206"/>
      <w:bookmarkStart w:id="185" w:name="_Toc79154673"/>
      <w:bookmarkStart w:id="186" w:name="_Toc10398"/>
      <w:bookmarkStart w:id="187" w:name="_Toc139991739"/>
      <w:bookmarkStart w:id="188" w:name="_Toc3080"/>
      <w:bookmarkStart w:id="189" w:name="_Toc123051455"/>
      <w:bookmarkStart w:id="190" w:name="_Toc141703889"/>
      <w:bookmarkStart w:id="191" w:name="_Toc98560355"/>
      <w:bookmarkStart w:id="192" w:name="_Toc3572"/>
      <w:bookmarkStart w:id="193" w:name="_Toc16164"/>
      <w:bookmarkStart w:id="194" w:name="_Toc123102456"/>
      <w:bookmarkStart w:id="195" w:name="_Toc74065746"/>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102457"/>
      <w:bookmarkStart w:id="200" w:name="_Toc74065747"/>
      <w:bookmarkStart w:id="201" w:name="_Toc139991740"/>
      <w:bookmarkStart w:id="202" w:name="_Toc3329"/>
      <w:bookmarkStart w:id="203" w:name="_Toc98560356"/>
      <w:bookmarkStart w:id="204" w:name="_Toc79392622"/>
      <w:bookmarkStart w:id="205" w:name="_Toc176189763"/>
      <w:bookmarkStart w:id="206" w:name="_Toc29408"/>
      <w:bookmarkStart w:id="207" w:name="_Toc21237"/>
      <w:bookmarkStart w:id="208" w:name="_Toc79154674"/>
      <w:bookmarkStart w:id="209" w:name="_Toc141703890"/>
      <w:bookmarkStart w:id="210" w:name="_Toc123112238"/>
      <w:bookmarkStart w:id="211" w:name="_Toc739"/>
      <w:bookmarkStart w:id="212" w:name="_Toc17198"/>
      <w:bookmarkStart w:id="213" w:name="_Toc32584"/>
      <w:bookmarkStart w:id="214" w:name="_Toc17920"/>
      <w:bookmarkStart w:id="215" w:name="_Toc123051456"/>
      <w:bookmarkStart w:id="216" w:name="_Toc5170"/>
      <w:bookmarkStart w:id="217" w:name="_Toc8791"/>
      <w:bookmarkStart w:id="218" w:name="_Toc32092"/>
      <w:bookmarkStart w:id="219" w:name="_Toc4864970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hint="eastAsia" w:ascii="宋体" w:hAnsi="宋体" w:eastAsia="宋体" w:cs="宋体"/>
          <w:bCs/>
          <w:kern w:val="2"/>
          <w:sz w:val="18"/>
          <w:szCs w:val="18"/>
          <w:lang w:val="en-US" w:eastAsia="zh-CN" w:bidi="ar-SA"/>
        </w:rPr>
        <w:t>1.拟投资市场和资产的风险：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1）投资标准化债权类资产的风险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color w:val="auto"/>
          <w:kern w:val="0"/>
          <w:sz w:val="18"/>
          <w:szCs w:val="18"/>
        </w:rPr>
        <w:t>【兴银理财稳利安盈封闭式2025年432期固收类理财产品</w:t>
      </w:r>
      <w:r>
        <w:rPr>
          <w:rFonts w:hint="eastAsia" w:cs="宋体" w:asciiTheme="majorEastAsia" w:hAnsiTheme="majorEastAsia" w:eastAsiaTheme="majorEastAsia"/>
          <w:bCs/>
          <w:color w:val="auto"/>
          <w:kern w:val="0"/>
          <w:sz w:val="18"/>
          <w:szCs w:val="18"/>
        </w:rPr>
        <w:t>】</w:t>
      </w:r>
    </w:p>
    <w:p>
      <w:pPr>
        <w:ind w:firstLine="448" w:firstLineChars="249"/>
        <w:rPr>
          <w:rFonts w:hint="eastAsia" w:ascii="宋体" w:hAnsi="宋体" w:cs="仿宋_GB2312"/>
          <w:color w:val="auto"/>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432期</w:t>
      </w:r>
      <w:r>
        <w:rPr>
          <w:rFonts w:hint="eastAsia" w:ascii="宋体" w:hAnsi="宋体" w:cs="仿宋_GB2312"/>
          <w:color w:val="auto"/>
          <w:kern w:val="0"/>
          <w:sz w:val="18"/>
          <w:szCs w:val="18"/>
        </w:rPr>
        <w:t>A】（适用【A】类份额）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432期</w:t>
      </w:r>
      <w:r>
        <w:rPr>
          <w:rFonts w:hint="eastAsia" w:ascii="宋体" w:hAnsi="宋体" w:cs="仿宋_GB2312"/>
          <w:color w:val="auto"/>
          <w:kern w:val="0"/>
          <w:sz w:val="18"/>
          <w:szCs w:val="18"/>
        </w:rPr>
        <w:t>B】（适用【B】类份额）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432期</w:t>
      </w:r>
      <w:r>
        <w:rPr>
          <w:rFonts w:hint="eastAsia" w:ascii="宋体" w:hAnsi="宋体" w:cs="仿宋_GB2312"/>
          <w:color w:val="auto"/>
          <w:kern w:val="0"/>
          <w:sz w:val="18"/>
          <w:szCs w:val="18"/>
        </w:rPr>
        <w:t>C】（适用【C】类份额）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432期</w:t>
      </w:r>
      <w:r>
        <w:rPr>
          <w:rFonts w:hint="eastAsia" w:ascii="宋体" w:hAnsi="宋体" w:cs="仿宋_GB2312"/>
          <w:color w:val="auto"/>
          <w:kern w:val="0"/>
          <w:sz w:val="18"/>
          <w:szCs w:val="18"/>
          <w:lang w:val="en-US" w:eastAsia="zh-CN"/>
        </w:rPr>
        <w:t>E</w:t>
      </w:r>
      <w:r>
        <w:rPr>
          <w:rFonts w:hint="eastAsia" w:ascii="宋体" w:hAnsi="宋体" w:cs="仿宋_GB2312"/>
          <w:color w:val="auto"/>
          <w:kern w:val="0"/>
          <w:sz w:val="18"/>
          <w:szCs w:val="18"/>
        </w:rPr>
        <w:t>】（适用【</w:t>
      </w:r>
      <w:r>
        <w:rPr>
          <w:rFonts w:hint="eastAsia" w:ascii="宋体" w:hAnsi="宋体" w:cs="仿宋_GB2312"/>
          <w:color w:val="auto"/>
          <w:kern w:val="0"/>
          <w:sz w:val="18"/>
          <w:szCs w:val="18"/>
          <w:lang w:val="en-US" w:eastAsia="zh-CN"/>
        </w:rPr>
        <w:t>E</w:t>
      </w:r>
      <w:r>
        <w:rPr>
          <w:rFonts w:hint="eastAsia" w:ascii="宋体" w:hAnsi="宋体" w:cs="仿宋_GB2312"/>
          <w:color w:val="auto"/>
          <w:kern w:val="0"/>
          <w:sz w:val="18"/>
          <w:szCs w:val="18"/>
        </w:rPr>
        <w:t>】类份额）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432期</w:t>
      </w:r>
      <w:r>
        <w:rPr>
          <w:rFonts w:hint="eastAsia" w:ascii="宋体" w:hAnsi="宋体" w:cs="仿宋_GB2312"/>
          <w:color w:val="auto"/>
          <w:kern w:val="0"/>
          <w:sz w:val="18"/>
          <w:szCs w:val="18"/>
        </w:rPr>
        <w:t>F】（适用【F】类份额）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ascii="宋体" w:hAnsi="宋体" w:cs="仿宋_GB2312"/>
          <w:color w:val="auto"/>
          <w:kern w:val="0"/>
          <w:sz w:val="18"/>
          <w:szCs w:val="18"/>
        </w:rPr>
        <w:t>【</w:t>
      </w:r>
      <w:r>
        <w:rPr>
          <w:rFonts w:hint="eastAsia" w:cs="宋体" w:asciiTheme="minorEastAsia" w:hAnsiTheme="minorEastAsia"/>
          <w:color w:val="auto"/>
          <w:sz w:val="18"/>
          <w:szCs w:val="18"/>
        </w:rPr>
        <w:t>Z7002025001373</w:t>
      </w:r>
      <w:r>
        <w:rPr>
          <w:rFonts w:ascii="宋体" w:hAnsi="宋体" w:cs="仿宋_GB2312"/>
          <w:color w:val="auto"/>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r>
        <w:rPr>
          <w:rFonts w:hint="eastAsia" w:ascii="宋体" w:hAnsi="宋体" w:cs="仿宋_GB2312"/>
          <w:color w:val="auto"/>
          <w:kern w:val="0"/>
          <w:sz w:val="18"/>
          <w:szCs w:val="18"/>
          <w:lang w:val="en-US" w:eastAsia="zh-CN"/>
        </w:rPr>
        <w:t>428</w:t>
      </w:r>
      <w:r>
        <w:rPr>
          <w:rFonts w:hint="eastAsia" w:ascii="宋体" w:hAnsi="宋体" w:cs="仿宋_GB2312"/>
          <w:kern w:val="0"/>
          <w:sz w:val="18"/>
          <w:szCs w:val="18"/>
        </w:rPr>
        <w:t>】</w:t>
      </w:r>
      <w:r>
        <w:rPr>
          <w:rFonts w:hint="eastAsia" w:ascii="宋体" w:hAnsi="宋体" w:cs="仿宋_GB2312"/>
          <w:kern w:val="0"/>
          <w:sz w:val="18"/>
          <w:szCs w:val="18"/>
          <w:lang w:val="en-US" w:eastAsia="zh-CN"/>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hint="eastAsia" w:ascii="宋体" w:hAnsi="宋体" w:cs="仿宋_GB2312"/>
          <w:kern w:val="0"/>
          <w:sz w:val="18"/>
          <w:szCs w:val="18"/>
          <w:lang w:val="en-US" w:eastAsia="zh-CN"/>
        </w:rPr>
        <w:t>1</w:t>
      </w:r>
      <w:r>
        <w:rPr>
          <w:rFonts w:ascii="宋体" w:hAnsi="宋体" w:cs="仿宋_GB2312"/>
          <w:kern w:val="0"/>
          <w:sz w:val="18"/>
          <w:szCs w:val="18"/>
        </w:rPr>
        <w:t>】</w:t>
      </w:r>
      <w:r>
        <w:rPr>
          <w:rFonts w:hint="eastAsia" w:ascii="宋体" w:hAnsi="宋体" w:cs="仿宋_GB2312"/>
          <w:kern w:val="0"/>
          <w:sz w:val="18"/>
          <w:szCs w:val="18"/>
        </w:rPr>
        <w:t>（产品管理人定义的产品风险评级为【R</w:t>
      </w:r>
      <w:r>
        <w:rPr>
          <w:rFonts w:hint="eastAsia" w:ascii="宋体" w:hAnsi="宋体" w:cs="仿宋_GB2312"/>
          <w:kern w:val="0"/>
          <w:sz w:val="18"/>
          <w:szCs w:val="18"/>
          <w:lang w:val="en-US" w:eastAsia="zh-CN"/>
        </w:rPr>
        <w:t>1</w:t>
      </w:r>
      <w:r>
        <w:rPr>
          <w:rFonts w:hint="eastAsia" w:ascii="宋体" w:hAnsi="宋体" w:cs="仿宋_GB2312"/>
          <w:kern w:val="0"/>
          <w:sz w:val="18"/>
          <w:szCs w:val="18"/>
        </w:rPr>
        <w:t>】；代理销售机构定义的产品风险评级为【R</w:t>
      </w:r>
      <w:r>
        <w:rPr>
          <w:rFonts w:hint="eastAsia" w:ascii="宋体" w:hAnsi="宋体" w:cs="仿宋_GB2312"/>
          <w:kern w:val="0"/>
          <w:sz w:val="18"/>
          <w:szCs w:val="18"/>
          <w:lang w:val="en-US" w:eastAsia="zh-CN"/>
        </w:rPr>
        <w:t>1</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w:t>
      </w:r>
      <w:r>
        <w:rPr>
          <w:rFonts w:hint="eastAsia" w:cs="宋体" w:asciiTheme="majorEastAsia" w:hAnsiTheme="majorEastAsia" w:eastAsiaTheme="majorEastAsia"/>
          <w:bCs/>
          <w:color w:val="000000" w:themeColor="text1"/>
          <w:sz w:val="18"/>
          <w:szCs w:val="18"/>
          <w:lang w:val="en-US" w:eastAsia="zh-CN"/>
          <w14:textFill>
            <w14:solidFill>
              <w14:schemeClr w14:val="tx1"/>
            </w14:solidFill>
          </w14:textFill>
        </w:rPr>
        <w:t>6</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hint="eastAsia" w:cs="宋体" w:asciiTheme="majorEastAsia" w:hAnsiTheme="majorEastAsia" w:eastAsiaTheme="majorEastAsia"/>
          <w:bCs/>
          <w:sz w:val="18"/>
          <w:szCs w:val="18"/>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hint="eastAsia" w:ascii="宋体" w:hAnsi="宋体" w:eastAsia="宋体" w:cs="宋体"/>
          <w:bCs/>
          <w:kern w:val="2"/>
          <w:sz w:val="18"/>
          <w:szCs w:val="18"/>
          <w:lang w:val="en-US" w:eastAsia="zh-CN" w:bidi="ar-SA"/>
        </w:rPr>
        <w:t>1.拟投资市场和资产的风险：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1）投资标准化债权类资产的风险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2）投资非标准化债权类资产的风险</w:t>
      </w:r>
    </w:p>
    <w:p>
      <w:pPr>
        <w:widowControl w:val="0"/>
        <w:spacing w:line="240" w:lineRule="auto"/>
        <w:ind w:firstLine="360" w:firstLineChars="200"/>
        <w:jc w:val="both"/>
        <w:rPr>
          <w:rFonts w:ascii="宋体" w:hAnsi="宋体" w:eastAsia="宋体" w:cs="宋体"/>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eastAsia="宋体" w:cs="宋体"/>
          <w:kern w:val="2"/>
          <w:sz w:val="18"/>
          <w:szCs w:val="18"/>
          <w:lang w:val="en-US" w:eastAsia="zh-CN" w:bidi="ar-SA"/>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val="en-US" w:eastAsia="zh-CN"/>
        </w:rPr>
        <w:t>安盈</w:t>
      </w:r>
      <w:r>
        <w:rPr>
          <w:rStyle w:val="10"/>
          <w:rFonts w:hint="eastAsia" w:ascii="黑体" w:hAnsi="黑体" w:eastAsia="黑体" w:cstheme="minorBidi"/>
          <w:sz w:val="28"/>
          <w:szCs w:val="28"/>
        </w:rPr>
        <w:t>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2FB64F85"/>
    <w:rsid w:val="46F4421D"/>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44949</Words>
  <Characters>45933</Characters>
  <Lines>0</Lines>
  <Paragraphs>0</Paragraphs>
  <TotalTime>0</TotalTime>
  <ScaleCrop>false</ScaleCrop>
  <LinksUpToDate>false</LinksUpToDate>
  <CharactersWithSpaces>46385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2025-11-06T08:15:58Z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21EBDEA035C541D3BF82AEF6646D9317</vt:lpwstr>
  </property>
</Properties>
</file>