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兴银理财【稳利恒盈封闭式固收类】理财产品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Fonts w:hint="eastAsia" w:ascii="黑体" w:hAnsi="黑体" w:eastAsia="黑体"/>
          <w:b/>
          <w:sz w:val="44"/>
          <w:szCs w:val="44"/>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63"/>
      <w:bookmarkStart w:id="1" w:name="_Toc139991726"/>
      <w:bookmarkStart w:id="2" w:name="_Toc139992301"/>
      <w:bookmarkStart w:id="3" w:name="_Toc123112224"/>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64"/>
      <w:bookmarkStart w:id="6" w:name="_Toc123112225"/>
      <w:bookmarkStart w:id="7" w:name="_Toc139992302"/>
      <w:bookmarkStart w:id="8" w:name="_Toc139991727"/>
      <w:bookmarkStart w:id="9" w:name="_Toc123701384"/>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11</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39991729"/>
      <w:bookmarkStart w:id="12" w:name="_Toc123701386"/>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ascii="宋体" w:hAnsi="宋体"/>
                <w:bCs/>
                <w:color w:val="auto"/>
                <w:sz w:val="18"/>
                <w:szCs w:val="18"/>
              </w:rPr>
            </w:pPr>
            <w:r>
              <w:rPr>
                <w:rFonts w:hint="eastAsia" w:ascii="宋体" w:hAnsi="宋体"/>
                <w:bCs/>
                <w:color w:val="auto"/>
                <w:sz w:val="18"/>
                <w:szCs w:val="18"/>
              </w:rPr>
              <w:t>【兴银理财稳利恒盈封闭式2025年54</w:t>
            </w:r>
            <w:r>
              <w:rPr>
                <w:rFonts w:hint="eastAsia" w:ascii="宋体" w:hAnsi="宋体"/>
                <w:bCs/>
                <w:color w:val="auto"/>
                <w:sz w:val="18"/>
                <w:szCs w:val="18"/>
                <w:lang w:val="en-US" w:eastAsia="zh-CN"/>
              </w:rPr>
              <w:t>4</w:t>
            </w:r>
            <w:r>
              <w:rPr>
                <w:rFonts w:hint="eastAsia" w:ascii="宋体" w:hAnsi="宋体"/>
                <w:bCs/>
                <w:color w:val="auto"/>
                <w:sz w:val="18"/>
                <w:szCs w:val="18"/>
              </w:rPr>
              <w:t>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【稳利恒盈封闭2025年544期14M(纯盈颐养款)A】（适用【A】类份额）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【稳利恒盈封闭2025年544期14M(纯盈颐养款)C】（适用【</w:t>
            </w:r>
            <w:r>
              <w:rPr>
                <w:rFonts w:hint="eastAsia" w:ascii="宋体" w:hAnsi="宋体"/>
                <w:bCs/>
                <w:color w:val="auto"/>
                <w:sz w:val="18"/>
                <w:szCs w:val="18"/>
                <w:lang w:val="en-US" w:eastAsia="zh-CN"/>
              </w:rPr>
              <w:t>C</w:t>
            </w:r>
            <w:r>
              <w:rPr>
                <w:rFonts w:hint="eastAsia" w:ascii="宋体" w:hAnsi="宋体"/>
                <w:bCs/>
                <w:color w:val="auto"/>
                <w:sz w:val="18"/>
                <w:szCs w:val="18"/>
              </w:rPr>
              <w:t>】类份额）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【稳利恒盈封闭2025年544期14M(纯盈颐养款)E】（适用【E】类份额）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spacing w:line="360" w:lineRule="auto"/>
              <w:jc w:val="left"/>
              <w:rPr>
                <w:rFonts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Z7002025001391</w:t>
            </w:r>
            <w:r>
              <w:rPr>
                <w:rFonts w:hint="eastAsia" w:ascii="宋体" w:hAnsi="宋体"/>
                <w:bCs/>
                <w:color w:val="auto"/>
                <w:sz w:val="18"/>
                <w:szCs w:val="18"/>
              </w:rPr>
              <w:t>】注：投资者可依据理财产品登记编码在中国理财网查询产品信息</w:t>
            </w:r>
            <w:r>
              <w:rPr>
                <w:color w:val="auto"/>
              </w:rPr>
              <w:fldChar w:fldCharType="begin"/>
            </w:r>
            <w:r>
              <w:rPr>
                <w:color w:val="auto"/>
              </w:rPr>
              <w:instrText xml:space="preserve"> HYPERLINK "http://www.chinawealth.com.cn" </w:instrText>
            </w:r>
            <w:r>
              <w:rPr>
                <w:color w:val="auto"/>
              </w:rPr>
              <w:fldChar w:fldCharType="separate"/>
            </w:r>
            <w:r>
              <w:rPr>
                <w:rFonts w:ascii="宋体" w:hAnsi="宋体"/>
                <w:bCs/>
                <w:color w:val="auto"/>
                <w:sz w:val="18"/>
                <w:szCs w:val="18"/>
              </w:rPr>
              <w:t>www.chinawealth.com.cn</w:t>
            </w:r>
            <w:r>
              <w:rPr>
                <w:rFonts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color w:val="auto"/>
                <w:sz w:val="18"/>
                <w:szCs w:val="18"/>
              </w:rPr>
            </w:pPr>
            <w:r>
              <w:rPr>
                <w:rFonts w:ascii="宋体" w:hAnsi="宋体"/>
                <w:bCs/>
                <w:color w:val="auto"/>
                <w:sz w:val="18"/>
                <w:szCs w:val="18"/>
              </w:rPr>
              <w:t>【</w:t>
            </w:r>
            <w:r>
              <w:rPr>
                <w:rFonts w:hint="eastAsia" w:ascii="宋体" w:hAnsi="宋体"/>
                <w:bCs/>
                <w:color w:val="auto"/>
                <w:sz w:val="18"/>
                <w:szCs w:val="18"/>
                <w:lang w:eastAsia="zh-CN"/>
              </w:rPr>
              <w:t>9N255440</w:t>
            </w:r>
            <w:r>
              <w:rPr>
                <w:rFonts w:ascii="宋体" w:hAnsi="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9N25544A</w:t>
            </w:r>
            <w:r>
              <w:rPr>
                <w:rFonts w:hint="eastAsia" w:ascii="宋体" w:hAnsi="宋体"/>
                <w:bCs/>
                <w:color w:val="auto"/>
                <w:sz w:val="18"/>
                <w:szCs w:val="18"/>
              </w:rPr>
              <w:t>】（适用【A】类份额）</w:t>
            </w:r>
          </w:p>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9N25544</w:t>
            </w:r>
            <w:r>
              <w:rPr>
                <w:rFonts w:hint="eastAsia" w:ascii="宋体" w:hAnsi="宋体"/>
                <w:bCs/>
                <w:color w:val="auto"/>
                <w:sz w:val="18"/>
                <w:szCs w:val="18"/>
                <w:lang w:val="en-US" w:eastAsia="zh-CN"/>
              </w:rPr>
              <w:t>C</w:t>
            </w:r>
            <w:r>
              <w:rPr>
                <w:rFonts w:hint="eastAsia" w:ascii="宋体" w:hAnsi="宋体"/>
                <w:bCs/>
                <w:color w:val="auto"/>
                <w:sz w:val="18"/>
                <w:szCs w:val="18"/>
              </w:rPr>
              <w:t>】（适用【</w:t>
            </w:r>
            <w:r>
              <w:rPr>
                <w:rFonts w:hint="eastAsia" w:ascii="宋体" w:hAnsi="宋体"/>
                <w:bCs/>
                <w:color w:val="auto"/>
                <w:sz w:val="18"/>
                <w:szCs w:val="18"/>
                <w:lang w:val="en-US" w:eastAsia="zh-CN"/>
              </w:rPr>
              <w:t>C</w:t>
            </w:r>
            <w:r>
              <w:rPr>
                <w:rFonts w:hint="eastAsia" w:ascii="宋体" w:hAnsi="宋体"/>
                <w:bCs/>
                <w:color w:val="auto"/>
                <w:sz w:val="18"/>
                <w:szCs w:val="18"/>
              </w:rPr>
              <w:t>】类份额）</w:t>
            </w:r>
          </w:p>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9N25544E</w:t>
            </w:r>
            <w:r>
              <w:rPr>
                <w:rFonts w:hint="eastAsia" w:ascii="宋体" w:hAnsi="宋体"/>
                <w:bCs/>
                <w:color w:val="auto"/>
                <w:sz w:val="18"/>
                <w:szCs w:val="18"/>
              </w:rPr>
              <w:t>】（适用【</w:t>
            </w:r>
            <w:r>
              <w:rPr>
                <w:rFonts w:hint="eastAsia" w:ascii="宋体" w:hAnsi="宋体"/>
                <w:bCs/>
                <w:color w:val="auto"/>
                <w:sz w:val="18"/>
                <w:szCs w:val="18"/>
                <w:lang w:val="en-US" w:eastAsia="zh-CN"/>
              </w:rPr>
              <w:t>E</w:t>
            </w:r>
            <w:r>
              <w:rPr>
                <w:rFonts w:hint="eastAsia" w:ascii="宋体" w:hAnsi="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41703880"/>
      <w:bookmarkStart w:id="15" w:name="_Toc123112229"/>
      <w:bookmarkStart w:id="16" w:name="_Toc23386"/>
      <w:bookmarkStart w:id="17" w:name="_Toc4867"/>
      <w:bookmarkStart w:id="18" w:name="_Toc139991730"/>
      <w:bookmarkStart w:id="19" w:name="_Toc26897"/>
      <w:bookmarkStart w:id="20" w:name="_Toc123701389"/>
      <w:bookmarkStart w:id="21" w:name="_Toc8727"/>
      <w:bookmarkStart w:id="22" w:name="_Toc32639"/>
      <w:bookmarkStart w:id="23" w:name="_Toc15517"/>
      <w:bookmarkStart w:id="24" w:name="_Toc29629"/>
      <w:bookmarkStart w:id="25" w:name="_Toc4966"/>
      <w:bookmarkStart w:id="26" w:name="_Toc123112268"/>
      <w:bookmarkStart w:id="27" w:name="_Toc30935"/>
      <w:bookmarkStart w:id="28" w:name="_Toc630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3224"/>
      <w:bookmarkStart w:id="33" w:name="_Toc21301"/>
      <w:bookmarkStart w:id="34" w:name="_Toc258829399"/>
      <w:bookmarkStart w:id="35" w:name="_Toc2465"/>
      <w:bookmarkStart w:id="36" w:name="_Toc15067"/>
      <w:bookmarkStart w:id="37" w:name="_Toc6617"/>
      <w:bookmarkStart w:id="38" w:name="_Toc819"/>
      <w:bookmarkStart w:id="39" w:name="_Toc13020"/>
      <w:bookmarkStart w:id="40" w:name="_Toc22864"/>
      <w:bookmarkStart w:id="41" w:name="_Toc19592"/>
      <w:bookmarkStart w:id="42" w:name="_Toc24860"/>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3288"/>
      <w:bookmarkStart w:id="48" w:name="_Toc545"/>
      <w:bookmarkStart w:id="49" w:name="_Toc18631"/>
      <w:bookmarkStart w:id="50" w:name="_Toc74065740"/>
      <w:bookmarkStart w:id="51" w:name="_Toc20627"/>
      <w:bookmarkStart w:id="52" w:name="_Toc733"/>
      <w:bookmarkStart w:id="53" w:name="_Toc6683"/>
      <w:bookmarkStart w:id="54" w:name="_Toc6149"/>
      <w:bookmarkStart w:id="55" w:name="_Toc20318"/>
      <w:bookmarkStart w:id="56" w:name="_Toc24571"/>
      <w:bookmarkStart w:id="57" w:name="_Toc22708"/>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兴银理财【稳利恒盈封闭式固收类】理财产品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11</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）。兴业银行成立于</w:t>
      </w:r>
      <w:r>
        <w:rPr>
          <w:rFonts w:ascii="宋体" w:hAnsi="宋体" w:eastAsia="宋体" w:cs="宋体"/>
          <w:bCs/>
          <w:color w:val="auto"/>
          <w:sz w:val="18"/>
          <w:szCs w:val="18"/>
          <w:lang w:val="en-US" w:eastAsia="zh-CN" w:bidi="ar-SA"/>
        </w:rPr>
        <w:t>1988年，于2005年开展资产托管业务，具备理财产品托管资格。</w:t>
      </w:r>
      <w:r>
        <w:rPr>
          <w:rFonts w:hint="eastAsia" w:ascii="宋体" w:hAnsi="宋体" w:eastAsia="宋体" w:cs="宋体"/>
          <w:bCs/>
          <w:color w:val="auto"/>
          <w:sz w:val="18"/>
          <w:szCs w:val="18"/>
          <w:lang w:val="en-US" w:eastAsia="zh-CN" w:bidi="ar-SA"/>
        </w:rPr>
        <w:t>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spacing w:line="360" w:lineRule="auto"/>
              <w:jc w:val="left"/>
              <w:rPr>
                <w:rFonts w:ascii="宋体" w:hAnsi="宋体" w:eastAsia="宋体" w:cs="宋体"/>
                <w:bCs/>
                <w:color w:val="auto"/>
                <w:kern w:val="2"/>
                <w:sz w:val="18"/>
                <w:szCs w:val="18"/>
                <w:lang w:val="en-US" w:eastAsia="zh-CN" w:bidi="ar-SA"/>
              </w:rPr>
            </w:pPr>
            <w:r>
              <w:rPr>
                <w:rFonts w:hint="eastAsia" w:ascii="宋体" w:hAnsi="宋体" w:cs="宋体"/>
                <w:bCs/>
                <w:color w:val="auto"/>
                <w:sz w:val="18"/>
                <w:szCs w:val="18"/>
              </w:rPr>
              <w:t>【兴银理财稳利恒盈封闭式2025年54</w:t>
            </w:r>
            <w:r>
              <w:rPr>
                <w:rFonts w:hint="eastAsia" w:ascii="宋体" w:hAnsi="宋体" w:cs="宋体"/>
                <w:bCs/>
                <w:color w:val="auto"/>
                <w:sz w:val="18"/>
                <w:szCs w:val="18"/>
                <w:lang w:val="en-US" w:eastAsia="zh-CN"/>
              </w:rPr>
              <w:t>4</w:t>
            </w:r>
            <w:r>
              <w:rPr>
                <w:rFonts w:hint="eastAsia" w:ascii="宋体" w:hAnsi="宋体" w:cs="宋体"/>
                <w:bCs/>
                <w:color w:val="auto"/>
                <w:sz w:val="18"/>
                <w:szCs w:val="18"/>
              </w:rPr>
              <w:t>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center"/>
          </w:tcPr>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【稳利恒盈封闭2025年544期14M(纯盈颐养款)A】（适用【A】类份额）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【稳利恒盈封闭2025年544期14M(纯盈颐养款)C】（适用【</w:t>
            </w: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【稳利恒盈封闭2025年544期14M(纯盈颐养款)E】（适用【E】类份额）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spacing w:line="360" w:lineRule="auto"/>
              <w:jc w:val="left"/>
              <w:rPr>
                <w:rFonts w:ascii="宋体" w:hAnsi="宋体" w:cs="宋体"/>
                <w:b/>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Z7002025001391</w:t>
            </w:r>
            <w:r>
              <w:rPr>
                <w:rFonts w:hint="eastAsia" w:ascii="宋体" w:hAnsi="宋体" w:cs="宋体"/>
                <w:bCs/>
                <w:color w:val="auto"/>
                <w:sz w:val="18"/>
                <w:szCs w:val="18"/>
              </w:rPr>
              <w:t>】注：投资者可依据理财产品登记编码在中国理财网查询产品信息</w:t>
            </w:r>
            <w:r>
              <w:rPr>
                <w:rFonts w:ascii="Calibri" w:hAnsi="Calibri" w:cs="宋体"/>
                <w:color w:val="auto"/>
                <w:szCs w:val="22"/>
              </w:rPr>
              <w:fldChar w:fldCharType="begin"/>
            </w:r>
            <w:r>
              <w:rPr>
                <w:rFonts w:ascii="Calibri" w:hAnsi="Calibri" w:cs="宋体"/>
                <w:color w:val="auto"/>
                <w:szCs w:val="22"/>
              </w:rPr>
              <w:instrText xml:space="preserve"> HYPERLINK "http://www.chinawealth.com.cn" </w:instrText>
            </w:r>
            <w:r>
              <w:rPr>
                <w:rFonts w:ascii="Calibri" w:hAnsi="Calibri" w:cs="宋体"/>
                <w:color w:val="auto"/>
                <w:szCs w:val="22"/>
              </w:rPr>
              <w:fldChar w:fldCharType="separate"/>
            </w:r>
            <w:r>
              <w:rPr>
                <w:rFonts w:ascii="宋体" w:hAnsi="宋体" w:cs="宋体"/>
                <w:bCs/>
                <w:color w:val="auto"/>
                <w:sz w:val="18"/>
                <w:szCs w:val="18"/>
              </w:rPr>
              <w:t>www.chinawealth.com.cn</w:t>
            </w:r>
            <w:r>
              <w:rPr>
                <w:rFonts w:ascii="宋体" w:hAnsi="宋体" w:cs="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color w:val="auto"/>
                <w:sz w:val="18"/>
                <w:szCs w:val="18"/>
              </w:rPr>
            </w:pPr>
            <w:r>
              <w:rPr>
                <w:rFonts w:ascii="宋体" w:hAnsi="宋体" w:cs="宋体"/>
                <w:bCs/>
                <w:color w:val="auto"/>
                <w:sz w:val="18"/>
                <w:szCs w:val="18"/>
              </w:rPr>
              <w:t>【</w:t>
            </w:r>
            <w:r>
              <w:rPr>
                <w:rFonts w:hint="eastAsia" w:ascii="宋体" w:hAnsi="宋体" w:cs="宋体"/>
                <w:bCs/>
                <w:color w:val="auto"/>
                <w:sz w:val="18"/>
                <w:szCs w:val="18"/>
                <w:lang w:eastAsia="zh-CN"/>
              </w:rPr>
              <w:t>9N255440</w:t>
            </w:r>
            <w:r>
              <w:rPr>
                <w:rFonts w:ascii="宋体" w:hAnsi="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center"/>
          </w:tcPr>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9N25544A</w:t>
            </w:r>
            <w:r>
              <w:rPr>
                <w:rFonts w:hint="eastAsia" w:ascii="宋体" w:hAnsi="宋体" w:cs="宋体"/>
                <w:bCs/>
                <w:color w:val="auto"/>
                <w:sz w:val="18"/>
                <w:szCs w:val="18"/>
              </w:rPr>
              <w:t>】（适用【A】类份额）</w:t>
            </w:r>
          </w:p>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9N25544</w:t>
            </w:r>
            <w:r>
              <w:rPr>
                <w:rFonts w:hint="eastAsia" w:ascii="宋体" w:hAnsi="宋体" w:cs="宋体"/>
                <w:bCs/>
                <w:color w:val="auto"/>
                <w:sz w:val="18"/>
                <w:szCs w:val="18"/>
                <w:lang w:val="en-US" w:eastAsia="zh-CN"/>
              </w:rPr>
              <w:t>C</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w:t>
            </w:r>
          </w:p>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9N25544E</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E</w:t>
            </w:r>
            <w:r>
              <w:rPr>
                <w:rFonts w:hint="eastAsia" w:ascii="宋体" w:hAnsi="宋体" w:cs="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pPr>
              <w:spacing w:line="360" w:lineRule="auto"/>
              <w:rPr>
                <w:rFonts w:ascii="宋体" w:hAnsi="宋体" w:eastAsia="宋体" w:cs="宋体"/>
                <w:bCs/>
                <w:color w:val="000000"/>
                <w:sz w:val="18"/>
                <w:szCs w:val="18"/>
              </w:rPr>
            </w:pP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color w:val="auto"/>
                <w:sz w:val="18"/>
                <w:szCs w:val="18"/>
                <w:highlight w:val="none"/>
              </w:rPr>
            </w:pPr>
            <w:r>
              <w:rPr>
                <w:rFonts w:hint="eastAsia" w:ascii="宋体" w:hAnsi="宋体" w:eastAsia="宋体" w:cs="宋体"/>
                <w:bCs/>
                <w:color w:val="auto"/>
                <w:sz w:val="18"/>
                <w:szCs w:val="18"/>
                <w:highlight w:val="none"/>
              </w:rPr>
              <w:t>1.本产品计划初始</w:t>
            </w:r>
            <w:r>
              <w:rPr>
                <w:rFonts w:ascii="宋体" w:hAnsi="宋体" w:eastAsia="宋体" w:cs="宋体"/>
                <w:bCs/>
                <w:color w:val="auto"/>
                <w:sz w:val="18"/>
                <w:szCs w:val="18"/>
                <w:highlight w:val="none"/>
              </w:rPr>
              <w:t>募集</w:t>
            </w:r>
            <w:r>
              <w:rPr>
                <w:rFonts w:hint="eastAsia" w:ascii="宋体" w:hAnsi="宋体" w:eastAsia="宋体" w:cs="宋体"/>
                <w:bCs/>
                <w:color w:val="auto"/>
                <w:sz w:val="18"/>
                <w:szCs w:val="18"/>
                <w:highlight w:val="none"/>
              </w:rPr>
              <w:t>规模为【</w:t>
            </w:r>
            <w:r>
              <w:rPr>
                <w:rFonts w:hint="eastAsia" w:ascii="宋体" w:hAnsi="宋体" w:eastAsia="宋体" w:cs="宋体"/>
                <w:bCs/>
                <w:color w:val="auto"/>
                <w:sz w:val="18"/>
                <w:szCs w:val="18"/>
                <w:highlight w:val="none"/>
                <w:lang w:val="en-US" w:eastAsia="zh-CN"/>
              </w:rPr>
              <w:t>8</w:t>
            </w:r>
            <w:r>
              <w:rPr>
                <w:rFonts w:hint="eastAsia" w:ascii="宋体" w:hAnsi="宋体" w:eastAsia="宋体" w:cs="宋体"/>
                <w:bCs/>
                <w:color w:val="auto"/>
                <w:sz w:val="18"/>
                <w:szCs w:val="18"/>
                <w:highlight w:val="none"/>
              </w:rPr>
              <w:t>】亿元，最小成立规模为【</w:t>
            </w:r>
            <w:r>
              <w:rPr>
                <w:rFonts w:hint="eastAsia" w:ascii="宋体" w:hAnsi="宋体" w:eastAsia="宋体" w:cs="宋体"/>
                <w:bCs/>
                <w:color w:val="auto"/>
                <w:sz w:val="18"/>
                <w:szCs w:val="18"/>
                <w:highlight w:val="none"/>
                <w:lang w:val="en-US" w:eastAsia="zh-CN"/>
              </w:rPr>
              <w:t>/</w:t>
            </w:r>
            <w:r>
              <w:rPr>
                <w:rFonts w:hint="eastAsia" w:ascii="宋体" w:hAnsi="宋体" w:eastAsia="宋体" w:cs="宋体"/>
                <w:bCs/>
                <w:color w:val="auto"/>
                <w:sz w:val="18"/>
                <w:szCs w:val="18"/>
                <w:highlight w:val="none"/>
              </w:rPr>
              <w:t>】亿元。</w:t>
            </w:r>
          </w:p>
          <w:p>
            <w:pPr>
              <w:spacing w:line="360" w:lineRule="auto"/>
              <w:rPr>
                <w:rFonts w:ascii="宋体" w:hAnsi="宋体" w:eastAsia="宋体" w:cs="宋体"/>
                <w:bCs/>
                <w:color w:val="auto"/>
                <w:sz w:val="18"/>
                <w:szCs w:val="18"/>
              </w:rPr>
            </w:pPr>
            <w:r>
              <w:rPr>
                <w:rFonts w:hint="eastAsia" w:ascii="宋体" w:hAnsi="宋体" w:eastAsia="宋体" w:cs="宋体"/>
                <w:bCs/>
                <w:color w:val="auto"/>
                <w:sz w:val="18"/>
                <w:szCs w:val="18"/>
              </w:rPr>
              <w:t>2.产品管理人</w:t>
            </w:r>
            <w:r>
              <w:rPr>
                <w:rFonts w:ascii="宋体" w:hAnsi="宋体" w:eastAsia="宋体" w:cs="宋体"/>
                <w:bCs/>
                <w:color w:val="auto"/>
                <w:sz w:val="18"/>
                <w:szCs w:val="18"/>
              </w:rPr>
              <w:t>有权根据实际需要对产品规模进行调整，产品最终规模以</w:t>
            </w:r>
            <w:r>
              <w:rPr>
                <w:rFonts w:hint="eastAsia" w:ascii="宋体" w:hAnsi="宋体" w:eastAsia="宋体" w:cs="宋体"/>
                <w:bCs/>
                <w:color w:val="auto"/>
                <w:sz w:val="18"/>
                <w:szCs w:val="18"/>
              </w:rPr>
              <w:t>产品管理人</w:t>
            </w:r>
            <w:r>
              <w:rPr>
                <w:rFonts w:ascii="宋体" w:hAnsi="宋体" w:eastAsia="宋体" w:cs="宋体"/>
                <w:bCs/>
                <w:color w:val="auto"/>
                <w:sz w:val="18"/>
                <w:szCs w:val="18"/>
              </w:rPr>
              <w:t>实际募集/管理的</w:t>
            </w:r>
            <w:r>
              <w:rPr>
                <w:rFonts w:hint="eastAsia" w:ascii="宋体" w:hAnsi="宋体" w:eastAsia="宋体" w:cs="宋体"/>
                <w:bCs/>
                <w:color w:val="auto"/>
                <w:sz w:val="18"/>
                <w:szCs w:val="18"/>
              </w:rPr>
              <w:t>金</w:t>
            </w:r>
            <w:r>
              <w:rPr>
                <w:rFonts w:ascii="宋体" w:hAnsi="宋体" w:eastAsia="宋体" w:cs="宋体"/>
                <w:bCs/>
                <w:color w:val="auto"/>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hint="eastAsia" w:ascii="宋体" w:hAnsi="宋体" w:eastAsia="宋体" w:cs="宋体"/>
                <w:bCs/>
                <w:color w:val="auto"/>
                <w:sz w:val="18"/>
                <w:szCs w:val="18"/>
                <w:lang w:val="en-US" w:eastAsia="zh-CN"/>
              </w:rPr>
            </w:pPr>
            <w:r>
              <w:rPr>
                <w:rFonts w:hint="eastAsia" w:ascii="宋体" w:hAnsi="宋体" w:eastAsia="宋体" w:cs="宋体"/>
                <w:bCs/>
                <w:color w:val="auto"/>
                <w:sz w:val="18"/>
                <w:szCs w:val="18"/>
              </w:rPr>
              <w:t>■有固定期限：【</w:t>
            </w:r>
            <w:r>
              <w:rPr>
                <w:rFonts w:hint="eastAsia" w:ascii="宋体" w:hAnsi="宋体" w:eastAsia="宋体" w:cs="宋体"/>
                <w:bCs/>
                <w:color w:val="auto"/>
                <w:sz w:val="18"/>
                <w:szCs w:val="18"/>
                <w:lang w:val="en-US" w:eastAsia="zh-CN"/>
              </w:rPr>
              <w:t>432天</w:t>
            </w:r>
            <w:r>
              <w:rPr>
                <w:rFonts w:hint="eastAsia" w:ascii="宋体" w:hAnsi="宋体" w:eastAsia="宋体" w:cs="宋体"/>
                <w:bCs/>
                <w:color w:val="auto"/>
                <w:sz w:val="18"/>
                <w:szCs w:val="18"/>
              </w:rPr>
              <w:t>】</w:t>
            </w:r>
          </w:p>
          <w:p>
            <w:pPr>
              <w:spacing w:line="360" w:lineRule="auto"/>
              <w:rPr>
                <w:rFonts w:ascii="宋体" w:hAnsi="宋体" w:eastAsia="宋体" w:cs="宋体"/>
                <w:bCs/>
                <w:color w:val="auto"/>
                <w:sz w:val="18"/>
                <w:szCs w:val="18"/>
              </w:rPr>
            </w:pPr>
            <w:r>
              <w:rPr>
                <w:rFonts w:hint="eastAsia" w:ascii="宋体" w:hAnsi="宋体" w:eastAsia="宋体" w:cs="宋体"/>
                <w:bCs/>
                <w:color w:val="auto"/>
                <w:sz w:val="18"/>
                <w:szCs w:val="18"/>
              </w:rPr>
              <w:t>□无固定期限</w:t>
            </w:r>
          </w:p>
          <w:p>
            <w:pPr>
              <w:spacing w:line="360" w:lineRule="auto"/>
              <w:rPr>
                <w:rFonts w:ascii="宋体" w:hAnsi="宋体" w:eastAsia="宋体" w:cs="宋体"/>
                <w:bCs/>
                <w:color w:val="auto"/>
                <w:sz w:val="18"/>
                <w:szCs w:val="18"/>
              </w:rPr>
            </w:pPr>
            <w:r>
              <w:rPr>
                <w:rFonts w:hint="eastAsia" w:ascii="黑体" w:hAnsi="黑体" w:eastAsia="黑体" w:cs="宋体"/>
                <w:bCs/>
                <w:color w:val="auto"/>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337"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spacing w:line="360" w:lineRule="auto"/>
              <w:rPr>
                <w:rFonts w:hint="eastAsia" w:ascii="宋体" w:hAnsi="宋体" w:cs="Times New Roman"/>
                <w:color w:val="auto"/>
                <w:sz w:val="18"/>
                <w:szCs w:val="18"/>
              </w:rPr>
            </w:pPr>
            <w:r>
              <w:rPr>
                <w:rFonts w:ascii="宋体" w:hAnsi="宋体" w:cs="宋体"/>
                <w:bCs/>
                <w:color w:val="auto"/>
                <w:sz w:val="18"/>
                <w:szCs w:val="18"/>
              </w:rPr>
              <w:t>1</w:t>
            </w:r>
            <w:r>
              <w:rPr>
                <w:rFonts w:hint="eastAsia" w:ascii="宋体" w:hAnsi="宋体" w:cs="宋体"/>
                <w:bCs/>
                <w:color w:val="auto"/>
                <w:sz w:val="18"/>
                <w:szCs w:val="18"/>
              </w:rPr>
              <w:t>.</w:t>
            </w:r>
            <w:r>
              <w:rPr>
                <w:rFonts w:ascii="宋体" w:hAnsi="宋体" w:cs="宋体"/>
                <w:bCs/>
                <w:color w:val="auto"/>
                <w:sz w:val="18"/>
                <w:szCs w:val="18"/>
              </w:rPr>
              <w:t>本产品认购期/募集期为</w:t>
            </w:r>
            <w:r>
              <w:rPr>
                <w:rFonts w:hint="eastAsia" w:ascii="宋体" w:hAnsi="宋体" w:cs="宋体"/>
                <w:bCs/>
                <w:color w:val="auto"/>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5</w:t>
            </w:r>
            <w:r>
              <w:rPr>
                <w:rFonts w:hint="eastAsia" w:ascii="宋体" w:hAnsi="宋体" w:cs="Times New Roman"/>
                <w:color w:val="auto"/>
                <w:sz w:val="18"/>
                <w:szCs w:val="18"/>
              </w:rPr>
              <w:t>】年【11】月【</w:t>
            </w:r>
            <w:r>
              <w:rPr>
                <w:rFonts w:hint="eastAsia" w:ascii="宋体" w:hAnsi="宋体" w:cs="Times New Roman"/>
                <w:color w:val="auto"/>
                <w:sz w:val="18"/>
                <w:szCs w:val="18"/>
                <w:lang w:val="en-US" w:eastAsia="zh-CN"/>
              </w:rPr>
              <w:t>13</w:t>
            </w:r>
            <w:r>
              <w:rPr>
                <w:rFonts w:hint="eastAsia" w:ascii="宋体" w:hAnsi="宋体" w:cs="Times New Roman"/>
                <w:color w:val="auto"/>
                <w:sz w:val="18"/>
                <w:szCs w:val="18"/>
              </w:rPr>
              <w:t>】日【9:00】至【202</w:t>
            </w:r>
            <w:r>
              <w:rPr>
                <w:rFonts w:hint="eastAsia" w:ascii="宋体" w:hAnsi="宋体" w:cs="Times New Roman"/>
                <w:color w:val="auto"/>
                <w:sz w:val="18"/>
                <w:szCs w:val="18"/>
                <w:lang w:val="en-US" w:eastAsia="zh-CN"/>
              </w:rPr>
              <w:t>5</w:t>
            </w:r>
            <w:r>
              <w:rPr>
                <w:rFonts w:hint="eastAsia" w:ascii="宋体" w:hAnsi="宋体" w:cs="Times New Roman"/>
                <w:color w:val="auto"/>
                <w:sz w:val="18"/>
                <w:szCs w:val="18"/>
              </w:rPr>
              <w:t>】年【</w:t>
            </w:r>
            <w:r>
              <w:rPr>
                <w:rFonts w:hint="eastAsia" w:ascii="宋体" w:hAnsi="宋体" w:cs="Times New Roman"/>
                <w:color w:val="auto"/>
                <w:sz w:val="18"/>
                <w:szCs w:val="18"/>
                <w:lang w:val="en-US" w:eastAsia="zh-CN"/>
              </w:rPr>
              <w:t>11</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20</w:t>
            </w:r>
            <w:r>
              <w:rPr>
                <w:rFonts w:hint="eastAsia" w:ascii="宋体" w:hAnsi="宋体" w:cs="Times New Roman"/>
                <w:color w:val="auto"/>
                <w:sz w:val="18"/>
                <w:szCs w:val="18"/>
              </w:rPr>
              <w:t>】日【17:00】。</w:t>
            </w:r>
          </w:p>
          <w:p>
            <w:pPr>
              <w:spacing w:line="360" w:lineRule="auto"/>
              <w:rPr>
                <w:rFonts w:ascii="宋体" w:hAnsi="宋体" w:cs="宋体"/>
                <w:bCs/>
                <w:color w:val="auto"/>
                <w:sz w:val="18"/>
                <w:szCs w:val="18"/>
              </w:rPr>
            </w:pPr>
            <w:r>
              <w:rPr>
                <w:rFonts w:ascii="宋体" w:hAnsi="宋体" w:cs="宋体"/>
                <w:bCs/>
                <w:color w:val="auto"/>
                <w:sz w:val="18"/>
                <w:szCs w:val="18"/>
              </w:rPr>
              <w:t>2</w:t>
            </w:r>
            <w:r>
              <w:rPr>
                <w:rFonts w:hint="eastAsia" w:ascii="宋体" w:hAnsi="宋体" w:cs="宋体"/>
                <w:bCs/>
                <w:color w:val="auto"/>
                <w:sz w:val="18"/>
                <w:szCs w:val="18"/>
              </w:rPr>
              <w:t>.投资者在认购期/募集</w:t>
            </w:r>
            <w:r>
              <w:rPr>
                <w:rFonts w:hint="eastAsia" w:ascii="宋体" w:hAnsi="宋体" w:cs="宋体"/>
                <w:color w:val="auto"/>
                <w:sz w:val="18"/>
                <w:szCs w:val="22"/>
              </w:rPr>
              <w:t>期内认购</w:t>
            </w:r>
            <w:r>
              <w:rPr>
                <w:rFonts w:hint="eastAsia" w:ascii="宋体" w:hAnsi="宋体" w:cs="宋体"/>
                <w:bCs/>
                <w:color w:val="auto"/>
                <w:sz w:val="18"/>
                <w:szCs w:val="18"/>
              </w:rPr>
              <w:t>本</w:t>
            </w:r>
            <w:r>
              <w:rPr>
                <w:rFonts w:hint="eastAsia" w:ascii="宋体" w:hAnsi="宋体" w:cs="宋体"/>
                <w:color w:val="auto"/>
                <w:sz w:val="18"/>
                <w:szCs w:val="22"/>
              </w:rPr>
              <w:t>理财</w:t>
            </w:r>
            <w:r>
              <w:rPr>
                <w:rFonts w:hint="eastAsia" w:ascii="宋体" w:hAnsi="宋体" w:cs="宋体"/>
                <w:bCs/>
                <w:color w:val="auto"/>
                <w:sz w:val="18"/>
                <w:szCs w:val="18"/>
              </w:rPr>
              <w:t>产品后，</w:t>
            </w:r>
            <w:r>
              <w:rPr>
                <w:rFonts w:hint="eastAsia" w:ascii="宋体" w:hAnsi="宋体" w:cs="宋体"/>
                <w:color w:val="auto"/>
                <w:sz w:val="18"/>
                <w:szCs w:val="22"/>
              </w:rPr>
              <w:t>理财</w:t>
            </w:r>
            <w:r>
              <w:rPr>
                <w:rFonts w:hint="eastAsia" w:ascii="宋体" w:hAnsi="宋体" w:cs="宋体"/>
                <w:bCs/>
                <w:color w:val="auto"/>
                <w:sz w:val="18"/>
                <w:szCs w:val="18"/>
              </w:rPr>
              <w:t>资金将在成立日开始进行投资。</w:t>
            </w:r>
          </w:p>
          <w:p>
            <w:pPr>
              <w:spacing w:line="360" w:lineRule="auto"/>
              <w:rPr>
                <w:rFonts w:ascii="宋体" w:hAnsi="宋体" w:cs="宋体"/>
                <w:color w:val="auto"/>
                <w:sz w:val="18"/>
                <w:szCs w:val="22"/>
              </w:rPr>
            </w:pPr>
            <w:r>
              <w:rPr>
                <w:rFonts w:ascii="宋体" w:hAnsi="宋体" w:cs="宋体"/>
                <w:bCs/>
                <w:color w:val="auto"/>
                <w:sz w:val="18"/>
                <w:szCs w:val="18"/>
              </w:rPr>
              <w:t>3</w:t>
            </w:r>
            <w:r>
              <w:rPr>
                <w:rFonts w:hint="eastAsia" w:ascii="宋体" w:hAnsi="宋体" w:cs="宋体"/>
                <w:bCs/>
                <w:color w:val="auto"/>
                <w:sz w:val="18"/>
                <w:szCs w:val="18"/>
              </w:rPr>
              <w:t>.认购期/募集期内资金产生的利息不计入认购资金</w:t>
            </w:r>
            <w:r>
              <w:rPr>
                <w:rFonts w:hint="eastAsia" w:ascii="宋体" w:hAnsi="宋体" w:cs="宋体"/>
                <w:color w:val="auto"/>
                <w:sz w:val="18"/>
                <w:szCs w:val="22"/>
              </w:rPr>
              <w:t>。</w:t>
            </w:r>
          </w:p>
          <w:p>
            <w:pPr>
              <w:spacing w:line="360" w:lineRule="auto"/>
              <w:rPr>
                <w:rFonts w:ascii="黑体" w:hAnsi="黑体" w:eastAsia="黑体" w:cs="黑体"/>
                <w:bCs/>
                <w:color w:val="auto"/>
                <w:sz w:val="18"/>
                <w:szCs w:val="18"/>
              </w:rPr>
            </w:pPr>
            <w:r>
              <w:rPr>
                <w:rFonts w:hint="eastAsia" w:ascii="黑体" w:hAnsi="黑体" w:eastAsia="黑体" w:cs="黑体"/>
                <w:bCs/>
                <w:color w:val="auto"/>
                <w:sz w:val="18"/>
                <w:szCs w:val="18"/>
              </w:rPr>
              <w:t>注：关于代理销售机构的实际工作服务时段的提示</w:t>
            </w:r>
          </w:p>
          <w:p>
            <w:pPr>
              <w:spacing w:line="360" w:lineRule="auto"/>
              <w:rPr>
                <w:rFonts w:ascii="黑体" w:hAnsi="黑体" w:eastAsia="黑体" w:cs="黑体"/>
                <w:bCs/>
                <w:color w:val="auto"/>
                <w:sz w:val="18"/>
                <w:szCs w:val="18"/>
              </w:rPr>
            </w:pPr>
            <w:r>
              <w:rPr>
                <w:rFonts w:hint="eastAsia" w:ascii="黑体" w:hAnsi="黑体" w:eastAsia="黑体" w:cs="黑体"/>
                <w:bCs/>
                <w:color w:val="auto"/>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宋体" w:hAnsi="宋体" w:eastAsia="宋体" w:cs="宋体"/>
                <w:bCs/>
                <w:color w:val="auto"/>
                <w:sz w:val="18"/>
                <w:szCs w:val="18"/>
              </w:rPr>
            </w:pPr>
            <w:r>
              <w:rPr>
                <w:rFonts w:hint="eastAsia" w:ascii="黑体" w:hAnsi="黑体" w:eastAsia="黑体" w:cs="黑体"/>
                <w:bCs/>
                <w:color w:val="auto"/>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ascii="宋体" w:hAnsi="宋体" w:cs="宋体"/>
                <w:bCs/>
                <w:color w:val="auto"/>
                <w:sz w:val="18"/>
                <w:szCs w:val="18"/>
              </w:rPr>
            </w:pPr>
            <w:r>
              <w:rPr>
                <w:rFonts w:ascii="宋体" w:hAnsi="宋体" w:cs="宋体"/>
                <w:bCs/>
                <w:color w:val="auto"/>
                <w:sz w:val="18"/>
                <w:szCs w:val="18"/>
              </w:rPr>
              <w:t>1</w:t>
            </w:r>
            <w:r>
              <w:rPr>
                <w:rFonts w:hint="eastAsia" w:ascii="宋体" w:hAnsi="宋体" w:cs="宋体"/>
                <w:bCs/>
                <w:color w:val="auto"/>
                <w:sz w:val="18"/>
                <w:szCs w:val="18"/>
              </w:rPr>
              <w:t>.本产品的计划成立日为</w:t>
            </w:r>
            <w:r>
              <w:rPr>
                <w:rFonts w:ascii="宋体" w:hAnsi="宋体" w:cs="宋体"/>
                <w:bCs/>
                <w:color w:val="auto"/>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5】年【11】月【21】日</w:t>
            </w:r>
            <w:r>
              <w:rPr>
                <w:rFonts w:hint="eastAsia" w:ascii="宋体" w:hAnsi="宋体" w:cs="Times New Roman"/>
                <w:color w:val="auto"/>
                <w:sz w:val="18"/>
                <w:szCs w:val="18"/>
              </w:rPr>
              <w:t>（遇节假日顺延）</w:t>
            </w:r>
            <w:r>
              <w:rPr>
                <w:rFonts w:hint="eastAsia" w:ascii="宋体" w:hAnsi="宋体" w:cs="宋体"/>
                <w:bCs/>
                <w:color w:val="auto"/>
                <w:sz w:val="18"/>
                <w:szCs w:val="18"/>
              </w:rPr>
              <w:t>。</w:t>
            </w:r>
          </w:p>
          <w:p>
            <w:pPr>
              <w:spacing w:line="360" w:lineRule="auto"/>
              <w:rPr>
                <w:rFonts w:ascii="宋体" w:hAnsi="宋体" w:eastAsia="宋体" w:cs="宋体"/>
                <w:bCs/>
                <w:color w:val="auto"/>
                <w:sz w:val="18"/>
                <w:szCs w:val="18"/>
              </w:rPr>
            </w:pPr>
            <w:r>
              <w:rPr>
                <w:rFonts w:ascii="宋体" w:hAnsi="宋体" w:cs="宋体"/>
                <w:bCs/>
                <w:color w:val="auto"/>
                <w:sz w:val="18"/>
                <w:szCs w:val="18"/>
              </w:rPr>
              <w:t>2</w:t>
            </w:r>
            <w:r>
              <w:rPr>
                <w:rFonts w:hint="eastAsia" w:ascii="宋体" w:hAnsi="宋体" w:cs="宋体"/>
                <w:bCs/>
                <w:color w:val="auto"/>
                <w:sz w:val="18"/>
                <w:szCs w:val="18"/>
              </w:rPr>
              <w:t>.</w:t>
            </w:r>
            <w:r>
              <w:rPr>
                <w:rFonts w:ascii="宋体" w:hAnsi="宋体" w:cs="宋体"/>
                <w:bCs/>
                <w:color w:val="auto"/>
                <w:sz w:val="18"/>
                <w:szCs w:val="18"/>
              </w:rPr>
              <w:t>产品管理人有权根据实际募集情况提前或延后产品成立日期，并相应调整其他产品要素</w:t>
            </w:r>
            <w:r>
              <w:rPr>
                <w:rFonts w:hint="eastAsia" w:ascii="宋体" w:hAnsi="宋体" w:cs="宋体"/>
                <w:bCs/>
                <w:color w:val="auto"/>
                <w:sz w:val="18"/>
                <w:szCs w:val="18"/>
              </w:rPr>
              <w:t>，</w:t>
            </w:r>
            <w:r>
              <w:rPr>
                <w:rFonts w:ascii="宋体" w:hAnsi="宋体" w:cs="宋体"/>
                <w:bCs/>
                <w:color w:val="auto"/>
                <w:sz w:val="18"/>
                <w:szCs w:val="18"/>
              </w:rPr>
              <w:t>将依约</w:t>
            </w:r>
            <w:r>
              <w:rPr>
                <w:rFonts w:hint="eastAsia" w:ascii="宋体" w:hAnsi="宋体" w:cs="宋体"/>
                <w:bCs/>
                <w:color w:val="auto"/>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widowControl/>
              <w:suppressLineNumbers w:val="0"/>
              <w:jc w:val="left"/>
              <w:rPr>
                <w:rFonts w:ascii="宋体" w:hAnsi="宋体" w:cs="宋体"/>
                <w:bCs/>
                <w:color w:val="auto"/>
                <w:sz w:val="18"/>
                <w:szCs w:val="18"/>
              </w:rPr>
            </w:pPr>
            <w:r>
              <w:rPr>
                <w:rFonts w:ascii="宋体" w:hAnsi="宋体" w:cs="宋体"/>
                <w:bCs/>
                <w:color w:val="auto"/>
                <w:sz w:val="18"/>
                <w:szCs w:val="18"/>
              </w:rPr>
              <w:t>1</w:t>
            </w:r>
            <w:r>
              <w:rPr>
                <w:rFonts w:hint="eastAsia" w:ascii="宋体" w:hAnsi="宋体" w:cs="宋体"/>
                <w:bCs/>
                <w:color w:val="auto"/>
                <w:sz w:val="18"/>
                <w:szCs w:val="18"/>
              </w:rPr>
              <w:t>.本产品的计划终止日为</w:t>
            </w:r>
            <w:r>
              <w:rPr>
                <w:rFonts w:ascii="宋体" w:hAnsi="宋体" w:cs="宋体"/>
                <w:bCs/>
                <w:color w:val="auto"/>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7</w:t>
            </w:r>
            <w:r>
              <w:rPr>
                <w:rFonts w:hint="eastAsia" w:ascii="宋体" w:hAnsi="宋体" w:cs="Times New Roman"/>
                <w:color w:val="auto"/>
                <w:sz w:val="18"/>
                <w:szCs w:val="18"/>
              </w:rPr>
              <w:t>】年【</w:t>
            </w:r>
            <w:r>
              <w:rPr>
                <w:rFonts w:hint="eastAsia" w:ascii="宋体" w:hAnsi="宋体" w:cs="Times New Roman"/>
                <w:color w:val="auto"/>
                <w:sz w:val="18"/>
                <w:szCs w:val="18"/>
                <w:lang w:val="en-US" w:eastAsia="zh-CN"/>
              </w:rPr>
              <w:t>01</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27</w:t>
            </w:r>
            <w:r>
              <w:rPr>
                <w:rFonts w:hint="eastAsia" w:ascii="宋体" w:hAnsi="宋体" w:cs="Times New Roman"/>
                <w:color w:val="auto"/>
                <w:sz w:val="18"/>
                <w:szCs w:val="18"/>
              </w:rPr>
              <w:t>】日（遇节假日顺延）</w:t>
            </w:r>
            <w:r>
              <w:rPr>
                <w:rFonts w:hint="eastAsia" w:ascii="宋体" w:hAnsi="宋体" w:cs="宋体"/>
                <w:bCs/>
                <w:color w:val="auto"/>
                <w:sz w:val="18"/>
                <w:szCs w:val="18"/>
              </w:rPr>
              <w:t>。</w:t>
            </w:r>
          </w:p>
          <w:p>
            <w:pPr>
              <w:spacing w:line="360" w:lineRule="auto"/>
              <w:rPr>
                <w:rFonts w:ascii="宋体" w:hAnsi="宋体" w:cs="Times New Roman"/>
                <w:color w:val="auto"/>
                <w:sz w:val="18"/>
                <w:szCs w:val="18"/>
              </w:rPr>
            </w:pPr>
            <w:r>
              <w:rPr>
                <w:rFonts w:hint="eastAsia" w:ascii="宋体" w:hAnsi="宋体" w:cs="宋体"/>
                <w:bCs/>
                <w:color w:val="auto"/>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ascii="宋体" w:hAnsi="宋体" w:eastAsia="宋体" w:cs="宋体"/>
                <w:bCs/>
                <w:color w:val="auto"/>
                <w:sz w:val="18"/>
                <w:szCs w:val="18"/>
              </w:rPr>
            </w:pPr>
            <w:r>
              <w:rPr>
                <w:rFonts w:hint="eastAsia" w:ascii="宋体" w:hAnsi="宋体" w:eastAsia="宋体" w:cs="宋体"/>
                <w:color w:val="auto"/>
                <w:sz w:val="18"/>
                <w:szCs w:val="18"/>
              </w:rPr>
              <w:t>每笔</w:t>
            </w:r>
            <w:r>
              <w:rPr>
                <w:rFonts w:hint="eastAsia" w:ascii="宋体" w:hAnsi="宋体" w:eastAsia="宋体" w:cs="宋体"/>
                <w:bCs/>
                <w:color w:val="auto"/>
                <w:sz w:val="18"/>
                <w:szCs w:val="18"/>
              </w:rPr>
              <w:t>购买起点金额为【1.00】元；超出起点金额的部分以【0.01】元的整数倍递增。（适用【A</w:t>
            </w:r>
            <w:r>
              <w:rPr>
                <w:rFonts w:hint="eastAsia" w:ascii="宋体" w:hAnsi="宋体" w:eastAsia="宋体" w:cs="宋体"/>
                <w:bCs/>
                <w:color w:val="auto"/>
                <w:sz w:val="18"/>
                <w:szCs w:val="18"/>
                <w:lang w:val="en-US" w:eastAsia="zh-CN"/>
              </w:rPr>
              <w:t>/C/E</w:t>
            </w:r>
            <w:r>
              <w:rPr>
                <w:rFonts w:hint="eastAsia" w:ascii="宋体" w:hAnsi="宋体" w:eastAsia="宋体" w:cs="宋体"/>
                <w:bCs/>
                <w:color w:val="auto"/>
                <w:sz w:val="18"/>
                <w:szCs w:val="18"/>
              </w:rPr>
              <w:t>】类份额）</w:t>
            </w:r>
          </w:p>
          <w:p>
            <w:pPr>
              <w:spacing w:line="360" w:lineRule="auto"/>
              <w:rPr>
                <w:rFonts w:ascii="黑体" w:hAnsi="黑体" w:eastAsia="黑体" w:cs="宋体"/>
                <w:color w:val="auto"/>
                <w:sz w:val="18"/>
                <w:szCs w:val="18"/>
              </w:rPr>
            </w:pPr>
            <w:r>
              <w:rPr>
                <w:rFonts w:hint="eastAsia" w:ascii="黑体" w:hAnsi="黑体" w:eastAsia="黑体" w:cs="宋体"/>
                <w:color w:val="auto"/>
                <w:sz w:val="18"/>
                <w:szCs w:val="18"/>
              </w:rPr>
              <w:t>注</w:t>
            </w:r>
            <w:r>
              <w:rPr>
                <w:rFonts w:ascii="黑体" w:hAnsi="黑体" w:eastAsia="黑体" w:cs="宋体"/>
                <w:color w:val="auto"/>
                <w:sz w:val="18"/>
                <w:szCs w:val="18"/>
              </w:rPr>
              <w:t>：</w:t>
            </w:r>
            <w:r>
              <w:rPr>
                <w:rFonts w:hint="eastAsia" w:ascii="黑体" w:hAnsi="黑体" w:eastAsia="黑体" w:cs="宋体"/>
                <w:color w:val="auto"/>
                <w:sz w:val="18"/>
                <w:szCs w:val="18"/>
              </w:rPr>
              <w:t>关于代理销售机构的实际销售</w:t>
            </w:r>
            <w:r>
              <w:rPr>
                <w:rFonts w:ascii="黑体" w:hAnsi="黑体" w:eastAsia="黑体" w:cs="宋体"/>
                <w:color w:val="auto"/>
                <w:sz w:val="18"/>
                <w:szCs w:val="18"/>
              </w:rPr>
              <w:t>起点金额</w:t>
            </w:r>
            <w:r>
              <w:rPr>
                <w:rFonts w:hint="eastAsia" w:ascii="黑体" w:hAnsi="黑体" w:eastAsia="黑体" w:cs="宋体"/>
                <w:color w:val="auto"/>
                <w:sz w:val="18"/>
                <w:szCs w:val="18"/>
              </w:rPr>
              <w:t>的提示</w:t>
            </w:r>
          </w:p>
          <w:p>
            <w:pPr>
              <w:spacing w:line="360" w:lineRule="auto"/>
              <w:rPr>
                <w:rFonts w:ascii="黑体" w:hAnsi="黑体" w:eastAsia="黑体" w:cs="宋体"/>
                <w:color w:val="auto"/>
                <w:sz w:val="18"/>
                <w:szCs w:val="18"/>
              </w:rPr>
            </w:pPr>
            <w:r>
              <w:rPr>
                <w:rFonts w:hint="eastAsia" w:ascii="黑体" w:hAnsi="黑体" w:eastAsia="黑体" w:cs="宋体"/>
                <w:color w:val="auto"/>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auto"/>
                <w:sz w:val="18"/>
                <w:szCs w:val="18"/>
              </w:rPr>
              <w:t>以</w:t>
            </w:r>
            <w:r>
              <w:rPr>
                <w:rFonts w:hint="eastAsia" w:ascii="黑体" w:hAnsi="黑体" w:eastAsia="黑体" w:cs="宋体"/>
                <w:color w:val="auto"/>
                <w:sz w:val="18"/>
                <w:szCs w:val="18"/>
              </w:rPr>
              <w:t>代理销售机构展示</w:t>
            </w:r>
            <w:r>
              <w:rPr>
                <w:rFonts w:ascii="黑体" w:hAnsi="黑体" w:eastAsia="黑体" w:cs="宋体"/>
                <w:color w:val="auto"/>
                <w:sz w:val="18"/>
                <w:szCs w:val="18"/>
              </w:rPr>
              <w:t>为准</w:t>
            </w:r>
            <w:r>
              <w:rPr>
                <w:rFonts w:hint="eastAsia" w:ascii="黑体" w:hAnsi="黑体" w:eastAsia="黑体" w:cs="宋体"/>
                <w:color w:val="auto"/>
                <w:sz w:val="18"/>
                <w:szCs w:val="18"/>
              </w:rPr>
              <w:t>。</w:t>
            </w:r>
          </w:p>
          <w:p>
            <w:pPr>
              <w:spacing w:line="360" w:lineRule="auto"/>
              <w:jc w:val="left"/>
              <w:rPr>
                <w:rFonts w:ascii="宋体" w:hAnsi="宋体" w:cs="Times New Roman"/>
                <w:color w:val="auto"/>
                <w:sz w:val="18"/>
                <w:szCs w:val="18"/>
              </w:rPr>
            </w:pPr>
            <w:r>
              <w:rPr>
                <w:rFonts w:hint="eastAsia" w:ascii="黑体" w:hAnsi="黑体" w:eastAsia="黑体" w:cs="宋体"/>
                <w:color w:val="auto"/>
                <w:sz w:val="18"/>
                <w:szCs w:val="18"/>
              </w:rPr>
              <w:t>②代理销售机构的实际销售起点金额，</w:t>
            </w:r>
            <w:r>
              <w:rPr>
                <w:rFonts w:ascii="黑体" w:hAnsi="黑体" w:eastAsia="黑体" w:cs="宋体"/>
                <w:color w:val="auto"/>
                <w:sz w:val="18"/>
                <w:szCs w:val="18"/>
              </w:rPr>
              <w:t>不得低于</w:t>
            </w:r>
            <w:r>
              <w:rPr>
                <w:rFonts w:hint="eastAsia" w:ascii="黑体" w:hAnsi="黑体" w:eastAsia="黑体" w:cs="宋体"/>
                <w:color w:val="auto"/>
                <w:sz w:val="18"/>
                <w:szCs w:val="18"/>
              </w:rPr>
              <w:t>销售</w:t>
            </w:r>
            <w:r>
              <w:rPr>
                <w:rFonts w:ascii="黑体" w:hAnsi="黑体" w:eastAsia="黑体" w:cs="宋体"/>
                <w:color w:val="auto"/>
                <w:sz w:val="18"/>
                <w:szCs w:val="18"/>
              </w:rPr>
              <w:t>文件约定的</w:t>
            </w:r>
            <w:r>
              <w:rPr>
                <w:rFonts w:hint="eastAsia" w:ascii="黑体" w:hAnsi="黑体" w:eastAsia="黑体" w:cs="宋体"/>
                <w:color w:val="auto"/>
                <w:sz w:val="18"/>
                <w:szCs w:val="18"/>
              </w:rPr>
              <w:t>销售</w:t>
            </w:r>
            <w:r>
              <w:rPr>
                <w:rFonts w:ascii="黑体" w:hAnsi="黑体" w:eastAsia="黑体" w:cs="宋体"/>
                <w:color w:val="auto"/>
                <w:sz w:val="18"/>
                <w:szCs w:val="18"/>
              </w:rPr>
              <w:t>起点金额</w:t>
            </w:r>
            <w:r>
              <w:rPr>
                <w:rFonts w:hint="eastAsia" w:ascii="黑体" w:hAnsi="黑体" w:eastAsia="黑体" w:cs="宋体"/>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（适用【/】类</w:t>
            </w:r>
            <w:r>
              <w:rPr>
                <w:rFonts w:ascii="宋体" w:hAnsi="宋体" w:eastAsia="宋体" w:cs="宋体"/>
                <w:bCs/>
                <w:color w:val="000000"/>
                <w:sz w:val="18"/>
                <w:szCs w:val="18"/>
                <w:lang w:val="en-US" w:eastAsia="zh-CN" w:bidi="ar-SA"/>
              </w:rPr>
              <w:t>份额</w:t>
            </w:r>
            <w:r>
              <w:rPr>
                <w:rFonts w:hint="eastAsia" w:ascii="宋体" w:hAnsi="宋体" w:eastAsia="宋体" w:cs="宋体"/>
                <w:bCs/>
                <w:color w:val="000000"/>
                <w:sz w:val="18"/>
                <w:szCs w:val="18"/>
                <w:lang w:val="en-US" w:eastAsia="zh-CN" w:bidi="ar-SA"/>
              </w:rPr>
              <w:t>）</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color w:val="auto"/>
                <w:sz w:val="18"/>
                <w:szCs w:val="18"/>
              </w:rPr>
            </w:pPr>
            <w:r>
              <w:rPr>
                <w:rFonts w:hint="eastAsia" w:ascii="Calibri" w:hAnsi="宋体" w:cs="宋体"/>
                <w:color w:val="auto"/>
                <w:sz w:val="18"/>
                <w:szCs w:val="18"/>
              </w:rPr>
              <w:t>（适用</w:t>
            </w:r>
            <w:r>
              <w:rPr>
                <w:rFonts w:hint="eastAsia" w:ascii="Calibri" w:hAnsi="宋体" w:cs="宋体"/>
                <w:color w:val="auto"/>
                <w:sz w:val="18"/>
                <w:szCs w:val="18"/>
                <w:lang w:eastAsia="zh-CN"/>
              </w:rPr>
              <w:t>【</w:t>
            </w:r>
            <w:r>
              <w:rPr>
                <w:rFonts w:hint="eastAsia" w:ascii="Calibri" w:hAnsi="宋体" w:cs="宋体"/>
                <w:color w:val="auto"/>
                <w:sz w:val="18"/>
                <w:szCs w:val="18"/>
                <w:lang w:val="en-US" w:eastAsia="zh-CN"/>
              </w:rPr>
              <w:t>/</w:t>
            </w:r>
            <w:r>
              <w:rPr>
                <w:rFonts w:hint="eastAsia" w:ascii="Calibri" w:hAnsi="宋体" w:cs="宋体"/>
                <w:color w:val="auto"/>
                <w:sz w:val="18"/>
                <w:szCs w:val="18"/>
                <w:lang w:eastAsia="zh-CN"/>
              </w:rPr>
              <w:t>】类</w:t>
            </w:r>
            <w:r>
              <w:rPr>
                <w:rFonts w:hint="eastAsia" w:ascii="Calibri" w:hAnsi="宋体" w:cs="宋体"/>
                <w:color w:val="auto"/>
                <w:sz w:val="18"/>
                <w:szCs w:val="18"/>
              </w:rPr>
              <w:t>份额）</w:t>
            </w:r>
          </w:p>
          <w:p>
            <w:pPr>
              <w:autoSpaceDE w:val="0"/>
              <w:autoSpaceDN w:val="0"/>
              <w:adjustRightInd w:val="0"/>
              <w:spacing w:line="360" w:lineRule="auto"/>
              <w:jc w:val="left"/>
              <w:rPr>
                <w:rFonts w:ascii="Calibri" w:hAnsi="宋体" w:cs="宋体"/>
                <w:color w:val="auto"/>
                <w:sz w:val="18"/>
                <w:szCs w:val="18"/>
              </w:rPr>
            </w:pPr>
            <w:r>
              <w:rPr>
                <w:rFonts w:ascii="Calibri" w:hAnsi="宋体" w:cs="宋体"/>
                <w:color w:val="auto"/>
                <w:sz w:val="18"/>
                <w:szCs w:val="18"/>
              </w:rPr>
              <w:t>1.业绩比较基准的设置</w:t>
            </w:r>
          </w:p>
          <w:p>
            <w:pPr>
              <w:autoSpaceDE w:val="0"/>
              <w:autoSpaceDN w:val="0"/>
              <w:adjustRightInd w:val="0"/>
              <w:spacing w:line="360" w:lineRule="auto"/>
              <w:jc w:val="left"/>
              <w:rPr>
                <w:rFonts w:ascii="宋体" w:hAnsi="宋体" w:eastAsia="宋体" w:cs="宋体"/>
                <w:color w:val="auto"/>
                <w:kern w:val="0"/>
                <w:sz w:val="18"/>
                <w:szCs w:val="18"/>
              </w:rPr>
            </w:pPr>
            <w:r>
              <w:rPr>
                <w:rFonts w:hint="eastAsia" w:ascii="宋体" w:hAnsi="宋体" w:eastAsia="宋体" w:cs="宋体"/>
                <w:bCs/>
                <w:color w:val="auto"/>
                <w:sz w:val="18"/>
                <w:szCs w:val="18"/>
              </w:rPr>
              <w:t>■</w:t>
            </w:r>
            <w:r>
              <w:rPr>
                <w:rFonts w:ascii="宋体" w:hAnsi="宋体" w:eastAsia="宋体" w:cs="宋体"/>
                <w:color w:val="auto"/>
                <w:kern w:val="0"/>
                <w:sz w:val="18"/>
                <w:szCs w:val="18"/>
              </w:rPr>
              <w:t xml:space="preserve"> </w:t>
            </w:r>
            <w:r>
              <w:rPr>
                <w:rFonts w:hint="eastAsia" w:ascii="宋体" w:hAnsi="宋体" w:eastAsia="宋体" w:cs="宋体"/>
                <w:color w:val="auto"/>
                <w:kern w:val="0"/>
                <w:sz w:val="18"/>
                <w:szCs w:val="18"/>
              </w:rPr>
              <w:t>产品管理人设置业绩比较基准。</w:t>
            </w:r>
          </w:p>
          <w:p>
            <w:pPr>
              <w:autoSpaceDE w:val="0"/>
              <w:autoSpaceDN w:val="0"/>
              <w:adjustRightInd w:val="0"/>
              <w:spacing w:line="360" w:lineRule="auto"/>
              <w:jc w:val="left"/>
              <w:rPr>
                <w:rFonts w:ascii="宋体" w:hAnsi="宋体" w:eastAsia="宋体" w:cs="宋体"/>
                <w:bCs/>
                <w:color w:val="auto"/>
                <w:sz w:val="18"/>
                <w:szCs w:val="18"/>
              </w:rPr>
            </w:pPr>
            <w:r>
              <w:rPr>
                <w:rFonts w:hint="eastAsia" w:ascii="宋体" w:hAnsi="宋体" w:cs="宋体"/>
                <w:bCs/>
                <w:color w:val="auto"/>
                <w:sz w:val="18"/>
                <w:szCs w:val="18"/>
              </w:rPr>
              <w:t>（</w:t>
            </w:r>
            <w:r>
              <w:rPr>
                <w:rFonts w:ascii="宋体" w:hAnsi="宋体" w:cs="宋体"/>
                <w:bCs/>
                <w:color w:val="auto"/>
                <w:sz w:val="18"/>
                <w:szCs w:val="18"/>
              </w:rPr>
              <w:t>1）业绩比较基准的说明：</w:t>
            </w:r>
            <w:r>
              <w:rPr>
                <w:rFonts w:hint="eastAsia" w:ascii="宋体" w:hAnsi="宋体" w:cs="宋体"/>
                <w:bCs/>
                <w:color w:val="auto"/>
                <w:sz w:val="18"/>
                <w:szCs w:val="18"/>
              </w:rPr>
              <w:t>【产品投资债权类资产不低于80%，根据当前市场环境下大类资产合理配置比例及大类资产收益情况，考虑杠杆和费率等因素，并结合产品投资策略，设定业绩比较基准</w:t>
            </w:r>
            <w:r>
              <w:rPr>
                <w:rFonts w:ascii="宋体" w:hAnsi="宋体" w:cs="宋体"/>
                <w:bCs/>
                <w:color w:val="auto"/>
                <w:sz w:val="18"/>
                <w:szCs w:val="18"/>
              </w:rPr>
              <w:t>】</w:t>
            </w:r>
            <w:r>
              <w:rPr>
                <w:rFonts w:hint="eastAsia" w:ascii="宋体" w:hAnsi="宋体" w:eastAsia="宋体" w:cs="宋体"/>
                <w:bCs/>
                <w:color w:val="auto"/>
                <w:sz w:val="18"/>
                <w:szCs w:val="18"/>
              </w:rPr>
              <w:t>。</w:t>
            </w:r>
          </w:p>
          <w:p>
            <w:pPr>
              <w:spacing w:line="360" w:lineRule="auto"/>
              <w:jc w:val="left"/>
              <w:rPr>
                <w:rFonts w:hint="eastAsia" w:ascii="宋体" w:hAnsi="宋体" w:cs="宋体"/>
                <w:color w:val="auto"/>
                <w:sz w:val="18"/>
                <w:szCs w:val="22"/>
              </w:rPr>
            </w:pPr>
            <w:r>
              <w:rPr>
                <w:rFonts w:hint="eastAsia" w:ascii="宋体" w:hAnsi="宋体" w:eastAsia="宋体" w:cs="宋体"/>
                <w:bCs/>
                <w:color w:val="auto"/>
                <w:sz w:val="18"/>
                <w:szCs w:val="18"/>
              </w:rPr>
              <w:t>（</w:t>
            </w:r>
            <w:r>
              <w:rPr>
                <w:rFonts w:ascii="宋体" w:hAnsi="宋体" w:eastAsia="宋体" w:cs="宋体"/>
                <w:bCs/>
                <w:color w:val="auto"/>
                <w:sz w:val="18"/>
                <w:szCs w:val="18"/>
              </w:rPr>
              <w:t>2）业绩比较基准的设定：</w:t>
            </w:r>
            <w:r>
              <w:rPr>
                <w:rFonts w:hint="eastAsia" w:ascii="宋体" w:hAnsi="宋体" w:cs="宋体"/>
                <w:color w:val="auto"/>
                <w:sz w:val="18"/>
                <w:szCs w:val="22"/>
              </w:rPr>
              <w:t>管理人对</w:t>
            </w:r>
            <w:r>
              <w:rPr>
                <w:rFonts w:ascii="宋体" w:hAnsi="宋体" w:cs="宋体"/>
                <w:color w:val="auto"/>
                <w:sz w:val="18"/>
                <w:szCs w:val="22"/>
              </w:rPr>
              <w:t>本产品设定</w:t>
            </w:r>
            <w:r>
              <w:rPr>
                <w:rFonts w:hint="eastAsia" w:ascii="宋体" w:hAnsi="宋体" w:cs="宋体"/>
                <w:color w:val="auto"/>
                <w:sz w:val="18"/>
                <w:szCs w:val="22"/>
              </w:rPr>
              <w:t>业绩比较基准：</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A类份额：年化【2.</w:t>
            </w:r>
            <w:r>
              <w:rPr>
                <w:rFonts w:hint="eastAsia" w:ascii="宋体" w:hAnsi="宋体" w:cs="宋体"/>
                <w:bCs/>
                <w:color w:val="auto"/>
                <w:sz w:val="18"/>
                <w:szCs w:val="18"/>
                <w:lang w:val="en-US" w:eastAsia="zh-CN"/>
              </w:rPr>
              <w:t>22</w:t>
            </w:r>
            <w:r>
              <w:rPr>
                <w:rFonts w:hint="eastAsia" w:ascii="宋体" w:hAnsi="宋体" w:cs="宋体"/>
                <w:bCs/>
                <w:color w:val="auto"/>
                <w:sz w:val="18"/>
                <w:szCs w:val="18"/>
              </w:rPr>
              <w:t>%】。</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类份额：年化【2.</w:t>
            </w:r>
            <w:r>
              <w:rPr>
                <w:rFonts w:hint="eastAsia" w:ascii="宋体" w:hAnsi="宋体" w:cs="宋体"/>
                <w:bCs/>
                <w:color w:val="auto"/>
                <w:sz w:val="18"/>
                <w:szCs w:val="18"/>
                <w:lang w:val="en-US" w:eastAsia="zh-CN"/>
              </w:rPr>
              <w:t>31</w:t>
            </w:r>
            <w:r>
              <w:rPr>
                <w:rFonts w:hint="eastAsia" w:ascii="宋体" w:hAnsi="宋体" w:cs="宋体"/>
                <w:bCs/>
                <w:color w:val="auto"/>
                <w:sz w:val="18"/>
                <w:szCs w:val="18"/>
              </w:rPr>
              <w:t>%】。</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lang w:val="en-US" w:eastAsia="zh-CN"/>
              </w:rPr>
              <w:t>E</w:t>
            </w:r>
            <w:r>
              <w:rPr>
                <w:rFonts w:hint="eastAsia" w:ascii="宋体" w:hAnsi="宋体" w:cs="宋体"/>
                <w:bCs/>
                <w:color w:val="auto"/>
                <w:sz w:val="18"/>
                <w:szCs w:val="18"/>
              </w:rPr>
              <w:t>类份额：年化【2.1</w:t>
            </w:r>
            <w:r>
              <w:rPr>
                <w:rFonts w:hint="eastAsia" w:ascii="宋体" w:hAnsi="宋体" w:cs="宋体"/>
                <w:bCs/>
                <w:color w:val="auto"/>
                <w:sz w:val="18"/>
                <w:szCs w:val="18"/>
                <w:lang w:val="en-US" w:eastAsia="zh-CN"/>
              </w:rPr>
              <w:t>1</w:t>
            </w:r>
            <w:r>
              <w:rPr>
                <w:rFonts w:hint="eastAsia" w:ascii="宋体" w:hAnsi="宋体" w:cs="宋体"/>
                <w:bCs/>
                <w:color w:val="auto"/>
                <w:sz w:val="18"/>
                <w:szCs w:val="18"/>
              </w:rPr>
              <w:t>%】。</w:t>
            </w:r>
          </w:p>
          <w:p>
            <w:pPr>
              <w:autoSpaceDE w:val="0"/>
              <w:autoSpaceDN w:val="0"/>
              <w:adjustRightInd w:val="0"/>
              <w:spacing w:line="360" w:lineRule="auto"/>
              <w:jc w:val="left"/>
              <w:rPr>
                <w:rFonts w:ascii="宋体" w:hAnsi="宋体" w:eastAsia="宋体" w:cs="宋体"/>
                <w:color w:val="auto"/>
                <w:kern w:val="0"/>
                <w:sz w:val="18"/>
                <w:szCs w:val="18"/>
              </w:rPr>
            </w:pPr>
            <w:r>
              <w:rPr>
                <w:rFonts w:hint="eastAsia" w:ascii="宋体" w:hAnsi="宋体" w:eastAsia="宋体" w:cs="宋体"/>
                <w:color w:val="auto"/>
                <w:kern w:val="0"/>
                <w:sz w:val="18"/>
                <w:szCs w:val="18"/>
              </w:rPr>
              <w:t>□</w:t>
            </w:r>
            <w:r>
              <w:rPr>
                <w:rFonts w:ascii="宋体" w:hAnsi="宋体" w:eastAsia="宋体" w:cs="宋体"/>
                <w:color w:val="auto"/>
                <w:kern w:val="0"/>
                <w:sz w:val="18"/>
                <w:szCs w:val="18"/>
              </w:rPr>
              <w:t xml:space="preserve"> </w:t>
            </w:r>
            <w:r>
              <w:rPr>
                <w:rFonts w:hint="eastAsia" w:ascii="宋体" w:hAnsi="宋体" w:eastAsia="宋体" w:cs="宋体"/>
                <w:color w:val="auto"/>
                <w:kern w:val="0"/>
                <w:sz w:val="18"/>
                <w:szCs w:val="18"/>
              </w:rPr>
              <w:t>产品管理人不设置业绩比较基准。</w:t>
            </w:r>
          </w:p>
          <w:p>
            <w:pPr>
              <w:spacing w:line="360" w:lineRule="auto"/>
              <w:jc w:val="left"/>
              <w:rPr>
                <w:rFonts w:ascii="宋体" w:hAnsi="宋体" w:eastAsia="宋体" w:cs="宋体"/>
                <w:bCs/>
                <w:color w:val="auto"/>
                <w:sz w:val="18"/>
                <w:szCs w:val="18"/>
              </w:rPr>
            </w:pPr>
            <w:r>
              <w:rPr>
                <w:rFonts w:ascii="宋体" w:hAnsi="宋体" w:eastAsia="宋体" w:cs="宋体"/>
                <w:bCs/>
                <w:color w:val="auto"/>
                <w:sz w:val="18"/>
                <w:szCs w:val="18"/>
              </w:rPr>
              <w:t>2.业绩比较基准的提示：</w:t>
            </w:r>
          </w:p>
          <w:p>
            <w:pPr>
              <w:spacing w:line="360" w:lineRule="auto"/>
              <w:jc w:val="left"/>
              <w:rPr>
                <w:rFonts w:ascii="宋体" w:hAnsi="宋体" w:cs="宋体"/>
                <w:b/>
                <w:color w:val="auto"/>
                <w:sz w:val="18"/>
                <w:szCs w:val="22"/>
              </w:rPr>
            </w:pPr>
            <w:r>
              <w:rPr>
                <w:rFonts w:hint="eastAsia" w:ascii="宋体" w:hAnsi="宋体" w:cs="宋体"/>
                <w:b/>
                <w:color w:val="auto"/>
                <w:sz w:val="18"/>
                <w:szCs w:val="22"/>
              </w:rPr>
              <w:t>（1）</w:t>
            </w:r>
            <w:r>
              <w:rPr>
                <w:rFonts w:hint="eastAsia" w:ascii="黑体" w:hAnsi="黑体" w:eastAsia="黑体" w:cs="宋体"/>
                <w:color w:val="auto"/>
                <w:sz w:val="18"/>
                <w:szCs w:val="18"/>
              </w:rPr>
              <w:t>★</w:t>
            </w:r>
            <w:r>
              <w:rPr>
                <w:rFonts w:hint="eastAsia" w:ascii="黑体" w:hAnsi="黑体" w:eastAsia="黑体" w:cs="宋体"/>
                <w:color w:val="auto"/>
                <w:sz w:val="18"/>
                <w:szCs w:val="22"/>
              </w:rPr>
              <w:t>业绩比较基准</w:t>
            </w:r>
            <w:r>
              <w:rPr>
                <w:rFonts w:hint="eastAsia" w:ascii="黑体" w:hAnsi="黑体" w:eastAsia="黑体" w:cs="宋体"/>
                <w:bCs/>
                <w:color w:val="auto"/>
                <w:sz w:val="18"/>
                <w:szCs w:val="18"/>
              </w:rPr>
              <w:t>不是预期收益率，</w:t>
            </w:r>
            <w:r>
              <w:rPr>
                <w:rFonts w:hint="eastAsia" w:ascii="黑体" w:hAnsi="黑体" w:eastAsia="黑体" w:cs="宋体"/>
                <w:color w:val="auto"/>
                <w:sz w:val="18"/>
                <w:szCs w:val="22"/>
              </w:rPr>
              <w:t>不代表产品</w:t>
            </w:r>
            <w:r>
              <w:rPr>
                <w:rFonts w:hint="eastAsia" w:ascii="黑体" w:hAnsi="黑体" w:eastAsia="黑体" w:cs="宋体"/>
                <w:bCs/>
                <w:color w:val="auto"/>
                <w:sz w:val="18"/>
                <w:szCs w:val="18"/>
              </w:rPr>
              <w:t>的</w:t>
            </w:r>
            <w:r>
              <w:rPr>
                <w:rFonts w:hint="eastAsia" w:ascii="黑体" w:hAnsi="黑体" w:eastAsia="黑体" w:cs="宋体"/>
                <w:color w:val="auto"/>
                <w:sz w:val="18"/>
                <w:szCs w:val="22"/>
              </w:rPr>
              <w:t>未来表现</w:t>
            </w:r>
            <w:r>
              <w:rPr>
                <w:rFonts w:hint="eastAsia" w:ascii="黑体" w:hAnsi="黑体" w:eastAsia="黑体" w:cs="宋体"/>
                <w:bCs/>
                <w:color w:val="auto"/>
                <w:sz w:val="18"/>
                <w:szCs w:val="18"/>
              </w:rPr>
              <w:t>和</w:t>
            </w:r>
            <w:r>
              <w:rPr>
                <w:rFonts w:hint="eastAsia" w:ascii="黑体" w:hAnsi="黑体" w:eastAsia="黑体" w:cs="宋体"/>
                <w:color w:val="auto"/>
                <w:sz w:val="18"/>
                <w:szCs w:val="22"/>
              </w:rPr>
              <w:t>实际收益，不</w:t>
            </w:r>
            <w:r>
              <w:rPr>
                <w:rFonts w:hint="eastAsia" w:ascii="黑体" w:hAnsi="黑体" w:eastAsia="黑体" w:cs="宋体"/>
                <w:bCs/>
                <w:color w:val="auto"/>
                <w:sz w:val="18"/>
                <w:szCs w:val="18"/>
              </w:rPr>
              <w:t>构成对</w:t>
            </w:r>
            <w:r>
              <w:rPr>
                <w:rFonts w:hint="eastAsia" w:ascii="黑体" w:hAnsi="黑体" w:eastAsia="黑体" w:cs="宋体"/>
                <w:color w:val="auto"/>
                <w:sz w:val="18"/>
                <w:szCs w:val="22"/>
              </w:rPr>
              <w:t>产品收益的</w:t>
            </w:r>
            <w:r>
              <w:rPr>
                <w:rFonts w:hint="eastAsia" w:ascii="黑体" w:hAnsi="黑体" w:eastAsia="黑体" w:cs="宋体"/>
                <w:bCs/>
                <w:color w:val="auto"/>
                <w:sz w:val="18"/>
                <w:szCs w:val="18"/>
              </w:rPr>
              <w:t>承诺</w:t>
            </w:r>
            <w:r>
              <w:rPr>
                <w:rFonts w:hint="eastAsia" w:ascii="黑体" w:hAnsi="黑体" w:eastAsia="黑体" w:cs="宋体"/>
                <w:color w:val="auto"/>
                <w:sz w:val="18"/>
                <w:szCs w:val="22"/>
              </w:rPr>
              <w:t>，投资须谨慎。</w:t>
            </w:r>
          </w:p>
          <w:p>
            <w:pPr>
              <w:spacing w:line="360" w:lineRule="auto"/>
              <w:jc w:val="left"/>
              <w:rPr>
                <w:rFonts w:ascii="宋体" w:hAnsi="宋体" w:eastAsia="宋体" w:cs="宋体"/>
                <w:b/>
                <w:bCs/>
                <w:color w:val="auto"/>
                <w:sz w:val="18"/>
                <w:szCs w:val="18"/>
              </w:rPr>
            </w:pPr>
            <w:r>
              <w:rPr>
                <w:rFonts w:hint="eastAsia" w:ascii="宋体" w:hAnsi="宋体" w:eastAsia="宋体" w:cs="宋体"/>
                <w:bCs/>
                <w:color w:val="auto"/>
                <w:sz w:val="18"/>
                <w:szCs w:val="18"/>
              </w:rPr>
              <w:t>（</w:t>
            </w:r>
            <w:r>
              <w:rPr>
                <w:rFonts w:ascii="宋体" w:hAnsi="宋体" w:eastAsia="宋体" w:cs="宋体"/>
                <w:bCs/>
                <w:color w:val="auto"/>
                <w:sz w:val="18"/>
                <w:szCs w:val="18"/>
              </w:rPr>
              <w:t>2）</w:t>
            </w:r>
            <w:r>
              <w:rPr>
                <w:rFonts w:hint="eastAsia" w:ascii="宋体" w:hAnsi="宋体" w:eastAsia="宋体" w:cs="宋体"/>
                <w:color w:val="auto"/>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color w:val="auto"/>
                <w:sz w:val="18"/>
                <w:szCs w:val="18"/>
              </w:rPr>
            </w:pPr>
            <w:r>
              <w:rPr>
                <w:rFonts w:hint="eastAsia" w:ascii="Calibri" w:hAnsi="宋体" w:cs="宋体"/>
                <w:bCs/>
                <w:color w:val="auto"/>
                <w:sz w:val="18"/>
                <w:szCs w:val="18"/>
              </w:rPr>
              <w:t>（适用</w:t>
            </w:r>
            <w:r>
              <w:rPr>
                <w:rFonts w:hint="eastAsia" w:ascii="Calibri" w:hAnsi="宋体" w:cs="宋体"/>
                <w:bCs/>
                <w:color w:val="auto"/>
                <w:sz w:val="18"/>
                <w:szCs w:val="18"/>
                <w:lang w:eastAsia="zh-CN"/>
              </w:rPr>
              <w:t>【</w:t>
            </w:r>
            <w:r>
              <w:rPr>
                <w:rFonts w:hint="eastAsia" w:ascii="Calibri" w:hAnsi="宋体" w:cs="宋体"/>
                <w:bCs/>
                <w:color w:val="auto"/>
                <w:sz w:val="18"/>
                <w:szCs w:val="18"/>
                <w:lang w:val="en-US" w:eastAsia="zh-CN"/>
              </w:rPr>
              <w:t>/</w:t>
            </w:r>
            <w:r>
              <w:rPr>
                <w:rFonts w:hint="eastAsia" w:ascii="Calibri" w:hAnsi="宋体" w:cs="宋体"/>
                <w:bCs/>
                <w:color w:val="auto"/>
                <w:sz w:val="18"/>
                <w:szCs w:val="18"/>
                <w:lang w:eastAsia="zh-CN"/>
              </w:rPr>
              <w:t>】类</w:t>
            </w:r>
            <w:r>
              <w:rPr>
                <w:rFonts w:ascii="Calibri" w:hAnsi="宋体" w:cs="宋体"/>
                <w:bCs/>
                <w:color w:val="auto"/>
                <w:sz w:val="18"/>
                <w:szCs w:val="18"/>
              </w:rPr>
              <w:t>份额</w:t>
            </w:r>
            <w:r>
              <w:rPr>
                <w:rFonts w:hint="eastAsia" w:ascii="Calibri" w:hAnsi="宋体" w:cs="宋体"/>
                <w:bCs/>
                <w:color w:val="auto"/>
                <w:sz w:val="18"/>
                <w:szCs w:val="18"/>
              </w:rPr>
              <w:t>）</w:t>
            </w:r>
          </w:p>
          <w:p>
            <w:pPr>
              <w:spacing w:line="360" w:lineRule="auto"/>
              <w:jc w:val="left"/>
              <w:rPr>
                <w:rFonts w:ascii="Calibri" w:hAnsi="宋体" w:cs="宋体"/>
                <w:bCs/>
                <w:color w:val="auto"/>
                <w:sz w:val="18"/>
                <w:szCs w:val="18"/>
              </w:rPr>
            </w:pPr>
            <w:r>
              <w:rPr>
                <w:rFonts w:ascii="Calibri" w:hAnsi="宋体" w:cs="宋体"/>
                <w:bCs/>
                <w:color w:val="auto"/>
                <w:sz w:val="18"/>
                <w:szCs w:val="18"/>
              </w:rPr>
              <w:t>1.业绩报酬计提基准的设置</w:t>
            </w:r>
          </w:p>
          <w:p>
            <w:pPr>
              <w:autoSpaceDE w:val="0"/>
              <w:autoSpaceDN w:val="0"/>
              <w:adjustRightInd w:val="0"/>
              <w:spacing w:line="360" w:lineRule="auto"/>
              <w:jc w:val="left"/>
              <w:rPr>
                <w:rFonts w:ascii="宋体" w:hAnsi="宋体" w:eastAsia="宋体" w:cs="宋体"/>
                <w:color w:val="auto"/>
                <w:kern w:val="0"/>
                <w:sz w:val="18"/>
                <w:szCs w:val="18"/>
              </w:rPr>
            </w:pPr>
            <w:r>
              <w:rPr>
                <w:rFonts w:hint="eastAsia" w:ascii="宋体" w:hAnsi="宋体" w:eastAsia="宋体" w:cs="宋体"/>
                <w:bCs/>
                <w:color w:val="auto"/>
                <w:sz w:val="18"/>
                <w:szCs w:val="18"/>
              </w:rPr>
              <w:t>■</w:t>
            </w:r>
            <w:r>
              <w:rPr>
                <w:rFonts w:hint="eastAsia" w:ascii="宋体" w:hAnsi="宋体" w:eastAsia="宋体" w:cs="宋体"/>
                <w:bCs/>
                <w:color w:val="auto"/>
                <w:sz w:val="18"/>
                <w:szCs w:val="18"/>
                <w:lang w:val="en-US" w:eastAsia="zh-CN"/>
              </w:rPr>
              <w:t xml:space="preserve"> </w:t>
            </w:r>
            <w:r>
              <w:rPr>
                <w:rFonts w:hint="eastAsia" w:ascii="宋体" w:hAnsi="宋体" w:eastAsia="宋体" w:cs="宋体"/>
                <w:color w:val="auto"/>
                <w:kern w:val="0"/>
                <w:sz w:val="18"/>
                <w:szCs w:val="18"/>
              </w:rPr>
              <w:t>产品管理人设置业绩报酬计提基准。</w:t>
            </w:r>
          </w:p>
          <w:p>
            <w:pPr>
              <w:spacing w:line="360" w:lineRule="auto"/>
              <w:jc w:val="left"/>
              <w:rPr>
                <w:rFonts w:hint="eastAsia" w:ascii="宋体" w:hAnsi="宋体" w:cs="宋体"/>
                <w:bCs/>
                <w:color w:val="auto"/>
                <w:sz w:val="18"/>
                <w:szCs w:val="18"/>
              </w:rPr>
            </w:pPr>
            <w:r>
              <w:rPr>
                <w:rFonts w:ascii="宋体" w:hAnsi="宋体" w:cs="宋体"/>
                <w:bCs/>
                <w:color w:val="auto"/>
                <w:sz w:val="18"/>
                <w:szCs w:val="18"/>
              </w:rPr>
              <w:t>业绩报酬计提基准的设定</w:t>
            </w:r>
            <w:r>
              <w:rPr>
                <w:rFonts w:hint="eastAsia" w:ascii="宋体" w:hAnsi="宋体" w:cs="宋体"/>
                <w:bCs/>
                <w:color w:val="auto"/>
                <w:sz w:val="18"/>
                <w:szCs w:val="18"/>
              </w:rPr>
              <w:t>：管理人</w:t>
            </w:r>
            <w:r>
              <w:rPr>
                <w:rFonts w:ascii="宋体" w:hAnsi="宋体" w:cs="宋体"/>
                <w:bCs/>
                <w:color w:val="auto"/>
                <w:sz w:val="18"/>
                <w:szCs w:val="18"/>
              </w:rPr>
              <w:t>对本产品设定</w:t>
            </w:r>
            <w:r>
              <w:rPr>
                <w:rFonts w:hint="eastAsia" w:ascii="宋体" w:hAnsi="宋体" w:cs="宋体"/>
                <w:bCs/>
                <w:color w:val="auto"/>
                <w:sz w:val="18"/>
                <w:szCs w:val="18"/>
              </w:rPr>
              <w:t>业绩报酬计提基准：</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A类份额：年化【2.</w:t>
            </w:r>
            <w:r>
              <w:rPr>
                <w:rFonts w:hint="eastAsia" w:ascii="宋体" w:hAnsi="宋体" w:cs="宋体"/>
                <w:bCs/>
                <w:color w:val="auto"/>
                <w:sz w:val="18"/>
                <w:szCs w:val="18"/>
                <w:lang w:val="en-US" w:eastAsia="zh-CN"/>
              </w:rPr>
              <w:t>22</w:t>
            </w:r>
            <w:r>
              <w:rPr>
                <w:rFonts w:hint="eastAsia" w:ascii="宋体" w:hAnsi="宋体" w:cs="宋体"/>
                <w:bCs/>
                <w:color w:val="auto"/>
                <w:sz w:val="18"/>
                <w:szCs w:val="18"/>
              </w:rPr>
              <w:t>%】。</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类份额：年化【2.</w:t>
            </w:r>
            <w:r>
              <w:rPr>
                <w:rFonts w:hint="eastAsia" w:ascii="宋体" w:hAnsi="宋体" w:cs="宋体"/>
                <w:bCs/>
                <w:color w:val="auto"/>
                <w:sz w:val="18"/>
                <w:szCs w:val="18"/>
                <w:lang w:val="en-US" w:eastAsia="zh-CN"/>
              </w:rPr>
              <w:t>31</w:t>
            </w:r>
            <w:r>
              <w:rPr>
                <w:rFonts w:hint="eastAsia" w:ascii="宋体" w:hAnsi="宋体" w:cs="宋体"/>
                <w:bCs/>
                <w:color w:val="auto"/>
                <w:sz w:val="18"/>
                <w:szCs w:val="18"/>
              </w:rPr>
              <w:t>%】。</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lang w:val="en-US" w:eastAsia="zh-CN"/>
              </w:rPr>
              <w:t>E</w:t>
            </w:r>
            <w:r>
              <w:rPr>
                <w:rFonts w:hint="eastAsia" w:ascii="宋体" w:hAnsi="宋体" w:cs="宋体"/>
                <w:bCs/>
                <w:color w:val="auto"/>
                <w:sz w:val="18"/>
                <w:szCs w:val="18"/>
              </w:rPr>
              <w:t>类份额：年化【2.1</w:t>
            </w:r>
            <w:r>
              <w:rPr>
                <w:rFonts w:hint="eastAsia" w:ascii="宋体" w:hAnsi="宋体" w:cs="宋体"/>
                <w:bCs/>
                <w:color w:val="auto"/>
                <w:sz w:val="18"/>
                <w:szCs w:val="18"/>
                <w:lang w:val="en-US" w:eastAsia="zh-CN"/>
              </w:rPr>
              <w:t>1</w:t>
            </w:r>
            <w:r>
              <w:rPr>
                <w:rFonts w:hint="eastAsia" w:ascii="宋体" w:hAnsi="宋体" w:cs="宋体"/>
                <w:bCs/>
                <w:color w:val="auto"/>
                <w:sz w:val="18"/>
                <w:szCs w:val="18"/>
              </w:rPr>
              <w:t>%】。</w:t>
            </w:r>
          </w:p>
          <w:p>
            <w:pPr>
              <w:spacing w:line="360" w:lineRule="auto"/>
              <w:jc w:val="left"/>
              <w:rPr>
                <w:rFonts w:ascii="宋体" w:hAnsi="宋体" w:cs="宋体"/>
                <w:bCs/>
                <w:color w:val="auto"/>
                <w:sz w:val="18"/>
                <w:szCs w:val="18"/>
              </w:rPr>
            </w:pPr>
            <w:r>
              <w:rPr>
                <w:rFonts w:hint="eastAsia" w:ascii="宋体" w:hAnsi="宋体" w:eastAsia="宋体" w:cs="宋体"/>
                <w:color w:val="auto"/>
                <w:kern w:val="0"/>
                <w:sz w:val="18"/>
                <w:szCs w:val="18"/>
              </w:rPr>
              <w:t>□</w:t>
            </w:r>
            <w:r>
              <w:rPr>
                <w:rFonts w:ascii="宋体" w:hAnsi="宋体" w:eastAsia="宋体" w:cs="宋体"/>
                <w:color w:val="auto"/>
                <w:kern w:val="0"/>
                <w:sz w:val="18"/>
                <w:szCs w:val="18"/>
              </w:rPr>
              <w:t xml:space="preserve"> </w:t>
            </w:r>
            <w:r>
              <w:rPr>
                <w:rFonts w:hint="eastAsia" w:ascii="宋体" w:hAnsi="宋体" w:eastAsia="宋体" w:cs="宋体"/>
                <w:color w:val="auto"/>
                <w:kern w:val="0"/>
                <w:sz w:val="18"/>
                <w:szCs w:val="18"/>
              </w:rPr>
              <w:t>产品管理人不设置业绩报酬计提基准。</w:t>
            </w:r>
          </w:p>
          <w:p>
            <w:pPr>
              <w:spacing w:line="360" w:lineRule="auto"/>
              <w:jc w:val="left"/>
              <w:rPr>
                <w:rFonts w:ascii="宋体" w:hAnsi="宋体" w:cs="宋体"/>
                <w:bCs/>
                <w:color w:val="auto"/>
                <w:sz w:val="18"/>
                <w:szCs w:val="18"/>
              </w:rPr>
            </w:pPr>
            <w:r>
              <w:rPr>
                <w:rFonts w:ascii="宋体" w:hAnsi="宋体" w:cs="宋体"/>
                <w:bCs/>
                <w:color w:val="auto"/>
                <w:sz w:val="18"/>
                <w:szCs w:val="18"/>
              </w:rPr>
              <w:t>2.业绩报酬计提基准的提示</w:t>
            </w:r>
            <w:r>
              <w:rPr>
                <w:rFonts w:hint="eastAsia" w:ascii="宋体" w:hAnsi="宋体" w:cs="宋体"/>
                <w:bCs/>
                <w:color w:val="auto"/>
                <w:sz w:val="18"/>
                <w:szCs w:val="18"/>
              </w:rPr>
              <w:t>：</w:t>
            </w:r>
          </w:p>
          <w:p>
            <w:pPr>
              <w:autoSpaceDE w:val="0"/>
              <w:autoSpaceDN w:val="0"/>
              <w:adjustRightInd w:val="0"/>
              <w:spacing w:line="360" w:lineRule="auto"/>
              <w:jc w:val="left"/>
              <w:rPr>
                <w:rFonts w:ascii="黑体" w:hAnsi="黑体" w:eastAsia="黑体" w:cs="宋体"/>
                <w:color w:val="auto"/>
                <w:sz w:val="18"/>
                <w:szCs w:val="22"/>
              </w:rPr>
            </w:pPr>
            <w:r>
              <w:rPr>
                <w:rFonts w:hint="eastAsia" w:ascii="黑体" w:hAnsi="黑体" w:eastAsia="黑体" w:cs="宋体"/>
                <w:color w:val="auto"/>
                <w:sz w:val="18"/>
                <w:szCs w:val="22"/>
              </w:rPr>
              <w:t>（</w:t>
            </w:r>
            <w:r>
              <w:rPr>
                <w:rFonts w:ascii="黑体" w:hAnsi="黑体" w:eastAsia="黑体" w:cs="宋体"/>
                <w:color w:val="auto"/>
                <w:sz w:val="18"/>
                <w:szCs w:val="22"/>
              </w:rPr>
              <w:t>1）</w:t>
            </w:r>
            <w:r>
              <w:rPr>
                <w:rFonts w:hint="eastAsia" w:ascii="黑体" w:hAnsi="黑体" w:eastAsia="黑体" w:cs="宋体"/>
                <w:color w:val="auto"/>
                <w:sz w:val="18"/>
                <w:szCs w:val="18"/>
              </w:rPr>
              <w:t>★</w:t>
            </w:r>
            <w:r>
              <w:rPr>
                <w:rFonts w:hint="eastAsia" w:ascii="黑体" w:hAnsi="黑体" w:eastAsia="黑体" w:cs="宋体"/>
                <w:color w:val="auto"/>
                <w:sz w:val="18"/>
                <w:szCs w:val="22"/>
              </w:rPr>
              <w:t>业绩报酬计提基准仅作为管理人计算超额业绩报酬的参照标准</w:t>
            </w:r>
            <w:r>
              <w:rPr>
                <w:rFonts w:hint="eastAsia" w:ascii="黑体" w:hAnsi="黑体" w:eastAsia="黑体" w:cs="宋体"/>
                <w:bCs/>
                <w:color w:val="auto"/>
                <w:sz w:val="18"/>
                <w:szCs w:val="18"/>
              </w:rPr>
              <w:t>。业绩报酬计提基准不是预期收益率</w:t>
            </w:r>
            <w:r>
              <w:rPr>
                <w:rFonts w:hint="eastAsia" w:ascii="黑体" w:hAnsi="黑体" w:eastAsia="黑体" w:cs="宋体"/>
                <w:color w:val="auto"/>
                <w:sz w:val="18"/>
                <w:szCs w:val="22"/>
              </w:rPr>
              <w:t>，不代表产品</w:t>
            </w:r>
            <w:r>
              <w:rPr>
                <w:rFonts w:hint="eastAsia" w:ascii="黑体" w:hAnsi="黑体" w:eastAsia="黑体" w:cs="宋体"/>
                <w:bCs/>
                <w:color w:val="auto"/>
                <w:sz w:val="18"/>
                <w:szCs w:val="18"/>
              </w:rPr>
              <w:t>的</w:t>
            </w:r>
            <w:r>
              <w:rPr>
                <w:rFonts w:hint="eastAsia" w:ascii="黑体" w:hAnsi="黑体" w:eastAsia="黑体" w:cs="宋体"/>
                <w:color w:val="auto"/>
                <w:sz w:val="18"/>
                <w:szCs w:val="22"/>
              </w:rPr>
              <w:t>未来表现</w:t>
            </w:r>
            <w:r>
              <w:rPr>
                <w:rFonts w:hint="eastAsia" w:ascii="黑体" w:hAnsi="黑体" w:eastAsia="黑体" w:cs="宋体"/>
                <w:bCs/>
                <w:color w:val="auto"/>
                <w:sz w:val="18"/>
                <w:szCs w:val="18"/>
              </w:rPr>
              <w:t>和</w:t>
            </w:r>
            <w:r>
              <w:rPr>
                <w:rFonts w:hint="eastAsia" w:ascii="黑体" w:hAnsi="黑体" w:eastAsia="黑体" w:cs="宋体"/>
                <w:color w:val="auto"/>
                <w:sz w:val="18"/>
                <w:szCs w:val="22"/>
              </w:rPr>
              <w:t>实际收益，不</w:t>
            </w:r>
            <w:r>
              <w:rPr>
                <w:rFonts w:hint="eastAsia" w:ascii="黑体" w:hAnsi="黑体" w:eastAsia="黑体" w:cs="宋体"/>
                <w:bCs/>
                <w:color w:val="auto"/>
                <w:sz w:val="18"/>
                <w:szCs w:val="18"/>
              </w:rPr>
              <w:t>构成对</w:t>
            </w:r>
            <w:r>
              <w:rPr>
                <w:rFonts w:hint="eastAsia" w:ascii="黑体" w:hAnsi="黑体" w:eastAsia="黑体" w:cs="宋体"/>
                <w:color w:val="auto"/>
                <w:sz w:val="18"/>
                <w:szCs w:val="22"/>
              </w:rPr>
              <w:t>产品收益的</w:t>
            </w:r>
            <w:r>
              <w:rPr>
                <w:rFonts w:hint="eastAsia" w:ascii="黑体" w:hAnsi="黑体" w:eastAsia="黑体" w:cs="宋体"/>
                <w:bCs/>
                <w:color w:val="auto"/>
                <w:sz w:val="18"/>
                <w:szCs w:val="18"/>
              </w:rPr>
              <w:t>承诺</w:t>
            </w:r>
            <w:r>
              <w:rPr>
                <w:rFonts w:hint="eastAsia" w:ascii="黑体" w:hAnsi="黑体" w:eastAsia="黑体" w:cs="宋体"/>
                <w:color w:val="auto"/>
                <w:sz w:val="18"/>
                <w:szCs w:val="22"/>
              </w:rPr>
              <w:t>，投资须谨慎。</w:t>
            </w:r>
          </w:p>
          <w:p>
            <w:pPr>
              <w:spacing w:line="360" w:lineRule="auto"/>
              <w:jc w:val="left"/>
              <w:rPr>
                <w:rFonts w:ascii="宋体" w:hAnsi="宋体" w:cs="宋体"/>
                <w:b/>
                <w:bCs/>
                <w:color w:val="auto"/>
                <w:sz w:val="18"/>
                <w:szCs w:val="18"/>
              </w:rPr>
            </w:pPr>
            <w:r>
              <w:rPr>
                <w:rFonts w:hint="eastAsia" w:ascii="宋体" w:hAnsi="宋体" w:cs="宋体"/>
                <w:bCs/>
                <w:color w:val="auto"/>
                <w:sz w:val="18"/>
                <w:szCs w:val="18"/>
              </w:rPr>
              <w:t>（</w:t>
            </w:r>
            <w:r>
              <w:rPr>
                <w:rFonts w:ascii="宋体" w:hAnsi="宋体" w:cs="宋体"/>
                <w:bCs/>
                <w:color w:val="auto"/>
                <w:sz w:val="18"/>
                <w:szCs w:val="18"/>
              </w:rPr>
              <w:t>2）</w:t>
            </w:r>
            <w:r>
              <w:rPr>
                <w:rFonts w:hint="eastAsia" w:ascii="宋体" w:hAnsi="宋体" w:cs="宋体"/>
                <w:bCs/>
                <w:color w:val="auto"/>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宋体" w:hAnsi="宋体" w:eastAsia="宋体" w:cs="宋体"/>
                <w:bCs/>
                <w:color w:val="000000"/>
                <w:sz w:val="18"/>
                <w:szCs w:val="18"/>
              </w:rPr>
            </w:pPr>
            <w:r>
              <w:rPr>
                <w:rFonts w:hint="eastAsia" w:ascii="宋体" w:hAnsi="宋体" w:eastAsia="宋体" w:cs="宋体"/>
                <w:bCs/>
                <w:color w:val="000000"/>
                <w:sz w:val="18"/>
                <w:szCs w:val="18"/>
              </w:rPr>
              <w:t>（适用</w:t>
            </w:r>
            <w:r>
              <w:rPr>
                <w:rFonts w:hint="eastAsia" w:ascii="宋体" w:hAnsi="宋体" w:eastAsia="宋体" w:cs="宋体"/>
                <w:bCs/>
                <w:color w:val="000000"/>
                <w:sz w:val="18"/>
                <w:szCs w:val="18"/>
                <w:lang w:eastAsia="zh-CN"/>
              </w:rPr>
              <w:t>【</w:t>
            </w:r>
            <w:r>
              <w:rPr>
                <w:rFonts w:hint="eastAsia" w:ascii="宋体" w:hAnsi="宋体" w:eastAsia="宋体" w:cs="宋体"/>
                <w:bCs/>
                <w:color w:val="000000"/>
                <w:sz w:val="18"/>
                <w:szCs w:val="18"/>
                <w:lang w:val="en-US" w:eastAsia="zh-CN"/>
              </w:rPr>
              <w:t>/</w:t>
            </w:r>
            <w:r>
              <w:rPr>
                <w:rFonts w:hint="eastAsia" w:ascii="宋体" w:hAnsi="宋体" w:eastAsia="宋体" w:cs="宋体"/>
                <w:bCs/>
                <w:color w:val="000000"/>
                <w:sz w:val="18"/>
                <w:szCs w:val="18"/>
                <w:lang w:eastAsia="zh-CN"/>
              </w:rPr>
              <w:t>】类</w:t>
            </w:r>
            <w:r>
              <w:rPr>
                <w:rFonts w:hint="eastAsia" w:ascii="宋体" w:hAnsi="宋体" w:eastAsia="宋体" w:cs="宋体"/>
                <w:bCs/>
                <w:color w:val="000000"/>
                <w:sz w:val="18"/>
                <w:szCs w:val="18"/>
              </w:rPr>
              <w:t>份额）</w:t>
            </w:r>
          </w:p>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spacing w:line="360" w:lineRule="auto"/>
              <w:rPr>
                <w:rFonts w:hint="eastAsia" w:ascii="黑体" w:hAnsi="黑体" w:eastAsia="黑体" w:cs="宋体"/>
                <w:bCs/>
                <w:color w:val="auto"/>
                <w:sz w:val="18"/>
                <w:szCs w:val="18"/>
              </w:rPr>
            </w:pPr>
            <w:r>
              <w:rPr>
                <w:rFonts w:hint="eastAsia" w:ascii="黑体" w:hAnsi="黑体" w:eastAsia="黑体" w:cs="宋体"/>
                <w:bCs/>
                <w:color w:val="auto"/>
                <w:sz w:val="18"/>
                <w:szCs w:val="18"/>
              </w:rPr>
              <w:t>A类份额：年化费率【0.</w:t>
            </w:r>
            <w:r>
              <w:rPr>
                <w:rFonts w:hint="eastAsia" w:ascii="黑体" w:hAnsi="黑体" w:eastAsia="黑体" w:cs="宋体"/>
                <w:bCs/>
                <w:color w:val="auto"/>
                <w:sz w:val="18"/>
                <w:szCs w:val="18"/>
                <w:lang w:val="en-US" w:eastAsia="zh-CN"/>
              </w:rPr>
              <w:t>19</w:t>
            </w:r>
            <w:r>
              <w:rPr>
                <w:rFonts w:hint="eastAsia" w:ascii="黑体" w:hAnsi="黑体" w:eastAsia="黑体" w:cs="宋体"/>
                <w:bCs/>
                <w:color w:val="auto"/>
                <w:sz w:val="18"/>
                <w:szCs w:val="18"/>
              </w:rPr>
              <w:t>%】。</w:t>
            </w:r>
          </w:p>
          <w:p>
            <w:pPr>
              <w:spacing w:line="360" w:lineRule="auto"/>
              <w:rPr>
                <w:rFonts w:hint="eastAsia" w:ascii="黑体" w:hAnsi="黑体" w:eastAsia="黑体" w:cs="宋体"/>
                <w:bCs/>
                <w:color w:val="auto"/>
                <w:sz w:val="18"/>
                <w:szCs w:val="18"/>
              </w:rPr>
            </w:pPr>
            <w:r>
              <w:rPr>
                <w:rFonts w:hint="eastAsia" w:ascii="黑体" w:hAnsi="黑体" w:eastAsia="黑体" w:cs="宋体"/>
                <w:bCs/>
                <w:color w:val="auto"/>
                <w:sz w:val="18"/>
                <w:szCs w:val="18"/>
                <w:lang w:val="en-US" w:eastAsia="zh-CN"/>
              </w:rPr>
              <w:t>C</w:t>
            </w:r>
            <w:r>
              <w:rPr>
                <w:rFonts w:hint="eastAsia" w:ascii="黑体" w:hAnsi="黑体" w:eastAsia="黑体" w:cs="宋体"/>
                <w:bCs/>
                <w:color w:val="auto"/>
                <w:sz w:val="18"/>
                <w:szCs w:val="18"/>
              </w:rPr>
              <w:t>类份额：年化费率【0.</w:t>
            </w:r>
            <w:r>
              <w:rPr>
                <w:rFonts w:hint="eastAsia" w:ascii="黑体" w:hAnsi="黑体" w:eastAsia="黑体" w:cs="宋体"/>
                <w:bCs/>
                <w:color w:val="auto"/>
                <w:sz w:val="18"/>
                <w:szCs w:val="18"/>
                <w:lang w:val="en-US" w:eastAsia="zh-CN"/>
              </w:rPr>
              <w:t>10</w:t>
            </w:r>
            <w:r>
              <w:rPr>
                <w:rFonts w:hint="eastAsia" w:ascii="黑体" w:hAnsi="黑体" w:eastAsia="黑体" w:cs="宋体"/>
                <w:bCs/>
                <w:color w:val="auto"/>
                <w:sz w:val="18"/>
                <w:szCs w:val="18"/>
              </w:rPr>
              <w:t>%】。</w:t>
            </w:r>
          </w:p>
          <w:p>
            <w:pPr>
              <w:spacing w:line="360" w:lineRule="auto"/>
              <w:rPr>
                <w:rFonts w:hint="eastAsia" w:ascii="黑体" w:hAnsi="黑体" w:eastAsia="黑体" w:cs="宋体"/>
                <w:bCs/>
                <w:color w:val="auto"/>
                <w:sz w:val="18"/>
                <w:szCs w:val="18"/>
              </w:rPr>
            </w:pPr>
            <w:r>
              <w:rPr>
                <w:rFonts w:hint="eastAsia" w:ascii="黑体" w:hAnsi="黑体" w:eastAsia="黑体" w:cs="宋体"/>
                <w:bCs/>
                <w:color w:val="auto"/>
                <w:sz w:val="18"/>
                <w:szCs w:val="18"/>
                <w:lang w:val="en-US" w:eastAsia="zh-CN"/>
              </w:rPr>
              <w:t>E</w:t>
            </w:r>
            <w:r>
              <w:rPr>
                <w:rFonts w:hint="eastAsia" w:ascii="黑体" w:hAnsi="黑体" w:eastAsia="黑体" w:cs="宋体"/>
                <w:bCs/>
                <w:color w:val="auto"/>
                <w:sz w:val="18"/>
                <w:szCs w:val="18"/>
              </w:rPr>
              <w:t>类份额：年化费率【0.</w:t>
            </w:r>
            <w:r>
              <w:rPr>
                <w:rFonts w:hint="eastAsia" w:ascii="黑体" w:hAnsi="黑体" w:eastAsia="黑体" w:cs="宋体"/>
                <w:bCs/>
                <w:color w:val="auto"/>
                <w:sz w:val="18"/>
                <w:szCs w:val="18"/>
                <w:lang w:val="en-US" w:eastAsia="zh-CN"/>
              </w:rPr>
              <w:t>30</w:t>
            </w:r>
            <w:r>
              <w:rPr>
                <w:rFonts w:hint="eastAsia" w:ascii="黑体" w:hAnsi="黑体" w:eastAsia="黑体" w:cs="宋体"/>
                <w:bCs/>
                <w:color w:val="auto"/>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bCs/>
                <w:sz w:val="18"/>
                <w:szCs w:val="18"/>
              </w:rPr>
              <w:t>0.01%</w:t>
            </w:r>
            <w:r>
              <w:rPr>
                <w:rFonts w:ascii="黑体" w:hAnsi="黑体" w:eastAsia="黑体" w:cs="宋体"/>
                <w:sz w:val="18"/>
                <w:szCs w:val="18"/>
              </w:rPr>
              <w:t>】</w:t>
            </w:r>
            <w:r>
              <w:rPr>
                <w:rFonts w:hint="eastAsia" w:ascii="黑体" w:hAnsi="黑体" w:eastAsia="黑体" w:cs="宋体"/>
                <w:bCs/>
                <w:color w:val="000000"/>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bCs/>
                <w:sz w:val="18"/>
                <w:szCs w:val="18"/>
              </w:rPr>
              <w:t>0.01%</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w:t>
            </w:r>
            <w:r>
              <w:rPr>
                <w:rFonts w:ascii="宋体" w:hAnsi="宋体" w:cs="宋体"/>
                <w:sz w:val="18"/>
                <w:szCs w:val="18"/>
              </w:rPr>
              <w:t>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7151"/>
      <w:bookmarkStart w:id="78" w:name="_Toc27189"/>
      <w:bookmarkStart w:id="79" w:name="_Toc79154668"/>
      <w:bookmarkStart w:id="80" w:name="_Toc6714"/>
      <w:bookmarkStart w:id="81" w:name="_Toc3266"/>
      <w:bookmarkStart w:id="82" w:name="_Toc74065741"/>
      <w:bookmarkStart w:id="83" w:name="_Toc22074"/>
      <w:bookmarkStart w:id="84" w:name="_Toc29948"/>
      <w:bookmarkStart w:id="85" w:name="_Toc90742390"/>
      <w:bookmarkStart w:id="86" w:name="_Toc90742321"/>
      <w:bookmarkStart w:id="87" w:name="_Toc29784"/>
      <w:bookmarkStart w:id="88" w:name="_Toc16265"/>
      <w:bookmarkStart w:id="89" w:name="_Toc15203"/>
      <w:bookmarkStart w:id="90" w:name="_Toc90742688"/>
      <w:bookmarkStart w:id="91" w:name="_Toc2722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（3）符合监管要求的债权类资产。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（4）以套期保值为目的的国债期货、利率互换、信用风险缓释工具、债券借贷。</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（5）优先股。</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（6）结构化资产管理产品的优先级份额。</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（1）本产品投资于债权类资产的比例不低于产品总资产的80%。</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（2）国债期货、利率互换、信用风险缓释工具等衍生品占产品总资产比例</w:t>
      </w:r>
      <w:r>
        <w:rPr>
          <w:rFonts w:hint="eastAsia" w:ascii="宋体" w:hAnsi="宋体" w:eastAsia="宋体" w:cs="宋体"/>
          <w:bCs/>
          <w:sz w:val="18"/>
          <w:szCs w:val="18"/>
          <w:lang w:val="en-US" w:eastAsia="zh-CN"/>
        </w:rPr>
        <w:t>低</w:t>
      </w:r>
      <w:r>
        <w:rPr>
          <w:rFonts w:hint="eastAsia" w:ascii="宋体" w:hAnsi="宋体" w:eastAsia="宋体" w:cs="宋体"/>
          <w:bCs/>
          <w:sz w:val="18"/>
          <w:szCs w:val="18"/>
        </w:rPr>
        <w:t>于20%。</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（3）投资于权益类资产的比例不高于产品总资产的10%，权益类资产仅限于投资于优先股和结构化资产管理产品的优先级份额。</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（4）符合监管要求的非标准化债权类资产低于产品净资产的50%。</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4741"/>
      <w:bookmarkStart w:id="94" w:name="_Toc18526"/>
      <w:bookmarkStart w:id="95" w:name="_Toc74065742"/>
      <w:bookmarkStart w:id="96" w:name="_Toc18797"/>
      <w:bookmarkStart w:id="97" w:name="_Toc141703885"/>
      <w:bookmarkStart w:id="98" w:name="_Toc139991735"/>
      <w:bookmarkStart w:id="99" w:name="_Toc21988"/>
      <w:bookmarkStart w:id="100" w:name="_Toc18329"/>
      <w:bookmarkStart w:id="101" w:name="_Toc26986"/>
      <w:bookmarkStart w:id="102" w:name="_Toc79154669"/>
      <w:bookmarkStart w:id="103" w:name="_Toc14893"/>
      <w:bookmarkStart w:id="104" w:name="_Toc7848"/>
      <w:bookmarkStart w:id="105" w:name="_Toc1823"/>
      <w:bookmarkStart w:id="106" w:name="_Toc176189758"/>
      <w:bookmarkStart w:id="107" w:name="_Toc17912"/>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4003"/>
      <w:bookmarkStart w:id="110" w:name="_Toc79154670"/>
      <w:bookmarkStart w:id="111" w:name="_Toc23261"/>
      <w:bookmarkStart w:id="112" w:name="_Toc123051452"/>
      <w:bookmarkStart w:id="113" w:name="_Toc1270"/>
      <w:bookmarkStart w:id="114" w:name="_Toc123102453"/>
      <w:bookmarkStart w:id="115" w:name="_Toc1427"/>
      <w:bookmarkStart w:id="116" w:name="_Toc141703886"/>
      <w:bookmarkStart w:id="117" w:name="_Toc79392606"/>
      <w:bookmarkStart w:id="118" w:name="_Toc98560352"/>
      <w:bookmarkStart w:id="119" w:name="_Toc10463"/>
      <w:bookmarkStart w:id="120" w:name="_Toc17244"/>
      <w:bookmarkStart w:id="121" w:name="_Toc139991736"/>
      <w:bookmarkStart w:id="122" w:name="_Toc48649707"/>
      <w:bookmarkStart w:id="123" w:name="_Toc20733"/>
      <w:bookmarkStart w:id="124" w:name="_Toc176189759"/>
      <w:bookmarkStart w:id="125" w:name="_Toc123112234"/>
      <w:bookmarkStart w:id="126" w:name="_Toc610"/>
      <w:bookmarkStart w:id="127" w:name="_Toc74065743"/>
      <w:bookmarkStart w:id="128" w:name="_Toc7920"/>
      <w:bookmarkStart w:id="129" w:name="_Toc23822"/>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39991737"/>
      <w:bookmarkStart w:id="132" w:name="_Toc31644"/>
      <w:bookmarkStart w:id="133" w:name="_Toc15143"/>
      <w:bookmarkStart w:id="134" w:name="_Toc26207"/>
      <w:bookmarkStart w:id="135" w:name="_Toc123102454"/>
      <w:bookmarkStart w:id="136" w:name="_Toc14835"/>
      <w:bookmarkStart w:id="137" w:name="_Toc12245"/>
      <w:bookmarkStart w:id="138" w:name="_Toc79154671"/>
      <w:bookmarkStart w:id="139" w:name="_Toc123112235"/>
      <w:bookmarkStart w:id="140" w:name="_Toc74065744"/>
      <w:bookmarkStart w:id="141" w:name="_Toc31653"/>
      <w:bookmarkStart w:id="142" w:name="_Toc31235"/>
      <w:bookmarkStart w:id="143" w:name="_Toc29251"/>
      <w:bookmarkStart w:id="144" w:name="_Toc141703887"/>
      <w:bookmarkStart w:id="145" w:name="_Toc6405"/>
      <w:bookmarkStart w:id="146" w:name="_Toc3601"/>
      <w:bookmarkStart w:id="147" w:name="_Toc98560353"/>
      <w:bookmarkStart w:id="148" w:name="_Toc176189760"/>
      <w:bookmarkStart w:id="149" w:name="_Toc1230514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79392580"/>
      <w:bookmarkStart w:id="153" w:name="_Toc523711668"/>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4559"/>
      <w:bookmarkStart w:id="158" w:name="_Toc123051454"/>
      <w:bookmarkStart w:id="159" w:name="_Toc18567"/>
      <w:bookmarkStart w:id="160" w:name="_Toc176189761"/>
      <w:bookmarkStart w:id="161" w:name="_Toc79392583"/>
      <w:bookmarkStart w:id="162" w:name="_Toc141703888"/>
      <w:bookmarkStart w:id="163" w:name="_Toc123102455"/>
      <w:bookmarkStart w:id="164" w:name="_Toc3771"/>
      <w:bookmarkStart w:id="165" w:name="_Toc98560354"/>
      <w:bookmarkStart w:id="166" w:name="_Toc7058"/>
      <w:bookmarkStart w:id="167" w:name="_Toc139991738"/>
      <w:bookmarkStart w:id="168" w:name="_Toc6447"/>
      <w:bookmarkStart w:id="169" w:name="_Toc10650"/>
      <w:bookmarkStart w:id="170" w:name="_Toc25783"/>
      <w:bookmarkStart w:id="171" w:name="_Toc3321"/>
      <w:bookmarkStart w:id="172" w:name="_Toc79154672"/>
      <w:bookmarkStart w:id="173" w:name="_Toc9706"/>
      <w:bookmarkStart w:id="174" w:name="_Toc11030"/>
      <w:bookmarkStart w:id="175" w:name="_Toc74065745"/>
      <w:bookmarkStart w:id="176" w:name="_Toc123112236"/>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本产品的销售服务费于产品成立日一次性计提，每日摊销。销售服务费的计算方法如下：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H＝E×销售服务费年费率×产品期限总天数÷365</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H为应计提的产品销售服务费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E为产品成立日的产品总份额</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val="0"/>
        <w:autoSpaceDE w:val="0"/>
        <w:autoSpaceDN w:val="0"/>
        <w:adjustRightInd w:val="0"/>
        <w:spacing w:line="360" w:lineRule="auto"/>
        <w:ind w:firstLine="361" w:firstLineChars="200"/>
        <w:rPr>
          <w:rFonts w:ascii="黑体" w:hAnsi="黑体" w:eastAsia="黑体" w:cs="宋体"/>
          <w:b/>
          <w:bCs/>
          <w:color w:val="000000"/>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注：如本产品发生提前终止或提前退出，则产品管理人根据实际产品期限天数/实际份额计算销售服务费，多收取的销售服务费退还至理财产品资产。</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每份产品份额超额业绩报酬每日计提，产品终止日结算。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③超额业绩报酬的计算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产品管理人对每</w:t>
      </w:r>
      <w:r>
        <w:rPr>
          <w:rFonts w:ascii="宋体" w:hAnsi="宋体" w:eastAsia="宋体" w:cs="宋体"/>
          <w:sz w:val="18"/>
          <w:szCs w:val="18"/>
        </w:rPr>
        <w:t>份</w:t>
      </w:r>
      <w:r>
        <w:rPr>
          <w:rFonts w:hint="eastAsia" w:ascii="宋体" w:hAnsi="宋体" w:eastAsia="宋体" w:cs="宋体"/>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当R≤当前业绩报酬计提基准，超额业绩报酬=0；</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6164"/>
      <w:bookmarkStart w:id="180" w:name="_Toc176189762"/>
      <w:bookmarkStart w:id="181" w:name="_Toc10398"/>
      <w:bookmarkStart w:id="182" w:name="_Toc18206"/>
      <w:bookmarkStart w:id="183" w:name="_Toc98560355"/>
      <w:bookmarkStart w:id="184" w:name="_Toc31821"/>
      <w:bookmarkStart w:id="185" w:name="_Toc3080"/>
      <w:bookmarkStart w:id="186" w:name="_Toc123112237"/>
      <w:bookmarkStart w:id="187" w:name="_Toc123102456"/>
      <w:bookmarkStart w:id="188" w:name="_Toc21735"/>
      <w:bookmarkStart w:id="189" w:name="_Toc139991739"/>
      <w:bookmarkStart w:id="190" w:name="_Toc3572"/>
      <w:bookmarkStart w:id="191" w:name="_Toc79154673"/>
      <w:bookmarkStart w:id="192" w:name="_Toc123051455"/>
      <w:bookmarkStart w:id="193" w:name="_Toc74065746"/>
      <w:bookmarkStart w:id="194" w:name="_Toc141703889"/>
      <w:bookmarkStart w:id="195" w:name="_Toc72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23112238"/>
      <w:bookmarkStart w:id="200" w:name="_Toc17920"/>
      <w:bookmarkStart w:id="201" w:name="_Toc123102457"/>
      <w:bookmarkStart w:id="202" w:name="_Toc29408"/>
      <w:bookmarkStart w:id="203" w:name="_Toc98560356"/>
      <w:bookmarkStart w:id="204" w:name="_Toc79392622"/>
      <w:bookmarkStart w:id="205" w:name="_Toc32092"/>
      <w:bookmarkStart w:id="206" w:name="_Toc3329"/>
      <w:bookmarkStart w:id="207" w:name="_Toc17198"/>
      <w:bookmarkStart w:id="208" w:name="_Toc5170"/>
      <w:bookmarkStart w:id="209" w:name="_Toc739"/>
      <w:bookmarkStart w:id="210" w:name="_Toc123051456"/>
      <w:bookmarkStart w:id="211" w:name="_Toc21237"/>
      <w:bookmarkStart w:id="212" w:name="_Toc32584"/>
      <w:bookmarkStart w:id="213" w:name="_Toc48649708"/>
      <w:bookmarkStart w:id="214" w:name="_Toc176189763"/>
      <w:bookmarkStart w:id="215" w:name="_Toc79154674"/>
      <w:bookmarkStart w:id="216" w:name="_Toc139991740"/>
      <w:bookmarkStart w:id="217" w:name="_Toc141703890"/>
      <w:bookmarkStart w:id="218" w:name="_Toc74065747"/>
      <w:bookmarkStart w:id="219" w:name="_Toc8791"/>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（2）投资权益类资产的风险 </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1）投资股票类资产的风险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2）投资股权类资产的风险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【沧州银行股份有限公司】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ascii="宋体" w:hAnsi="宋体" w:cs="宋体"/>
                <w:bCs/>
                <w:sz w:val="18"/>
                <w:szCs w:val="18"/>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color w:val="auto"/>
          <w:kern w:val="0"/>
          <w:sz w:val="18"/>
          <w:szCs w:val="18"/>
          <w:lang w:eastAsia="zh-CN"/>
        </w:rPr>
        <w:t>兴银理财稳利恒盈封闭式2025年544期固收类理财产品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color w:val="auto"/>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color w:val="auto"/>
          <w:kern w:val="0"/>
          <w:sz w:val="18"/>
          <w:szCs w:val="18"/>
        </w:rPr>
        <w:t>【稳利恒盈封闭2025年544期14M(纯盈颐养款)A】（适用【A】类份额）</w:t>
      </w:r>
    </w:p>
    <w:p>
      <w:pPr>
        <w:ind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【稳利恒盈封闭2025年544期14M(纯盈颐养款)C】（适用【</w:t>
      </w:r>
      <w:r>
        <w:rPr>
          <w:rFonts w:hint="eastAsia" w:ascii="宋体" w:hAnsi="宋体" w:cs="仿宋_GB2312"/>
          <w:color w:val="auto"/>
          <w:kern w:val="0"/>
          <w:sz w:val="18"/>
          <w:szCs w:val="18"/>
          <w:lang w:val="en-US" w:eastAsia="zh-CN"/>
        </w:rPr>
        <w:t>C</w:t>
      </w:r>
      <w:r>
        <w:rPr>
          <w:rFonts w:hint="eastAsia" w:ascii="宋体" w:hAnsi="宋体" w:cs="仿宋_GB2312"/>
          <w:color w:val="auto"/>
          <w:kern w:val="0"/>
          <w:sz w:val="18"/>
          <w:szCs w:val="18"/>
        </w:rPr>
        <w:t>】类份额）</w:t>
      </w:r>
    </w:p>
    <w:p>
      <w:pPr>
        <w:ind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【稳利恒盈封闭2025年544期14M(纯盈颐养款)E】（适用【E】类份额）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color w:val="auto"/>
          <w:kern w:val="0"/>
          <w:sz w:val="18"/>
          <w:szCs w:val="18"/>
          <w:lang w:eastAsia="zh-CN"/>
        </w:rPr>
        <w:t>Z7002025001391</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cs="宋体" w:asciiTheme="majorEastAsia" w:hAnsiTheme="majorEastAsia" w:eastAsiaTheme="majorEastAsia"/>
          <w:bCs/>
          <w:sz w:val="18"/>
          <w:szCs w:val="18"/>
        </w:rPr>
      </w:pPr>
      <w:r>
        <w:rPr>
          <w:rFonts w:hint="eastAsia" w:ascii="宋体" w:hAnsi="宋体" w:cs="仿宋_GB2312"/>
          <w:kern w:val="0"/>
          <w:sz w:val="18"/>
          <w:szCs w:val="18"/>
        </w:rPr>
        <w:t>【</w:t>
      </w:r>
      <w:r>
        <w:rPr>
          <w:rFonts w:hint="eastAsia" w:cs="宋体" w:asciiTheme="majorEastAsia" w:hAnsiTheme="majorEastAsia" w:eastAsiaTheme="majorEastAsia"/>
          <w:bCs/>
          <w:sz w:val="18"/>
          <w:szCs w:val="18"/>
        </w:rPr>
        <w:t>■有固定期限：【</w:t>
      </w:r>
      <w:r>
        <w:rPr>
          <w:rFonts w:hint="eastAsia" w:cs="宋体" w:asciiTheme="majorEastAsia" w:hAnsiTheme="majorEastAsia" w:eastAsiaTheme="majorEastAsia"/>
          <w:bCs/>
          <w:color w:val="auto"/>
          <w:sz w:val="18"/>
          <w:szCs w:val="18"/>
          <w:lang w:val="en-US" w:eastAsia="zh-CN"/>
        </w:rPr>
        <w:t>432</w:t>
      </w:r>
      <w:r>
        <w:rPr>
          <w:rFonts w:hint="eastAsia" w:cs="宋体" w:asciiTheme="majorEastAsia" w:hAnsiTheme="majorEastAsia" w:eastAsiaTheme="majorEastAsia"/>
          <w:bCs/>
          <w:sz w:val="18"/>
          <w:szCs w:val="18"/>
        </w:rPr>
        <w:t>天】</w:t>
      </w:r>
    </w:p>
    <w:p>
      <w:pPr>
        <w:ind w:firstLine="448" w:firstLineChars="249"/>
        <w:rPr>
          <w:rFonts w:ascii="宋体" w:hAnsi="宋体" w:cs="仿宋_GB2312"/>
          <w:kern w:val="0"/>
          <w:sz w:val="18"/>
          <w:szCs w:val="18"/>
        </w:rPr>
      </w:pPr>
      <w:r>
        <w:rPr>
          <w:rFonts w:hint="eastAsia" w:cs="宋体" w:asciiTheme="majorEastAsia" w:hAnsiTheme="majorEastAsia" w:eastAsiaTheme="majorEastAsia"/>
          <w:bCs/>
          <w:sz w:val="18"/>
          <w:szCs w:val="18"/>
        </w:rPr>
        <w:t>□无固定期限</w:t>
      </w:r>
      <w:r>
        <w:rPr>
          <w:rFonts w:hint="eastAsia" w:ascii="宋体" w:hAnsi="宋体" w:cs="仿宋_GB2312"/>
          <w:kern w:val="0"/>
          <w:sz w:val="18"/>
          <w:szCs w:val="18"/>
        </w:rPr>
        <w:t>】</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w:t>
      </w:r>
      <w:r>
        <w:rPr>
          <w:rFonts w:ascii="宋体" w:hAnsi="宋体" w:cs="仿宋_GB2312"/>
          <w:kern w:val="0"/>
          <w:sz w:val="18"/>
          <w:szCs w:val="18"/>
        </w:rPr>
        <w:t>2】</w:t>
      </w:r>
      <w:r>
        <w:rPr>
          <w:rFonts w:hint="eastAsia" w:ascii="宋体" w:hAnsi="宋体" w:cs="仿宋_GB2312"/>
          <w:kern w:val="0"/>
          <w:sz w:val="18"/>
          <w:szCs w:val="18"/>
        </w:rPr>
        <w:t>（产品管理人定义的产品风险评级为【R</w:t>
      </w:r>
      <w:r>
        <w:rPr>
          <w:rFonts w:ascii="宋体" w:hAnsi="宋体" w:cs="仿宋_GB2312"/>
          <w:kern w:val="0"/>
          <w:sz w:val="18"/>
          <w:szCs w:val="18"/>
        </w:rPr>
        <w:t>2</w:t>
      </w:r>
      <w:r>
        <w:rPr>
          <w:rFonts w:hint="eastAsia" w:ascii="宋体" w:hAnsi="宋体" w:cs="仿宋_GB2312"/>
          <w:kern w:val="0"/>
          <w:sz w:val="18"/>
          <w:szCs w:val="18"/>
        </w:rPr>
        <w:t>】；代理销售机构定义的产品风险评级为【R</w:t>
      </w:r>
      <w:r>
        <w:rPr>
          <w:rFonts w:ascii="宋体" w:hAnsi="宋体" w:cs="仿宋_GB2312"/>
          <w:kern w:val="0"/>
          <w:sz w:val="18"/>
          <w:szCs w:val="18"/>
        </w:rPr>
        <w:t>2</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C6】</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拟投资市场和资产的风险：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）投资标准化债权类资产的风险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）投资非标准化债权类资产的风险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本产品投资非标债权类资产时可能面临以下风险：由于融资主体</w:t>
      </w:r>
      <w:r>
        <w:rPr>
          <w:rFonts w:ascii="宋体" w:hAnsi="宋体" w:eastAsia="宋体" w:cs="宋体"/>
          <w:bCs/>
          <w:kern w:val="2"/>
          <w:sz w:val="18"/>
          <w:szCs w:val="18"/>
          <w:lang w:val="en-US" w:eastAsia="zh-CN" w:bidi="ar-SA"/>
        </w:rPr>
        <w:t>/</w:t>
      </w:r>
      <w:r>
        <w:rPr>
          <w:rFonts w:hint="eastAsia" w:ascii="宋体" w:hAnsi="宋体" w:eastAsia="宋体" w:cs="宋体"/>
          <w:bCs/>
          <w:kern w:val="2"/>
          <w:sz w:val="18"/>
          <w:szCs w:val="18"/>
          <w:lang w:val="en-US" w:eastAsia="zh-CN" w:bidi="ar-SA"/>
        </w:rPr>
        <w:t>增信主体</w:t>
      </w:r>
      <w:r>
        <w:rPr>
          <w:rFonts w:ascii="宋体" w:hAnsi="宋体" w:eastAsia="宋体" w:cs="宋体"/>
          <w:bCs/>
          <w:kern w:val="2"/>
          <w:sz w:val="18"/>
          <w:szCs w:val="18"/>
          <w:lang w:val="en-US" w:eastAsia="zh-CN" w:bidi="ar-SA"/>
        </w:rPr>
        <w:t>/</w:t>
      </w:r>
      <w:r>
        <w:rPr>
          <w:rFonts w:hint="eastAsia" w:ascii="宋体" w:hAnsi="宋体" w:eastAsia="宋体" w:cs="宋体"/>
          <w:bCs/>
          <w:kern w:val="2"/>
          <w:sz w:val="18"/>
          <w:szCs w:val="18"/>
          <w:lang w:val="en-US" w:eastAsia="zh-CN" w:bidi="ar-SA"/>
        </w:rPr>
        <w:t>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）投资权益类资产的风险</w:t>
      </w:r>
      <w:r>
        <w:rPr>
          <w:rFonts w:ascii="宋体" w:hAnsi="宋体" w:eastAsia="宋体" w:cs="宋体"/>
          <w:bCs/>
          <w:kern w:val="2"/>
          <w:sz w:val="18"/>
          <w:szCs w:val="18"/>
          <w:lang w:val="en-US" w:eastAsia="zh-CN" w:bidi="ar-SA"/>
        </w:rPr>
        <w:t xml:space="preserve"> </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）投资股票类资产的风险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）投资股权类资产的风险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3</w:t>
      </w:r>
      <w:r>
        <w:rPr>
          <w:rFonts w:hint="eastAsia" w:ascii="宋体" w:hAnsi="宋体" w:eastAsia="宋体" w:cs="宋体"/>
          <w:bCs/>
          <w:kern w:val="2"/>
          <w:sz w:val="18"/>
          <w:szCs w:val="18"/>
          <w:lang w:val="en-US" w:eastAsia="zh-CN" w:bidi="ar-SA"/>
        </w:rPr>
        <w:t>）投资商品和金融衍生品类资产的风险</w:t>
      </w:r>
      <w:r>
        <w:rPr>
          <w:rFonts w:ascii="宋体" w:hAnsi="宋体" w:eastAsia="宋体" w:cs="宋体"/>
          <w:bCs/>
          <w:kern w:val="2"/>
          <w:sz w:val="18"/>
          <w:szCs w:val="18"/>
          <w:lang w:val="en-US" w:eastAsia="zh-CN" w:bidi="ar-SA"/>
        </w:rPr>
        <w:t xml:space="preserve"> </w:t>
      </w:r>
    </w:p>
    <w:p>
      <w:pPr>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销售机构（【沧州银行股份有限公司】）</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hint="eastAsia" w:ascii="宋体" w:hAnsi="宋体"/>
          <w:sz w:val="18"/>
          <w:szCs w:val="18"/>
        </w:rPr>
      </w:pPr>
      <w:r>
        <w:rPr>
          <w:rFonts w:hint="eastAsia" w:ascii="宋体" w:hAnsi="宋体"/>
          <w:sz w:val="18"/>
          <w:szCs w:val="18"/>
        </w:rPr>
        <w:t>3.销售机构：【沧州银行股份有限公司】</w:t>
      </w:r>
    </w:p>
    <w:p>
      <w:pPr>
        <w:ind w:firstLine="360" w:firstLineChars="200"/>
        <w:rPr>
          <w:rFonts w:hint="eastAsia" w:ascii="宋体" w:hAnsi="宋体"/>
          <w:sz w:val="18"/>
          <w:szCs w:val="18"/>
        </w:rPr>
      </w:pPr>
      <w:r>
        <w:rPr>
          <w:rFonts w:hint="eastAsia" w:ascii="宋体" w:hAnsi="宋体"/>
          <w:sz w:val="18"/>
          <w:szCs w:val="18"/>
        </w:rPr>
        <w:t>通过【沧州银行】（作为销售服务机构）购买本产品的，请联系【沧州银行】，【沧州银行】客户服务热线：【96328】；【沧州银行】门户网站：【www.bankcz.com】</w:t>
      </w:r>
      <w:bookmarkStart w:id="222" w:name="_GoBack"/>
      <w:bookmarkEnd w:id="222"/>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outlineLvl w:val="2"/>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7042B4"/>
    <w:rsid w:val="2BBE5BA7"/>
    <w:rsid w:val="632212BC"/>
    <w:rsid w:val="637F58C5"/>
    <w:rsid w:val="7A120986"/>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46081</Words>
  <Characters>47001</Characters>
  <Lines>0</Lines>
  <Paragraphs>0</Paragraphs>
  <TotalTime>2</TotalTime>
  <ScaleCrop>false</ScaleCrop>
  <LinksUpToDate>false</LinksUpToDate>
  <CharactersWithSpaces>47417</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刘建赢</cp:lastModifiedBy>
  <dcterms:modified xsi:type="dcterms:W3CDTF">2025-11-12T03:32:19Z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0E4D74D731E64628AA9D02915CE87ED8</vt:lpwstr>
  </property>
</Properties>
</file>