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bookmarkStart w:id="0" w:name="_GoBack"/>
      <w:bookmarkEnd w:id="0"/>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幸福99丰裕固收386天25209期理财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幸福99丰裕固收386天25209期理财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幸福99丰裕固收386天25209期理财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幸福99丰裕固收386天25209期理财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幸福99丰裕固收386天25209期理财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386</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幸福99丰裕固收386天25209期理财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Z7002225000401</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幸福99丰裕固收386天25209期理财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幸福99丰裕固收386天25209期理财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幸福99丰裕固收386天25209期理财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幸福99丰裕固收386天25209期理财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幸福99丰裕固收386天25209期理财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幸福99丰裕固收386天25209期理财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幸福99丰裕固收386天25209期理财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丰裕固收25209期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FYG25209</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Z7002225000401</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A份额（销售代码〖FYG25209A〗）：普通个人投资者和机构客户。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B份额（销售代码〖FYG25209B〗）：普通个人投资者和机构客户。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C份额（销售代码〖FYG25209C〗）：普通个人投资者和机构客户。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D份额（销售代码〖FYG25209D〗）：普通个人投资者和机构客户。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E份额（公司专属）（销售代码〖FYG25209E〗）：普通个人投资者和机构客户。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G份额（汉口银行专属）（销售代码〖FYG25209G〗）：普通个人投资者和机构客户。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H份额（北行专属）（销售代码〖FYG25209H〗）：普通个人投资者和机构客户。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I份额（爽盈优选）（销售代码〖FYG25209I〗）：普通个人投资者和机构客户。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J份额（销售代码〖FYG25209J〗）：普通个人投资者和机构客户。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K份额（鲲鹏优选）（销售代码〖FYG25209K〗）：普通个人投资者和机构客户。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N份额惠享款（长长财富·专属）（销售代码〖FYG25209N〗）：普通个人投资者和机构客户。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O份额（销售代码〖FYG25209O〗）：普通个人投资者和机构客户。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P份额（芙蓉锦程·优选）（销售代码〖FYG25209P〗）：普通个人投资者和机构客户。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R份额惠享款吉行十二号（销售代码〖FYG25209R〗）：普通个人投资者和机构客户。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S份额惠享款（齐鲁-逢六有约）（销售代码〖FYG25209S〗）：普通个人投资者和机构客户。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T份额惠享款（双十一理财特辑）（销售代码〖FYG25209T〗）：普通个人投资者和机构客户。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U份额惠享款（销售代码〖FYG25209U〗）：普通个人投资者和机构客户。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V份额（金芙蓉专属）（销售代码〖FYG25209V〗）：普通个人投资者和机构客户。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W份额惠享款（销售代码〖FYG25209W〗）：普通个人投资者和机构客户。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X份额（销售代码〖FYG25209X〗）：普通个人投资者。</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Y份额惠享款（销售代码〖FYG25209Y〗）：普通个人投资者和机构客户。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Z份额惠享款（销售代码〖FYG25209Z〗）：普通个人投资者和机构客户。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11</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17</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18</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9</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386</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〖G份额〗起点〖1〗元整，超过认购起点部分，应为〖1〗元的整数倍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〖I份额〗起点〖1〗元整，超过认购起点部分，应为〖1〗元的整数倍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〖J份额〗起点〖1〗元整，超过认购起点部分，应为〖1〗元的整数倍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〖K份额〗起点〖1〗元整，超过认购起点部分，应为〖1〗元的整数倍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〖N份额〗起点〖1〗元整，超过认购起点部分，应为〖1〗元的整数倍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〖O份额〗起点〖1〗元整，超过认购起点部分，应为〖1〗元的整数倍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〖P份额〗起点〖1〗元整，超过认购起点部分，应为〖1〗元的整数倍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〖R份额〗起点〖1〗元整，超过认购起点部分，应为〖1〗元的整数倍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〖S份额〗起点〖1〗元整，超过认购起点部分，应为〖1〗元的整数倍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〖T份额〗起点〖1〗元整，超过认购起点部分，应为〖1〗元的整数倍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〖U份额〗起点〖10〗万元整，超过认购起点部分，应为〖1〗元的整数倍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〖V份额〗起点〖100〗万元整，超过认购起点部分，应为〖1〗元的整数倍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〖X份额〗起点〖1〗元整，超过认购起点部分，应为〖1〗元的整数倍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〖Y份额〗起点〖1〗元整，超过认购起点部分，应为〖1〗元的整数倍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本理财计划〖E份额〗业绩比较基准为〖2.35%-2.55%〗（年化）。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本理财计划〖G份额〗业绩比较基准为〖2.75%-2.95%〗（年化）。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本理财计划〖J份额〗业绩比较基准为〖2.75%-2.95%〗（年化）。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本理财计划〖K份额〗业绩比较基准为〖2.50%-2.70%〗（年化）。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本理财计划〖N份额〗业绩比较基准为〖2.60%-2.80%〗（年化）。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本理财计划〖O份额〗业绩比较基准为〖2.60%-2.80%〗（年化）。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本理财计划〖R份额〗业绩比较基准为〖2.70%-2.90%〗（年化）。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本理财计划〖S份额〗业绩比较基准为〖2.66%-2.86%〗（年化）。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本理财计划〖T份额〗业绩比较基准为〖2.50%-2.70%〗（年化）。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本理财计划〖U份额〗业绩比较基准为〖2.60%-2.80%〗（年化）。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本理财计划〖V份额〗业绩比较基准为〖2.70%-2.90%〗（年化）。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本理财计划〖W份额〗业绩比较基准为〖2.50%-2.70%〗（年化）。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本理财计划〖X份额〗业绩比较基准为〖2.75%-2.95%〗（年化）。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本理财计划〖Y份额〗业绩比较基准为〖2.60%-2.80%〗（年化）。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本理财计划〖Z份额〗业绩比较基准为〖2.70%-2.90%〗（年化）。</w:t>
            </w:r>
          </w:p>
          <w:p>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〖E份额〗收取年化〖0.40%〗的销售服务费, 〖G份额〗收取年化〖0.05%〗的销售服务费, 〖H份额〗收取年化〖0.20%〗的销售服务费, 〖I份额〗收取年化〖0.30%〗的销售服务费, 〖J份额〗收取年化〖0.05%〗的销售服务费, 〖K份额〗收取年化〖0.30%〗的销售服务费, 〖N份额〗收取年化〖0.20%〗的销售服务费, 〖O份额〗收取年化〖0.20%〗的销售服务费, 〖P份额〗收取年化〖0.15%〗的销售服务费, 〖R份额〗收取年化〖0.10%〗的销售服务费, 〖S份额〗收取年化〖0.15%〗的销售服务费, 〖T份额〗收取年化〖0.30%〗的销售服务费, 〖U份额〗收取年化〖0.20%〗的销售服务费, 〖V份额〗收取年化〖0.10%〗的销售服务费, 〖W份额〗收取年化〖0.30%〗的销售服务费, 〖X份额〗收取年化〖0.05%〗的销售服务费, 〖Y份额〗收取年化〖0.20%〗的销售服务费,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〖A份额〗收取年化〖0.05%〗的固定管理费, 〖B份额〗收取年化〖0.05%〗的固定管理费, 〖C份额〗收取年化〖0.05%〗的固定管理费, 〖D份额〗收取年化〖0.05%〗的固定管理费, 〖E份额〗收取年化〖0.10%〗的固定管理费, 〖G份额〗收取年化〖0.05%〗的固定管理费, 〖H份额〗收取年化〖0.05%〗的固定管理费, 〖I份额〗收取年化〖0.05%〗的固定管理费, 〖J份额〗收取年化〖0.05%〗的固定管理费, 〖K份额〗收取年化〖0.05%〗的固定管理费, 〖N份额〗收取年化〖0.05%〗的固定管理费, 〖O份额〗收取年化〖0.05%〗的固定管理费, 〖P份额〗收取年化〖0.05%〗的固定管理费, 〖R份额〗收取年化〖0.05%〗的固定管理费, 〖S份额〗收取年化〖0.04%〗的固定管理费, 〖T份额〗收取年化〖0.05%〗的固定管理费, 〖U份额〗收取年化〖0.05%〗的固定管理费, 〖V份额〗收取年化〖0.05%〗的固定管理费, 〖W份额〗收取年化〖0.05%〗的固定管理费, 〖X份额〗收取年化〖0.05%〗的固定管理费, 〖Y份额〗收取年化〖0.05%〗的固定管理费, 〖Z份额〗收取年化〖0.05%〗的固定管理费。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除O份额）到期日（提前终止日）的折合年化收益率在〖业绩比较基准下限（含）至业绩比较基准上限（含）〗的部分，管理人提取〖50%〗作为浮动管理费，在折合年化收益率超过〖业绩比较基准上限〗的部分，管理人提取〖80%〗作为浮动管理费；〖O份额〗到期日（提前终止日）的折合年化收益率在〖业绩比较基准下限（含）至业绩比较基准中枢（含）〗的部分，管理人提取〖50%〗作为浮动管理费，在折合年化收益率超过〖业绩比较基准中枢〗的部分，管理人提取〖60%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本理财计划主要投资于符合监管要求的各类资产：</w:t>
      </w:r>
    </w:p>
    <w:p>
      <w:pPr>
        <w:keepNext w:val="0"/>
        <w:keepLines w:val="0"/>
        <w:widowControl w:val="0"/>
        <w:suppressLineNumbers w:val="0"/>
        <w:spacing w:before="0" w:beforeAutospacing="0" w:after="0" w:afterAutospacing="0" w:line="360" w:lineRule="auto"/>
        <w:ind w:left="-1" w:right="-1" w:firstLine="480"/>
        <w:jc w:val="left"/>
        <w:rPr>
          <w:rFonts w:hint="eastAsia" w:ascii="宋体" w:hAnsi="宋体" w:eastAsia="宋体" w:cs="宋体"/>
          <w:kern w:val="2"/>
          <w:position w:val="0"/>
          <w:sz w:val="24"/>
          <w:szCs w:val="24"/>
          <w:highlight w:val="none"/>
        </w:rPr>
      </w:pPr>
      <w:r>
        <w:rPr>
          <w:rFonts w:hint="eastAsia" w:ascii="宋体" w:hAnsi="宋体" w:eastAsia="宋体" w:cs="宋体"/>
          <w:kern w:val="2"/>
          <w:position w:val="0"/>
          <w:sz w:val="24"/>
          <w:szCs w:val="24"/>
          <w:highlight w:val="none"/>
          <w:lang w:val="en-US" w:eastAsia="zh-CN" w:bidi="ar"/>
        </w:rPr>
        <w:t>包括但不限于各类债券、存款、货币市场金融工具、债券基金、质押式及买断式回购、非标准化债权类资产，其他符合监管要求的固定收益类资产及资产管理产品。</w:t>
      </w:r>
    </w:p>
    <w:p>
      <w:pPr>
        <w:keepNext w:val="0"/>
        <w:keepLines w:val="0"/>
        <w:widowControl w:val="0"/>
        <w:suppressLineNumbers w:val="0"/>
        <w:spacing w:before="0" w:beforeAutospacing="0" w:after="0" w:afterAutospacing="0"/>
        <w:ind w:left="0" w:leftChars="0" w:right="0" w:firstLine="480" w:firstLineChars="200"/>
        <w:jc w:val="both"/>
        <w:rPr>
          <w:rFonts w:hint="eastAsia" w:ascii="宋体" w:hAnsi="宋体" w:eastAsia="宋体" w:cs="宋体"/>
          <w:highlight w:val="none"/>
        </w:rPr>
      </w:pPr>
      <w:r>
        <w:rPr>
          <w:rFonts w:hint="eastAsia" w:ascii="宋体" w:hAnsi="宋体" w:eastAsia="宋体" w:cs="宋体"/>
          <w:kern w:val="2"/>
          <w:position w:val="0"/>
          <w:sz w:val="24"/>
          <w:szCs w:val="24"/>
          <w:highlight w:val="none"/>
          <w:lang w:val="en-US" w:eastAsia="zh-CN" w:bidi="ar"/>
        </w:rPr>
        <w:t>法律法规或监管机构允许投资的符合本理财产品投资性质的其他金融资产。</w:t>
      </w:r>
    </w:p>
    <w:p>
      <w:pPr>
        <w:numPr>
          <w:ilvl w:val="0"/>
          <w:numId w:val="20"/>
        </w:numPr>
        <w:spacing w:line="360" w:lineRule="auto"/>
        <w:jc w:val="left"/>
        <w:outlineLvl w:val="9"/>
        <w:rPr>
          <w:rFonts w:hint="eastAsia" w:ascii="宋体" w:hAnsi="宋体" w:eastAsia="宋体" w:cs="宋体"/>
          <w:b/>
          <w:sz w:val="24"/>
          <w:highlight w:val="none"/>
        </w:rPr>
      </w:pPr>
      <w:r>
        <w:rPr>
          <w:rFonts w:hint="eastAsia" w:ascii="宋体" w:hAnsi="宋体" w:eastAsia="宋体" w:cs="宋体"/>
          <w:b/>
          <w:sz w:val="24"/>
          <w:highlight w:val="none"/>
        </w:rPr>
        <w:t>投资比例</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本理财计划各投资资产占</w:t>
      </w:r>
      <w:r>
        <w:rPr>
          <w:rFonts w:hint="eastAsia" w:ascii="宋体" w:hAnsi="宋体" w:eastAsia="宋体" w:cs="宋体"/>
          <w:bCs/>
          <w:sz w:val="24"/>
          <w:highlight w:val="none"/>
          <w:lang w:eastAsia="zh-CN"/>
        </w:rPr>
        <w:t>总</w:t>
      </w:r>
      <w:r>
        <w:rPr>
          <w:rFonts w:hint="eastAsia" w:ascii="宋体" w:hAnsi="宋体" w:eastAsia="宋体" w:cs="宋体"/>
          <w:bCs/>
          <w:sz w:val="24"/>
          <w:highlight w:val="none"/>
        </w:rPr>
        <w:t>资产的配置比例如下：</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bCs/>
          <w:sz w:val="24"/>
          <w:szCs w:val="24"/>
          <w:highlight w:val="none"/>
        </w:rPr>
      </w:pPr>
      <w:r>
        <w:rPr>
          <w:rFonts w:hint="eastAsia" w:ascii="宋体" w:hAnsi="宋体" w:eastAsia="宋体" w:cs="宋体"/>
          <w:kern w:val="2"/>
          <w:sz w:val="24"/>
          <w:szCs w:val="24"/>
          <w:lang w:val="en-US" w:eastAsia="zh-CN" w:bidi="ar"/>
        </w:rPr>
        <w:t>本理财产品投资于固定收益类资产的比例不低于80%，投资于非标准化债权类资产的比例不高于50%。</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将通过对宏观经济形势、各项国家政策、及证券市场环境的分析来判断经济周期目前的位置，主动判断市场时机进行资产配置，确定在各类资产上的投资比例。</w:t>
      </w:r>
    </w:p>
    <w:p>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517" w:type="dxa"/>
        <w:tblInd w:w="3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0"/>
        <w:gridCol w:w="1626"/>
        <w:gridCol w:w="1225"/>
        <w:gridCol w:w="37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restart"/>
            <w:tcBorders>
              <w:top w:val="single" w:color="auto" w:sz="4" w:space="0"/>
              <w:left w:val="single" w:color="auto" w:sz="4" w:space="0"/>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626" w:type="dxa"/>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22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auto" w:sz="4"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苏州银行股份有限公司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厦门银行股份有限公司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福建省厦门市思明区湖滨北路101号商业银行大厦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400-858-8888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中信银行股份有限公司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北京市朝阳区光华路10号院1号楼6-30层、32-42层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齐鲁银行股份有限公司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山东省济南市历下区经十路10817号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甘肃省兰州市城关区东岗西路525—1号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4008696666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绍兴银行股份有限公司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2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海南省海口市龙华区海秀东路31号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0898-96566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秦皇岛银行股份有限公司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河北省秦皇岛市海港区河北大街西段560号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0335-96336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温州银行股份有限公司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浙江省温州市鹿城区会展路1316号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0577-96699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中邮邮惠万家银行有限责任公司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上海市虹口区东大名路1080号25层、26层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大连农村商业银行股份有限公司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辽宁省大连经济技术开发区五彩城A区1栋-A1号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95"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吉林银行股份有限公司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经济开发区东南湖大路1817号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福建海峡银行股份有限公司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福建省福州市台江区江滨中大道358号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400-893-9999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兰州银行股份有限公司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甘肃省兰州市酒泉路211号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400-88-96799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nil"/>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厦门农村商业银行股份有限公司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中国(福建)自由贸易试验区厦门片区东港北路31号(1层、17层、19层、27-28层、30-31层)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40083-96336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nil"/>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635" w:hRule="atLeast"/>
        </w:trPr>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87" w:type="dxa"/>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G份额〗、〖H份额〗、〖I份额〗、〖J份额〗、〖K份额〗、〖O份额〗、〖P份额〗、〖V份额〗、〖X份额〗和销售服务费于产品成立日一次性收取的〖N份额〗、〖R份额〗、〖S份额〗、〖T份额〗、〖U份额〗、〖W份额〗、〖Y份额〗、〖Z份额〗。A份额的年化销售服务费率为〖0.30%〗, B份额的年化销售服务费率为〖0.20%〗, C份额的年化销售服务费率为〖0.10%〗, D份额的年化销售服务费率为〖0.15%〗, E份额的年化销售服务费率为〖0.40%〗, G份额的年化销售服务费率为〖0.05%〗, H份额的年化销售服务费率为〖0.20%〗, I份额的年化销售服务费率为〖0.30%〗, J份额的年化销售服务费率为〖0.05%〗, K份额的年化销售服务费率为〖0.30%〗, N份额的年化销售服务费率为〖0.20%〗, O份额的年化销售服务费率为〖0.20%〗, P份额的年化销售服务费率为〖0.15%〗, R份额的年化销售服务费率为〖0.10%〗, S份额的年化销售服务费率为〖0.15%〗, T份额的年化销售服务费率为〖0.30%〗, U份额的年化销售服务费率为〖0.20%〗, V份额的年化销售服务费率为〖0.10%〗, W份额的年化销售服务费率为〖0.30%〗, X份额的年化销售服务费率为〖0.05%〗, Y份额的年化销售服务费率为〖0.20%〗,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H2＝E2×〖0.20%〗×P÷365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H2为〖N份额〗应计提的销售服务费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E2为〖N份额〗成立日产品份额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bCs/>
          <w:color w:val="000000"/>
          <w:kern w:val="2"/>
          <w:sz w:val="24"/>
          <w:szCs w:val="24"/>
          <w:highlight w:val="none"/>
          <w:lang w:val="en-US" w:eastAsia="zh-CN" w:bidi="ar-SA"/>
        </w:rPr>
        <w:t>A份额的年化固定管理费率为〖0.05%〗, B份额的年化固定管理费率为〖0.05%〗, C份额的年化固定管理费率为〖0.05%〗, D份额的年化固定管理费率为〖0.05%〗, E份额的年化固定管理费率为〖0.10%〗, G份额的年化固定管理费率为〖0.05%〗, H份额的年化固定管理费率为〖0.05%〗, I份额的年化固定管理费率为〖0.05%〗, J份额的年化固定管理费率为〖0.05%〗, K份额的年化固定管理费率为〖0.05%〗, N份额的年化固定管理费率为〖0.05%〗, O份额的年化固定管理费率为〖0.05%〗, P份额的年化固定管理费率为〖0.05%〗, R份额的年化固定管理费率为〖0.05%〗, S份额的年化固定管理费率为〖0.04%〗, T份额的年化固定管理费率为〖0.05%〗, U份额的年化固定管理费率为〖0.05%〗, V份额的年化固定管理费率为〖0.05%〗, W份额的年化固定管理费率为〖0.05%〗, X份额的年化固定管理费率为〖0.05%〗, Y份额的年化固定管理费率为〖0.05%〗, Z份额的年化固定管理费率为〖0.05%〗,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80%作为浮动管理费，超过〖5.00%〗部分的投资收益管理人收取100%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100,000×1.0000×{[（1.0615÷1.0000-1）×365÷362-5.00%]×100%+(5.00%-4.00%)×80%}×362÷365=1,984.52（元）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100,000.00×（1.0615-1.0000）-1,984.52= 4,165.48（元）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80%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100,000.00×1.0000×[(1.0415÷1.0000-1)×365÷362-4.00%]×80%×362÷365=146.30（元）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100,000.00×（1.0415-1.0000）-146.30 =4,003.70（元）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ascii="宋体" w:hAnsi="宋体" w:cs="宋体"/>
          <w:bCs/>
          <w:color w:val="000000"/>
          <w:sz w:val="24"/>
          <w:highlight w:val="none"/>
        </w:rPr>
      </w:pPr>
      <w:r>
        <w:rPr>
          <w:rFonts w:hint="eastAsia" w:ascii="Arial" w:hAnsi="Arial"/>
          <w:sz w:val="24"/>
          <w:highlight w:val="none"/>
        </w:rPr>
        <w:t xml:space="preserve">   年   月   日</w:t>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1077"/>
    <w:rsid w:val="10F25E29"/>
    <w:rsid w:val="11FA0C01"/>
    <w:rsid w:val="128B25FE"/>
    <w:rsid w:val="12DA17D8"/>
    <w:rsid w:val="15862C7E"/>
    <w:rsid w:val="164976A9"/>
    <w:rsid w:val="178D1D7E"/>
    <w:rsid w:val="17EA7887"/>
    <w:rsid w:val="18321B09"/>
    <w:rsid w:val="18616AA2"/>
    <w:rsid w:val="191F0F43"/>
    <w:rsid w:val="19E235E1"/>
    <w:rsid w:val="1A7E4CCF"/>
    <w:rsid w:val="1BCD72C9"/>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3086176D"/>
    <w:rsid w:val="31124CF4"/>
    <w:rsid w:val="31A3269E"/>
    <w:rsid w:val="322D08A3"/>
    <w:rsid w:val="32626F15"/>
    <w:rsid w:val="329E36D6"/>
    <w:rsid w:val="34105616"/>
    <w:rsid w:val="3486580A"/>
    <w:rsid w:val="34A35A92"/>
    <w:rsid w:val="34A453A9"/>
    <w:rsid w:val="34EC3C25"/>
    <w:rsid w:val="351A5D92"/>
    <w:rsid w:val="35AA025C"/>
    <w:rsid w:val="35CA7D73"/>
    <w:rsid w:val="377307FA"/>
    <w:rsid w:val="394B6E53"/>
    <w:rsid w:val="3B1C12F3"/>
    <w:rsid w:val="3BD53B5C"/>
    <w:rsid w:val="3CC57F13"/>
    <w:rsid w:val="3D4C282D"/>
    <w:rsid w:val="3D970F4E"/>
    <w:rsid w:val="3DE106C6"/>
    <w:rsid w:val="3E540971"/>
    <w:rsid w:val="3E786275"/>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7EE1B8"/>
    <w:rsid w:val="4DFF95C2"/>
    <w:rsid w:val="4E08799D"/>
    <w:rsid w:val="4E2B414A"/>
    <w:rsid w:val="4F5679CC"/>
    <w:rsid w:val="501840BA"/>
    <w:rsid w:val="52B042C0"/>
    <w:rsid w:val="53827B5D"/>
    <w:rsid w:val="53E86B53"/>
    <w:rsid w:val="54D66C67"/>
    <w:rsid w:val="54ED47F2"/>
    <w:rsid w:val="568633C7"/>
    <w:rsid w:val="57061882"/>
    <w:rsid w:val="57280BF2"/>
    <w:rsid w:val="57CFCB0F"/>
    <w:rsid w:val="57FE8B5E"/>
    <w:rsid w:val="582C3B01"/>
    <w:rsid w:val="582D059F"/>
    <w:rsid w:val="582D396D"/>
    <w:rsid w:val="59083CAE"/>
    <w:rsid w:val="592570E8"/>
    <w:rsid w:val="59435FE6"/>
    <w:rsid w:val="59480030"/>
    <w:rsid w:val="59A3360E"/>
    <w:rsid w:val="5ADE2855"/>
    <w:rsid w:val="5B056CAE"/>
    <w:rsid w:val="5C664A4B"/>
    <w:rsid w:val="5CE67D31"/>
    <w:rsid w:val="5E5F4050"/>
    <w:rsid w:val="5E7212B8"/>
    <w:rsid w:val="5F04726A"/>
    <w:rsid w:val="5F6D37D2"/>
    <w:rsid w:val="5F9C081D"/>
    <w:rsid w:val="5FED5180"/>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6F357621"/>
    <w:rsid w:val="6FF79273"/>
    <w:rsid w:val="702573F3"/>
    <w:rsid w:val="70B57531"/>
    <w:rsid w:val="70FA499F"/>
    <w:rsid w:val="730C182D"/>
    <w:rsid w:val="73FC9A3F"/>
    <w:rsid w:val="751974A1"/>
    <w:rsid w:val="758B30E4"/>
    <w:rsid w:val="75F42331"/>
    <w:rsid w:val="761F7C3C"/>
    <w:rsid w:val="76683D2A"/>
    <w:rsid w:val="76C62D9E"/>
    <w:rsid w:val="78244617"/>
    <w:rsid w:val="7A923507"/>
    <w:rsid w:val="7AAFF850"/>
    <w:rsid w:val="7ACB640D"/>
    <w:rsid w:val="7BFF1A29"/>
    <w:rsid w:val="7C044D89"/>
    <w:rsid w:val="7C63442B"/>
    <w:rsid w:val="7D3AA22F"/>
    <w:rsid w:val="7D9F2F3F"/>
    <w:rsid w:val="7DE35ECA"/>
    <w:rsid w:val="7E1A0C5A"/>
    <w:rsid w:val="7E3212D3"/>
    <w:rsid w:val="7F5F887D"/>
    <w:rsid w:val="7F9FC635"/>
    <w:rsid w:val="7FCC7D05"/>
    <w:rsid w:val="7FEF42B8"/>
    <w:rsid w:val="7FEFE414"/>
    <w:rsid w:val="9FD01BC3"/>
    <w:rsid w:val="B3FE25BF"/>
    <w:rsid w:val="BE6E0F8F"/>
    <w:rsid w:val="C679D4D5"/>
    <w:rsid w:val="C7EFAC2C"/>
    <w:rsid w:val="CFBD1285"/>
    <w:rsid w:val="D3FFF2E3"/>
    <w:rsid w:val="D4B948F0"/>
    <w:rsid w:val="D7BE90C3"/>
    <w:rsid w:val="DFFBF81E"/>
    <w:rsid w:val="E2F2C526"/>
    <w:rsid w:val="F3F331A4"/>
    <w:rsid w:val="F3FF81F7"/>
    <w:rsid w:val="F7FE62B6"/>
    <w:rsid w:val="FA543BA3"/>
    <w:rsid w:val="FD7F9463"/>
    <w:rsid w:val="FEAED78B"/>
    <w:rsid w:val="FF5D960F"/>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qFormat/>
    <w:uiPriority w:val="0"/>
    <w:pPr>
      <w:jc w:val="left"/>
    </w:pPr>
  </w:style>
  <w:style w:type="paragraph" w:styleId="3">
    <w:name w:val="Balloon Text"/>
    <w:basedOn w:val="1"/>
    <w:link w:val="2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qFormat/>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uiPriority w:val="0"/>
    <w:rPr>
      <w:sz w:val="21"/>
      <w:szCs w:val="21"/>
    </w:rPr>
  </w:style>
  <w:style w:type="character" w:customStyle="1" w:styleId="13">
    <w:name w:val="批注文字 字符"/>
    <w:link w:val="2"/>
    <w:qFormat/>
    <w:uiPriority w:val="0"/>
    <w:rPr>
      <w:rFonts w:ascii="Calibri" w:hAnsi="Calibri" w:cs="黑体"/>
      <w:kern w:val="2"/>
      <w:sz w:val="21"/>
      <w:szCs w:val="24"/>
    </w:rPr>
  </w:style>
  <w:style w:type="character" w:customStyle="1" w:styleId="14">
    <w:name w:val="批注框文本 字符"/>
    <w:link w:val="3"/>
    <w:qFormat/>
    <w:uiPriority w:val="0"/>
    <w:rPr>
      <w:rFonts w:ascii="Calibri" w:hAnsi="Calibri" w:cs="黑体"/>
      <w:kern w:val="2"/>
      <w:sz w:val="18"/>
      <w:szCs w:val="18"/>
    </w:rPr>
  </w:style>
  <w:style w:type="character" w:customStyle="1" w:styleId="15">
    <w:name w:val="批注主题 字符"/>
    <w:link w:val="7"/>
    <w:uiPriority w:val="0"/>
    <w:rPr>
      <w:rFonts w:ascii="Calibri" w:hAnsi="Calibri" w:cs="黑体"/>
      <w:b/>
      <w:bCs/>
      <w:kern w:val="2"/>
      <w:sz w:val="21"/>
      <w:szCs w:val="24"/>
    </w:rPr>
  </w:style>
  <w:style w:type="paragraph" w:customStyle="1" w:styleId="16">
    <w:name w:val="List Paragraph"/>
    <w:basedOn w:val="1"/>
    <w:unhideWhenUsed/>
    <w:qFormat/>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uiPriority w:val="0"/>
    <w:rPr>
      <w:rFonts w:ascii="Calibri" w:hAnsi="Calibri" w:cs="黑体"/>
      <w:kern w:val="2"/>
      <w:sz w:val="21"/>
      <w:szCs w:val="24"/>
    </w:rPr>
  </w:style>
  <w:style w:type="character" w:customStyle="1" w:styleId="19">
    <w:name w:val="批注主题 Char"/>
    <w:link w:val="7"/>
    <w:uiPriority w:val="0"/>
    <w:rPr>
      <w:rFonts w:ascii="Calibri" w:hAnsi="Calibri" w:cs="黑体"/>
      <w:b/>
      <w:bCs/>
      <w:kern w:val="2"/>
      <w:sz w:val="21"/>
      <w:szCs w:val="24"/>
    </w:rPr>
  </w:style>
  <w:style w:type="character" w:customStyle="1" w:styleId="20">
    <w:name w:val="批注框文本 Char"/>
    <w:link w:val="3"/>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59</Pages>
  <Words>38120</Words>
  <Characters>41005</Characters>
  <Lines>1</Lines>
  <Paragraphs>1</Paragraphs>
  <TotalTime>0</TotalTime>
  <ScaleCrop>false</ScaleCrop>
  <LinksUpToDate>false</LinksUpToDate>
  <CharactersWithSpaces>41500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2014-11-03T20:08:00Z</dcterms:created>
  <dc:creator>Administrator</dc:creator>
  <cp:lastModifiedBy>hccb</cp:lastModifiedBy>
  <dcterms:modified xsi:type="dcterms:W3CDTF">2025-11-05T03:15:00Z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A70A2227A99B4340974191B47870DEF5</vt:lpwstr>
  </property>
</Properties>
</file>