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w:t>
      </w:r>
      <w:r>
        <w:rPr>
          <w:rFonts w:hint="eastAsia" w:ascii="黑体" w:hAnsi="黑体" w:eastAsia="黑体"/>
          <w:b/>
          <w:sz w:val="44"/>
          <w:szCs w:val="44"/>
          <w:lang w:eastAsia="zh-CN"/>
        </w:rPr>
        <w:t>安盈</w:t>
      </w:r>
      <w:r>
        <w:rPr>
          <w:rFonts w:hint="eastAsia" w:ascii="黑体" w:hAnsi="黑体" w:eastAsia="黑体"/>
          <w:b/>
          <w:sz w:val="44"/>
          <w:szCs w:val="44"/>
        </w:rPr>
        <w:t>封闭式】理财产品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w:t>
            </w:r>
            <w:r>
              <w:rPr>
                <w:rFonts w:hint="eastAsia" w:ascii="宋体" w:hAnsi="宋体"/>
                <w:kern w:val="0"/>
                <w:sz w:val="20"/>
                <w:szCs w:val="21"/>
                <w:lang w:eastAsia="zh-CN"/>
              </w:rPr>
              <w:t>安盈</w:t>
            </w:r>
            <w:r>
              <w:rPr>
                <w:rFonts w:hint="eastAsia" w:ascii="宋体" w:hAnsi="宋体"/>
                <w:kern w:val="0"/>
                <w:sz w:val="20"/>
                <w:szCs w:val="21"/>
              </w:rPr>
              <w:t>封闭式】理财产品投资者权益须知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Fonts w:hint="eastAsia" w:ascii="黑体" w:hAnsi="黑体" w:eastAsia="黑体"/>
          <w:b/>
          <w:sz w:val="44"/>
          <w:szCs w:val="44"/>
        </w:rPr>
        <w:t>稳利</w:t>
      </w:r>
      <w:r>
        <w:rPr>
          <w:rFonts w:hint="eastAsia" w:ascii="黑体" w:hAnsi="黑体" w:eastAsia="黑体"/>
          <w:b/>
          <w:sz w:val="44"/>
          <w:szCs w:val="44"/>
          <w:lang w:eastAsia="zh-CN"/>
        </w:rPr>
        <w:t>安盈</w:t>
      </w:r>
      <w:r>
        <w:rPr>
          <w:rFonts w:hint="eastAsia" w:ascii="黑体" w:hAnsi="黑体" w:eastAsia="黑体"/>
          <w:b/>
          <w:sz w:val="44"/>
          <w:szCs w:val="44"/>
        </w:rPr>
        <w:t>封闭式</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701383"/>
      <w:bookmarkStart w:id="1" w:name="_Toc139992301"/>
      <w:bookmarkStart w:id="2" w:name="_Toc123112224"/>
      <w:bookmarkStart w:id="3" w:name="_Toc123112263"/>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25"/>
      <w:bookmarkStart w:id="6" w:name="_Toc123112264"/>
      <w:bookmarkStart w:id="7" w:name="_Toc139992302"/>
      <w:bookmarkStart w:id="8" w:name="_Toc123701384"/>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11</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701386"/>
      <w:bookmarkStart w:id="12" w:name="_Toc123112227"/>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【兴银理财稳利安盈封闭式2025年</w:t>
            </w:r>
            <w:r>
              <w:rPr>
                <w:rFonts w:hint="eastAsia" w:ascii="宋体" w:hAnsi="宋体"/>
                <w:bCs/>
                <w:color w:val="auto"/>
                <w:sz w:val="18"/>
                <w:szCs w:val="18"/>
                <w:highlight w:val="none"/>
                <w:lang w:eastAsia="zh-CN"/>
              </w:rPr>
              <w:t>435期</w:t>
            </w:r>
            <w:r>
              <w:rPr>
                <w:rFonts w:hint="eastAsia" w:ascii="宋体" w:hAnsi="宋体"/>
                <w:bCs/>
                <w:color w:val="auto"/>
                <w:sz w:val="18"/>
                <w:szCs w:val="18"/>
                <w:highlight w:val="none"/>
              </w:rPr>
              <w:t>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top"/>
          </w:tcPr>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435期</w:t>
            </w:r>
            <w:r>
              <w:rPr>
                <w:rFonts w:hint="eastAsia" w:ascii="宋体" w:hAnsi="宋体"/>
                <w:bCs/>
                <w:color w:val="auto"/>
                <w:sz w:val="18"/>
                <w:szCs w:val="18"/>
                <w:highlight w:val="none"/>
              </w:rPr>
              <w:t>A】（适用【A】类份额）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435期</w:t>
            </w:r>
            <w:r>
              <w:rPr>
                <w:rFonts w:hint="eastAsia" w:ascii="宋体" w:hAnsi="宋体"/>
                <w:bCs/>
                <w:color w:val="auto"/>
                <w:sz w:val="18"/>
                <w:szCs w:val="18"/>
                <w:highlight w:val="none"/>
              </w:rPr>
              <w:t>B】（适用【B】类份额）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435期</w:t>
            </w:r>
            <w:r>
              <w:rPr>
                <w:rFonts w:hint="eastAsia" w:ascii="宋体" w:hAnsi="宋体"/>
                <w:bCs/>
                <w:color w:val="auto"/>
                <w:sz w:val="18"/>
                <w:szCs w:val="18"/>
                <w:highlight w:val="none"/>
              </w:rPr>
              <w:t>C】（适用【C】类份额）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435期</w:t>
            </w:r>
            <w:r>
              <w:rPr>
                <w:rFonts w:hint="eastAsia" w:ascii="宋体" w:hAnsi="宋体"/>
                <w:bCs/>
                <w:color w:val="auto"/>
                <w:sz w:val="18"/>
                <w:szCs w:val="18"/>
                <w:highlight w:val="none"/>
                <w:lang w:val="en-US" w:eastAsia="zh-CN"/>
              </w:rPr>
              <w:t>E</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E</w:t>
            </w:r>
            <w:r>
              <w:rPr>
                <w:rFonts w:hint="eastAsia" w:ascii="宋体" w:hAnsi="宋体"/>
                <w:bCs/>
                <w:color w:val="auto"/>
                <w:sz w:val="18"/>
                <w:szCs w:val="18"/>
                <w:highlight w:val="none"/>
              </w:rPr>
              <w:t>】类份额）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【稳利安盈2025年</w:t>
            </w:r>
            <w:r>
              <w:rPr>
                <w:rFonts w:hint="eastAsia" w:ascii="宋体" w:hAnsi="宋体"/>
                <w:bCs/>
                <w:color w:val="auto"/>
                <w:sz w:val="18"/>
                <w:szCs w:val="18"/>
                <w:highlight w:val="none"/>
                <w:lang w:eastAsia="zh-CN"/>
              </w:rPr>
              <w:t>435期</w:t>
            </w:r>
            <w:r>
              <w:rPr>
                <w:rFonts w:hint="eastAsia" w:ascii="宋体" w:hAnsi="宋体"/>
                <w:bCs/>
                <w:color w:val="auto"/>
                <w:sz w:val="18"/>
                <w:szCs w:val="18"/>
                <w:highlight w:val="none"/>
              </w:rPr>
              <w:t>F】（适用【</w:t>
            </w:r>
            <w:r>
              <w:rPr>
                <w:rFonts w:hint="eastAsia" w:ascii="宋体" w:hAnsi="宋体"/>
                <w:bCs/>
                <w:color w:val="auto"/>
                <w:sz w:val="18"/>
                <w:szCs w:val="18"/>
                <w:highlight w:val="none"/>
                <w:lang w:val="en-US" w:eastAsia="zh-CN"/>
              </w:rPr>
              <w:t>F</w:t>
            </w:r>
            <w:r>
              <w:rPr>
                <w:rFonts w:hint="eastAsia" w:ascii="宋体" w:hAnsi="宋体"/>
                <w:bCs/>
                <w:color w:val="auto"/>
                <w:sz w:val="18"/>
                <w:szCs w:val="18"/>
                <w:highlight w:val="none"/>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tcPr>
          <w:p>
            <w:pPr>
              <w:spacing w:line="360" w:lineRule="auto"/>
              <w:jc w:val="left"/>
              <w:rPr>
                <w:rFonts w:ascii="宋体" w:hAnsi="宋体"/>
                <w:bCs/>
                <w:color w:val="auto"/>
                <w:sz w:val="18"/>
                <w:szCs w:val="18"/>
              </w:rPr>
            </w:pPr>
            <w:r>
              <w:rPr>
                <w:rFonts w:hint="eastAsia" w:asciiTheme="majorEastAsia" w:hAnsiTheme="majorEastAsia" w:eastAsiaTheme="majorEastAsia"/>
                <w:color w:val="auto"/>
                <w:sz w:val="18"/>
                <w:szCs w:val="18"/>
                <w:highlight w:val="none"/>
              </w:rPr>
              <w:t>【</w:t>
            </w:r>
            <w:r>
              <w:rPr>
                <w:rFonts w:hint="eastAsia" w:asciiTheme="minorEastAsia" w:hAnsiTheme="minorEastAsia"/>
                <w:color w:val="auto"/>
                <w:sz w:val="18"/>
                <w:szCs w:val="18"/>
              </w:rPr>
              <w:t>Z7002025001999</w:t>
            </w:r>
            <w:r>
              <w:rPr>
                <w:rFonts w:hint="eastAsia" w:asciiTheme="majorEastAsia" w:hAnsiTheme="majorEastAsia" w:eastAsiaTheme="majorEastAsia"/>
                <w:color w:val="auto"/>
                <w:sz w:val="18"/>
                <w:szCs w:val="18"/>
                <w:highlight w:val="none"/>
              </w:rPr>
              <w:t>】</w:t>
            </w:r>
            <w:r>
              <w:rPr>
                <w:rFonts w:hint="eastAsia" w:ascii="宋体" w:hAnsi="宋体"/>
                <w:bCs/>
                <w:color w:val="auto"/>
                <w:sz w:val="18"/>
                <w:szCs w:val="18"/>
              </w:rPr>
              <w:t>注：投资者可依据理财产品登记编码在中国理财网查询产品信息</w:t>
            </w:r>
            <w:r>
              <w:rPr>
                <w:color w:val="auto"/>
              </w:rPr>
              <w:fldChar w:fldCharType="begin"/>
            </w:r>
            <w:r>
              <w:rPr>
                <w:color w:val="auto"/>
              </w:rPr>
              <w:instrText xml:space="preserve"> HYPERLINK "http://www.chinawealth.com.cn" </w:instrText>
            </w:r>
            <w:r>
              <w:rPr>
                <w:color w:val="auto"/>
              </w:rPr>
              <w:fldChar w:fldCharType="separate"/>
            </w:r>
            <w:r>
              <w:rPr>
                <w:rFonts w:ascii="宋体" w:hAnsi="宋体"/>
                <w:bCs/>
                <w:color w:val="auto"/>
                <w:sz w:val="18"/>
                <w:szCs w:val="18"/>
              </w:rPr>
              <w:t>www.chinawealth.com.cn</w:t>
            </w:r>
            <w:r>
              <w:rPr>
                <w:rFonts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color w:val="auto"/>
                <w:sz w:val="18"/>
                <w:szCs w:val="18"/>
                <w:highlight w:val="none"/>
              </w:rPr>
            </w:pPr>
            <w:r>
              <w:rPr>
                <w:rFonts w:ascii="宋体" w:hAnsi="宋体"/>
                <w:bCs/>
                <w:color w:val="auto"/>
                <w:sz w:val="18"/>
                <w:szCs w:val="18"/>
              </w:rPr>
              <w:t>【</w:t>
            </w:r>
            <w:r>
              <w:rPr>
                <w:rFonts w:hint="eastAsia" w:ascii="宋体" w:hAnsi="宋体"/>
                <w:bCs/>
                <w:color w:val="auto"/>
                <w:sz w:val="18"/>
                <w:szCs w:val="18"/>
                <w:lang w:eastAsia="zh-CN"/>
              </w:rPr>
              <w:t>9A254350</w:t>
            </w:r>
            <w:r>
              <w:rPr>
                <w:rFonts w:hint="eastAsia" w:ascii="宋体" w:hAnsi="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top"/>
          </w:tcPr>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9A25435A</w:t>
            </w:r>
            <w:r>
              <w:rPr>
                <w:rFonts w:hint="eastAsia" w:ascii="宋体" w:hAnsi="宋体"/>
                <w:bCs/>
                <w:color w:val="auto"/>
                <w:sz w:val="18"/>
                <w:szCs w:val="18"/>
                <w:highlight w:val="none"/>
              </w:rPr>
              <w:t>】（适用【A】类份额）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9A25435B</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B</w:t>
            </w:r>
            <w:r>
              <w:rPr>
                <w:rFonts w:hint="eastAsia" w:ascii="宋体" w:hAnsi="宋体"/>
                <w:bCs/>
                <w:color w:val="auto"/>
                <w:sz w:val="18"/>
                <w:szCs w:val="18"/>
                <w:highlight w:val="none"/>
              </w:rPr>
              <w:t>】类份额）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9A25435C</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C</w:t>
            </w:r>
            <w:r>
              <w:rPr>
                <w:rFonts w:hint="eastAsia" w:ascii="宋体" w:hAnsi="宋体"/>
                <w:bCs/>
                <w:color w:val="auto"/>
                <w:sz w:val="18"/>
                <w:szCs w:val="18"/>
                <w:highlight w:val="none"/>
              </w:rPr>
              <w:t>】类份额）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9A25435</w:t>
            </w:r>
            <w:r>
              <w:rPr>
                <w:rFonts w:hint="eastAsia" w:ascii="宋体" w:hAnsi="宋体"/>
                <w:bCs/>
                <w:color w:val="auto"/>
                <w:sz w:val="18"/>
                <w:szCs w:val="18"/>
                <w:highlight w:val="none"/>
                <w:lang w:val="en-US" w:eastAsia="zh-CN"/>
              </w:rPr>
              <w:t>E</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E</w:t>
            </w:r>
            <w:r>
              <w:rPr>
                <w:rFonts w:hint="eastAsia" w:ascii="宋体" w:hAnsi="宋体"/>
                <w:bCs/>
                <w:color w:val="auto"/>
                <w:sz w:val="18"/>
                <w:szCs w:val="18"/>
                <w:highlight w:val="none"/>
              </w:rPr>
              <w:t>】类份额）</w:t>
            </w:r>
          </w:p>
          <w:p>
            <w:pPr>
              <w:spacing w:line="360" w:lineRule="auto"/>
              <w:jc w:val="left"/>
              <w:rPr>
                <w:rFonts w:hint="eastAsia" w:ascii="宋体" w:hAnsi="宋体"/>
                <w:bCs/>
                <w:color w:val="auto"/>
                <w:sz w:val="18"/>
                <w:szCs w:val="18"/>
                <w:highlight w:val="none"/>
              </w:rPr>
            </w:pPr>
            <w:r>
              <w:rPr>
                <w:rFonts w:hint="eastAsia" w:ascii="宋体" w:hAnsi="宋体"/>
                <w:bCs/>
                <w:color w:val="auto"/>
                <w:sz w:val="18"/>
                <w:szCs w:val="18"/>
                <w:highlight w:val="none"/>
              </w:rPr>
              <w:t>【</w:t>
            </w:r>
            <w:r>
              <w:rPr>
                <w:rFonts w:hint="eastAsia" w:ascii="宋体" w:hAnsi="宋体"/>
                <w:bCs/>
                <w:color w:val="auto"/>
                <w:sz w:val="18"/>
                <w:szCs w:val="18"/>
                <w:highlight w:val="none"/>
                <w:lang w:eastAsia="zh-CN"/>
              </w:rPr>
              <w:t>9A25435F</w:t>
            </w:r>
            <w:r>
              <w:rPr>
                <w:rFonts w:hint="eastAsia" w:ascii="宋体" w:hAnsi="宋体"/>
                <w:bCs/>
                <w:color w:val="auto"/>
                <w:sz w:val="18"/>
                <w:szCs w:val="18"/>
                <w:highlight w:val="none"/>
              </w:rPr>
              <w:t>】（适用【</w:t>
            </w:r>
            <w:r>
              <w:rPr>
                <w:rFonts w:hint="eastAsia" w:ascii="宋体" w:hAnsi="宋体"/>
                <w:bCs/>
                <w:color w:val="auto"/>
                <w:sz w:val="18"/>
                <w:szCs w:val="18"/>
                <w:highlight w:val="none"/>
                <w:lang w:val="en-US" w:eastAsia="zh-CN"/>
              </w:rPr>
              <w:t>F</w:t>
            </w:r>
            <w:r>
              <w:rPr>
                <w:rFonts w:hint="eastAsia" w:ascii="宋体" w:hAnsi="宋体"/>
                <w:bCs/>
                <w:color w:val="auto"/>
                <w:sz w:val="18"/>
                <w:szCs w:val="18"/>
                <w:highlight w:val="none"/>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41703880"/>
      <w:bookmarkStart w:id="15" w:name="_Toc8727"/>
      <w:bookmarkStart w:id="16" w:name="_Toc123701389"/>
      <w:bookmarkStart w:id="17" w:name="_Toc32639"/>
      <w:bookmarkStart w:id="18" w:name="_Toc123112268"/>
      <w:bookmarkStart w:id="19" w:name="_Toc23386"/>
      <w:bookmarkStart w:id="20" w:name="_Toc29629"/>
      <w:bookmarkStart w:id="21" w:name="_Toc123112229"/>
      <w:bookmarkStart w:id="22" w:name="_Toc15517"/>
      <w:bookmarkStart w:id="23" w:name="_Toc4867"/>
      <w:bookmarkStart w:id="24" w:name="_Toc4966"/>
      <w:bookmarkStart w:id="25" w:name="_Toc26897"/>
      <w:bookmarkStart w:id="26" w:name="_Toc139991730"/>
      <w:bookmarkStart w:id="27" w:name="_Toc6306"/>
      <w:bookmarkStart w:id="28" w:name="_Toc30935"/>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2864"/>
      <w:bookmarkStart w:id="33" w:name="_Toc13020"/>
      <w:bookmarkStart w:id="34" w:name="_Toc15067"/>
      <w:bookmarkStart w:id="35" w:name="_Toc6617"/>
      <w:bookmarkStart w:id="36" w:name="_Toc258829399"/>
      <w:bookmarkStart w:id="37" w:name="_Toc819"/>
      <w:bookmarkStart w:id="38" w:name="_Toc24860"/>
      <w:bookmarkStart w:id="39" w:name="_Toc2465"/>
      <w:bookmarkStart w:id="40" w:name="_Toc19592"/>
      <w:bookmarkStart w:id="41" w:name="_Toc3224"/>
      <w:bookmarkStart w:id="42" w:name="_Toc21301"/>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0318"/>
      <w:bookmarkStart w:id="48" w:name="_Toc20627"/>
      <w:bookmarkStart w:id="49" w:name="_Toc22708"/>
      <w:bookmarkStart w:id="50" w:name="_Toc545"/>
      <w:bookmarkStart w:id="51" w:name="_Toc13288"/>
      <w:bookmarkStart w:id="52" w:name="_Toc24571"/>
      <w:bookmarkStart w:id="53" w:name="_Toc74065740"/>
      <w:bookmarkStart w:id="54" w:name="_Toc18631"/>
      <w:bookmarkStart w:id="55" w:name="_Toc6683"/>
      <w:bookmarkStart w:id="56" w:name="_Toc6149"/>
      <w:bookmarkStart w:id="57" w:name="_Toc733"/>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w:t>
      </w:r>
      <w:r>
        <w:rPr>
          <w:rFonts w:hint="eastAsia" w:ascii="黑体" w:hAnsi="黑体" w:eastAsia="黑体"/>
          <w:b/>
          <w:bCs/>
          <w:sz w:val="44"/>
          <w:szCs w:val="44"/>
          <w:lang w:eastAsia="zh-CN"/>
        </w:rPr>
        <w:t>安盈</w:t>
      </w:r>
      <w:r>
        <w:rPr>
          <w:rFonts w:hint="eastAsia" w:ascii="黑体" w:hAnsi="黑体" w:eastAsia="黑体"/>
          <w:b/>
          <w:bCs/>
          <w:sz w:val="44"/>
          <w:szCs w:val="44"/>
        </w:rPr>
        <w:t>封闭式】理财产品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w:t>
      </w:r>
      <w:r>
        <w:rPr>
          <w:rFonts w:hint="eastAsia" w:ascii="宋体" w:hAnsi="宋体" w:cs="Times New Roman"/>
          <w:b/>
          <w:bCs/>
          <w:sz w:val="32"/>
          <w:szCs w:val="32"/>
          <w:lang w:val="en-US" w:eastAsia="zh-CN"/>
        </w:rPr>
        <w:t>2025</w:t>
      </w:r>
      <w:r>
        <w:rPr>
          <w:rFonts w:hint="eastAsia" w:ascii="宋体" w:hAnsi="宋体" w:cs="Times New Roman"/>
          <w:b/>
          <w:bCs/>
          <w:sz w:val="32"/>
          <w:szCs w:val="32"/>
        </w:rPr>
        <w:t>】年【</w:t>
      </w:r>
      <w:r>
        <w:rPr>
          <w:rFonts w:hint="eastAsia" w:ascii="宋体" w:hAnsi="宋体" w:cs="Times New Roman"/>
          <w:b/>
          <w:bCs/>
          <w:sz w:val="32"/>
          <w:szCs w:val="32"/>
          <w:lang w:val="en-US" w:eastAsia="zh-CN"/>
        </w:rPr>
        <w:t>11</w:t>
      </w:r>
      <w:r>
        <w:rPr>
          <w:rFonts w:hint="eastAsia" w:ascii="宋体" w:hAnsi="宋体" w:cs="Times New Roman"/>
          <w:b/>
          <w:bCs/>
          <w:sz w:val="32"/>
          <w:szCs w:val="32"/>
        </w:rPr>
        <w:t>】月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）。兴业银行成立于</w:t>
      </w:r>
      <w:r>
        <w:rPr>
          <w:rFonts w:ascii="宋体" w:hAnsi="宋体" w:eastAsia="宋体" w:cs="宋体"/>
          <w:bCs/>
          <w:color w:val="auto"/>
          <w:sz w:val="18"/>
          <w:szCs w:val="18"/>
          <w:lang w:val="en-US" w:eastAsia="zh-CN" w:bidi="ar-SA"/>
        </w:rPr>
        <w:t>1988年，于2005年开展资产托管业务，具备理财产品托管资格。</w:t>
      </w:r>
      <w:r>
        <w:rPr>
          <w:rFonts w:hint="eastAsia" w:ascii="宋体" w:hAnsi="宋体" w:eastAsia="宋体" w:cs="宋体"/>
          <w:bCs/>
          <w:color w:val="auto"/>
          <w:sz w:val="18"/>
          <w:szCs w:val="18"/>
          <w:lang w:val="en-US" w:eastAsia="zh-CN" w:bidi="ar-SA"/>
        </w:rPr>
        <w:t>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监管部门</w:t>
      </w:r>
      <w:r>
        <w:rPr>
          <w:rFonts w:ascii="宋体" w:hAnsi="宋体" w:eastAsia="宋体" w:cs="宋体"/>
          <w:bCs/>
          <w:color w:val="auto"/>
          <w:sz w:val="18"/>
          <w:szCs w:val="18"/>
          <w:lang w:val="en-US" w:eastAsia="zh-CN" w:bidi="ar-SA"/>
        </w:rPr>
        <w:t>认定的其他业务活动。各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。投资者按该份额净值进行理财产品申购、赎回和终止时分配。理财</w:t>
      </w:r>
      <w:r>
        <w:rPr>
          <w:rFonts w:ascii="宋体" w:hAnsi="宋体" w:eastAsia="宋体" w:cs="宋体"/>
          <w:bCs/>
          <w:color w:val="auto"/>
          <w:sz w:val="18"/>
          <w:szCs w:val="18"/>
          <w:lang w:val="en-US" w:eastAsia="zh-CN" w:bidi="ar-SA"/>
        </w:rPr>
        <w:t>产品份额净值四舍五入保留5位小数。</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工作日：指国家法定工作日。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spacing w:line="360" w:lineRule="auto"/>
              <w:jc w:val="left"/>
              <w:rPr>
                <w:rFonts w:ascii="宋体" w:hAnsi="宋体" w:cs="宋体"/>
                <w:bCs/>
                <w:color w:val="auto"/>
                <w:sz w:val="18"/>
                <w:szCs w:val="18"/>
              </w:rPr>
            </w:pPr>
            <w:r>
              <w:rPr>
                <w:rFonts w:hint="eastAsia" w:ascii="宋体" w:hAnsi="宋体" w:cs="宋体"/>
                <w:bCs/>
                <w:color w:val="auto"/>
                <w:sz w:val="18"/>
                <w:szCs w:val="18"/>
                <w:highlight w:val="none"/>
              </w:rPr>
              <w:t>【兴银理财稳利安盈封闭式2025年</w:t>
            </w:r>
            <w:r>
              <w:rPr>
                <w:rFonts w:hint="eastAsia" w:ascii="宋体" w:hAnsi="宋体" w:cs="宋体"/>
                <w:bCs/>
                <w:color w:val="auto"/>
                <w:sz w:val="18"/>
                <w:szCs w:val="18"/>
                <w:highlight w:val="none"/>
                <w:lang w:eastAsia="zh-CN"/>
              </w:rPr>
              <w:t>435期</w:t>
            </w:r>
            <w:r>
              <w:rPr>
                <w:rFonts w:hint="eastAsia" w:ascii="宋体" w:hAnsi="宋体" w:cs="宋体"/>
                <w:bCs/>
                <w:color w:val="auto"/>
                <w:sz w:val="18"/>
                <w:szCs w:val="18"/>
                <w:highlight w:val="none"/>
              </w:rPr>
              <w:t>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435期</w:t>
            </w:r>
            <w:r>
              <w:rPr>
                <w:rFonts w:hint="eastAsia" w:ascii="宋体" w:hAnsi="宋体" w:cs="宋体"/>
                <w:bCs/>
                <w:color w:val="auto"/>
                <w:sz w:val="18"/>
                <w:szCs w:val="18"/>
                <w:highlight w:val="none"/>
              </w:rPr>
              <w:t>A】（适用【A】类份额）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435期</w:t>
            </w:r>
            <w:r>
              <w:rPr>
                <w:rFonts w:hint="eastAsia" w:ascii="宋体" w:hAnsi="宋体" w:cs="宋体"/>
                <w:bCs/>
                <w:color w:val="auto"/>
                <w:sz w:val="18"/>
                <w:szCs w:val="18"/>
                <w:highlight w:val="none"/>
              </w:rPr>
              <w:t>B】（适用【B】类份额）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435期</w:t>
            </w:r>
            <w:r>
              <w:rPr>
                <w:rFonts w:hint="eastAsia" w:ascii="宋体" w:hAnsi="宋体" w:cs="宋体"/>
                <w:bCs/>
                <w:color w:val="auto"/>
                <w:sz w:val="18"/>
                <w:szCs w:val="18"/>
                <w:highlight w:val="none"/>
              </w:rPr>
              <w:t>C】（适用【C】类份额）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435期</w:t>
            </w:r>
            <w:r>
              <w:rPr>
                <w:rFonts w:hint="eastAsia" w:ascii="宋体" w:hAnsi="宋体" w:cs="宋体"/>
                <w:bCs/>
                <w:color w:val="auto"/>
                <w:sz w:val="18"/>
                <w:szCs w:val="18"/>
                <w:highlight w:val="none"/>
                <w:lang w:val="en-US" w:eastAsia="zh-CN"/>
              </w:rPr>
              <w:t>E</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E</w:t>
            </w:r>
            <w:r>
              <w:rPr>
                <w:rFonts w:hint="eastAsia" w:ascii="宋体" w:hAnsi="宋体" w:cs="宋体"/>
                <w:bCs/>
                <w:color w:val="auto"/>
                <w:sz w:val="18"/>
                <w:szCs w:val="18"/>
                <w:highlight w:val="none"/>
              </w:rPr>
              <w:t>】类份额）</w:t>
            </w:r>
          </w:p>
          <w:p>
            <w:pPr>
              <w:spacing w:line="360" w:lineRule="auto"/>
              <w:jc w:val="left"/>
              <w:rPr>
                <w:rFonts w:hint="eastAsia" w:ascii="Calibri" w:hAnsi="宋体" w:cs="宋体"/>
                <w:color w:val="auto"/>
                <w:sz w:val="18"/>
                <w:szCs w:val="18"/>
              </w:rPr>
            </w:pPr>
            <w:r>
              <w:rPr>
                <w:rFonts w:hint="eastAsia" w:ascii="宋体" w:hAnsi="宋体" w:cs="宋体"/>
                <w:bCs/>
                <w:color w:val="auto"/>
                <w:sz w:val="18"/>
                <w:szCs w:val="18"/>
                <w:highlight w:val="none"/>
              </w:rPr>
              <w:t>【稳利安盈2025年</w:t>
            </w:r>
            <w:r>
              <w:rPr>
                <w:rFonts w:hint="eastAsia" w:ascii="宋体" w:hAnsi="宋体" w:cs="宋体"/>
                <w:bCs/>
                <w:color w:val="auto"/>
                <w:sz w:val="18"/>
                <w:szCs w:val="18"/>
                <w:highlight w:val="none"/>
                <w:lang w:eastAsia="zh-CN"/>
              </w:rPr>
              <w:t>435期</w:t>
            </w:r>
            <w:r>
              <w:rPr>
                <w:rFonts w:hint="eastAsia" w:ascii="宋体" w:hAnsi="宋体" w:cs="宋体"/>
                <w:bCs/>
                <w:color w:val="auto"/>
                <w:sz w:val="18"/>
                <w:szCs w:val="18"/>
                <w:highlight w:val="none"/>
              </w:rPr>
              <w:t>F】（适用【</w:t>
            </w:r>
            <w:r>
              <w:rPr>
                <w:rFonts w:hint="eastAsia" w:ascii="宋体" w:hAnsi="宋体" w:cs="宋体"/>
                <w:bCs/>
                <w:color w:val="auto"/>
                <w:sz w:val="18"/>
                <w:szCs w:val="18"/>
                <w:highlight w:val="none"/>
                <w:lang w:val="en-US" w:eastAsia="zh-CN"/>
              </w:rPr>
              <w:t>F</w:t>
            </w:r>
            <w:r>
              <w:rPr>
                <w:rFonts w:hint="eastAsia" w:ascii="宋体" w:hAnsi="宋体" w:cs="宋体"/>
                <w:bCs/>
                <w:color w:val="auto"/>
                <w:sz w:val="18"/>
                <w:szCs w:val="18"/>
                <w:highlight w:val="none"/>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pPr>
              <w:spacing w:line="360" w:lineRule="auto"/>
              <w:jc w:val="left"/>
              <w:rPr>
                <w:rFonts w:ascii="宋体" w:hAnsi="宋体" w:cs="宋体"/>
                <w:b/>
                <w:sz w:val="18"/>
                <w:szCs w:val="18"/>
              </w:rPr>
            </w:pPr>
            <w:r>
              <w:rPr>
                <w:rFonts w:hint="eastAsia" w:ascii="宋体" w:hAnsi="宋体" w:cs="宋体"/>
                <w:sz w:val="18"/>
                <w:szCs w:val="18"/>
              </w:rPr>
              <w:t>【</w:t>
            </w:r>
            <w:r>
              <w:rPr>
                <w:rFonts w:hint="eastAsia" w:ascii="宋体" w:hAnsi="宋体" w:cs="宋体"/>
                <w:color w:val="auto"/>
                <w:sz w:val="18"/>
                <w:szCs w:val="18"/>
              </w:rPr>
              <w:t>Z7002025001999</w:t>
            </w:r>
            <w:r>
              <w:rPr>
                <w:rFonts w:hint="eastAsia" w:ascii="宋体" w:hAnsi="宋体" w:cs="宋体"/>
                <w:sz w:val="18"/>
                <w:szCs w:val="18"/>
              </w:rPr>
              <w:t>】</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spacing w:line="360" w:lineRule="auto"/>
              <w:jc w:val="left"/>
              <w:rPr>
                <w:rFonts w:ascii="宋体" w:hAnsi="宋体" w:cs="宋体"/>
                <w:bCs/>
                <w:color w:val="auto"/>
                <w:sz w:val="18"/>
                <w:szCs w:val="18"/>
              </w:rPr>
            </w:pPr>
            <w:r>
              <w:rPr>
                <w:rFonts w:ascii="宋体" w:hAnsi="宋体" w:cs="宋体"/>
                <w:bCs/>
                <w:color w:val="auto"/>
                <w:sz w:val="18"/>
                <w:szCs w:val="18"/>
              </w:rPr>
              <w:t>【</w:t>
            </w:r>
            <w:r>
              <w:rPr>
                <w:rFonts w:hint="eastAsia" w:ascii="宋体" w:hAnsi="宋体" w:cs="宋体"/>
                <w:bCs/>
                <w:color w:val="auto"/>
                <w:sz w:val="18"/>
                <w:szCs w:val="18"/>
                <w:lang w:eastAsia="zh-CN"/>
              </w:rPr>
              <w:t>9A254350</w:t>
            </w:r>
            <w:r>
              <w:rPr>
                <w:rFonts w:hint="eastAsia" w:ascii="宋体" w:hAnsi="宋体" w:cs="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9A25435A</w:t>
            </w:r>
            <w:r>
              <w:rPr>
                <w:rFonts w:hint="eastAsia" w:ascii="宋体" w:hAnsi="宋体" w:cs="宋体"/>
                <w:bCs/>
                <w:color w:val="auto"/>
                <w:sz w:val="18"/>
                <w:szCs w:val="18"/>
                <w:highlight w:val="none"/>
              </w:rPr>
              <w:t>】（适用【A】类份额）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9A25435B</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B</w:t>
            </w:r>
            <w:r>
              <w:rPr>
                <w:rFonts w:hint="eastAsia" w:ascii="宋体" w:hAnsi="宋体" w:cs="宋体"/>
                <w:bCs/>
                <w:color w:val="auto"/>
                <w:sz w:val="18"/>
                <w:szCs w:val="18"/>
                <w:highlight w:val="none"/>
              </w:rPr>
              <w:t>】类份额）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9A25435C</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C</w:t>
            </w:r>
            <w:r>
              <w:rPr>
                <w:rFonts w:hint="eastAsia" w:ascii="宋体" w:hAnsi="宋体" w:cs="宋体"/>
                <w:bCs/>
                <w:color w:val="auto"/>
                <w:sz w:val="18"/>
                <w:szCs w:val="18"/>
                <w:highlight w:val="none"/>
              </w:rPr>
              <w:t>】类份额）</w:t>
            </w:r>
          </w:p>
          <w:p>
            <w:pPr>
              <w:spacing w:line="360" w:lineRule="auto"/>
              <w:jc w:val="left"/>
              <w:rPr>
                <w:rFonts w:hint="eastAsia" w:ascii="宋体" w:hAnsi="宋体" w:cs="宋体"/>
                <w:bCs/>
                <w:color w:val="auto"/>
                <w:sz w:val="18"/>
                <w:szCs w:val="18"/>
                <w:highlight w:val="none"/>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9A25435</w:t>
            </w:r>
            <w:r>
              <w:rPr>
                <w:rFonts w:hint="eastAsia" w:ascii="宋体" w:hAnsi="宋体" w:cs="宋体"/>
                <w:bCs/>
                <w:color w:val="auto"/>
                <w:sz w:val="18"/>
                <w:szCs w:val="18"/>
                <w:highlight w:val="none"/>
                <w:lang w:val="en-US" w:eastAsia="zh-CN"/>
              </w:rPr>
              <w:t>E</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E</w:t>
            </w:r>
            <w:r>
              <w:rPr>
                <w:rFonts w:hint="eastAsia" w:ascii="宋体" w:hAnsi="宋体" w:cs="宋体"/>
                <w:bCs/>
                <w:color w:val="auto"/>
                <w:sz w:val="18"/>
                <w:szCs w:val="18"/>
                <w:highlight w:val="none"/>
              </w:rPr>
              <w:t>】类份额）</w:t>
            </w:r>
          </w:p>
          <w:p>
            <w:pPr>
              <w:spacing w:line="360" w:lineRule="auto"/>
              <w:jc w:val="left"/>
              <w:rPr>
                <w:rFonts w:hint="eastAsia" w:ascii="Calibri" w:hAnsi="宋体" w:cs="宋体"/>
                <w:color w:val="auto"/>
                <w:sz w:val="18"/>
                <w:szCs w:val="18"/>
              </w:rPr>
            </w:pPr>
            <w:r>
              <w:rPr>
                <w:rFonts w:hint="eastAsia" w:ascii="宋体" w:hAnsi="宋体" w:cs="宋体"/>
                <w:bCs/>
                <w:color w:val="auto"/>
                <w:sz w:val="18"/>
                <w:szCs w:val="18"/>
                <w:highlight w:val="none"/>
              </w:rPr>
              <w:t>【</w:t>
            </w:r>
            <w:r>
              <w:rPr>
                <w:rFonts w:hint="eastAsia" w:ascii="宋体" w:hAnsi="宋体" w:cs="宋体"/>
                <w:bCs/>
                <w:color w:val="auto"/>
                <w:sz w:val="18"/>
                <w:szCs w:val="18"/>
                <w:highlight w:val="none"/>
                <w:lang w:eastAsia="zh-CN"/>
              </w:rPr>
              <w:t>9A25435F</w:t>
            </w:r>
            <w:r>
              <w:rPr>
                <w:rFonts w:hint="eastAsia" w:ascii="宋体" w:hAnsi="宋体" w:cs="宋体"/>
                <w:bCs/>
                <w:color w:val="auto"/>
                <w:sz w:val="18"/>
                <w:szCs w:val="18"/>
                <w:highlight w:val="none"/>
              </w:rPr>
              <w:t>】（适用【</w:t>
            </w:r>
            <w:r>
              <w:rPr>
                <w:rFonts w:hint="eastAsia" w:ascii="宋体" w:hAnsi="宋体" w:cs="宋体"/>
                <w:bCs/>
                <w:color w:val="auto"/>
                <w:sz w:val="18"/>
                <w:szCs w:val="18"/>
                <w:highlight w:val="none"/>
                <w:lang w:val="en-US" w:eastAsia="zh-CN"/>
              </w:rPr>
              <w:t>F</w:t>
            </w:r>
            <w:r>
              <w:rPr>
                <w:rFonts w:hint="eastAsia" w:ascii="宋体" w:hAnsi="宋体" w:cs="宋体"/>
                <w:bCs/>
                <w:color w:val="auto"/>
                <w:sz w:val="18"/>
                <w:szCs w:val="18"/>
                <w:highlight w:val="none"/>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pPr>
              <w:spacing w:line="360" w:lineRule="auto"/>
              <w:rPr>
                <w:rFonts w:ascii="宋体" w:hAnsi="宋体" w:cs="宋体"/>
                <w:bCs/>
                <w:sz w:val="18"/>
                <w:szCs w:val="18"/>
              </w:rPr>
            </w:pPr>
            <w:r>
              <w:rPr>
                <w:rFonts w:hint="eastAsia" w:ascii="宋体" w:hAnsi="宋体" w:cs="宋体"/>
                <w:bCs/>
                <w:sz w:val="18"/>
                <w:szCs w:val="18"/>
              </w:rPr>
              <w:t>（1）销售名称</w:t>
            </w:r>
          </w:p>
          <w:p>
            <w:pPr>
              <w:spacing w:line="360" w:lineRule="auto"/>
              <w:rPr>
                <w:rFonts w:ascii="宋体" w:hAnsi="宋体" w:cs="宋体"/>
                <w:bCs/>
                <w:sz w:val="18"/>
                <w:szCs w:val="18"/>
              </w:rPr>
            </w:pPr>
            <w:r>
              <w:rPr>
                <w:rFonts w:hint="eastAsia" w:ascii="宋体" w:hAnsi="宋体" w:cs="宋体"/>
                <w:bCs/>
                <w:sz w:val="18"/>
                <w:szCs w:val="18"/>
              </w:rPr>
              <w:t>（2）收费方式</w:t>
            </w:r>
          </w:p>
          <w:p>
            <w:pPr>
              <w:spacing w:line="360" w:lineRule="auto"/>
              <w:rPr>
                <w:rFonts w:ascii="宋体" w:hAnsi="宋体" w:cs="宋体"/>
                <w:bCs/>
                <w:sz w:val="18"/>
                <w:szCs w:val="18"/>
              </w:rPr>
            </w:pPr>
            <w:r>
              <w:rPr>
                <w:rFonts w:hint="eastAsia" w:ascii="宋体" w:hAnsi="宋体" w:cs="宋体"/>
                <w:bCs/>
                <w:sz w:val="18"/>
                <w:szCs w:val="18"/>
              </w:rPr>
              <w:t>（3）销售服务费</w:t>
            </w:r>
          </w:p>
          <w:p>
            <w:pPr>
              <w:spacing w:line="360" w:lineRule="auto"/>
              <w:rPr>
                <w:rFonts w:ascii="宋体" w:hAnsi="宋体" w:cs="宋体"/>
                <w:bCs/>
                <w:sz w:val="18"/>
                <w:szCs w:val="18"/>
              </w:rPr>
            </w:pPr>
            <w:r>
              <w:rPr>
                <w:rFonts w:hint="eastAsia" w:ascii="宋体" w:hAnsi="宋体" w:cs="宋体"/>
                <w:bCs/>
                <w:sz w:val="18"/>
                <w:szCs w:val="18"/>
              </w:rPr>
              <w:t>（4）销售代码</w:t>
            </w:r>
          </w:p>
          <w:p>
            <w:pPr>
              <w:spacing w:line="360" w:lineRule="auto"/>
              <w:rPr>
                <w:rFonts w:ascii="宋体" w:hAnsi="宋体" w:cs="宋体"/>
                <w:bCs/>
                <w:sz w:val="18"/>
                <w:szCs w:val="18"/>
              </w:rPr>
            </w:pPr>
            <w:r>
              <w:rPr>
                <w:rFonts w:hint="eastAsia" w:ascii="宋体" w:hAnsi="宋体" w:cs="宋体"/>
                <w:bCs/>
                <w:sz w:val="18"/>
                <w:szCs w:val="18"/>
              </w:rPr>
              <w:t>（5）销售对象</w:t>
            </w:r>
          </w:p>
          <w:p>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spacing w:line="360" w:lineRule="auto"/>
              <w:rPr>
                <w:rFonts w:ascii="宋体" w:hAnsi="宋体" w:eastAsia="宋体" w:cs="宋体"/>
                <w:bCs/>
                <w:sz w:val="18"/>
                <w:szCs w:val="18"/>
              </w:rPr>
            </w:pPr>
            <w:r>
              <w:rPr>
                <w:rFonts w:hint="eastAsia" w:ascii="宋体" w:hAnsi="宋体" w:eastAsia="宋体" w:cs="宋体"/>
                <w:bCs/>
                <w:sz w:val="18"/>
                <w:szCs w:val="18"/>
              </w:rPr>
              <w:t xml:space="preserve">本产品属于【■ </w:t>
            </w:r>
            <w:r>
              <w:rPr>
                <w:rFonts w:ascii="宋体" w:hAnsi="宋体" w:eastAsia="宋体" w:cs="宋体"/>
                <w:bCs/>
                <w:sz w:val="18"/>
                <w:szCs w:val="18"/>
              </w:rPr>
              <w:t>R1、</w:t>
            </w:r>
            <w:r>
              <w:rPr>
                <w:rFonts w:hint="eastAsia" w:ascii="宋体" w:hAnsi="宋体" w:eastAsia="宋体" w:cs="宋体"/>
                <w:bCs/>
                <w:sz w:val="18"/>
                <w:szCs w:val="18"/>
              </w:rPr>
              <w:t>□</w:t>
            </w:r>
            <w:r>
              <w:rPr>
                <w:rFonts w:ascii="宋体" w:hAnsi="宋体" w:eastAsia="宋体" w:cs="宋体"/>
                <w:bCs/>
                <w:sz w:val="18"/>
                <w:szCs w:val="18"/>
              </w:rPr>
              <w:t xml:space="preserve"> R2、</w:t>
            </w:r>
            <w:r>
              <w:rPr>
                <w:rFonts w:hint="eastAsia" w:ascii="宋体" w:hAnsi="宋体" w:eastAsia="宋体" w:cs="宋体"/>
                <w:bCs/>
                <w:sz w:val="18"/>
                <w:szCs w:val="18"/>
              </w:rPr>
              <w:t>□</w:t>
            </w:r>
            <w:r>
              <w:rPr>
                <w:rFonts w:ascii="宋体" w:hAnsi="宋体" w:eastAsia="宋体" w:cs="宋体"/>
                <w:bCs/>
                <w:sz w:val="18"/>
                <w:szCs w:val="18"/>
              </w:rPr>
              <w:t xml:space="preserve"> R3、</w:t>
            </w:r>
            <w:r>
              <w:rPr>
                <w:rFonts w:hint="eastAsia" w:ascii="宋体" w:hAnsi="宋体" w:eastAsia="宋体" w:cs="宋体"/>
                <w:bCs/>
                <w:sz w:val="18"/>
                <w:szCs w:val="18"/>
              </w:rPr>
              <w:t>□</w:t>
            </w:r>
            <w:r>
              <w:rPr>
                <w:rFonts w:ascii="宋体" w:hAnsi="宋体" w:eastAsia="宋体" w:cs="宋体"/>
                <w:bCs/>
                <w:sz w:val="18"/>
                <w:szCs w:val="18"/>
              </w:rPr>
              <w:t xml:space="preserve"> R4、</w:t>
            </w:r>
            <w:r>
              <w:rPr>
                <w:rFonts w:hint="eastAsia" w:ascii="宋体" w:hAnsi="宋体" w:eastAsia="宋体" w:cs="宋体"/>
                <w:bCs/>
                <w:sz w:val="18"/>
                <w:szCs w:val="18"/>
              </w:rPr>
              <w:t>□</w:t>
            </w:r>
            <w:r>
              <w:rPr>
                <w:rFonts w:ascii="宋体" w:hAnsi="宋体" w:eastAsia="宋体" w:cs="宋体"/>
                <w:bCs/>
                <w:sz w:val="18"/>
                <w:szCs w:val="18"/>
              </w:rPr>
              <w:t xml:space="preserve"> R5】理财产品</w:t>
            </w:r>
            <w:r>
              <w:rPr>
                <w:rFonts w:hint="eastAsia" w:ascii="宋体" w:hAnsi="宋体" w:eastAsia="宋体" w:cs="宋体"/>
                <w:bCs/>
                <w:sz w:val="18"/>
                <w:szCs w:val="18"/>
              </w:rPr>
              <w:t>。</w:t>
            </w:r>
          </w:p>
          <w:p>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r>
              <w:rPr>
                <w:rFonts w:hint="eastAsia" w:ascii="Calibri" w:hAnsi="宋体" w:cs="宋体"/>
                <w:sz w:val="18"/>
                <w:szCs w:val="18"/>
              </w:rPr>
              <w:t>（适用【</w:t>
            </w:r>
            <w:r>
              <w:rPr>
                <w:rFonts w:hint="eastAsia" w:ascii="宋体" w:hAnsi="宋体" w:eastAsia="宋体" w:cs="宋体"/>
                <w:bCs/>
                <w:color w:val="000000"/>
                <w:sz w:val="18"/>
                <w:szCs w:val="18"/>
                <w:lang w:val="en-US" w:eastAsia="zh-CN"/>
              </w:rPr>
              <w:t>A/B/C/E/F】类</w:t>
            </w:r>
            <w:r>
              <w:rPr>
                <w:rFonts w:hint="eastAsia" w:ascii="Calibri" w:hAnsi="宋体" w:cs="宋体"/>
                <w:sz w:val="18"/>
                <w:szCs w:val="18"/>
              </w:rPr>
              <w:t>份额）</w:t>
            </w:r>
          </w:p>
          <w:p>
            <w:pPr>
              <w:spacing w:line="360" w:lineRule="auto"/>
              <w:rPr>
                <w:rFonts w:ascii="宋体" w:hAnsi="宋体" w:eastAsia="宋体" w:cs="宋体"/>
                <w:bCs/>
                <w:color w:val="000000"/>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个人投资者</w:t>
            </w:r>
          </w:p>
          <w:p>
            <w:pPr>
              <w:spacing w:line="360" w:lineRule="auto"/>
              <w:rPr>
                <w:rFonts w:ascii="宋体" w:hAnsi="宋体" w:eastAsia="宋体" w:cs="宋体"/>
                <w:bCs/>
                <w:sz w:val="18"/>
                <w:szCs w:val="18"/>
              </w:rPr>
            </w:pPr>
            <w:r>
              <w:rPr>
                <w:rFonts w:hint="eastAsia" w:ascii="宋体" w:hAnsi="宋体" w:eastAsia="宋体" w:cs="宋体"/>
                <w:bCs/>
                <w:sz w:val="18"/>
                <w:szCs w:val="18"/>
              </w:rPr>
              <w:t>■</w:t>
            </w: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 直销适用</w:t>
            </w:r>
          </w:p>
          <w:p>
            <w:pPr>
              <w:spacing w:line="360" w:lineRule="auto"/>
              <w:jc w:val="left"/>
              <w:rPr>
                <w:rFonts w:ascii="宋体" w:hAnsi="宋体" w:cs="宋体"/>
                <w:sz w:val="18"/>
                <w:szCs w:val="18"/>
              </w:rPr>
            </w:pPr>
            <w:r>
              <w:rPr>
                <w:rFonts w:hint="eastAsia" w:ascii="宋体" w:hAnsi="宋体" w:cs="宋体"/>
                <w:sz w:val="18"/>
                <w:szCs w:val="18"/>
              </w:rPr>
              <w:t>本产品由产品管理人销售。</w:t>
            </w:r>
          </w:p>
          <w:p>
            <w:pPr>
              <w:spacing w:line="360" w:lineRule="auto"/>
              <w:jc w:val="left"/>
              <w:rPr>
                <w:rFonts w:ascii="宋体" w:hAnsi="宋体" w:cs="宋体"/>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cs="宋体"/>
                <w:sz w:val="18"/>
                <w:szCs w:val="18"/>
              </w:rPr>
              <w:t>代销适用</w:t>
            </w:r>
          </w:p>
          <w:p>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color w:val="auto"/>
                <w:sz w:val="18"/>
                <w:szCs w:val="18"/>
                <w:lang w:val="en-US" w:eastAsia="zh-CN"/>
              </w:rPr>
              <w:t>5</w:t>
            </w:r>
            <w:r>
              <w:rPr>
                <w:rFonts w:hint="eastAsia" w:ascii="宋体" w:hAnsi="宋体" w:eastAsia="宋体" w:cs="宋体"/>
                <w:bCs/>
                <w:color w:val="auto"/>
                <w:sz w:val="18"/>
                <w:szCs w:val="18"/>
              </w:rPr>
              <w:t>】</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■有固定期限：【</w:t>
            </w:r>
            <w:r>
              <w:rPr>
                <w:rFonts w:hint="eastAsia" w:ascii="宋体" w:hAnsi="宋体" w:cs="Times New Roman"/>
                <w:color w:val="auto"/>
                <w:sz w:val="18"/>
                <w:szCs w:val="18"/>
                <w:lang w:val="en-US" w:eastAsia="zh-CN"/>
              </w:rPr>
              <w:t>435</w:t>
            </w:r>
            <w:r>
              <w:rPr>
                <w:rFonts w:hint="eastAsia" w:ascii="宋体" w:hAnsi="宋体" w:cs="Times New Roman"/>
                <w:sz w:val="18"/>
                <w:szCs w:val="18"/>
                <w:lang w:val="en-US" w:eastAsia="zh-CN"/>
              </w:rPr>
              <w:t>日】</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□无固定期限</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1.本产品认购期/募集期为：【2025】年【11】月</w:t>
            </w:r>
            <w:r>
              <w:rPr>
                <w:rFonts w:hint="eastAsia" w:ascii="宋体" w:hAnsi="宋体" w:cs="Times New Roman"/>
                <w:color w:val="auto"/>
                <w:sz w:val="18"/>
                <w:szCs w:val="18"/>
                <w:lang w:val="en-US" w:eastAsia="zh-CN"/>
              </w:rPr>
              <w:t>【26</w:t>
            </w:r>
            <w:r>
              <w:rPr>
                <w:rFonts w:hint="eastAsia" w:ascii="宋体" w:hAnsi="宋体" w:cs="Times New Roman"/>
                <w:sz w:val="18"/>
                <w:szCs w:val="18"/>
                <w:lang w:val="en-US" w:eastAsia="zh-CN"/>
              </w:rPr>
              <w:t>】日【9:00】至【2025】年【12】月【08】日【17:00】。</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2.投资者在认购期/募集期内认购本理财产品后，理财资金将在成立日开始进行投资。</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3.认购期/募集期内资金产生的利息不计入认购资金。</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注：关于代理销售机构的实际工作服务时段的提示</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1.本产品的计划成立日为：【2025】年【12】月【09</w:t>
            </w:r>
            <w:r>
              <w:rPr>
                <w:rFonts w:hint="eastAsia" w:ascii="宋体" w:hAnsi="宋体" w:cs="Times New Roman"/>
                <w:color w:val="auto"/>
                <w:sz w:val="18"/>
                <w:szCs w:val="18"/>
                <w:lang w:val="en-US" w:eastAsia="zh-CN"/>
              </w:rPr>
              <w:t>】</w:t>
            </w:r>
            <w:r>
              <w:rPr>
                <w:rFonts w:hint="eastAsia" w:ascii="宋体" w:hAnsi="宋体" w:cs="Times New Roman"/>
                <w:sz w:val="18"/>
                <w:szCs w:val="18"/>
                <w:lang w:val="en-US" w:eastAsia="zh-CN"/>
              </w:rPr>
              <w:t>日（遇节假日顺延）。</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2.产品管理人有权根据实际募集情况提前或延后产品成立日期，并相应调整其他产品要素，将依约定进行公告。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1.本产品的计划终止日为：【2027】年【02】月【17】日（遇节假日顺延）。</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每笔购买起点金额为【1.00】元；超出起点金额的部分以【0.01】元的整数倍递增。（适用【</w:t>
            </w:r>
            <w:r>
              <w:rPr>
                <w:rFonts w:hint="eastAsia" w:ascii="宋体" w:hAnsi="宋体" w:eastAsia="宋体" w:cs="宋体"/>
                <w:bCs/>
                <w:color w:val="000000"/>
                <w:sz w:val="18"/>
                <w:szCs w:val="18"/>
                <w:lang w:val="en-US" w:eastAsia="zh-CN"/>
              </w:rPr>
              <w:t>A/B/C/E/F</w:t>
            </w:r>
            <w:r>
              <w:rPr>
                <w:rFonts w:hint="eastAsia" w:ascii="宋体" w:hAnsi="宋体" w:cs="Times New Roman"/>
                <w:sz w:val="18"/>
                <w:szCs w:val="18"/>
                <w:lang w:val="en-US" w:eastAsia="zh-CN"/>
              </w:rPr>
              <w:t>】类份额）</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注：关于代理销售机构的实际销售起点金额的提示</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①本产品在代理销售机构的实际销售起点金额，因代理销售机构的不同可能存在差异（可能高于销售文件约定的销售起点金额），应当以代理销售机构展示为准。</w:t>
            </w:r>
          </w:p>
          <w:p>
            <w:pPr>
              <w:spacing w:line="360" w:lineRule="auto"/>
              <w:rPr>
                <w:rFonts w:hint="eastAsia" w:ascii="宋体" w:hAnsi="宋体" w:cs="Times New Roman"/>
                <w:sz w:val="18"/>
                <w:szCs w:val="18"/>
                <w:lang w:val="en-US" w:eastAsia="zh-CN"/>
              </w:rPr>
            </w:pPr>
            <w:r>
              <w:rPr>
                <w:rFonts w:hint="eastAsia" w:ascii="宋体" w:hAnsi="宋体" w:cs="Times New Roman"/>
                <w:sz w:val="18"/>
                <w:szCs w:val="18"/>
                <w:lang w:val="en-US" w:eastAsia="zh-CN"/>
              </w:rPr>
              <w:t>②代理销售机构的实际销售起点金额，不得低于销售文件约定的销售起点金额。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widowControl w:val="0"/>
              <w:autoSpaceDE w:val="0"/>
              <w:autoSpaceDN w:val="0"/>
              <w:adjustRightInd w:val="0"/>
              <w:spacing w:line="360" w:lineRule="auto"/>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（适用【A/B/C/E/F】类</w:t>
            </w:r>
            <w:r>
              <w:rPr>
                <w:rFonts w:ascii="宋体" w:hAnsi="宋体" w:eastAsia="宋体" w:cs="宋体"/>
                <w:bCs/>
                <w:color w:val="000000"/>
                <w:sz w:val="18"/>
                <w:szCs w:val="18"/>
                <w:lang w:val="en-US" w:eastAsia="zh-CN" w:bidi="ar-SA"/>
              </w:rPr>
              <w:t>份额</w:t>
            </w:r>
            <w:r>
              <w:rPr>
                <w:rFonts w:hint="eastAsia" w:ascii="宋体" w:hAnsi="宋体" w:eastAsia="宋体" w:cs="宋体"/>
                <w:bCs/>
                <w:color w:val="000000"/>
                <w:sz w:val="18"/>
                <w:szCs w:val="18"/>
                <w:lang w:val="en-US" w:eastAsia="zh-CN" w:bidi="ar-SA"/>
              </w:rPr>
              <w:t>）</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认购的数量限制</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（1）单一投资者认购上限为【/】。</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w:t>
            </w:r>
            <w:r>
              <w:rPr>
                <w:rFonts w:ascii="宋体" w:hAnsi="宋体" w:eastAsia="宋体" w:cs="宋体"/>
                <w:color w:val="auto"/>
                <w:sz w:val="18"/>
                <w:szCs w:val="18"/>
                <w:lang w:val="en-US" w:eastAsia="zh-CN" w:bidi="ar-SA"/>
              </w:rPr>
              <w:t>存续期间，</w:t>
            </w:r>
            <w:r>
              <w:rPr>
                <w:rFonts w:hint="eastAsia" w:ascii="宋体" w:hAnsi="宋体" w:eastAsia="宋体" w:cs="宋体"/>
                <w:color w:val="auto"/>
                <w:sz w:val="18"/>
                <w:szCs w:val="18"/>
                <w:lang w:val="en-US" w:eastAsia="zh-CN" w:bidi="ar-SA"/>
              </w:rPr>
              <w:t>单一投资者</w:t>
            </w:r>
            <w:r>
              <w:rPr>
                <w:rFonts w:ascii="宋体" w:hAnsi="宋体" w:eastAsia="宋体" w:cs="宋体"/>
                <w:color w:val="auto"/>
                <w:sz w:val="18"/>
                <w:szCs w:val="18"/>
                <w:lang w:val="en-US" w:eastAsia="zh-CN" w:bidi="ar-SA"/>
              </w:rPr>
              <w:t>最高</w:t>
            </w:r>
            <w:r>
              <w:rPr>
                <w:rFonts w:hint="eastAsia" w:ascii="宋体" w:hAnsi="宋体" w:eastAsia="宋体" w:cs="宋体"/>
                <w:color w:val="auto"/>
                <w:sz w:val="18"/>
                <w:szCs w:val="18"/>
                <w:lang w:val="en-US" w:eastAsia="zh-CN" w:bidi="ar-SA"/>
              </w:rPr>
              <w:t>持有</w:t>
            </w:r>
            <w:r>
              <w:rPr>
                <w:rFonts w:ascii="宋体" w:hAnsi="宋体" w:eastAsia="宋体" w:cs="宋体"/>
                <w:color w:val="auto"/>
                <w:sz w:val="18"/>
                <w:szCs w:val="18"/>
                <w:lang w:val="en-US" w:eastAsia="zh-CN" w:bidi="ar-SA"/>
              </w:rPr>
              <w:t>份额上限为</w:t>
            </w:r>
            <w:r>
              <w:rPr>
                <w:rFonts w:hint="eastAsia" w:ascii="宋体" w:hAnsi="宋体" w:eastAsia="宋体" w:cs="宋体"/>
                <w:color w:val="auto"/>
                <w:sz w:val="18"/>
                <w:szCs w:val="18"/>
                <w:lang w:val="en-US" w:eastAsia="zh-CN" w:bidi="ar-SA"/>
              </w:rPr>
              <w:t>【/】，符合产品管理人流动性管理的稳定资金除外。</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ascii="黑体" w:hAnsi="黑体" w:eastAsia="黑体" w:cs="宋体"/>
                <w:color w:val="000000"/>
                <w:sz w:val="18"/>
                <w:szCs w:val="18"/>
                <w:lang w:val="en-US" w:eastAsia="zh-CN" w:bidi="ar-SA"/>
              </w:rPr>
              <w:t>50%。</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spacing w:line="360" w:lineRule="auto"/>
              <w:rPr>
                <w:rFonts w:ascii="宋体" w:hAnsi="宋体" w:eastAsia="宋体" w:cs="宋体"/>
                <w:sz w:val="18"/>
                <w:szCs w:val="18"/>
              </w:rPr>
            </w:pPr>
            <w:r>
              <w:rPr>
                <w:rFonts w:hint="eastAsia" w:ascii="黑体" w:hAnsi="黑体" w:eastAsia="黑体" w:cs="宋体"/>
                <w:color w:val="000000"/>
                <w:sz w:val="18"/>
                <w:szCs w:val="18"/>
              </w:rPr>
              <w:t>（</w:t>
            </w:r>
            <w:r>
              <w:rPr>
                <w:rFonts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pPr>
              <w:spacing w:line="360" w:lineRule="auto"/>
              <w:jc w:val="left"/>
              <w:rPr>
                <w:rFonts w:ascii="宋体" w:hAnsi="宋体" w:cs="Times New Roman"/>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ascii="Calibri" w:hAnsi="宋体" w:cs="宋体"/>
                <w:sz w:val="18"/>
                <w:szCs w:val="18"/>
              </w:rPr>
            </w:pPr>
            <w:r>
              <w:rPr>
                <w:rFonts w:ascii="Calibri" w:hAnsi="宋体" w:cs="宋体"/>
                <w:sz w:val="18"/>
                <w:szCs w:val="18"/>
              </w:rPr>
              <w:t>1.业绩比较基准的设置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产品管理人设置业绩比较基准。</w:t>
            </w:r>
          </w:p>
          <w:p>
            <w:pPr>
              <w:autoSpaceDE w:val="0"/>
              <w:autoSpaceDN w:val="0"/>
              <w:adjustRightInd w:val="0"/>
              <w:spacing w:line="360" w:lineRule="auto"/>
              <w:jc w:val="left"/>
              <w:rPr>
                <w:rFonts w:ascii="宋体" w:hAnsi="宋体" w:eastAsia="宋体" w:cs="宋体"/>
                <w:bCs/>
                <w:sz w:val="18"/>
                <w:szCs w:val="18"/>
              </w:rPr>
            </w:pPr>
            <w:r>
              <w:rPr>
                <w:rFonts w:hint="eastAsia" w:ascii="宋体" w:hAnsi="宋体" w:cs="宋体"/>
                <w:bCs/>
                <w:sz w:val="18"/>
                <w:szCs w:val="18"/>
              </w:rPr>
              <w:t>（</w:t>
            </w:r>
            <w:r>
              <w:rPr>
                <w:rFonts w:ascii="宋体" w:hAnsi="宋体" w:cs="宋体"/>
                <w:bCs/>
                <w:sz w:val="18"/>
                <w:szCs w:val="18"/>
              </w:rPr>
              <w:t>1）业绩比较基准的说明：</w:t>
            </w:r>
            <w:r>
              <w:rPr>
                <w:rFonts w:hint="eastAsia" w:ascii="宋体" w:hAnsi="宋体" w:cs="宋体"/>
                <w:bCs/>
                <w:sz w:val="18"/>
                <w:szCs w:val="18"/>
              </w:rPr>
              <w:t>【产品投资债权类资产不低于80%，根据当前市场环境下大类资产合理配置比例及大类资产收益情况，考虑杠杆和费率等因素，并结合产品投资策略，设定业绩比较基准。</w:t>
            </w:r>
            <w:r>
              <w:rPr>
                <w:rFonts w:ascii="宋体" w:hAnsi="宋体" w:cs="宋体"/>
                <w:bCs/>
                <w:sz w:val="18"/>
                <w:szCs w:val="18"/>
              </w:rPr>
              <w:t>】</w:t>
            </w:r>
          </w:p>
          <w:p>
            <w:pPr>
              <w:spacing w:line="360" w:lineRule="auto"/>
              <w:jc w:val="left"/>
              <w:rPr>
                <w:rFonts w:hint="eastAsia" w:ascii="宋体" w:hAnsi="宋体" w:cs="宋体"/>
                <w:sz w:val="18"/>
                <w:szCs w:val="22"/>
              </w:rPr>
            </w:pPr>
            <w:r>
              <w:rPr>
                <w:rFonts w:hint="eastAsia" w:ascii="宋体" w:hAnsi="宋体" w:eastAsia="宋体" w:cs="宋体"/>
                <w:bCs/>
                <w:sz w:val="18"/>
                <w:szCs w:val="18"/>
              </w:rPr>
              <w:t>（</w:t>
            </w:r>
            <w:r>
              <w:rPr>
                <w:rFonts w:ascii="宋体" w:hAnsi="宋体" w:eastAsia="宋体" w:cs="宋体"/>
                <w:bCs/>
                <w:sz w:val="18"/>
                <w:szCs w:val="18"/>
              </w:rPr>
              <w:t>2）业绩比较基准的设定：</w:t>
            </w:r>
            <w:r>
              <w:rPr>
                <w:rFonts w:hint="eastAsia" w:ascii="宋体" w:hAnsi="宋体" w:cs="宋体"/>
                <w:sz w:val="18"/>
                <w:szCs w:val="22"/>
              </w:rPr>
              <w:t>管理人对</w:t>
            </w:r>
            <w:r>
              <w:rPr>
                <w:rFonts w:ascii="宋体" w:hAnsi="宋体" w:cs="宋体"/>
                <w:sz w:val="18"/>
                <w:szCs w:val="22"/>
              </w:rPr>
              <w:t>本产品设定</w:t>
            </w:r>
            <w:r>
              <w:rPr>
                <w:rFonts w:hint="eastAsia" w:ascii="宋体" w:hAnsi="宋体" w:cs="宋体"/>
                <w:sz w:val="18"/>
                <w:szCs w:val="22"/>
              </w:rPr>
              <w:t>业绩比较基准：</w:t>
            </w:r>
          </w:p>
          <w:p>
            <w:pPr>
              <w:autoSpaceDE w:val="0"/>
              <w:autoSpaceDN w:val="0"/>
              <w:adjustRightInd w:val="0"/>
              <w:spacing w:line="360" w:lineRule="auto"/>
              <w:jc w:val="left"/>
              <w:rPr>
                <w:rFonts w:hint="eastAsia" w:ascii="Calibri" w:hAnsi="宋体" w:cs="宋体"/>
                <w:color w:val="auto"/>
                <w:sz w:val="18"/>
                <w:szCs w:val="18"/>
              </w:rPr>
            </w:pPr>
            <w:r>
              <w:rPr>
                <w:rFonts w:hint="eastAsia" w:ascii="宋体" w:hAnsi="宋体" w:cs="宋体"/>
                <w:color w:val="auto"/>
                <w:sz w:val="18"/>
                <w:szCs w:val="22"/>
                <w:lang w:val="en-US" w:eastAsia="zh-CN"/>
              </w:rPr>
              <w:t>年化</w:t>
            </w:r>
            <w:r>
              <w:rPr>
                <w:rFonts w:hint="eastAsia" w:ascii="宋体" w:hAnsi="宋体" w:cs="宋体"/>
                <w:bCs/>
                <w:color w:val="auto"/>
                <w:sz w:val="18"/>
                <w:szCs w:val="18"/>
              </w:rPr>
              <w:t>【</w:t>
            </w:r>
            <w:r>
              <w:rPr>
                <w:rFonts w:hint="eastAsia" w:ascii="宋体" w:hAnsi="宋体" w:cs="宋体"/>
                <w:bCs/>
                <w:color w:val="auto"/>
                <w:sz w:val="18"/>
                <w:szCs w:val="18"/>
                <w:lang w:val="en-US" w:eastAsia="zh-CN"/>
              </w:rPr>
              <w:t>2.17%</w:t>
            </w:r>
            <w:r>
              <w:rPr>
                <w:rFonts w:ascii="宋体" w:hAnsi="宋体" w:cs="宋体"/>
                <w:bCs/>
                <w:color w:val="auto"/>
                <w:sz w:val="18"/>
                <w:szCs w:val="18"/>
              </w:rPr>
              <w:t>】</w:t>
            </w:r>
            <w:r>
              <w:rPr>
                <w:rFonts w:hint="eastAsia" w:ascii="Calibri" w:hAnsi="宋体" w:cs="宋体"/>
                <w:color w:val="auto"/>
                <w:sz w:val="18"/>
                <w:szCs w:val="18"/>
              </w:rPr>
              <w:t>（适用【</w:t>
            </w:r>
            <w:r>
              <w:rPr>
                <w:rFonts w:hint="eastAsia" w:ascii="Calibri" w:hAnsi="宋体" w:cs="宋体"/>
                <w:color w:val="auto"/>
                <w:sz w:val="18"/>
                <w:szCs w:val="18"/>
                <w:lang w:val="en-US" w:eastAsia="zh-CN"/>
              </w:rPr>
              <w:t>A】</w:t>
            </w:r>
            <w:r>
              <w:rPr>
                <w:rFonts w:hint="eastAsia" w:ascii="Calibri" w:hAnsi="宋体" w:cs="宋体"/>
                <w:color w:val="auto"/>
                <w:sz w:val="18"/>
                <w:szCs w:val="18"/>
              </w:rPr>
              <w:t>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w:t>
            </w:r>
            <w:r>
              <w:rPr>
                <w:rFonts w:hint="eastAsia" w:ascii="宋体" w:hAnsi="宋体" w:cs="宋体"/>
                <w:bCs/>
                <w:color w:val="auto"/>
                <w:sz w:val="18"/>
                <w:szCs w:val="18"/>
              </w:rPr>
              <w:t>【</w:t>
            </w:r>
            <w:r>
              <w:rPr>
                <w:rFonts w:hint="eastAsia" w:ascii="宋体" w:hAnsi="宋体" w:cs="宋体"/>
                <w:bCs/>
                <w:color w:val="auto"/>
                <w:sz w:val="18"/>
                <w:szCs w:val="18"/>
                <w:lang w:val="en-US" w:eastAsia="zh-CN"/>
              </w:rPr>
              <w:t>2.18%</w:t>
            </w:r>
            <w:r>
              <w:rPr>
                <w:rFonts w:ascii="宋体" w:hAnsi="宋体" w:cs="宋体"/>
                <w:bCs/>
                <w:color w:val="auto"/>
                <w:sz w:val="18"/>
                <w:szCs w:val="18"/>
              </w:rPr>
              <w:t>】</w:t>
            </w:r>
            <w:r>
              <w:rPr>
                <w:rFonts w:hint="eastAsia" w:ascii="宋体" w:hAnsi="宋体" w:cs="宋体"/>
                <w:color w:val="auto"/>
                <w:sz w:val="18"/>
                <w:szCs w:val="22"/>
                <w:lang w:val="en-US" w:eastAsia="zh-CN"/>
              </w:rPr>
              <w:t>（适用【B】类份额）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年化【2.13%】（适用【C】类份额）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年化【2.08%】（适用【E】类份额）</w:t>
            </w:r>
          </w:p>
          <w:p>
            <w:pPr>
              <w:autoSpaceDE w:val="0"/>
              <w:autoSpaceDN w:val="0"/>
              <w:adjustRightInd w:val="0"/>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年化【2.03%】（适用【F】类份额）</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产品管理人不设置业绩比较基准。</w:t>
            </w:r>
          </w:p>
          <w:p>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pPr>
              <w:spacing w:line="360" w:lineRule="auto"/>
              <w:jc w:val="left"/>
              <w:rPr>
                <w:rFonts w:ascii="宋体" w:hAnsi="宋体" w:cs="宋体"/>
                <w:b/>
                <w:sz w:val="18"/>
                <w:szCs w:val="22"/>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eastAsia="宋体" w:cs="宋体"/>
                <w:b/>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宋体" w:hAnsi="宋体" w:eastAsia="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pPr>
              <w:spacing w:line="360" w:lineRule="auto"/>
              <w:jc w:val="left"/>
              <w:rPr>
                <w:rFonts w:ascii="Calibri" w:hAnsi="宋体" w:cs="宋体"/>
                <w:bCs/>
                <w:sz w:val="18"/>
                <w:szCs w:val="18"/>
              </w:rPr>
            </w:pPr>
            <w:r>
              <w:rPr>
                <w:rFonts w:ascii="Calibri" w:hAnsi="宋体" w:cs="宋体"/>
                <w:bCs/>
                <w:sz w:val="18"/>
                <w:szCs w:val="18"/>
              </w:rPr>
              <w:t>1.业绩报酬计提基准的设置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eastAsia="宋体" w:cs="宋体"/>
                <w:kern w:val="0"/>
                <w:sz w:val="18"/>
                <w:szCs w:val="18"/>
              </w:rPr>
              <w:t>产品管理人设置业绩报酬计提基准。</w:t>
            </w:r>
          </w:p>
          <w:p>
            <w:pPr>
              <w:spacing w:line="360" w:lineRule="auto"/>
              <w:jc w:val="left"/>
              <w:rPr>
                <w:rFonts w:hint="eastAsia" w:ascii="宋体" w:hAnsi="宋体" w:cs="宋体"/>
                <w:bCs/>
                <w:sz w:val="18"/>
                <w:szCs w:val="18"/>
              </w:rPr>
            </w:pPr>
            <w:r>
              <w:rPr>
                <w:rFonts w:ascii="宋体" w:hAnsi="宋体" w:cs="宋体"/>
                <w:bCs/>
                <w:sz w:val="18"/>
                <w:szCs w:val="18"/>
              </w:rPr>
              <w:t>业绩报酬计提基准的设定</w:t>
            </w:r>
            <w:r>
              <w:rPr>
                <w:rFonts w:hint="eastAsia" w:ascii="宋体" w:hAnsi="宋体" w:cs="宋体"/>
                <w:bCs/>
                <w:sz w:val="18"/>
                <w:szCs w:val="18"/>
              </w:rPr>
              <w:t>：管理人</w:t>
            </w:r>
            <w:r>
              <w:rPr>
                <w:rFonts w:ascii="宋体" w:hAnsi="宋体" w:cs="宋体"/>
                <w:bCs/>
                <w:sz w:val="18"/>
                <w:szCs w:val="18"/>
              </w:rPr>
              <w:t>对本产品设定</w:t>
            </w:r>
            <w:r>
              <w:rPr>
                <w:rFonts w:hint="eastAsia" w:ascii="宋体" w:hAnsi="宋体" w:cs="宋体"/>
                <w:bCs/>
                <w:sz w:val="18"/>
                <w:szCs w:val="18"/>
              </w:rPr>
              <w:t>业绩报酬计提基准：</w:t>
            </w:r>
          </w:p>
          <w:p>
            <w:pPr>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年化【2.17%】（适用【A】类份额）</w:t>
            </w:r>
          </w:p>
          <w:p>
            <w:pPr>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年化【2.18%】（适用【B】类份额）</w:t>
            </w:r>
          </w:p>
          <w:p>
            <w:pPr>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年化【2.13%】（适用【C】类份额）</w:t>
            </w:r>
          </w:p>
          <w:p>
            <w:pPr>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年化【2.08%】（适用【E】类份额）</w:t>
            </w:r>
          </w:p>
          <w:p>
            <w:pPr>
              <w:spacing w:line="360" w:lineRule="auto"/>
              <w:jc w:val="left"/>
              <w:rPr>
                <w:rFonts w:hint="eastAsia" w:ascii="宋体" w:hAnsi="宋体" w:cs="宋体"/>
                <w:color w:val="auto"/>
                <w:sz w:val="18"/>
                <w:szCs w:val="22"/>
                <w:lang w:val="en-US" w:eastAsia="zh-CN"/>
              </w:rPr>
            </w:pPr>
            <w:r>
              <w:rPr>
                <w:rFonts w:hint="eastAsia" w:ascii="宋体" w:hAnsi="宋体" w:cs="宋体"/>
                <w:color w:val="auto"/>
                <w:sz w:val="18"/>
                <w:szCs w:val="22"/>
                <w:lang w:val="en-US" w:eastAsia="zh-CN"/>
              </w:rPr>
              <w:t>年化【2.03%】（适用【F】类份额）</w:t>
            </w:r>
          </w:p>
          <w:p>
            <w:pPr>
              <w:spacing w:line="360" w:lineRule="auto"/>
              <w:jc w:val="left"/>
              <w:rPr>
                <w:rFonts w:ascii="宋体" w:hAnsi="宋体" w:cs="宋体"/>
                <w:bCs/>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产品管理人不设置业绩报酬计提基准。</w:t>
            </w:r>
          </w:p>
          <w:p>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spacing w:line="360" w:lineRule="auto"/>
              <w:rPr>
                <w:rFonts w:ascii="黑体" w:hAnsi="黑体" w:eastAsia="黑体" w:cs="宋体"/>
                <w:bCs/>
                <w:color w:val="000000"/>
                <w:sz w:val="18"/>
                <w:szCs w:val="18"/>
              </w:rPr>
            </w:pPr>
            <w:r>
              <w:rPr>
                <w:rFonts w:ascii="黑体" w:hAnsi="黑体" w:eastAsia="黑体" w:cs="宋体"/>
                <w:bCs/>
                <w:color w:val="000000"/>
                <w:sz w:val="18"/>
                <w:szCs w:val="18"/>
              </w:rPr>
              <w:t>1.理财产品的费率标准</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1）认购费：</w:t>
            </w:r>
            <w:r>
              <w:rPr>
                <w:rFonts w:hint="eastAsia" w:ascii="黑体" w:hAnsi="黑体" w:eastAsia="黑体" w:cs="宋体"/>
                <w:bCs/>
                <w:color w:val="000000"/>
                <w:sz w:val="18"/>
                <w:szCs w:val="18"/>
              </w:rPr>
              <w:t>【</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pPr>
              <w:spacing w:line="360" w:lineRule="auto"/>
              <w:rPr>
                <w:rFonts w:hint="eastAsia"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2）销售服</w:t>
            </w:r>
            <w:r>
              <w:rPr>
                <w:rFonts w:hint="eastAsia" w:ascii="黑体" w:hAnsi="黑体" w:eastAsia="黑体" w:cs="宋体"/>
                <w:bCs/>
                <w:color w:val="000000"/>
                <w:sz w:val="18"/>
                <w:szCs w:val="18"/>
              </w:rPr>
              <w:t>务费：</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0.0</w:t>
            </w:r>
            <w:r>
              <w:rPr>
                <w:rFonts w:hint="eastAsia" w:ascii="黑体" w:hAnsi="黑体" w:eastAsia="黑体" w:cs="宋体"/>
                <w:sz w:val="18"/>
                <w:szCs w:val="18"/>
                <w:lang w:val="en-US" w:eastAsia="zh-CN"/>
              </w:rPr>
              <w:t>6%</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A</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w:t>
            </w:r>
            <w:r>
              <w:rPr>
                <w:rFonts w:hint="eastAsia" w:ascii="黑体" w:hAnsi="黑体" w:eastAsia="黑体" w:cs="宋体"/>
                <w:sz w:val="18"/>
                <w:szCs w:val="18"/>
                <w:lang w:val="en-US" w:eastAsia="zh-CN"/>
              </w:rPr>
              <w:t>05%</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B</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0.10</w:t>
            </w:r>
            <w:r>
              <w:rPr>
                <w:rFonts w:hint="eastAsia" w:ascii="黑体" w:hAnsi="黑体" w:eastAsia="黑体" w:cs="宋体"/>
                <w:sz w:val="18"/>
                <w:szCs w:val="18"/>
                <w:lang w:val="en-US" w:eastAsia="zh-CN"/>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C</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0.15</w:t>
            </w:r>
            <w:r>
              <w:rPr>
                <w:rFonts w:hint="eastAsia" w:ascii="黑体" w:hAnsi="黑体" w:eastAsia="黑体" w:cs="宋体"/>
                <w:sz w:val="18"/>
                <w:szCs w:val="18"/>
                <w:lang w:val="en-US" w:eastAsia="zh-CN"/>
              </w:rPr>
              <w:t>%</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E</w:t>
            </w:r>
            <w:r>
              <w:rPr>
                <w:rFonts w:hint="eastAsia" w:ascii="宋体" w:hAnsi="宋体" w:eastAsia="宋体" w:cs="宋体"/>
                <w:bCs/>
                <w:color w:val="auto"/>
                <w:sz w:val="18"/>
                <w:szCs w:val="18"/>
              </w:rPr>
              <w:t>】类份额）</w:t>
            </w:r>
          </w:p>
          <w:p>
            <w:pPr>
              <w:spacing w:line="360" w:lineRule="auto"/>
              <w:rPr>
                <w:rFonts w:hint="eastAsia" w:ascii="宋体" w:hAnsi="宋体" w:eastAsia="宋体" w:cs="宋体"/>
                <w:bCs/>
                <w:color w:val="auto"/>
                <w:sz w:val="18"/>
                <w:szCs w:val="18"/>
              </w:rPr>
            </w:pPr>
            <w:r>
              <w:rPr>
                <w:rFonts w:hint="eastAsia" w:ascii="黑体" w:hAnsi="黑体" w:eastAsia="黑体" w:cs="宋体"/>
                <w:bCs/>
                <w:color w:val="auto"/>
                <w:sz w:val="18"/>
                <w:szCs w:val="18"/>
              </w:rPr>
              <w:t>年化</w:t>
            </w:r>
            <w:r>
              <w:rPr>
                <w:rFonts w:ascii="黑体" w:hAnsi="黑体" w:eastAsia="黑体" w:cs="宋体"/>
                <w:bCs/>
                <w:color w:val="auto"/>
                <w:sz w:val="18"/>
                <w:szCs w:val="18"/>
              </w:rPr>
              <w:t>费率</w:t>
            </w:r>
            <w:r>
              <w:rPr>
                <w:rFonts w:hint="eastAsia" w:ascii="黑体" w:hAnsi="黑体" w:eastAsia="黑体" w:cs="宋体"/>
                <w:color w:val="auto"/>
                <w:sz w:val="18"/>
                <w:szCs w:val="18"/>
              </w:rPr>
              <w:t>【</w:t>
            </w:r>
            <w:r>
              <w:rPr>
                <w:rFonts w:hint="eastAsia" w:ascii="黑体" w:hAnsi="黑体" w:eastAsia="黑体" w:cs="宋体"/>
                <w:color w:val="auto"/>
                <w:sz w:val="18"/>
                <w:szCs w:val="18"/>
                <w:lang w:val="en-US" w:eastAsia="zh-CN"/>
              </w:rPr>
              <w:t>0.20</w:t>
            </w:r>
            <w:r>
              <w:rPr>
                <w:rFonts w:hint="eastAsia" w:ascii="黑体" w:hAnsi="黑体" w:eastAsia="黑体" w:cs="宋体"/>
                <w:sz w:val="18"/>
                <w:szCs w:val="18"/>
                <w:lang w:val="en-US" w:eastAsia="zh-CN"/>
              </w:rPr>
              <w:t>%</w:t>
            </w:r>
            <w:r>
              <w:rPr>
                <w:rFonts w:hint="eastAsia" w:ascii="黑体" w:hAnsi="黑体" w:eastAsia="黑体" w:cs="宋体"/>
                <w:color w:val="auto"/>
                <w:sz w:val="18"/>
                <w:szCs w:val="18"/>
              </w:rPr>
              <w:t>】</w:t>
            </w:r>
            <w:r>
              <w:rPr>
                <w:rFonts w:hint="eastAsia" w:ascii="宋体" w:hAnsi="宋体" w:eastAsia="宋体" w:cs="宋体"/>
                <w:bCs/>
                <w:color w:val="auto"/>
                <w:sz w:val="18"/>
                <w:szCs w:val="18"/>
              </w:rPr>
              <w:t>（适用【</w:t>
            </w:r>
            <w:r>
              <w:rPr>
                <w:rFonts w:hint="eastAsia" w:ascii="宋体" w:hAnsi="宋体" w:eastAsia="宋体" w:cs="宋体"/>
                <w:bCs/>
                <w:color w:val="auto"/>
                <w:sz w:val="18"/>
                <w:szCs w:val="18"/>
                <w:lang w:val="en-US" w:eastAsia="zh-CN"/>
              </w:rPr>
              <w:t>F</w:t>
            </w:r>
            <w:r>
              <w:rPr>
                <w:rFonts w:hint="eastAsia" w:ascii="宋体" w:hAnsi="宋体" w:eastAsia="宋体" w:cs="宋体"/>
                <w:bCs/>
                <w:color w:val="auto"/>
                <w:sz w:val="18"/>
                <w:szCs w:val="18"/>
              </w:rPr>
              <w:t>】类份额）</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3）投资管理费：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sz w:val="18"/>
                <w:szCs w:val="18"/>
                <w:lang w:val="en-US" w:eastAsia="zh-CN"/>
              </w:rPr>
              <w:t>0.01%</w:t>
            </w:r>
            <w:r>
              <w:rPr>
                <w:rFonts w:ascii="黑体" w:hAnsi="黑体" w:eastAsia="黑体" w:cs="宋体"/>
                <w:sz w:val="18"/>
                <w:szCs w:val="18"/>
              </w:rPr>
              <w:t>】</w:t>
            </w:r>
            <w:r>
              <w:rPr>
                <w:rFonts w:hint="eastAsia" w:ascii="黑体" w:hAnsi="黑体" w:eastAsia="黑体" w:cs="宋体"/>
                <w:bCs/>
                <w:color w:val="000000"/>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4）产品托管费：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sz w:val="18"/>
                <w:szCs w:val="18"/>
                <w:lang w:val="en-US" w:eastAsia="zh-CN"/>
              </w:rPr>
              <w:t>0.01%</w:t>
            </w:r>
            <w:r>
              <w:rPr>
                <w:rFonts w:ascii="黑体" w:hAnsi="黑体" w:eastAsia="黑体" w:cs="宋体"/>
                <w:sz w:val="18"/>
                <w:szCs w:val="18"/>
              </w:rPr>
              <w:t>】</w:t>
            </w:r>
            <w:r>
              <w:rPr>
                <w:rFonts w:hint="eastAsia" w:ascii="黑体" w:hAnsi="黑体" w:eastAsia="黑体" w:cs="宋体"/>
                <w:bCs/>
                <w:color w:val="000000"/>
                <w:sz w:val="18"/>
                <w:szCs w:val="18"/>
              </w:rPr>
              <w:t>。</w:t>
            </w:r>
          </w:p>
          <w:p>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5）超额业绩报酬：</w:t>
            </w:r>
          </w:p>
          <w:p>
            <w:pPr>
              <w:widowControl/>
              <w:spacing w:line="360" w:lineRule="auto"/>
              <w:jc w:val="left"/>
              <w:rPr>
                <w:rFonts w:ascii="宋体" w:hAnsi="宋体" w:cs="宋体"/>
                <w:sz w:val="18"/>
                <w:szCs w:val="18"/>
              </w:rPr>
            </w:pPr>
            <w:r>
              <w:rPr>
                <w:rFonts w:hint="eastAsia" w:ascii="宋体" w:hAnsi="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w:t>
            </w:r>
            <w:r>
              <w:rPr>
                <w:rFonts w:hint="eastAsia" w:ascii="宋体" w:hAnsi="宋体" w:cs="宋体"/>
                <w:sz w:val="18"/>
                <w:szCs w:val="18"/>
                <w:lang w:val="en-US" w:eastAsia="zh-CN"/>
              </w:rPr>
              <w:t>50%</w:t>
            </w:r>
            <w:r>
              <w:rPr>
                <w:rFonts w:hint="eastAsia" w:ascii="宋体" w:hAnsi="宋体" w:cs="宋体"/>
                <w:sz w:val="18"/>
                <w:szCs w:val="18"/>
              </w:rPr>
              <w:t>】作为超额业绩报酬。</w:t>
            </w:r>
          </w:p>
          <w:p>
            <w:pPr>
              <w:spacing w:line="360" w:lineRule="auto"/>
              <w:rPr>
                <w:rFonts w:ascii="黑体" w:hAnsi="黑体" w:eastAsia="黑体" w:cs="宋体"/>
                <w:bCs/>
                <w:sz w:val="18"/>
                <w:szCs w:val="18"/>
              </w:rPr>
            </w:pPr>
            <w:r>
              <w:rPr>
                <w:rFonts w:ascii="宋体" w:hAnsi="宋体" w:cs="宋体"/>
                <w:bCs/>
                <w:sz w:val="18"/>
                <w:szCs w:val="18"/>
              </w:rPr>
              <w:t>2</w:t>
            </w:r>
            <w:r>
              <w:rPr>
                <w:rFonts w:hint="eastAsia" w:ascii="宋体" w:hAnsi="宋体" w:eastAsia="宋体" w:cs="宋体"/>
                <w:bCs/>
                <w:sz w:val="18"/>
                <w:szCs w:val="18"/>
              </w:rPr>
              <w:t>.</w:t>
            </w:r>
            <w:r>
              <w:rPr>
                <w:rFonts w:hint="eastAsia" w:ascii="黑体" w:hAnsi="黑体" w:eastAsia="黑体" w:cs="宋体"/>
                <w:bCs/>
                <w:sz w:val="18"/>
                <w:szCs w:val="18"/>
              </w:rPr>
              <w:t>产品管理人</w:t>
            </w:r>
            <w:r>
              <w:rPr>
                <w:rFonts w:ascii="黑体" w:hAnsi="黑体" w:eastAsia="黑体" w:cs="宋体"/>
                <w:bCs/>
                <w:sz w:val="18"/>
                <w:szCs w:val="18"/>
              </w:rPr>
              <w:t>保留变更</w:t>
            </w:r>
            <w:r>
              <w:rPr>
                <w:rFonts w:hint="eastAsia" w:ascii="黑体" w:hAnsi="黑体" w:eastAsia="黑体" w:cs="宋体"/>
                <w:bCs/>
                <w:sz w:val="18"/>
                <w:szCs w:val="18"/>
              </w:rPr>
              <w:t>上述</w:t>
            </w:r>
            <w:r>
              <w:rPr>
                <w:rFonts w:ascii="黑体" w:hAnsi="黑体" w:eastAsia="黑体" w:cs="宋体"/>
                <w:bCs/>
                <w:sz w:val="18"/>
                <w:szCs w:val="18"/>
              </w:rPr>
              <w:t>理财产品</w:t>
            </w:r>
            <w:r>
              <w:rPr>
                <w:rFonts w:hint="eastAsia" w:ascii="黑体" w:hAnsi="黑体" w:eastAsia="黑体" w:cs="宋体"/>
                <w:bCs/>
                <w:sz w:val="18"/>
                <w:szCs w:val="18"/>
              </w:rPr>
              <w:t>收取</w:t>
            </w:r>
            <w:r>
              <w:rPr>
                <w:rFonts w:ascii="黑体" w:hAnsi="黑体" w:eastAsia="黑体" w:cs="宋体"/>
                <w:bCs/>
                <w:sz w:val="18"/>
                <w:szCs w:val="18"/>
              </w:rPr>
              <w:t>费率</w:t>
            </w:r>
            <w:r>
              <w:rPr>
                <w:rFonts w:hint="eastAsia" w:ascii="黑体" w:hAnsi="黑体" w:eastAsia="黑体" w:cs="宋体"/>
                <w:bCs/>
                <w:sz w:val="18"/>
                <w:szCs w:val="18"/>
              </w:rPr>
              <w:t>标准</w:t>
            </w:r>
            <w:r>
              <w:rPr>
                <w:rFonts w:ascii="黑体" w:hAnsi="黑体" w:eastAsia="黑体" w:cs="宋体"/>
                <w:bCs/>
                <w:sz w:val="18"/>
                <w:szCs w:val="18"/>
              </w:rPr>
              <w:t>的权利</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投资者认购资金在产品认购期内产生的利息不作为理财资金进入运作，不计算理财利益。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6714"/>
      <w:bookmarkStart w:id="78" w:name="_Toc22074"/>
      <w:bookmarkStart w:id="79" w:name="_Toc90742321"/>
      <w:bookmarkStart w:id="80" w:name="_Toc74065741"/>
      <w:bookmarkStart w:id="81" w:name="_Toc27189"/>
      <w:bookmarkStart w:id="82" w:name="_Toc27226"/>
      <w:bookmarkStart w:id="83" w:name="_Toc90742688"/>
      <w:bookmarkStart w:id="84" w:name="_Toc3266"/>
      <w:bookmarkStart w:id="85" w:name="_Toc16265"/>
      <w:bookmarkStart w:id="86" w:name="_Toc7151"/>
      <w:bookmarkStart w:id="87" w:name="_Toc29784"/>
      <w:bookmarkStart w:id="88" w:name="_Toc90742390"/>
      <w:bookmarkStart w:id="89" w:name="_Toc79154668"/>
      <w:bookmarkStart w:id="90" w:name="_Toc29948"/>
      <w:bookmarkStart w:id="91" w:name="_Toc1520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（1）银行存款、债券逆回购、货币基金等货币市场工具及其它银行间和交易所资金融通工具；</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（3）符合监管要求的债权类资产。</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000000"/>
          <w:sz w:val="18"/>
          <w:szCs w:val="18"/>
          <w:lang w:val="en-US" w:eastAsia="zh-CN" w:bidi="ar-SA"/>
        </w:rPr>
        <w:t>（4）</w:t>
      </w:r>
      <w:r>
        <w:rPr>
          <w:rFonts w:hint="eastAsia" w:ascii="宋体" w:hAnsi="宋体" w:eastAsia="宋体" w:cs="宋体"/>
          <w:bCs/>
          <w:color w:val="auto"/>
          <w:sz w:val="18"/>
          <w:szCs w:val="18"/>
          <w:lang w:val="en-US" w:eastAsia="zh-CN" w:bidi="ar-SA"/>
        </w:rPr>
        <w:t>投资于上述资产的资产管理产品，包括资金信托，证券公司、证券公司子公司、基金管理公</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司、基金管理子公司、期货公司、期货公司子公司、保险资产管理机构、金融资产投资公司发行的</w:t>
      </w:r>
    </w:p>
    <w:p>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【（1）本产品投资于债权类资产的比例不低于产品总资产的80%。</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w:t>
      </w:r>
      <w:r>
        <w:rPr>
          <w:rFonts w:hint="eastAsia" w:ascii="宋体" w:hAnsi="宋体" w:eastAsia="宋体" w:cs="宋体"/>
          <w:bCs/>
          <w:sz w:val="18"/>
          <w:szCs w:val="18"/>
        </w:rPr>
        <w:t>符合监管要求的非标准化债权类资产占产品净资产比例不高于50%</w:t>
      </w:r>
      <w:r>
        <w:rPr>
          <w:rFonts w:hint="eastAsia" w:ascii="宋体" w:hAnsi="宋体" w:eastAsia="宋体" w:cs="宋体"/>
          <w:bCs/>
          <w:kern w:val="0"/>
          <w:sz w:val="18"/>
          <w:szCs w:val="18"/>
        </w:rPr>
        <w:t>。</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hint="eastAsia"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eastAsia="zh-CN"/>
        </w:rPr>
      </w:pPr>
      <w:r>
        <w:rPr>
          <w:rFonts w:hint="eastAsia" w:ascii="宋体" w:hAnsi="宋体" w:eastAsia="宋体" w:cs="宋体"/>
          <w:bCs/>
          <w:sz w:val="18"/>
          <w:szCs w:val="18"/>
          <w:lang w:eastAsia="zh-CN"/>
        </w:rPr>
        <w:t>（</w:t>
      </w:r>
      <w:r>
        <w:rPr>
          <w:rFonts w:hint="eastAsia" w:ascii="宋体" w:hAnsi="宋体" w:eastAsia="宋体" w:cs="宋体"/>
          <w:bCs/>
          <w:sz w:val="18"/>
          <w:szCs w:val="18"/>
          <w:lang w:val="en-US" w:eastAsia="zh-CN"/>
        </w:rPr>
        <w:t>6</w:t>
      </w:r>
      <w:r>
        <w:rPr>
          <w:rFonts w:hint="eastAsia" w:ascii="宋体" w:hAnsi="宋体" w:eastAsia="宋体" w:cs="宋体"/>
          <w:bCs/>
          <w:sz w:val="18"/>
          <w:szCs w:val="18"/>
          <w:lang w:eastAsia="zh-CN"/>
        </w:rPr>
        <w:t>）本产品投资于信用债券、银行存款、非标准化债权类资产融资人的信用评级均不得低于AA+。</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【产品采取绝对收益策略，追求资产长期稳定增值。】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8797"/>
      <w:bookmarkStart w:id="94" w:name="_Toc14893"/>
      <w:bookmarkStart w:id="95" w:name="_Toc7848"/>
      <w:bookmarkStart w:id="96" w:name="_Toc4741"/>
      <w:bookmarkStart w:id="97" w:name="_Toc18526"/>
      <w:bookmarkStart w:id="98" w:name="_Toc17912"/>
      <w:bookmarkStart w:id="99" w:name="_Toc139991735"/>
      <w:bookmarkStart w:id="100" w:name="_Toc21988"/>
      <w:bookmarkStart w:id="101" w:name="_Toc176189758"/>
      <w:bookmarkStart w:id="102" w:name="_Toc79154669"/>
      <w:bookmarkStart w:id="103" w:name="_Toc26986"/>
      <w:bookmarkStart w:id="104" w:name="_Toc74065742"/>
      <w:bookmarkStart w:id="105" w:name="_Toc141703885"/>
      <w:bookmarkStart w:id="106" w:name="_Toc1823"/>
      <w:bookmarkStart w:id="107" w:name="_Toc18329"/>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23102453"/>
      <w:bookmarkStart w:id="110" w:name="_Toc610"/>
      <w:bookmarkStart w:id="111" w:name="_Toc7920"/>
      <w:bookmarkStart w:id="112" w:name="_Toc23822"/>
      <w:bookmarkStart w:id="113" w:name="_Toc141703886"/>
      <w:bookmarkStart w:id="114" w:name="_Toc123051452"/>
      <w:bookmarkStart w:id="115" w:name="_Toc79154670"/>
      <w:bookmarkStart w:id="116" w:name="_Toc20733"/>
      <w:bookmarkStart w:id="117" w:name="_Toc74065743"/>
      <w:bookmarkStart w:id="118" w:name="_Toc79392606"/>
      <w:bookmarkStart w:id="119" w:name="_Toc23261"/>
      <w:bookmarkStart w:id="120" w:name="_Toc139991736"/>
      <w:bookmarkStart w:id="121" w:name="_Toc48649707"/>
      <w:bookmarkStart w:id="122" w:name="_Toc4003"/>
      <w:bookmarkStart w:id="123" w:name="_Toc10463"/>
      <w:bookmarkStart w:id="124" w:name="_Toc176189759"/>
      <w:bookmarkStart w:id="125" w:name="_Toc98560352"/>
      <w:bookmarkStart w:id="126" w:name="_Toc1270"/>
      <w:bookmarkStart w:id="127" w:name="_Toc123112234"/>
      <w:bookmarkStart w:id="128" w:name="_Toc1427"/>
      <w:bookmarkStart w:id="129" w:name="_Toc17244"/>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1.产品份额净值是按照估值日产品资产净值除以当日产品总份额计算，四舍五入保留5位小数。国家另有规定的，从其规定。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123051453"/>
      <w:bookmarkStart w:id="132" w:name="_Toc74065744"/>
      <w:bookmarkStart w:id="133" w:name="_Toc15143"/>
      <w:bookmarkStart w:id="134" w:name="_Toc26207"/>
      <w:bookmarkStart w:id="135" w:name="_Toc31235"/>
      <w:bookmarkStart w:id="136" w:name="_Toc12245"/>
      <w:bookmarkStart w:id="137" w:name="_Toc141703887"/>
      <w:bookmarkStart w:id="138" w:name="_Toc123112235"/>
      <w:bookmarkStart w:id="139" w:name="_Toc14835"/>
      <w:bookmarkStart w:id="140" w:name="_Toc139991737"/>
      <w:bookmarkStart w:id="141" w:name="_Toc123102454"/>
      <w:bookmarkStart w:id="142" w:name="_Toc3601"/>
      <w:bookmarkStart w:id="143" w:name="_Toc31644"/>
      <w:bookmarkStart w:id="144" w:name="_Toc176189760"/>
      <w:bookmarkStart w:id="145" w:name="_Toc79154671"/>
      <w:bookmarkStart w:id="146" w:name="_Toc6405"/>
      <w:bookmarkStart w:id="147" w:name="_Toc31653"/>
      <w:bookmarkStart w:id="148" w:name="_Toc29251"/>
      <w:bookmarkStart w:id="149" w:name="_Toc9856035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23711668"/>
      <w:bookmarkStart w:id="153" w:name="_Toc15118234"/>
      <w:bookmarkStart w:id="154" w:name="_Toc57530239"/>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74065745"/>
      <w:bookmarkStart w:id="158" w:name="_Toc6447"/>
      <w:bookmarkStart w:id="159" w:name="_Toc123051454"/>
      <w:bookmarkStart w:id="160" w:name="_Toc79154672"/>
      <w:bookmarkStart w:id="161" w:name="_Toc3771"/>
      <w:bookmarkStart w:id="162" w:name="_Toc123102455"/>
      <w:bookmarkStart w:id="163" w:name="_Toc9706"/>
      <w:bookmarkStart w:id="164" w:name="_Toc176189761"/>
      <w:bookmarkStart w:id="165" w:name="_Toc79392583"/>
      <w:bookmarkStart w:id="166" w:name="_Toc7058"/>
      <w:bookmarkStart w:id="167" w:name="_Toc123112236"/>
      <w:bookmarkStart w:id="168" w:name="_Toc18567"/>
      <w:bookmarkStart w:id="169" w:name="_Toc10650"/>
      <w:bookmarkStart w:id="170" w:name="_Toc139991738"/>
      <w:bookmarkStart w:id="171" w:name="_Toc4559"/>
      <w:bookmarkStart w:id="172" w:name="_Toc98560354"/>
      <w:bookmarkStart w:id="173" w:name="_Toc11030"/>
      <w:bookmarkStart w:id="174" w:name="_Toc3321"/>
      <w:bookmarkStart w:id="175" w:name="_Toc25783"/>
      <w:bookmarkStart w:id="176" w:name="_Toc141703888"/>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（一）理财产品的费用</w:t>
      </w:r>
    </w:p>
    <w:p>
      <w:pPr>
        <w:widowControl/>
        <w:spacing w:line="360" w:lineRule="auto"/>
        <w:ind w:firstLine="360" w:firstLineChars="200"/>
        <w:jc w:val="left"/>
        <w:rPr>
          <w:rFonts w:ascii="Calibri" w:hAnsi="宋体" w:cs="宋体"/>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理财产品费用的种类</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1）理财产品的认购费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2）理财产品的销售服务费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3）理财产品的投资管理费及超额业绩报酬；</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）理财产品的产品托管费；</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）理财产品的交易费用（包括但不限于证券交易费用、经纪费用等）；</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）理财产品验资费、审计费、律师费、信息披露费、清算费、执行费用等相关费用；</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7</w:t>
      </w:r>
      <w:r>
        <w:rPr>
          <w:rFonts w:hint="eastAsia" w:ascii="宋体" w:hAnsi="宋体" w:cs="宋体"/>
          <w:kern w:val="0"/>
          <w:sz w:val="18"/>
          <w:szCs w:val="18"/>
        </w:rPr>
        <w:t>）按照国家法律法规规定可以列入的其他费用。</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w:t>
      </w:r>
      <w:r>
        <w:rPr>
          <w:rFonts w:hint="eastAsia" w:ascii="宋体" w:hAnsi="宋体" w:cs="宋体"/>
          <w:kern w:val="0"/>
          <w:sz w:val="18"/>
          <w:szCs w:val="18"/>
        </w:rPr>
        <w:t>理财产品费用计提方法、计提标准和支付方式</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）理财产品的认购费</w:t>
      </w:r>
    </w:p>
    <w:p>
      <w:pPr>
        <w:widowControl/>
        <w:spacing w:line="360" w:lineRule="auto"/>
        <w:ind w:firstLine="360" w:firstLineChars="200"/>
        <w:jc w:val="left"/>
        <w:rPr>
          <w:rFonts w:ascii="宋体" w:hAnsi="宋体" w:cs="宋体"/>
          <w:sz w:val="18"/>
          <w:szCs w:val="18"/>
        </w:rPr>
      </w:pP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ascii="宋体" w:hAnsi="宋体" w:cs="宋体"/>
          <w:kern w:val="0"/>
          <w:sz w:val="18"/>
          <w:szCs w:val="18"/>
        </w:rPr>
        <w:t>。</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本产品的销售服务费于产品成立日一次性计提，每日摊销。销售服务费的计算方法如下：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H＝E×销售服务费年费率×产品期限总天数÷365</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H为应计提的产品销售服务费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E为产品成立日的产品总份额</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销售服务费依照上述约定，从理财财产中支付。费率具体数值以《产品说明书》“第二条 理财产品基本情况”为准。</w:t>
      </w:r>
    </w:p>
    <w:p>
      <w:pPr>
        <w:widowControl w:val="0"/>
        <w:autoSpaceDE w:val="0"/>
        <w:autoSpaceDN w:val="0"/>
        <w:adjustRightInd w:val="0"/>
        <w:spacing w:line="360" w:lineRule="auto"/>
        <w:ind w:firstLine="361" w:firstLineChars="200"/>
        <w:rPr>
          <w:rFonts w:ascii="宋体" w:hAnsi="宋体" w:eastAsia="宋体" w:cs="宋体"/>
          <w:color w:val="auto"/>
          <w:kern w:val="2"/>
          <w:sz w:val="18"/>
          <w:szCs w:val="18"/>
          <w:lang w:val="en-US" w:eastAsia="zh-CN" w:bidi="ar-SA"/>
        </w:rPr>
      </w:pPr>
      <w:r>
        <w:rPr>
          <w:rFonts w:hint="eastAsia" w:ascii="黑体" w:hAnsi="黑体" w:eastAsia="黑体" w:cs="宋体"/>
          <w:b/>
          <w:bCs/>
          <w:color w:val="000000"/>
          <w:sz w:val="18"/>
          <w:szCs w:val="18"/>
          <w:lang w:val="en-US" w:eastAsia="zh-CN" w:bidi="ar-SA"/>
        </w:rPr>
        <w:t>注：如本产品发生提前终止或提前退出，则产品管理人根据实际产品期限天数/实际份额计算销售服务费，多收取的销售服务费退还至理财产品资产。</w:t>
      </w:r>
    </w:p>
    <w:p>
      <w:pPr>
        <w:widowControl w:val="0"/>
        <w:autoSpaceDE w:val="0"/>
        <w:autoSpaceDN w:val="0"/>
        <w:adjustRightInd w:val="0"/>
        <w:spacing w:line="360" w:lineRule="auto"/>
        <w:ind w:firstLine="360" w:firstLineChars="200"/>
        <w:rPr>
          <w:rFonts w:ascii="宋体" w:hAnsi="宋体" w:eastAsia="宋体" w:cs="宋体"/>
          <w:color w:val="auto"/>
          <w:kern w:val="2"/>
          <w:sz w:val="18"/>
          <w:szCs w:val="18"/>
          <w:lang w:val="en-US" w:eastAsia="zh-CN" w:bidi="ar-SA"/>
        </w:rPr>
      </w:pP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理财产品</w:t>
      </w:r>
      <w:r>
        <w:rPr>
          <w:rFonts w:ascii="宋体" w:hAnsi="宋体" w:cs="宋体"/>
          <w:kern w:val="0"/>
          <w:sz w:val="18"/>
          <w:szCs w:val="18"/>
        </w:rPr>
        <w:t>的投资管理费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本产品的投资管理费按前一日理财资产净值与投资管理费每日费率每日计提。</w:t>
      </w:r>
      <w:r>
        <w:rPr>
          <w:rFonts w:hint="eastAsia" w:ascii="宋体" w:hAnsi="宋体" w:cs="宋体"/>
          <w:kern w:val="0"/>
          <w:sz w:val="18"/>
          <w:szCs w:val="18"/>
        </w:rPr>
        <w:t>投资管理费的计算方法如下：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投资管理费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投资管理费</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投资管理费依照上述约定，从理财财产中支付。</w:t>
      </w:r>
      <w:r>
        <w:rPr>
          <w:rFonts w:hint="eastAsia" w:ascii="宋体" w:hAnsi="宋体" w:eastAsia="宋体" w:cs="宋体"/>
          <w:sz w:val="18"/>
          <w:szCs w:val="18"/>
        </w:rPr>
        <w:t>费率具体数值以《产品说明书》“第二条 理财产品基本情况”为准</w:t>
      </w:r>
      <w:r>
        <w:rPr>
          <w:rFonts w:hint="eastAsia" w:ascii="宋体" w:hAnsi="宋体" w:cs="宋体"/>
          <w:kern w:val="0"/>
          <w:sz w:val="18"/>
          <w:szCs w:val="18"/>
        </w:rPr>
        <w:t>。</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（4）超额业绩报酬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w:t>
      </w:r>
      <w:r>
        <w:rPr>
          <w:rFonts w:hint="eastAsia" w:ascii="黑体" w:hAnsi="黑体" w:eastAsia="黑体" w:cs="宋体"/>
          <w:sz w:val="18"/>
          <w:szCs w:val="18"/>
        </w:rPr>
        <w:t>★</w:t>
      </w:r>
      <w:r>
        <w:rPr>
          <w:rFonts w:hint="eastAsia" w:ascii="宋体" w:hAnsi="宋体" w:eastAsia="宋体" w:cs="宋体"/>
          <w:sz w:val="18"/>
          <w:szCs w:val="18"/>
        </w:rPr>
        <w:t>由此造成超额业绩报酬计提日产品份额净值调整的，以调整后的数值为准进行利益分配。</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业绩报酬计提基准的设置、超额业绩报酬的具体比例数值以《</w:t>
      </w:r>
      <w:r>
        <w:rPr>
          <w:rFonts w:hint="eastAsia" w:ascii="宋体" w:hAnsi="宋体" w:eastAsia="宋体" w:cs="宋体"/>
          <w:bCs/>
          <w:sz w:val="18"/>
          <w:szCs w:val="18"/>
        </w:rPr>
        <w:t>产品说明</w:t>
      </w:r>
      <w:r>
        <w:rPr>
          <w:rFonts w:hint="eastAsia" w:ascii="宋体" w:hAnsi="宋体" w:eastAsia="宋体" w:cs="宋体"/>
          <w:sz w:val="18"/>
          <w:szCs w:val="18"/>
        </w:rPr>
        <w:t>书》“第二条 理财产品基本情况”为准。</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1）收取超额业绩报酬的原则：</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①按投资者每</w:t>
      </w:r>
      <w:r>
        <w:rPr>
          <w:rFonts w:ascii="宋体" w:hAnsi="宋体" w:eastAsia="宋体" w:cs="宋体"/>
          <w:sz w:val="18"/>
          <w:szCs w:val="18"/>
        </w:rPr>
        <w:t>份</w:t>
      </w:r>
      <w:r>
        <w:rPr>
          <w:rFonts w:hint="eastAsia" w:ascii="宋体" w:hAnsi="宋体" w:eastAsia="宋体" w:cs="宋体"/>
          <w:sz w:val="18"/>
          <w:szCs w:val="18"/>
        </w:rPr>
        <w:t>产品份额分别计算年化收益率并计提超额业绩报酬；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③在产品终止日提取超额业绩报酬的，超额业绩报酬从清算资金中扣除；</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2）超额业绩报酬计提方法</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w:t>
      </w:r>
      <w:r>
        <w:rPr>
          <w:rFonts w:ascii="宋体" w:hAnsi="宋体" w:eastAsia="宋体" w:cs="宋体"/>
          <w:sz w:val="18"/>
          <w:szCs w:val="18"/>
        </w:rPr>
        <w:t>份</w:t>
      </w:r>
      <w:r>
        <w:rPr>
          <w:rFonts w:hint="eastAsia" w:ascii="宋体" w:hAnsi="宋体" w:eastAsia="宋体" w:cs="宋体"/>
          <w:sz w:val="18"/>
          <w:szCs w:val="18"/>
        </w:rPr>
        <w:t>产品份额超额业绩报酬计提起始日为：募集期内认购的产品份额，以产品成立日为该</w:t>
      </w:r>
      <w:r>
        <w:rPr>
          <w:rFonts w:ascii="宋体" w:hAnsi="宋体" w:eastAsia="宋体" w:cs="宋体"/>
          <w:sz w:val="18"/>
          <w:szCs w:val="18"/>
        </w:rPr>
        <w:t>份</w:t>
      </w:r>
      <w:r>
        <w:rPr>
          <w:rFonts w:hint="eastAsia" w:ascii="宋体" w:hAnsi="宋体" w:eastAsia="宋体" w:cs="宋体"/>
          <w:sz w:val="18"/>
          <w:szCs w:val="18"/>
        </w:rPr>
        <w:t>产品份额超额业绩报酬计提起始日。</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sz w:val="18"/>
          <w:szCs w:val="18"/>
        </w:rPr>
        <w:t>②超额业绩报酬计提日</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每份产品份额超额业绩报酬每日计提，产品终止日</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lang w:val="en-US" w:eastAsia="zh-CN"/>
        </w:rPr>
        <w:t>不含部分终止日</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rPr>
        <w:t>结算。</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③超额业绩报酬的计算</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产品管理人对每</w:t>
      </w:r>
      <w:r>
        <w:rPr>
          <w:rFonts w:ascii="宋体" w:hAnsi="宋体" w:eastAsia="宋体" w:cs="宋体"/>
          <w:b w:val="0"/>
          <w:bCs w:val="0"/>
          <w:sz w:val="18"/>
          <w:szCs w:val="18"/>
        </w:rPr>
        <w:t>份</w:t>
      </w:r>
      <w:r>
        <w:rPr>
          <w:rFonts w:hint="eastAsia" w:ascii="宋体" w:hAnsi="宋体" w:eastAsia="宋体" w:cs="宋体"/>
          <w:b w:val="0"/>
          <w:bCs w:val="0"/>
          <w:sz w:val="18"/>
          <w:szCs w:val="18"/>
        </w:rPr>
        <w:t>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ascii="宋体" w:hAnsi="宋体" w:eastAsia="宋体" w:cs="宋体"/>
          <w:b w:val="0"/>
          <w:bCs w:val="0"/>
          <w:sz w:val="18"/>
          <w:szCs w:val="18"/>
        </w:rPr>
      </w:pPr>
      <w:r>
        <w:rPr>
          <w:rFonts w:hint="eastAsia" w:ascii="宋体" w:hAnsi="宋体" w:eastAsia="宋体" w:cs="宋体"/>
          <w:b w:val="0"/>
          <w:bCs w:val="0"/>
          <w:sz w:val="18"/>
          <w:szCs w:val="18"/>
        </w:rPr>
        <w:t>当R≤当前业绩报酬计提基准，超额业绩报酬=0；</w:t>
      </w:r>
    </w:p>
    <w:p>
      <w:pPr>
        <w:widowControl/>
        <w:spacing w:line="360" w:lineRule="auto"/>
        <w:ind w:firstLine="360" w:firstLineChars="200"/>
        <w:jc w:val="left"/>
        <w:rPr>
          <w:rFonts w:hint="eastAsia" w:ascii="宋体" w:hAnsi="宋体" w:eastAsia="宋体" w:cs="宋体"/>
          <w:sz w:val="18"/>
          <w:szCs w:val="18"/>
        </w:rPr>
      </w:pPr>
      <w:r>
        <w:rPr>
          <w:rFonts w:hint="eastAsia" w:ascii="宋体" w:hAnsi="宋体" w:eastAsia="宋体" w:cs="宋体"/>
          <w:b w:val="0"/>
          <w:bCs w:val="0"/>
          <w:sz w:val="18"/>
          <w:szCs w:val="18"/>
        </w:rPr>
        <w:t>当R＞当前业绩报酬计提基准，超额业绩报酬=产品终止</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lang w:val="en-US" w:eastAsia="zh-CN"/>
        </w:rPr>
        <w:t>不含部分终止</w:t>
      </w:r>
      <w:r>
        <w:rPr>
          <w:rFonts w:hint="eastAsia" w:ascii="宋体" w:hAnsi="宋体" w:eastAsia="宋体" w:cs="宋体"/>
          <w:b w:val="0"/>
          <w:bCs w:val="0"/>
          <w:sz w:val="18"/>
          <w:szCs w:val="18"/>
          <w:lang w:eastAsia="zh-CN"/>
        </w:rPr>
        <w:t>）</w:t>
      </w:r>
      <w:r>
        <w:rPr>
          <w:rFonts w:hint="eastAsia" w:ascii="宋体" w:hAnsi="宋体" w:eastAsia="宋体" w:cs="宋体"/>
          <w:b w:val="0"/>
          <w:bCs w:val="0"/>
          <w:sz w:val="18"/>
          <w:szCs w:val="18"/>
        </w:rPr>
        <w:t>时投资者持有的产</w:t>
      </w:r>
      <w:r>
        <w:rPr>
          <w:rFonts w:hint="eastAsia" w:ascii="宋体" w:hAnsi="宋体" w:eastAsia="宋体" w:cs="宋体"/>
          <w:sz w:val="18"/>
          <w:szCs w:val="18"/>
        </w:rPr>
        <w:t>品份额×产品成立日产品份额净值×（R-当前业绩报酬计提基准）×N×D/365。</w:t>
      </w:r>
    </w:p>
    <w:p>
      <w:pPr>
        <w:keepNext w:val="0"/>
        <w:keepLines w:val="0"/>
        <w:widowControl/>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firstLine="361" w:firstLineChars="200"/>
        <w:jc w:val="left"/>
        <w:rPr>
          <w:rFonts w:hint="eastAsia" w:ascii="宋体" w:hAnsi="宋体" w:eastAsia="宋体" w:cs="宋体"/>
          <w:b/>
          <w:bCs/>
          <w:kern w:val="0"/>
          <w:sz w:val="18"/>
          <w:szCs w:val="18"/>
          <w:lang w:val="en-US" w:eastAsia="zh-CN" w:bidi="ar-SA"/>
        </w:rPr>
      </w:pPr>
      <w:r>
        <w:rPr>
          <w:rFonts w:hint="eastAsia" w:ascii="宋体" w:hAnsi="宋体" w:eastAsia="宋体" w:cs="宋体"/>
          <w:b/>
          <w:bCs/>
          <w:kern w:val="0"/>
          <w:sz w:val="18"/>
          <w:szCs w:val="18"/>
          <w:lang w:val="en-US" w:eastAsia="zh-CN" w:bidi="ar-SA"/>
        </w:rPr>
        <w:t>注：产品部分提前终止情况下，部分提前终止份额不收取超额业绩报酬。</w:t>
      </w:r>
    </w:p>
    <w:p>
      <w:pPr>
        <w:widowControl/>
        <w:spacing w:line="360" w:lineRule="auto"/>
        <w:ind w:firstLine="360" w:firstLineChars="200"/>
        <w:jc w:val="left"/>
        <w:rPr>
          <w:rFonts w:ascii="宋体" w:hAnsi="宋体" w:eastAsia="宋体" w:cs="宋体"/>
          <w:sz w:val="18"/>
          <w:szCs w:val="18"/>
        </w:rPr>
      </w:pP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w:t>
      </w:r>
      <w:r>
        <w:rPr>
          <w:rFonts w:ascii="宋体" w:hAnsi="宋体" w:cs="宋体"/>
          <w:kern w:val="0"/>
          <w:sz w:val="18"/>
          <w:szCs w:val="18"/>
        </w:rPr>
        <w:t>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本产品的产品</w:t>
      </w:r>
      <w:r>
        <w:rPr>
          <w:rFonts w:ascii="宋体" w:hAnsi="宋体" w:cs="宋体"/>
          <w:sz w:val="18"/>
          <w:szCs w:val="18"/>
        </w:rPr>
        <w:t>托管</w:t>
      </w:r>
      <w:r>
        <w:rPr>
          <w:rFonts w:hint="eastAsia" w:ascii="宋体" w:hAnsi="宋体" w:cs="宋体"/>
          <w:sz w:val="18"/>
          <w:szCs w:val="18"/>
        </w:rPr>
        <w:t>费按前一日理财资产净值与产品</w:t>
      </w:r>
      <w:r>
        <w:rPr>
          <w:rFonts w:ascii="宋体" w:hAnsi="宋体" w:cs="宋体"/>
          <w:sz w:val="18"/>
          <w:szCs w:val="18"/>
        </w:rPr>
        <w:t>托管</w:t>
      </w:r>
      <w:r>
        <w:rPr>
          <w:rFonts w:hint="eastAsia" w:ascii="宋体" w:hAnsi="宋体" w:cs="宋体"/>
          <w:sz w:val="18"/>
          <w:szCs w:val="18"/>
        </w:rPr>
        <w:t>费每日费率每日计提。</w:t>
      </w:r>
      <w:r>
        <w:rPr>
          <w:rFonts w:hint="eastAsia" w:ascii="宋体" w:hAnsi="宋体" w:cs="宋体"/>
          <w:kern w:val="0"/>
          <w:sz w:val="18"/>
          <w:szCs w:val="18"/>
        </w:rPr>
        <w:t>产品</w:t>
      </w:r>
      <w:r>
        <w:rPr>
          <w:rFonts w:ascii="宋体" w:hAnsi="宋体" w:cs="宋体"/>
          <w:kern w:val="0"/>
          <w:sz w:val="18"/>
          <w:szCs w:val="18"/>
        </w:rPr>
        <w:t>托管费的计算方法如下：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产品托管费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产品托管费依照上述约定，从理财财产中支付。</w:t>
      </w:r>
      <w:r>
        <w:rPr>
          <w:rFonts w:hint="eastAsia" w:ascii="宋体" w:hAnsi="宋体" w:eastAsia="宋体" w:cs="宋体"/>
          <w:sz w:val="18"/>
          <w:szCs w:val="18"/>
        </w:rPr>
        <w:t>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w:t>
      </w:r>
      <w:r>
        <w:rPr>
          <w:rFonts w:ascii="宋体" w:hAnsi="宋体" w:cs="宋体"/>
          <w:kern w:val="0"/>
          <w:sz w:val="18"/>
          <w:szCs w:val="18"/>
        </w:rPr>
        <w:t>上述</w:t>
      </w:r>
      <w:r>
        <w:rPr>
          <w:rFonts w:hint="eastAsia" w:ascii="宋体" w:hAnsi="宋体" w:cs="宋体"/>
          <w:kern w:val="0"/>
          <w:sz w:val="18"/>
          <w:szCs w:val="18"/>
        </w:rPr>
        <w:t>理财产品的证券交易费用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7）上述</w:t>
      </w:r>
      <w:r>
        <w:rPr>
          <w:rFonts w:hint="eastAsia" w:ascii="宋体" w:hAnsi="宋体" w:cs="宋体"/>
          <w:kern w:val="0"/>
          <w:sz w:val="18"/>
          <w:szCs w:val="18"/>
        </w:rPr>
        <w:t>理财产品</w:t>
      </w:r>
      <w:r>
        <w:rPr>
          <w:rFonts w:ascii="宋体" w:hAnsi="宋体" w:cs="宋体"/>
          <w:kern w:val="0"/>
          <w:sz w:val="18"/>
          <w:szCs w:val="18"/>
        </w:rPr>
        <w:t>验资费、审计费、律师费、信息披露费、</w:t>
      </w:r>
      <w:r>
        <w:rPr>
          <w:rFonts w:hint="eastAsia" w:ascii="宋体" w:hAnsi="宋体" w:cs="宋体"/>
          <w:kern w:val="0"/>
          <w:sz w:val="18"/>
          <w:szCs w:val="18"/>
        </w:rPr>
        <w:t>清算费、</w:t>
      </w:r>
      <w:r>
        <w:rPr>
          <w:rFonts w:ascii="宋体" w:hAnsi="宋体" w:cs="宋体"/>
          <w:kern w:val="0"/>
          <w:sz w:val="18"/>
          <w:szCs w:val="18"/>
        </w:rPr>
        <w:t>执行费用等相关费用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按费用实际支出金额列入当期费用，从理财财产中支付。产品管理人因处理上述事务而先行垫付上述</w:t>
      </w:r>
      <w:r>
        <w:rPr>
          <w:rFonts w:ascii="宋体" w:hAnsi="宋体" w:cs="宋体"/>
          <w:kern w:val="0"/>
          <w:sz w:val="18"/>
          <w:szCs w:val="18"/>
        </w:rPr>
        <w:t>费用</w:t>
      </w:r>
      <w:r>
        <w:rPr>
          <w:rFonts w:hint="eastAsia" w:ascii="宋体" w:hAnsi="宋体" w:cs="宋体"/>
          <w:kern w:val="0"/>
          <w:sz w:val="18"/>
          <w:szCs w:val="18"/>
        </w:rPr>
        <w:t>的，管理人有权从理财产品资产中优先受偿。</w:t>
      </w:r>
    </w:p>
    <w:p>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ascii="黑体" w:hAnsi="黑体" w:eastAsia="黑体" w:cs="宋体"/>
          <w:color w:val="auto"/>
          <w:sz w:val="18"/>
          <w:szCs w:val="24"/>
          <w:lang w:val="en-US" w:eastAsia="zh-CN" w:bidi="ar-SA"/>
        </w:rPr>
        <w:t>3.</w:t>
      </w:r>
      <w:r>
        <w:rPr>
          <w:rFonts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理财产品费用</w:t>
      </w:r>
      <w:r>
        <w:rPr>
          <w:rFonts w:hint="eastAsia" w:ascii="黑体" w:hAnsi="黑体" w:eastAsia="黑体" w:cs="宋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ascii="黑体" w:hAnsi="黑体" w:eastAsia="黑体" w:cs="宋体"/>
          <w:b/>
          <w:color w:val="auto"/>
          <w:sz w:val="18"/>
          <w:szCs w:val="24"/>
          <w:lang w:val="en-US" w:eastAsia="zh-CN" w:bidi="ar-SA"/>
        </w:rPr>
      </w:pPr>
      <w:r>
        <w:rPr>
          <w:rFonts w:hint="eastAsia" w:ascii="黑体" w:hAnsi="黑体" w:eastAsia="黑体" w:cs="宋体"/>
          <w:color w:val="auto"/>
          <w:sz w:val="18"/>
          <w:szCs w:val="24"/>
          <w:lang w:val="en-US" w:eastAsia="zh-CN" w:bidi="ar-SA"/>
        </w:rPr>
        <w:t>产品管理人有权</w:t>
      </w:r>
      <w:r>
        <w:rPr>
          <w:rFonts w:hint="eastAsia" w:ascii="黑体" w:hAnsi="黑体" w:eastAsia="黑体" w:cs="宋体"/>
          <w:color w:val="auto"/>
          <w:sz w:val="18"/>
          <w:szCs w:val="18"/>
          <w:lang w:val="en-US" w:eastAsia="zh-CN" w:bidi="ar-SA"/>
        </w:rPr>
        <w:t>根据相关法律和国家政策规定，</w:t>
      </w:r>
      <w:r>
        <w:rPr>
          <w:rFonts w:hint="eastAsia" w:ascii="黑体" w:hAnsi="黑体" w:eastAsia="黑体" w:cs="宋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宋体"/>
          <w:bCs/>
          <w:color w:val="auto"/>
          <w:sz w:val="18"/>
          <w:szCs w:val="24"/>
          <w:lang w:val="en-US" w:eastAsia="zh-CN" w:bidi="ar-SA"/>
        </w:rPr>
        <w:t>将依约定进行公告。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23051455"/>
      <w:bookmarkStart w:id="180" w:name="_Toc74065746"/>
      <w:bookmarkStart w:id="181" w:name="_Toc123102456"/>
      <w:bookmarkStart w:id="182" w:name="_Toc79154673"/>
      <w:bookmarkStart w:id="183" w:name="_Toc18206"/>
      <w:bookmarkStart w:id="184" w:name="_Toc98560355"/>
      <w:bookmarkStart w:id="185" w:name="_Toc21735"/>
      <w:bookmarkStart w:id="186" w:name="_Toc16164"/>
      <w:bookmarkStart w:id="187" w:name="_Toc139991739"/>
      <w:bookmarkStart w:id="188" w:name="_Toc725"/>
      <w:bookmarkStart w:id="189" w:name="_Toc123112237"/>
      <w:bookmarkStart w:id="190" w:name="_Toc176189762"/>
      <w:bookmarkStart w:id="191" w:name="_Toc10398"/>
      <w:bookmarkStart w:id="192" w:name="_Toc141703889"/>
      <w:bookmarkStart w:id="193" w:name="_Toc3080"/>
      <w:bookmarkStart w:id="194" w:name="_Toc3572"/>
      <w:bookmarkStart w:id="195" w:name="_Toc31821"/>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15118245"/>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实际到账日之间，理财资金不计算</w:t>
      </w:r>
      <w:r>
        <w:rPr>
          <w:rFonts w:ascii="宋体" w:hAnsi="宋体" w:eastAsia="宋体" w:cs="宋体"/>
          <w:bCs/>
          <w:sz w:val="18"/>
          <w:szCs w:val="18"/>
        </w:rPr>
        <w:t>收益</w:t>
      </w:r>
      <w:r>
        <w:rPr>
          <w:rFonts w:hint="eastAsia" w:ascii="宋体" w:hAnsi="宋体" w:eastAsia="宋体" w:cs="宋体"/>
          <w:bCs/>
          <w:sz w:val="18"/>
          <w:szCs w:val="18"/>
        </w:rPr>
        <w:t>。</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32584"/>
      <w:bookmarkStart w:id="200" w:name="_Toc176189763"/>
      <w:bookmarkStart w:id="201" w:name="_Toc32092"/>
      <w:bookmarkStart w:id="202" w:name="_Toc21237"/>
      <w:bookmarkStart w:id="203" w:name="_Toc123102457"/>
      <w:bookmarkStart w:id="204" w:name="_Toc739"/>
      <w:bookmarkStart w:id="205" w:name="_Toc17920"/>
      <w:bookmarkStart w:id="206" w:name="_Toc74065747"/>
      <w:bookmarkStart w:id="207" w:name="_Toc123112238"/>
      <w:bookmarkStart w:id="208" w:name="_Toc79154674"/>
      <w:bookmarkStart w:id="209" w:name="_Toc79392622"/>
      <w:bookmarkStart w:id="210" w:name="_Toc141703890"/>
      <w:bookmarkStart w:id="211" w:name="_Toc123051456"/>
      <w:bookmarkStart w:id="212" w:name="_Toc48649708"/>
      <w:bookmarkStart w:id="213" w:name="_Toc5170"/>
      <w:bookmarkStart w:id="214" w:name="_Toc98560356"/>
      <w:bookmarkStart w:id="215" w:name="_Toc8791"/>
      <w:bookmarkStart w:id="216" w:name="_Toc17198"/>
      <w:bookmarkStart w:id="217" w:name="_Toc139991740"/>
      <w:bookmarkStart w:id="218" w:name="_Toc29408"/>
      <w:bookmarkStart w:id="219" w:name="_Toc3329"/>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kern w:val="2"/>
          <w:sz w:val="18"/>
          <w:szCs w:val="18"/>
          <w:lang w:val="en-US" w:eastAsia="zh-CN" w:bidi="ar-SA"/>
        </w:rPr>
        <w:t>【</w:t>
      </w:r>
      <w:r>
        <w:rPr>
          <w:rFonts w:hint="eastAsia" w:ascii="宋体" w:hAnsi="宋体" w:eastAsia="宋体" w:cs="宋体"/>
          <w:bCs/>
          <w:kern w:val="2"/>
          <w:sz w:val="18"/>
          <w:szCs w:val="18"/>
          <w:lang w:val="en-US" w:eastAsia="zh-CN" w:bidi="ar-SA"/>
        </w:rPr>
        <w:t>1.拟投资市场和资产的风险：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1）投资标准化债权类资产的风险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2）投资非标准化债权类资产的风险</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7</w:t>
      </w:r>
      <w:r>
        <w:rPr>
          <w:rFonts w:ascii="宋体" w:hAnsi="宋体" w:cs="宋体"/>
          <w:sz w:val="18"/>
          <w:szCs w:val="18"/>
        </w:rPr>
        <w:t>.</w:t>
      </w:r>
      <w:r>
        <w:rPr>
          <w:rFonts w:hint="eastAsia" w:ascii="宋体" w:hAnsi="宋体" w:cs="宋体"/>
          <w:sz w:val="18"/>
          <w:szCs w:val="18"/>
        </w:rPr>
        <w:t>关联交易风险</w:t>
      </w:r>
    </w:p>
    <w:p>
      <w:pPr>
        <w:spacing w:line="360" w:lineRule="auto"/>
        <w:ind w:firstLine="360" w:firstLineChars="200"/>
        <w:rPr>
          <w:rFonts w:ascii="宋体" w:hAnsi="宋体" w:cs="宋体"/>
          <w:sz w:val="18"/>
          <w:szCs w:val="18"/>
        </w:rPr>
      </w:pPr>
      <w:r>
        <w:rPr>
          <w:rFonts w:hint="eastAsia" w:ascii="宋体" w:hAnsi="宋体" w:cs="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cs="宋体"/>
          <w:sz w:val="18"/>
          <w:szCs w:val="18"/>
        </w:rPr>
        <w:t>关系</w:t>
      </w:r>
      <w:r>
        <w:rPr>
          <w:rFonts w:hint="eastAsia" w:ascii="宋体" w:hAnsi="宋体" w:cs="宋体"/>
          <w:sz w:val="18"/>
          <w:szCs w:val="18"/>
        </w:rPr>
        <w:t>仍可能产生</w:t>
      </w:r>
      <w:r>
        <w:rPr>
          <w:rFonts w:ascii="宋体" w:hAnsi="宋体" w:cs="宋体"/>
          <w:sz w:val="18"/>
          <w:szCs w:val="18"/>
        </w:rPr>
        <w:t>不利影响和投资</w:t>
      </w:r>
      <w:r>
        <w:rPr>
          <w:rFonts w:hint="eastAsia" w:ascii="宋体" w:hAnsi="宋体" w:cs="宋体"/>
          <w:sz w:val="18"/>
          <w:szCs w:val="18"/>
        </w:rPr>
        <w:t>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rFonts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pPr>
              <w:spacing w:line="360" w:lineRule="auto"/>
              <w:ind w:firstLine="361"/>
              <w:jc w:val="left"/>
              <w:rPr>
                <w:rFonts w:ascii="Calibri" w:hAnsi="Calibri" w:cs="宋体"/>
                <w:b/>
                <w:sz w:val="18"/>
                <w:szCs w:val="18"/>
              </w:rPr>
            </w:pP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兴银理财【稳利安盈封闭式】理财产品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兴银理财【稳利安盈封闭式】</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color w:val="auto"/>
          <w:kern w:val="0"/>
          <w:sz w:val="18"/>
          <w:szCs w:val="18"/>
        </w:rPr>
        <w:t>【兴银理财稳利安盈封闭式2025年</w:t>
      </w:r>
      <w:r>
        <w:rPr>
          <w:rFonts w:hint="eastAsia" w:ascii="宋体" w:hAnsi="宋体" w:cs="仿宋_GB2312"/>
          <w:color w:val="auto"/>
          <w:kern w:val="0"/>
          <w:sz w:val="18"/>
          <w:szCs w:val="18"/>
          <w:lang w:eastAsia="zh-CN"/>
        </w:rPr>
        <w:t>435期</w:t>
      </w:r>
      <w:r>
        <w:rPr>
          <w:rFonts w:hint="eastAsia" w:ascii="宋体" w:hAnsi="宋体" w:cs="仿宋_GB2312"/>
          <w:color w:val="auto"/>
          <w:kern w:val="0"/>
          <w:sz w:val="18"/>
          <w:szCs w:val="18"/>
        </w:rPr>
        <w:t>固收类理财产品</w:t>
      </w:r>
      <w:r>
        <w:rPr>
          <w:rFonts w:hint="eastAsia" w:cs="宋体" w:asciiTheme="majorEastAsia" w:hAnsiTheme="majorEastAsia" w:eastAsiaTheme="majorEastAsia"/>
          <w:bCs/>
          <w:color w:val="auto"/>
          <w:kern w:val="0"/>
          <w:sz w:val="18"/>
          <w:szCs w:val="18"/>
        </w:rPr>
        <w:t>】</w:t>
      </w:r>
    </w:p>
    <w:p>
      <w:pPr>
        <w:ind w:firstLine="448" w:firstLineChars="249"/>
        <w:rPr>
          <w:rFonts w:hint="eastAsia" w:ascii="宋体" w:hAnsi="宋体" w:cs="仿宋_GB2312"/>
          <w:color w:val="auto"/>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435期</w:t>
      </w:r>
      <w:r>
        <w:rPr>
          <w:rFonts w:hint="eastAsia" w:ascii="宋体" w:hAnsi="宋体" w:cs="仿宋_GB2312"/>
          <w:color w:val="auto"/>
          <w:kern w:val="0"/>
          <w:sz w:val="18"/>
          <w:szCs w:val="18"/>
        </w:rPr>
        <w:t>A】（适用【A】类份额）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435期</w:t>
      </w:r>
      <w:r>
        <w:rPr>
          <w:rFonts w:hint="eastAsia" w:ascii="宋体" w:hAnsi="宋体" w:cs="仿宋_GB2312"/>
          <w:color w:val="auto"/>
          <w:kern w:val="0"/>
          <w:sz w:val="18"/>
          <w:szCs w:val="18"/>
        </w:rPr>
        <w:t>B】（适用【B】类份额）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435期</w:t>
      </w:r>
      <w:r>
        <w:rPr>
          <w:rFonts w:hint="eastAsia" w:ascii="宋体" w:hAnsi="宋体" w:cs="仿宋_GB2312"/>
          <w:color w:val="auto"/>
          <w:kern w:val="0"/>
          <w:sz w:val="18"/>
          <w:szCs w:val="18"/>
        </w:rPr>
        <w:t>C】（适用【C】类份额）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435期</w:t>
      </w:r>
      <w:r>
        <w:rPr>
          <w:rFonts w:hint="eastAsia" w:ascii="宋体" w:hAnsi="宋体" w:cs="仿宋_GB2312"/>
          <w:color w:val="auto"/>
          <w:kern w:val="0"/>
          <w:sz w:val="18"/>
          <w:szCs w:val="18"/>
          <w:lang w:val="en-US" w:eastAsia="zh-CN"/>
        </w:rPr>
        <w:t>E</w:t>
      </w:r>
      <w:r>
        <w:rPr>
          <w:rFonts w:hint="eastAsia" w:ascii="宋体" w:hAnsi="宋体" w:cs="仿宋_GB2312"/>
          <w:color w:val="auto"/>
          <w:kern w:val="0"/>
          <w:sz w:val="18"/>
          <w:szCs w:val="18"/>
        </w:rPr>
        <w:t>】（适用【</w:t>
      </w:r>
      <w:r>
        <w:rPr>
          <w:rFonts w:hint="eastAsia" w:ascii="宋体" w:hAnsi="宋体" w:cs="仿宋_GB2312"/>
          <w:color w:val="auto"/>
          <w:kern w:val="0"/>
          <w:sz w:val="18"/>
          <w:szCs w:val="18"/>
          <w:lang w:val="en-US" w:eastAsia="zh-CN"/>
        </w:rPr>
        <w:t>E</w:t>
      </w:r>
      <w:r>
        <w:rPr>
          <w:rFonts w:hint="eastAsia" w:ascii="宋体" w:hAnsi="宋体" w:cs="仿宋_GB2312"/>
          <w:color w:val="auto"/>
          <w:kern w:val="0"/>
          <w:sz w:val="18"/>
          <w:szCs w:val="18"/>
        </w:rPr>
        <w:t>】类份额）</w:t>
      </w:r>
    </w:p>
    <w:p>
      <w:pPr>
        <w:ind w:left="840" w:leftChars="0" w:firstLine="448" w:firstLineChars="249"/>
        <w:rPr>
          <w:rFonts w:hint="eastAsia" w:ascii="宋体" w:hAnsi="宋体" w:cs="仿宋_GB2312"/>
          <w:color w:val="auto"/>
          <w:kern w:val="0"/>
          <w:sz w:val="18"/>
          <w:szCs w:val="18"/>
        </w:rPr>
      </w:pPr>
      <w:r>
        <w:rPr>
          <w:rFonts w:hint="eastAsia" w:ascii="宋体" w:hAnsi="宋体" w:cs="仿宋_GB2312"/>
          <w:color w:val="auto"/>
          <w:kern w:val="0"/>
          <w:sz w:val="18"/>
          <w:szCs w:val="18"/>
        </w:rPr>
        <w:t>【稳利安盈2025年</w:t>
      </w:r>
      <w:r>
        <w:rPr>
          <w:rFonts w:hint="eastAsia" w:ascii="宋体" w:hAnsi="宋体" w:cs="仿宋_GB2312"/>
          <w:color w:val="auto"/>
          <w:kern w:val="0"/>
          <w:sz w:val="18"/>
          <w:szCs w:val="18"/>
          <w:lang w:eastAsia="zh-CN"/>
        </w:rPr>
        <w:t>435期</w:t>
      </w:r>
      <w:r>
        <w:rPr>
          <w:rFonts w:hint="eastAsia" w:ascii="宋体" w:hAnsi="宋体" w:cs="仿宋_GB2312"/>
          <w:color w:val="auto"/>
          <w:kern w:val="0"/>
          <w:sz w:val="18"/>
          <w:szCs w:val="18"/>
        </w:rPr>
        <w:t>F】（适用【F】类份额）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ascii="宋体" w:hAnsi="宋体" w:cs="仿宋_GB2312"/>
          <w:color w:val="auto"/>
          <w:kern w:val="0"/>
          <w:sz w:val="18"/>
          <w:szCs w:val="18"/>
        </w:rPr>
        <w:t>【</w:t>
      </w:r>
      <w:r>
        <w:rPr>
          <w:rFonts w:hint="eastAsia" w:cs="宋体" w:asciiTheme="minorEastAsia" w:hAnsiTheme="minorEastAsia"/>
          <w:color w:val="auto"/>
          <w:sz w:val="18"/>
          <w:szCs w:val="18"/>
        </w:rPr>
        <w:t>Z7002025001999</w:t>
      </w:r>
      <w:r>
        <w:rPr>
          <w:rFonts w:ascii="宋体" w:hAnsi="宋体" w:cs="仿宋_GB2312"/>
          <w:color w:val="auto"/>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r>
        <w:rPr>
          <w:rFonts w:hint="eastAsia" w:ascii="宋体" w:hAnsi="宋体" w:cs="仿宋_GB2312"/>
          <w:kern w:val="0"/>
          <w:sz w:val="18"/>
          <w:szCs w:val="18"/>
        </w:rPr>
        <w:t>【</w:t>
      </w:r>
      <w:r>
        <w:rPr>
          <w:rFonts w:hint="eastAsia" w:ascii="宋体" w:hAnsi="宋体" w:cs="仿宋_GB2312"/>
          <w:color w:val="auto"/>
          <w:kern w:val="0"/>
          <w:sz w:val="18"/>
          <w:szCs w:val="18"/>
          <w:lang w:val="en-US" w:eastAsia="zh-CN"/>
        </w:rPr>
        <w:t>435</w:t>
      </w:r>
      <w:r>
        <w:rPr>
          <w:rFonts w:hint="eastAsia" w:ascii="宋体" w:hAnsi="宋体" w:cs="仿宋_GB2312"/>
          <w:kern w:val="0"/>
          <w:sz w:val="18"/>
          <w:szCs w:val="18"/>
        </w:rPr>
        <w:t>】</w:t>
      </w:r>
      <w:r>
        <w:rPr>
          <w:rFonts w:hint="eastAsia" w:ascii="宋体" w:hAnsi="宋体" w:cs="仿宋_GB2312"/>
          <w:kern w:val="0"/>
          <w:sz w:val="18"/>
          <w:szCs w:val="18"/>
          <w:lang w:val="en-US" w:eastAsia="zh-CN"/>
        </w:rPr>
        <w:t>天</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本理财产品风险评级最终定义为【R</w:t>
      </w:r>
      <w:r>
        <w:rPr>
          <w:rFonts w:hint="eastAsia" w:ascii="宋体" w:hAnsi="宋体" w:cs="仿宋_GB2312"/>
          <w:kern w:val="0"/>
          <w:sz w:val="18"/>
          <w:szCs w:val="18"/>
          <w:lang w:val="en-US" w:eastAsia="zh-CN"/>
        </w:rPr>
        <w:t>1</w:t>
      </w:r>
      <w:r>
        <w:rPr>
          <w:rFonts w:ascii="宋体" w:hAnsi="宋体" w:cs="仿宋_GB2312"/>
          <w:kern w:val="0"/>
          <w:sz w:val="18"/>
          <w:szCs w:val="18"/>
        </w:rPr>
        <w:t>】</w:t>
      </w:r>
      <w:r>
        <w:rPr>
          <w:rFonts w:hint="eastAsia" w:ascii="宋体" w:hAnsi="宋体" w:cs="仿宋_GB2312"/>
          <w:kern w:val="0"/>
          <w:sz w:val="18"/>
          <w:szCs w:val="18"/>
        </w:rPr>
        <w:t>（产品管理人定义的产品风险评级为【R</w:t>
      </w:r>
      <w:r>
        <w:rPr>
          <w:rFonts w:hint="eastAsia" w:ascii="宋体" w:hAnsi="宋体" w:cs="仿宋_GB2312"/>
          <w:kern w:val="0"/>
          <w:sz w:val="18"/>
          <w:szCs w:val="18"/>
          <w:lang w:val="en-US" w:eastAsia="zh-CN"/>
        </w:rPr>
        <w:t>1</w:t>
      </w:r>
      <w:r>
        <w:rPr>
          <w:rFonts w:hint="eastAsia" w:ascii="宋体" w:hAnsi="宋体" w:cs="仿宋_GB2312"/>
          <w:kern w:val="0"/>
          <w:sz w:val="18"/>
          <w:szCs w:val="18"/>
        </w:rPr>
        <w:t>】；代理销售机构定义的产品风险评级为【R</w:t>
      </w:r>
      <w:r>
        <w:rPr>
          <w:rFonts w:hint="eastAsia" w:ascii="宋体" w:hAnsi="宋体" w:cs="仿宋_GB2312"/>
          <w:kern w:val="0"/>
          <w:sz w:val="18"/>
          <w:szCs w:val="18"/>
          <w:lang w:val="en-US" w:eastAsia="zh-CN"/>
        </w:rPr>
        <w:t>1</w:t>
      </w:r>
      <w:r>
        <w:rPr>
          <w:rFonts w:hint="eastAsia" w:ascii="宋体" w:hAnsi="宋体" w:cs="仿宋_GB2312"/>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个人投资者</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sz w:val="18"/>
          <w:szCs w:val="18"/>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lang w:eastAsia="zh-CN"/>
          <w14:textFill>
            <w14:solidFill>
              <w14:schemeClr w14:val="tx1"/>
            </w14:solidFill>
          </w14:textFill>
        </w:rPr>
        <w:t>、</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w:t>
      </w:r>
      <w:r>
        <w:rPr>
          <w:rFonts w:hint="eastAsia" w:cs="宋体" w:asciiTheme="majorEastAsia" w:hAnsiTheme="majorEastAsia" w:eastAsiaTheme="majorEastAsia"/>
          <w:bCs/>
          <w:color w:val="000000" w:themeColor="text1"/>
          <w:sz w:val="18"/>
          <w:szCs w:val="18"/>
          <w:lang w:val="en-US" w:eastAsia="zh-CN"/>
          <w14:textFill>
            <w14:solidFill>
              <w14:schemeClr w14:val="tx1"/>
            </w14:solidFill>
          </w14:textFill>
        </w:rPr>
        <w:t>6</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机构投资者：【</w:t>
      </w:r>
      <w:r>
        <w:rPr>
          <w:rFonts w:hint="eastAsia" w:cs="宋体" w:asciiTheme="majorEastAsia" w:hAnsiTheme="majorEastAsia" w:eastAsiaTheme="majorEastAsia"/>
          <w:bCs/>
          <w:sz w:val="18"/>
          <w:szCs w:val="18"/>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kern w:val="2"/>
          <w:sz w:val="18"/>
          <w:szCs w:val="18"/>
          <w:lang w:val="en-US" w:eastAsia="zh-CN" w:bidi="ar-SA"/>
        </w:rPr>
        <w:t>【</w:t>
      </w:r>
      <w:r>
        <w:rPr>
          <w:rFonts w:hint="eastAsia" w:ascii="宋体" w:hAnsi="宋体" w:eastAsia="宋体" w:cs="宋体"/>
          <w:bCs/>
          <w:kern w:val="2"/>
          <w:sz w:val="18"/>
          <w:szCs w:val="18"/>
          <w:lang w:val="en-US" w:eastAsia="zh-CN" w:bidi="ar-SA"/>
        </w:rPr>
        <w:t>1.拟投资市场和资产的风险：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1）投资标准化债权类资产的风险</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spacing w:line="240" w:lineRule="auto"/>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2）投资非标准化债权类资产的风险</w:t>
      </w:r>
    </w:p>
    <w:p>
      <w:pPr>
        <w:widowControl w:val="0"/>
        <w:spacing w:line="240" w:lineRule="auto"/>
        <w:ind w:firstLine="360" w:firstLineChars="200"/>
        <w:jc w:val="both"/>
        <w:rPr>
          <w:rFonts w:ascii="宋体" w:hAnsi="宋体" w:eastAsia="宋体" w:cs="宋体"/>
          <w:kern w:val="2"/>
          <w:sz w:val="18"/>
          <w:szCs w:val="18"/>
          <w:lang w:val="en-US" w:eastAsia="zh-CN" w:bidi="ar-SA"/>
        </w:rPr>
      </w:pPr>
      <w:r>
        <w:rPr>
          <w:rFonts w:hint="eastAsia" w:ascii="宋体" w:hAnsi="宋体" w:eastAsia="宋体" w:cs="宋体"/>
          <w:bCs/>
          <w:kern w:val="2"/>
          <w:sz w:val="18"/>
          <w:szCs w:val="18"/>
          <w:lang w:val="en-US" w:eastAsia="zh-CN" w:bidi="ar-SA"/>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r>
        <w:rPr>
          <w:rFonts w:hint="eastAsia" w:ascii="宋体" w:hAnsi="宋体" w:eastAsia="宋体" w:cs="宋体"/>
          <w:kern w:val="2"/>
          <w:sz w:val="18"/>
          <w:szCs w:val="18"/>
          <w:lang w:val="en-US" w:eastAsia="zh-CN" w:bidi="ar-SA"/>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17.关联交易风险</w:t>
      </w:r>
    </w:p>
    <w:p>
      <w:pPr>
        <w:widowControl w:val="0"/>
        <w:ind w:firstLine="420" w:firstLineChars="0"/>
        <w:jc w:val="both"/>
        <w:rPr>
          <w:rFonts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val="en-US" w:eastAsia="zh-CN"/>
        </w:rPr>
        <w:t>安盈</w:t>
      </w:r>
      <w:r>
        <w:rPr>
          <w:rStyle w:val="10"/>
          <w:rFonts w:hint="eastAsia" w:ascii="黑体" w:hAnsi="黑体" w:eastAsia="黑体" w:cstheme="minorBidi"/>
          <w:sz w:val="28"/>
          <w:szCs w:val="28"/>
        </w:rPr>
        <w:t>封闭式】理财产品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兴银理财【稳利安盈封闭式】理财产品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outlineLvl w:val="2"/>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49941BC5"/>
    <w:rsid w:val="637F58C5"/>
    <w:rsid w:val="7A3C400F"/>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44949</Words>
  <Characters>45933</Characters>
  <Lines>0</Lines>
  <Paragraphs>0</Paragraphs>
  <TotalTime>0</TotalTime>
  <ScaleCrop>false</ScaleCrop>
  <LinksUpToDate>false</LinksUpToDate>
  <CharactersWithSpaces>46386</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2025-11-24T09:56:05Z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532CA27E13A24D1F97B87E0224F4C999</vt:lpwstr>
  </property>
</Properties>
</file>