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兴银理财【稳利恒盈封闭式</w:t>
      </w:r>
      <w:r>
        <w:rPr>
          <w:rStyle w:val="10"/>
          <w:rFonts w:hint="eastAsia" w:ascii="黑体" w:hAnsi="黑体" w:eastAsia="黑体"/>
          <w:sz w:val="44"/>
          <w:szCs w:val="44"/>
        </w:rPr>
        <w:t>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sz w:val="44"/>
          <w:szCs w:val="44"/>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39992301"/>
      <w:bookmarkStart w:id="2" w:name="_Toc139991726"/>
      <w:bookmarkStart w:id="3" w:name="_Toc123701383"/>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64"/>
      <w:bookmarkStart w:id="6" w:name="_Toc123112225"/>
      <w:bookmarkStart w:id="7" w:name="_Toc139992302"/>
      <w:bookmarkStart w:id="8" w:name="_Toc12370138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11</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39991729"/>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41703880"/>
      <w:bookmarkStart w:id="15" w:name="_Toc123112268"/>
      <w:bookmarkStart w:id="16" w:name="_Toc30935"/>
      <w:bookmarkStart w:id="17" w:name="_Toc139991730"/>
      <w:bookmarkStart w:id="18" w:name="_Toc29629"/>
      <w:bookmarkStart w:id="19" w:name="_Toc4867"/>
      <w:bookmarkStart w:id="20" w:name="_Toc32639"/>
      <w:bookmarkStart w:id="21" w:name="_Toc23386"/>
      <w:bookmarkStart w:id="22" w:name="_Toc123112229"/>
      <w:bookmarkStart w:id="23" w:name="_Toc8727"/>
      <w:bookmarkStart w:id="24" w:name="_Toc26897"/>
      <w:bookmarkStart w:id="25" w:name="_Toc6306"/>
      <w:bookmarkStart w:id="26" w:name="_Toc123701389"/>
      <w:bookmarkStart w:id="27" w:name="_Toc4966"/>
      <w:bookmarkStart w:id="28" w:name="_Toc1551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6617"/>
      <w:bookmarkStart w:id="34" w:name="_Toc21301"/>
      <w:bookmarkStart w:id="35" w:name="_Toc19592"/>
      <w:bookmarkStart w:id="36" w:name="_Toc15067"/>
      <w:bookmarkStart w:id="37" w:name="_Toc22864"/>
      <w:bookmarkStart w:id="38" w:name="_Toc13020"/>
      <w:bookmarkStart w:id="39" w:name="_Toc819"/>
      <w:bookmarkStart w:id="40" w:name="_Toc24860"/>
      <w:bookmarkStart w:id="41" w:name="_Toc258829399"/>
      <w:bookmarkStart w:id="42" w:name="_Toc322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545"/>
      <w:bookmarkStart w:id="48" w:name="_Toc20627"/>
      <w:bookmarkStart w:id="49" w:name="_Toc733"/>
      <w:bookmarkStart w:id="50" w:name="_Toc22708"/>
      <w:bookmarkStart w:id="51" w:name="_Toc74065740"/>
      <w:bookmarkStart w:id="52" w:name="_Toc6683"/>
      <w:bookmarkStart w:id="53" w:name="_Toc18631"/>
      <w:bookmarkStart w:id="54" w:name="_Toc20318"/>
      <w:bookmarkStart w:id="55" w:name="_Toc13288"/>
      <w:bookmarkStart w:id="56" w:name="_Toc6149"/>
      <w:bookmarkStart w:id="57" w:name="_Toc24571"/>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兴银理财【稳利恒盈封闭式固收类】理财产品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11</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pPr>
              <w:spacing w:line="360" w:lineRule="auto"/>
              <w:jc w:val="left"/>
              <w:rPr>
                <w:rFonts w:ascii="宋体" w:hAnsi="宋体" w:cs="宋体"/>
                <w:bCs/>
                <w:sz w:val="18"/>
                <w:szCs w:val="18"/>
              </w:rPr>
            </w:pPr>
            <w:r>
              <w:rPr>
                <w:rFonts w:hint="eastAsia" w:ascii="宋体" w:hAnsi="宋体" w:eastAsia="宋体" w:cs="宋体"/>
                <w:bCs/>
                <w:kern w:val="0"/>
                <w:sz w:val="18"/>
                <w:szCs w:val="18"/>
              </w:rPr>
              <w:t>【兴银理财稳利恒盈封闭式2025年173期固收类理财产品】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pPr>
              <w:widowControl/>
              <w:spacing w:line="360" w:lineRule="auto"/>
              <w:jc w:val="left"/>
              <w:rPr>
                <w:rFonts w:hint="eastAsia" w:ascii="宋体" w:hAnsi="宋体" w:cs="宋体"/>
                <w:sz w:val="18"/>
                <w:szCs w:val="18"/>
              </w:rPr>
            </w:pPr>
            <w:r>
              <w:rPr>
                <w:rFonts w:hint="eastAsia" w:ascii="宋体" w:hAnsi="宋体" w:cs="宋体"/>
                <w:sz w:val="18"/>
                <w:szCs w:val="18"/>
              </w:rPr>
              <w:t>【兴银理财稳利恒盈2025年173期B】（适用【B】类份额）</w:t>
            </w:r>
          </w:p>
          <w:p>
            <w:pPr>
              <w:widowControl/>
              <w:spacing w:line="360" w:lineRule="auto"/>
              <w:jc w:val="left"/>
              <w:rPr>
                <w:rFonts w:hint="eastAsia" w:ascii="宋体" w:hAnsi="宋体" w:cs="宋体"/>
                <w:sz w:val="18"/>
                <w:szCs w:val="18"/>
              </w:rPr>
            </w:pPr>
            <w:r>
              <w:rPr>
                <w:rFonts w:hint="eastAsia" w:ascii="宋体" w:hAnsi="宋体" w:cs="宋体"/>
                <w:sz w:val="18"/>
                <w:szCs w:val="18"/>
              </w:rPr>
              <w:t>【兴银理财稳利恒盈2025年173期C】（适用【C】类份额）</w:t>
            </w:r>
          </w:p>
          <w:p>
            <w:pPr>
              <w:widowControl/>
              <w:spacing w:line="360" w:lineRule="auto"/>
              <w:jc w:val="left"/>
              <w:rPr>
                <w:rFonts w:hint="eastAsia" w:ascii="宋体" w:hAnsi="宋体" w:cs="宋体"/>
                <w:sz w:val="18"/>
                <w:szCs w:val="18"/>
              </w:rPr>
            </w:pPr>
            <w:r>
              <w:rPr>
                <w:rFonts w:hint="eastAsia" w:ascii="宋体" w:hAnsi="宋体" w:cs="宋体"/>
                <w:sz w:val="18"/>
                <w:szCs w:val="18"/>
              </w:rPr>
              <w:t>【兴银理财稳利恒盈2025年173期D】（适用【D】类份额）</w:t>
            </w:r>
          </w:p>
          <w:p>
            <w:pPr>
              <w:widowControl/>
              <w:spacing w:line="360" w:lineRule="auto"/>
              <w:jc w:val="left"/>
              <w:rPr>
                <w:rFonts w:hint="eastAsia" w:ascii="宋体" w:hAnsi="宋体" w:cs="宋体"/>
                <w:sz w:val="18"/>
                <w:szCs w:val="18"/>
              </w:rPr>
            </w:pPr>
            <w:r>
              <w:rPr>
                <w:rFonts w:hint="eastAsia" w:ascii="宋体" w:hAnsi="宋体" w:cs="宋体"/>
                <w:sz w:val="18"/>
                <w:szCs w:val="18"/>
              </w:rPr>
              <w:t>【兴银理财稳利恒盈2025年173期E】（适用【E】类份额）</w:t>
            </w:r>
          </w:p>
          <w:p>
            <w:pPr>
              <w:widowControl/>
              <w:spacing w:line="360" w:lineRule="auto"/>
              <w:jc w:val="left"/>
              <w:rPr>
                <w:rFonts w:hint="eastAsia" w:ascii="Calibri" w:hAnsi="宋体" w:cs="宋体"/>
                <w:sz w:val="18"/>
                <w:szCs w:val="18"/>
              </w:rPr>
            </w:pPr>
            <w:r>
              <w:rPr>
                <w:rFonts w:hint="eastAsia" w:ascii="宋体" w:hAnsi="宋体" w:cs="宋体"/>
                <w:sz w:val="18"/>
                <w:szCs w:val="18"/>
              </w:rPr>
              <w:t>【兴银理财稳利恒盈2025年173期F】（适用【F】</w:t>
            </w:r>
            <w:r>
              <w:rPr>
                <w:rFonts w:hint="eastAsia" w:ascii="Calibri" w:hAnsi="宋体" w:cs="宋体"/>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spacing w:line="360" w:lineRule="auto"/>
              <w:jc w:val="left"/>
              <w:rPr>
                <w:rFonts w:ascii="宋体" w:hAnsi="宋体" w:cs="宋体"/>
                <w:b/>
                <w:sz w:val="18"/>
                <w:szCs w:val="18"/>
              </w:rPr>
            </w:pPr>
            <w:r>
              <w:rPr>
                <w:rFonts w:hint="eastAsia" w:ascii="宋体" w:hAnsi="宋体" w:cs="宋体"/>
                <w:sz w:val="18"/>
                <w:szCs w:val="18"/>
              </w:rPr>
              <w:t>【Z7002025001631】</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sz w:val="18"/>
                <w:szCs w:val="18"/>
              </w:rPr>
              <w:t>9N251730</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pPr>
              <w:spacing w:line="360" w:lineRule="auto"/>
              <w:jc w:val="left"/>
              <w:rPr>
                <w:rFonts w:hint="eastAsia" w:ascii="Calibri" w:hAnsi="宋体" w:cs="宋体"/>
                <w:sz w:val="18"/>
                <w:szCs w:val="18"/>
              </w:rPr>
            </w:pPr>
            <w:r>
              <w:rPr>
                <w:rFonts w:hint="eastAsia" w:ascii="Calibri" w:hAnsi="宋体" w:cs="宋体"/>
                <w:sz w:val="18"/>
                <w:szCs w:val="18"/>
              </w:rPr>
              <w:t>【</w:t>
            </w:r>
            <w:r>
              <w:rPr>
                <w:rFonts w:hint="eastAsia" w:ascii="宋体" w:hAnsi="宋体" w:cs="宋体"/>
                <w:sz w:val="18"/>
                <w:szCs w:val="18"/>
                <w:lang w:eastAsia="zh-CN"/>
              </w:rPr>
              <w:t>9N25173B</w:t>
            </w:r>
            <w:r>
              <w:rPr>
                <w:rFonts w:hint="eastAsia" w:ascii="Calibri" w:hAnsi="宋体" w:cs="宋体"/>
                <w:sz w:val="18"/>
                <w:szCs w:val="18"/>
              </w:rPr>
              <w:t>】（</w:t>
            </w:r>
            <w:r>
              <w:rPr>
                <w:rFonts w:hint="eastAsia" w:ascii="Calibri" w:hAnsi="宋体" w:cs="宋体"/>
                <w:sz w:val="18"/>
                <w:szCs w:val="18"/>
                <w:lang w:eastAsia="zh-CN"/>
              </w:rPr>
              <w:t>适用【</w:t>
            </w:r>
            <w:r>
              <w:rPr>
                <w:rFonts w:hint="eastAsia" w:ascii="Calibri" w:hAnsi="宋体" w:cs="宋体"/>
                <w:sz w:val="18"/>
                <w:szCs w:val="18"/>
                <w:lang w:val="en-US" w:eastAsia="zh-CN"/>
              </w:rPr>
              <w:t>B</w:t>
            </w:r>
            <w:r>
              <w:rPr>
                <w:rFonts w:hint="eastAsia" w:ascii="Calibri" w:hAnsi="宋体" w:cs="宋体"/>
                <w:sz w:val="18"/>
                <w:szCs w:val="18"/>
                <w:lang w:eastAsia="zh-CN"/>
              </w:rPr>
              <w:t>】类份额</w:t>
            </w:r>
            <w:r>
              <w:rPr>
                <w:rFonts w:hint="eastAsia" w:ascii="Calibri" w:hAnsi="宋体" w:cs="宋体"/>
                <w:sz w:val="18"/>
                <w:szCs w:val="18"/>
              </w:rPr>
              <w:t>）</w:t>
            </w:r>
          </w:p>
          <w:p>
            <w:pPr>
              <w:spacing w:line="360" w:lineRule="auto"/>
              <w:jc w:val="left"/>
              <w:rPr>
                <w:rFonts w:hint="eastAsia" w:ascii="Calibri" w:hAnsi="宋体" w:cs="宋体"/>
                <w:sz w:val="18"/>
                <w:szCs w:val="18"/>
              </w:rPr>
            </w:pPr>
            <w:r>
              <w:rPr>
                <w:rFonts w:hint="eastAsia" w:ascii="Calibri" w:hAnsi="宋体" w:cs="宋体"/>
                <w:sz w:val="18"/>
                <w:szCs w:val="18"/>
              </w:rPr>
              <w:t>【</w:t>
            </w:r>
            <w:r>
              <w:rPr>
                <w:rFonts w:hint="eastAsia" w:ascii="宋体" w:hAnsi="宋体" w:cs="宋体"/>
                <w:sz w:val="18"/>
                <w:szCs w:val="18"/>
                <w:lang w:eastAsia="zh-CN"/>
              </w:rPr>
              <w:t>9N25173</w:t>
            </w:r>
            <w:r>
              <w:rPr>
                <w:rFonts w:hint="eastAsia" w:ascii="宋体" w:hAnsi="宋体" w:cs="宋体"/>
                <w:sz w:val="18"/>
                <w:szCs w:val="18"/>
                <w:lang w:val="en-US" w:eastAsia="zh-CN"/>
              </w:rPr>
              <w:t>C</w:t>
            </w:r>
            <w:r>
              <w:rPr>
                <w:rFonts w:hint="eastAsia" w:ascii="Calibri" w:hAnsi="宋体" w:cs="宋体"/>
                <w:sz w:val="18"/>
                <w:szCs w:val="18"/>
              </w:rPr>
              <w:t>】（</w:t>
            </w:r>
            <w:r>
              <w:rPr>
                <w:rFonts w:hint="eastAsia" w:ascii="Calibri" w:hAnsi="宋体" w:cs="宋体"/>
                <w:sz w:val="18"/>
                <w:szCs w:val="18"/>
                <w:lang w:eastAsia="zh-CN"/>
              </w:rPr>
              <w:t>适用【</w:t>
            </w:r>
            <w:r>
              <w:rPr>
                <w:rFonts w:hint="eastAsia" w:ascii="Calibri" w:hAnsi="宋体" w:cs="宋体"/>
                <w:sz w:val="18"/>
                <w:szCs w:val="18"/>
                <w:lang w:val="en-US" w:eastAsia="zh-CN"/>
              </w:rPr>
              <w:t>C</w:t>
            </w:r>
            <w:r>
              <w:rPr>
                <w:rFonts w:hint="eastAsia" w:ascii="Calibri" w:hAnsi="宋体" w:cs="宋体"/>
                <w:sz w:val="18"/>
                <w:szCs w:val="18"/>
                <w:lang w:eastAsia="zh-CN"/>
              </w:rPr>
              <w:t>】类份额</w:t>
            </w:r>
            <w:r>
              <w:rPr>
                <w:rFonts w:hint="eastAsia" w:ascii="Calibri" w:hAnsi="宋体" w:cs="宋体"/>
                <w:sz w:val="18"/>
                <w:szCs w:val="18"/>
              </w:rPr>
              <w:t>）</w:t>
            </w:r>
          </w:p>
          <w:p>
            <w:pPr>
              <w:spacing w:line="360" w:lineRule="auto"/>
              <w:jc w:val="left"/>
              <w:rPr>
                <w:rFonts w:hint="eastAsia" w:ascii="Calibri" w:hAnsi="宋体" w:cs="宋体"/>
                <w:sz w:val="18"/>
                <w:szCs w:val="18"/>
              </w:rPr>
            </w:pPr>
            <w:r>
              <w:rPr>
                <w:rFonts w:hint="eastAsia" w:ascii="Calibri" w:hAnsi="宋体" w:cs="宋体"/>
                <w:sz w:val="18"/>
                <w:szCs w:val="18"/>
              </w:rPr>
              <w:t>【</w:t>
            </w:r>
            <w:r>
              <w:rPr>
                <w:rFonts w:hint="eastAsia" w:ascii="宋体" w:hAnsi="宋体" w:cs="宋体"/>
                <w:sz w:val="18"/>
                <w:szCs w:val="18"/>
                <w:lang w:eastAsia="zh-CN"/>
              </w:rPr>
              <w:t>9N25173</w:t>
            </w:r>
            <w:r>
              <w:rPr>
                <w:rFonts w:hint="eastAsia" w:ascii="宋体" w:hAnsi="宋体" w:cs="宋体"/>
                <w:sz w:val="18"/>
                <w:szCs w:val="18"/>
                <w:lang w:val="en-US" w:eastAsia="zh-CN"/>
              </w:rPr>
              <w:t>D</w:t>
            </w:r>
            <w:r>
              <w:rPr>
                <w:rFonts w:hint="eastAsia" w:ascii="Calibri" w:hAnsi="宋体" w:cs="宋体"/>
                <w:sz w:val="18"/>
                <w:szCs w:val="18"/>
              </w:rPr>
              <w:t>】（</w:t>
            </w:r>
            <w:r>
              <w:rPr>
                <w:rFonts w:hint="eastAsia" w:ascii="Calibri" w:hAnsi="宋体" w:cs="宋体"/>
                <w:sz w:val="18"/>
                <w:szCs w:val="18"/>
                <w:lang w:eastAsia="zh-CN"/>
              </w:rPr>
              <w:t>适用【</w:t>
            </w:r>
            <w:r>
              <w:rPr>
                <w:rFonts w:hint="eastAsia" w:ascii="Calibri" w:hAnsi="宋体" w:cs="宋体"/>
                <w:sz w:val="18"/>
                <w:szCs w:val="18"/>
                <w:lang w:val="en-US" w:eastAsia="zh-CN"/>
              </w:rPr>
              <w:t>D</w:t>
            </w:r>
            <w:r>
              <w:rPr>
                <w:rFonts w:hint="eastAsia" w:ascii="Calibri" w:hAnsi="宋体" w:cs="宋体"/>
                <w:sz w:val="18"/>
                <w:szCs w:val="18"/>
                <w:lang w:eastAsia="zh-CN"/>
              </w:rPr>
              <w:t>】类份额</w:t>
            </w:r>
            <w:r>
              <w:rPr>
                <w:rFonts w:hint="eastAsia" w:ascii="Calibri" w:hAnsi="宋体" w:cs="宋体"/>
                <w:sz w:val="18"/>
                <w:szCs w:val="18"/>
              </w:rPr>
              <w:t>）</w:t>
            </w:r>
          </w:p>
          <w:p>
            <w:pPr>
              <w:spacing w:line="360" w:lineRule="auto"/>
              <w:jc w:val="left"/>
              <w:rPr>
                <w:rFonts w:hint="eastAsia" w:ascii="Calibri" w:hAnsi="宋体" w:cs="宋体"/>
                <w:sz w:val="18"/>
                <w:szCs w:val="18"/>
              </w:rPr>
            </w:pPr>
            <w:r>
              <w:rPr>
                <w:rFonts w:hint="eastAsia" w:ascii="Calibri" w:hAnsi="宋体" w:cs="宋体"/>
                <w:sz w:val="18"/>
                <w:szCs w:val="18"/>
              </w:rPr>
              <w:t>【</w:t>
            </w:r>
            <w:r>
              <w:rPr>
                <w:rFonts w:hint="eastAsia" w:ascii="宋体" w:hAnsi="宋体" w:cs="宋体"/>
                <w:sz w:val="18"/>
                <w:szCs w:val="18"/>
                <w:lang w:eastAsia="zh-CN"/>
              </w:rPr>
              <w:t>9N25173</w:t>
            </w:r>
            <w:r>
              <w:rPr>
                <w:rFonts w:hint="eastAsia" w:ascii="宋体" w:hAnsi="宋体" w:cs="宋体"/>
                <w:sz w:val="18"/>
                <w:szCs w:val="18"/>
                <w:lang w:val="en-US" w:eastAsia="zh-CN"/>
              </w:rPr>
              <w:t>E</w:t>
            </w:r>
            <w:r>
              <w:rPr>
                <w:rFonts w:hint="eastAsia" w:ascii="Calibri" w:hAnsi="宋体" w:cs="宋体"/>
                <w:sz w:val="18"/>
                <w:szCs w:val="18"/>
              </w:rPr>
              <w:t>】（</w:t>
            </w:r>
            <w:r>
              <w:rPr>
                <w:rFonts w:hint="eastAsia" w:ascii="Calibri" w:hAnsi="宋体" w:cs="宋体"/>
                <w:sz w:val="18"/>
                <w:szCs w:val="18"/>
                <w:lang w:eastAsia="zh-CN"/>
              </w:rPr>
              <w:t>适用【</w:t>
            </w:r>
            <w:r>
              <w:rPr>
                <w:rFonts w:hint="eastAsia" w:ascii="Calibri" w:hAnsi="宋体" w:cs="宋体"/>
                <w:sz w:val="18"/>
                <w:szCs w:val="18"/>
                <w:lang w:val="en-US" w:eastAsia="zh-CN"/>
              </w:rPr>
              <w:t>E</w:t>
            </w:r>
            <w:r>
              <w:rPr>
                <w:rFonts w:hint="eastAsia" w:ascii="Calibri" w:hAnsi="宋体" w:cs="宋体"/>
                <w:sz w:val="18"/>
                <w:szCs w:val="18"/>
                <w:lang w:eastAsia="zh-CN"/>
              </w:rPr>
              <w:t>】类份额</w:t>
            </w:r>
            <w:r>
              <w:rPr>
                <w:rFonts w:hint="eastAsia" w:ascii="Calibri" w:hAnsi="宋体" w:cs="宋体"/>
                <w:sz w:val="18"/>
                <w:szCs w:val="18"/>
              </w:rPr>
              <w:t>）</w:t>
            </w:r>
          </w:p>
          <w:p>
            <w:pPr>
              <w:spacing w:line="360" w:lineRule="auto"/>
              <w:jc w:val="left"/>
              <w:rPr>
                <w:rFonts w:hint="eastAsia" w:ascii="Calibri" w:hAnsi="宋体" w:cs="宋体"/>
                <w:sz w:val="18"/>
                <w:szCs w:val="18"/>
              </w:rPr>
            </w:pPr>
            <w:r>
              <w:rPr>
                <w:rFonts w:hint="eastAsia" w:ascii="Calibri" w:hAnsi="宋体" w:cs="宋体"/>
                <w:sz w:val="18"/>
                <w:szCs w:val="18"/>
              </w:rPr>
              <w:t>【</w:t>
            </w:r>
            <w:r>
              <w:rPr>
                <w:rFonts w:hint="eastAsia" w:ascii="宋体" w:hAnsi="宋体" w:cs="宋体"/>
                <w:sz w:val="18"/>
                <w:szCs w:val="18"/>
                <w:lang w:eastAsia="zh-CN"/>
              </w:rPr>
              <w:t>9N25173</w:t>
            </w:r>
            <w:r>
              <w:rPr>
                <w:rFonts w:hint="eastAsia" w:ascii="宋体" w:hAnsi="宋体" w:cs="宋体"/>
                <w:sz w:val="18"/>
                <w:szCs w:val="18"/>
                <w:lang w:val="en-US" w:eastAsia="zh-CN"/>
              </w:rPr>
              <w:t>F</w:t>
            </w:r>
            <w:r>
              <w:rPr>
                <w:rFonts w:hint="eastAsia" w:ascii="Calibri" w:hAnsi="宋体" w:cs="宋体"/>
                <w:sz w:val="18"/>
                <w:szCs w:val="18"/>
              </w:rPr>
              <w:t>】（</w:t>
            </w:r>
            <w:r>
              <w:rPr>
                <w:rFonts w:hint="eastAsia" w:ascii="Calibri" w:hAnsi="宋体" w:cs="宋体"/>
                <w:sz w:val="18"/>
                <w:szCs w:val="18"/>
                <w:lang w:eastAsia="zh-CN"/>
              </w:rPr>
              <w:t>适用【</w:t>
            </w:r>
            <w:r>
              <w:rPr>
                <w:rFonts w:hint="eastAsia" w:ascii="Calibri" w:hAnsi="宋体" w:cs="宋体"/>
                <w:sz w:val="18"/>
                <w:szCs w:val="18"/>
                <w:lang w:val="en-US" w:eastAsia="zh-CN"/>
              </w:rPr>
              <w:t>F</w:t>
            </w:r>
            <w:r>
              <w:rPr>
                <w:rFonts w:hint="eastAsia" w:ascii="Calibri" w:hAnsi="宋体" w:cs="宋体"/>
                <w:sz w:val="18"/>
                <w:szCs w:val="18"/>
                <w:lang w:eastAsia="zh-CN"/>
              </w:rPr>
              <w:t>】类份额</w:t>
            </w:r>
            <w:r>
              <w:rPr>
                <w:rFonts w:hint="eastAsia" w:ascii="Calibri"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pPr>
              <w:spacing w:line="360" w:lineRule="auto"/>
              <w:rPr>
                <w:rFonts w:ascii="宋体" w:hAnsi="宋体" w:eastAsia="宋体" w:cs="宋体"/>
                <w:bCs/>
                <w:color w:val="000000"/>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hint="eastAsia" w:ascii="宋体" w:hAnsi="宋体" w:eastAsia="宋体" w:cs="宋体"/>
                <w:bCs/>
                <w:sz w:val="18"/>
                <w:szCs w:val="18"/>
                <w:lang w:eastAsia="zh-CN"/>
              </w:rPr>
            </w:pPr>
            <w:r>
              <w:rPr>
                <w:rFonts w:hint="eastAsia" w:ascii="宋体" w:hAnsi="宋体" w:eastAsia="宋体" w:cs="宋体"/>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5</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■有固定期限：【</w:t>
            </w:r>
            <w:r>
              <w:rPr>
                <w:rFonts w:hint="eastAsia" w:ascii="宋体" w:hAnsi="宋体" w:eastAsia="宋体" w:cs="宋体"/>
                <w:bCs/>
                <w:sz w:val="18"/>
                <w:szCs w:val="18"/>
                <w:lang w:val="en-US" w:eastAsia="zh-CN"/>
              </w:rPr>
              <w:t>365天</w:t>
            </w:r>
            <w:r>
              <w:rPr>
                <w:rFonts w:hint="eastAsia" w:ascii="宋体" w:hAnsi="宋体" w:eastAsia="宋体" w:cs="宋体"/>
                <w:bCs/>
                <w:sz w:val="18"/>
                <w:szCs w:val="18"/>
              </w:rPr>
              <w:t>】</w:t>
            </w:r>
          </w:p>
          <w:p>
            <w:pPr>
              <w:spacing w:line="360" w:lineRule="auto"/>
              <w:rPr>
                <w:rFonts w:ascii="宋体" w:hAnsi="宋体" w:eastAsia="宋体" w:cs="宋体"/>
                <w:bCs/>
                <w:sz w:val="18"/>
                <w:szCs w:val="18"/>
              </w:rPr>
            </w:pPr>
            <w:r>
              <w:rPr>
                <w:rFonts w:hint="eastAsia" w:ascii="宋体" w:hAnsi="宋体" w:eastAsia="宋体" w:cs="宋体"/>
                <w:bCs/>
                <w:sz w:val="18"/>
                <w:szCs w:val="18"/>
              </w:rPr>
              <w:t>□无固定期限</w:t>
            </w:r>
          </w:p>
          <w:p>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bidi w:val="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11</w:t>
            </w:r>
            <w:r>
              <w:rPr>
                <w:rFonts w:hint="eastAsia" w:ascii="宋体" w:hAnsi="宋体" w:cs="Times New Roman"/>
                <w:sz w:val="18"/>
                <w:szCs w:val="18"/>
              </w:rPr>
              <w:t>】月【</w:t>
            </w:r>
            <w:r>
              <w:rPr>
                <w:rFonts w:hint="eastAsia" w:ascii="宋体" w:hAnsi="宋体" w:cs="Times New Roman"/>
                <w:sz w:val="18"/>
                <w:szCs w:val="18"/>
                <w:lang w:val="en-US" w:eastAsia="zh-CN"/>
              </w:rPr>
              <w:t>27</w:t>
            </w:r>
            <w:r>
              <w:rPr>
                <w:rFonts w:hint="eastAsia" w:ascii="宋体" w:hAnsi="宋体" w:cs="Times New Roman"/>
                <w:sz w:val="18"/>
                <w:szCs w:val="18"/>
              </w:rPr>
              <w:t>】日【</w:t>
            </w:r>
            <w:r>
              <w:rPr>
                <w:rFonts w:hint="eastAsia" w:ascii="宋体" w:hAnsi="宋体" w:cs="Times New Roman"/>
                <w:sz w:val="18"/>
                <w:szCs w:val="18"/>
                <w:lang w:val="en-US" w:eastAsia="zh-CN"/>
              </w:rPr>
              <w:t>9:00</w:t>
            </w:r>
            <w:r>
              <w:rPr>
                <w:rFonts w:hint="eastAsia" w:ascii="宋体" w:hAnsi="宋体" w:cs="Times New Roman"/>
                <w:sz w:val="18"/>
                <w:szCs w:val="18"/>
              </w:rPr>
              <w:t>】</w:t>
            </w:r>
            <w:r>
              <w:rPr>
                <w:rFonts w:hint="eastAsia" w:ascii="宋体" w:hAnsi="宋体" w:cs="仿宋_GB2312"/>
                <w:sz w:val="18"/>
                <w:szCs w:val="18"/>
              </w:rPr>
              <w:t>至</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12】</w:t>
            </w:r>
            <w:r>
              <w:rPr>
                <w:rFonts w:hint="eastAsia" w:ascii="宋体" w:hAnsi="宋体" w:cs="Times New Roman"/>
                <w:sz w:val="18"/>
                <w:szCs w:val="18"/>
              </w:rPr>
              <w:t>月【</w:t>
            </w:r>
            <w:r>
              <w:rPr>
                <w:rFonts w:hint="eastAsia" w:ascii="宋体" w:hAnsi="宋体" w:cs="Times New Roman"/>
                <w:sz w:val="18"/>
                <w:szCs w:val="18"/>
                <w:lang w:val="en-US" w:eastAsia="zh-CN"/>
              </w:rPr>
              <w:t>08</w:t>
            </w:r>
            <w:r>
              <w:rPr>
                <w:rFonts w:hint="eastAsia" w:ascii="宋体" w:hAnsi="宋体" w:cs="Times New Roman"/>
                <w:sz w:val="18"/>
                <w:szCs w:val="18"/>
              </w:rPr>
              <w:t>】日</w:t>
            </w:r>
            <w:r>
              <w:rPr>
                <w:rFonts w:hint="eastAsia" w:ascii="宋体" w:hAnsi="宋体" w:eastAsia="宋体" w:cs="宋体"/>
                <w:sz w:val="18"/>
                <w:szCs w:val="18"/>
              </w:rPr>
              <w:t>【</w:t>
            </w:r>
            <w:r>
              <w:rPr>
                <w:rFonts w:hint="eastAsia" w:ascii="宋体" w:hAnsi="宋体" w:eastAsia="宋体" w:cs="宋体"/>
                <w:sz w:val="18"/>
                <w:szCs w:val="18"/>
                <w:lang w:val="en-US" w:eastAsia="zh-CN"/>
              </w:rPr>
              <w:t>17:00</w:t>
            </w:r>
            <w:r>
              <w:rPr>
                <w:rFonts w:hint="eastAsia" w:ascii="宋体" w:hAnsi="宋体" w:eastAsia="宋体" w:cs="宋体"/>
                <w:sz w:val="18"/>
                <w:szCs w:val="18"/>
              </w:rPr>
              <w:t>】</w:t>
            </w:r>
            <w:r>
              <w:rPr>
                <w:rFonts w:ascii="宋体" w:hAnsi="宋体" w:eastAsia="宋体" w:cs="宋体"/>
                <w:sz w:val="18"/>
                <w:szCs w:val="18"/>
              </w:rPr>
              <w:t>。</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.认购期/募集期内资金产生的利息不计入认购资金</w:t>
            </w:r>
            <w:r>
              <w:rPr>
                <w:rFonts w:hint="eastAsia" w:ascii="宋体" w:hAnsi="宋体" w:cs="宋体"/>
                <w:sz w:val="18"/>
                <w:szCs w:val="22"/>
              </w:rPr>
              <w:t>。</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12</w:t>
            </w:r>
            <w:r>
              <w:rPr>
                <w:rFonts w:hint="eastAsia" w:ascii="宋体" w:hAnsi="宋体" w:cs="Times New Roman"/>
                <w:sz w:val="18"/>
                <w:szCs w:val="18"/>
              </w:rPr>
              <w:t>】月【</w:t>
            </w:r>
            <w:r>
              <w:rPr>
                <w:rFonts w:hint="eastAsia" w:ascii="宋体" w:hAnsi="宋体" w:cs="Times New Roman"/>
                <w:sz w:val="18"/>
                <w:szCs w:val="18"/>
                <w:lang w:val="en-US" w:eastAsia="zh-CN"/>
              </w:rPr>
              <w:t>09</w:t>
            </w:r>
            <w:r>
              <w:rPr>
                <w:rFonts w:hint="eastAsia" w:ascii="宋体" w:hAnsi="宋体" w:cs="Times New Roman"/>
                <w:sz w:val="18"/>
                <w:szCs w:val="18"/>
              </w:rPr>
              <w:t>】日（遇节假日顺延）</w:t>
            </w:r>
            <w:r>
              <w:rPr>
                <w:rFonts w:hint="eastAsia" w:ascii="宋体" w:hAnsi="宋体" w:cs="宋体"/>
                <w:bCs/>
                <w:sz w:val="18"/>
                <w:szCs w:val="18"/>
              </w:rPr>
              <w:t>。</w:t>
            </w:r>
          </w:p>
          <w:p>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2026</w:t>
            </w:r>
            <w:r>
              <w:rPr>
                <w:rFonts w:ascii="宋体" w:hAnsi="宋体" w:cs="Times New Roman"/>
                <w:sz w:val="18"/>
                <w:szCs w:val="18"/>
              </w:rPr>
              <w:t>】年【</w:t>
            </w:r>
            <w:r>
              <w:rPr>
                <w:rFonts w:hint="eastAsia" w:ascii="宋体" w:hAnsi="宋体" w:cs="Times New Roman"/>
                <w:sz w:val="18"/>
                <w:szCs w:val="18"/>
                <w:lang w:val="en-US" w:eastAsia="zh-CN"/>
              </w:rPr>
              <w:t>12</w:t>
            </w:r>
            <w:r>
              <w:rPr>
                <w:rFonts w:hint="eastAsia" w:ascii="宋体" w:hAnsi="宋体" w:cs="Times New Roman"/>
                <w:sz w:val="18"/>
                <w:szCs w:val="18"/>
              </w:rPr>
              <w:t>】月【</w:t>
            </w:r>
            <w:r>
              <w:rPr>
                <w:rFonts w:hint="eastAsia" w:ascii="宋体" w:hAnsi="宋体" w:cs="Times New Roman"/>
                <w:sz w:val="18"/>
                <w:szCs w:val="18"/>
                <w:lang w:val="en-US" w:eastAsia="zh-CN"/>
              </w:rPr>
              <w:t>09</w:t>
            </w:r>
            <w:r>
              <w:rPr>
                <w:rFonts w:hint="eastAsia" w:ascii="宋体" w:hAnsi="宋体" w:cs="Times New Roman"/>
                <w:sz w:val="18"/>
                <w:szCs w:val="18"/>
              </w:rPr>
              <w:t>】日（遇节假日顺延）</w:t>
            </w:r>
            <w:r>
              <w:rPr>
                <w:rFonts w:hint="eastAsia" w:ascii="宋体" w:hAnsi="宋体" w:cs="宋体"/>
                <w:bCs/>
                <w:sz w:val="18"/>
                <w:szCs w:val="18"/>
              </w:rPr>
              <w:t>。</w:t>
            </w:r>
          </w:p>
          <w:p>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hint="eastAsia" w:ascii="宋体" w:hAnsi="宋体" w:eastAsia="宋体" w:cs="宋体"/>
                <w:bCs/>
                <w:color w:val="000000"/>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w:t>
            </w:r>
            <w:r>
              <w:rPr>
                <w:rFonts w:hint="eastAsia" w:ascii="宋体" w:hAnsi="宋体" w:eastAsia="宋体" w:cs="宋体"/>
                <w:bCs/>
                <w:sz w:val="18"/>
                <w:szCs w:val="18"/>
                <w:lang w:val="en-US" w:eastAsia="zh-CN"/>
              </w:rPr>
              <w:t>1</w:t>
            </w:r>
            <w:r>
              <w:rPr>
                <w:rFonts w:hint="eastAsia" w:ascii="宋体" w:hAnsi="宋体" w:eastAsia="宋体" w:cs="宋体"/>
                <w:bCs/>
                <w:sz w:val="18"/>
                <w:szCs w:val="18"/>
              </w:rPr>
              <w:t>】元；超出起点金额的部分以【</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】元的整数倍递增。</w:t>
            </w:r>
            <w:r>
              <w:rPr>
                <w:rFonts w:hint="eastAsia" w:ascii="宋体" w:hAnsi="宋体" w:eastAsia="宋体" w:cs="宋体"/>
                <w:bCs/>
                <w:color w:val="000000"/>
                <w:sz w:val="18"/>
                <w:szCs w:val="18"/>
              </w:rPr>
              <w:t>（</w:t>
            </w:r>
            <w:r>
              <w:rPr>
                <w:rFonts w:hint="eastAsia" w:ascii="宋体" w:hAnsi="宋体" w:eastAsia="宋体" w:cs="宋体"/>
                <w:bCs/>
                <w:color w:val="000000"/>
                <w:sz w:val="18"/>
                <w:szCs w:val="18"/>
                <w:lang w:eastAsia="zh-CN"/>
              </w:rPr>
              <w:t>适用【</w:t>
            </w:r>
            <w:r>
              <w:rPr>
                <w:rFonts w:hint="eastAsia" w:ascii="宋体" w:hAnsi="宋体" w:eastAsia="宋体" w:cs="宋体"/>
                <w:bCs/>
                <w:color w:val="000000"/>
                <w:sz w:val="18"/>
                <w:szCs w:val="18"/>
                <w:lang w:val="en-US" w:eastAsia="zh-CN"/>
              </w:rPr>
              <w:t>B</w:t>
            </w:r>
            <w:r>
              <w:rPr>
                <w:rFonts w:hint="eastAsia" w:ascii="宋体" w:hAnsi="宋体" w:eastAsia="宋体" w:cs="宋体"/>
                <w:bCs/>
                <w:color w:val="000000"/>
                <w:sz w:val="18"/>
                <w:szCs w:val="18"/>
                <w:lang w:eastAsia="zh-CN"/>
              </w:rPr>
              <w:t>】类份额</w:t>
            </w:r>
            <w:r>
              <w:rPr>
                <w:rFonts w:hint="eastAsia" w:ascii="宋体" w:hAnsi="宋体" w:eastAsia="宋体" w:cs="宋体"/>
                <w:bCs/>
                <w:color w:val="000000"/>
                <w:sz w:val="18"/>
                <w:szCs w:val="18"/>
              </w:rPr>
              <w:t>）</w:t>
            </w:r>
          </w:p>
          <w:p>
            <w:pPr>
              <w:spacing w:line="360" w:lineRule="auto"/>
              <w:rPr>
                <w:rFonts w:hint="eastAsia" w:ascii="宋体" w:hAnsi="宋体" w:eastAsia="宋体" w:cs="宋体"/>
                <w:bCs/>
                <w:color w:val="000000"/>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w:t>
            </w:r>
            <w:r>
              <w:rPr>
                <w:rFonts w:hint="eastAsia" w:ascii="宋体" w:hAnsi="宋体" w:eastAsia="宋体" w:cs="宋体"/>
                <w:bCs/>
                <w:sz w:val="18"/>
                <w:szCs w:val="18"/>
                <w:lang w:val="en-US" w:eastAsia="zh-CN"/>
              </w:rPr>
              <w:t>1</w:t>
            </w:r>
            <w:r>
              <w:rPr>
                <w:rFonts w:hint="eastAsia" w:ascii="宋体" w:hAnsi="宋体" w:eastAsia="宋体" w:cs="宋体"/>
                <w:bCs/>
                <w:sz w:val="18"/>
                <w:szCs w:val="18"/>
              </w:rPr>
              <w:t>】元；超出起点金额的部分以【</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】元的整数倍递增。</w:t>
            </w:r>
            <w:r>
              <w:rPr>
                <w:rFonts w:hint="eastAsia" w:ascii="宋体" w:hAnsi="宋体" w:eastAsia="宋体" w:cs="宋体"/>
                <w:bCs/>
                <w:color w:val="000000"/>
                <w:sz w:val="18"/>
                <w:szCs w:val="18"/>
              </w:rPr>
              <w:t>（</w:t>
            </w:r>
            <w:r>
              <w:rPr>
                <w:rFonts w:hint="eastAsia" w:ascii="宋体" w:hAnsi="宋体" w:eastAsia="宋体" w:cs="宋体"/>
                <w:bCs/>
                <w:color w:val="000000"/>
                <w:sz w:val="18"/>
                <w:szCs w:val="18"/>
                <w:lang w:eastAsia="zh-CN"/>
              </w:rPr>
              <w:t>适用【</w:t>
            </w:r>
            <w:r>
              <w:rPr>
                <w:rFonts w:hint="eastAsia" w:ascii="宋体" w:hAnsi="宋体" w:eastAsia="宋体" w:cs="宋体"/>
                <w:bCs/>
                <w:color w:val="000000"/>
                <w:sz w:val="18"/>
                <w:szCs w:val="18"/>
                <w:lang w:val="en-US" w:eastAsia="zh-CN"/>
              </w:rPr>
              <w:t>C</w:t>
            </w:r>
            <w:r>
              <w:rPr>
                <w:rFonts w:hint="eastAsia" w:ascii="宋体" w:hAnsi="宋体" w:eastAsia="宋体" w:cs="宋体"/>
                <w:bCs/>
                <w:color w:val="000000"/>
                <w:sz w:val="18"/>
                <w:szCs w:val="18"/>
                <w:lang w:eastAsia="zh-CN"/>
              </w:rPr>
              <w:t>】类份额</w:t>
            </w:r>
            <w:r>
              <w:rPr>
                <w:rFonts w:hint="eastAsia" w:ascii="宋体" w:hAnsi="宋体" w:eastAsia="宋体" w:cs="宋体"/>
                <w:bCs/>
                <w:color w:val="000000"/>
                <w:sz w:val="18"/>
                <w:szCs w:val="18"/>
              </w:rPr>
              <w:t>）</w:t>
            </w:r>
          </w:p>
          <w:p>
            <w:pPr>
              <w:spacing w:line="360" w:lineRule="auto"/>
              <w:rPr>
                <w:rFonts w:hint="eastAsia" w:ascii="宋体" w:hAnsi="宋体" w:eastAsia="宋体" w:cs="宋体"/>
                <w:bCs/>
                <w:color w:val="000000"/>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w:t>
            </w:r>
            <w:r>
              <w:rPr>
                <w:rFonts w:hint="eastAsia" w:ascii="宋体" w:hAnsi="宋体" w:eastAsia="宋体" w:cs="宋体"/>
                <w:bCs/>
                <w:sz w:val="18"/>
                <w:szCs w:val="18"/>
                <w:lang w:val="en-US" w:eastAsia="zh-CN"/>
              </w:rPr>
              <w:t>1</w:t>
            </w:r>
            <w:r>
              <w:rPr>
                <w:rFonts w:hint="eastAsia" w:ascii="宋体" w:hAnsi="宋体" w:eastAsia="宋体" w:cs="宋体"/>
                <w:bCs/>
                <w:sz w:val="18"/>
                <w:szCs w:val="18"/>
              </w:rPr>
              <w:t>】元；超出起点金额的部分以【</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】元的整数倍递增。</w:t>
            </w:r>
            <w:r>
              <w:rPr>
                <w:rFonts w:hint="eastAsia" w:ascii="宋体" w:hAnsi="宋体" w:eastAsia="宋体" w:cs="宋体"/>
                <w:bCs/>
                <w:color w:val="000000"/>
                <w:sz w:val="18"/>
                <w:szCs w:val="18"/>
              </w:rPr>
              <w:t>（</w:t>
            </w:r>
            <w:r>
              <w:rPr>
                <w:rFonts w:hint="eastAsia" w:ascii="宋体" w:hAnsi="宋体" w:eastAsia="宋体" w:cs="宋体"/>
                <w:bCs/>
                <w:color w:val="000000"/>
                <w:sz w:val="18"/>
                <w:szCs w:val="18"/>
                <w:lang w:eastAsia="zh-CN"/>
              </w:rPr>
              <w:t>适用【</w:t>
            </w:r>
            <w:r>
              <w:rPr>
                <w:rFonts w:hint="eastAsia" w:ascii="宋体" w:hAnsi="宋体" w:eastAsia="宋体" w:cs="宋体"/>
                <w:bCs/>
                <w:color w:val="000000"/>
                <w:sz w:val="18"/>
                <w:szCs w:val="18"/>
                <w:lang w:val="en-US" w:eastAsia="zh-CN"/>
              </w:rPr>
              <w:t>D</w:t>
            </w:r>
            <w:r>
              <w:rPr>
                <w:rFonts w:hint="eastAsia" w:ascii="宋体" w:hAnsi="宋体" w:eastAsia="宋体" w:cs="宋体"/>
                <w:bCs/>
                <w:color w:val="000000"/>
                <w:sz w:val="18"/>
                <w:szCs w:val="18"/>
                <w:lang w:eastAsia="zh-CN"/>
              </w:rPr>
              <w:t>】类份额</w:t>
            </w:r>
            <w:r>
              <w:rPr>
                <w:rFonts w:hint="eastAsia" w:ascii="宋体" w:hAnsi="宋体" w:eastAsia="宋体" w:cs="宋体"/>
                <w:bCs/>
                <w:color w:val="000000"/>
                <w:sz w:val="18"/>
                <w:szCs w:val="18"/>
              </w:rPr>
              <w:t>）</w:t>
            </w:r>
          </w:p>
          <w:p>
            <w:pPr>
              <w:spacing w:line="360" w:lineRule="auto"/>
              <w:rPr>
                <w:rFonts w:hint="eastAsia" w:ascii="宋体" w:hAnsi="宋体" w:eastAsia="宋体" w:cs="宋体"/>
                <w:bCs/>
                <w:color w:val="000000"/>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w:t>
            </w:r>
            <w:r>
              <w:rPr>
                <w:rFonts w:hint="eastAsia" w:ascii="宋体" w:hAnsi="宋体" w:eastAsia="宋体" w:cs="宋体"/>
                <w:bCs/>
                <w:sz w:val="18"/>
                <w:szCs w:val="18"/>
                <w:lang w:val="en-US" w:eastAsia="zh-CN"/>
              </w:rPr>
              <w:t>1</w:t>
            </w:r>
            <w:r>
              <w:rPr>
                <w:rFonts w:hint="eastAsia" w:ascii="宋体" w:hAnsi="宋体" w:eastAsia="宋体" w:cs="宋体"/>
                <w:bCs/>
                <w:sz w:val="18"/>
                <w:szCs w:val="18"/>
              </w:rPr>
              <w:t>】元；超出起点金额的部分以【</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】元的整数倍递增。</w:t>
            </w:r>
            <w:r>
              <w:rPr>
                <w:rFonts w:hint="eastAsia" w:ascii="宋体" w:hAnsi="宋体" w:eastAsia="宋体" w:cs="宋体"/>
                <w:bCs/>
                <w:color w:val="000000"/>
                <w:sz w:val="18"/>
                <w:szCs w:val="18"/>
              </w:rPr>
              <w:t>（</w:t>
            </w:r>
            <w:r>
              <w:rPr>
                <w:rFonts w:hint="eastAsia" w:ascii="宋体" w:hAnsi="宋体" w:eastAsia="宋体" w:cs="宋体"/>
                <w:bCs/>
                <w:color w:val="000000"/>
                <w:sz w:val="18"/>
                <w:szCs w:val="18"/>
                <w:lang w:eastAsia="zh-CN"/>
              </w:rPr>
              <w:t>适用【</w:t>
            </w:r>
            <w:r>
              <w:rPr>
                <w:rFonts w:hint="eastAsia" w:ascii="宋体" w:hAnsi="宋体" w:eastAsia="宋体" w:cs="宋体"/>
                <w:bCs/>
                <w:color w:val="000000"/>
                <w:sz w:val="18"/>
                <w:szCs w:val="18"/>
                <w:lang w:val="en-US" w:eastAsia="zh-CN"/>
              </w:rPr>
              <w:t>E</w:t>
            </w:r>
            <w:r>
              <w:rPr>
                <w:rFonts w:hint="eastAsia" w:ascii="宋体" w:hAnsi="宋体" w:eastAsia="宋体" w:cs="宋体"/>
                <w:bCs/>
                <w:color w:val="000000"/>
                <w:sz w:val="18"/>
                <w:szCs w:val="18"/>
                <w:lang w:eastAsia="zh-CN"/>
              </w:rPr>
              <w:t>】类份额</w:t>
            </w:r>
            <w:r>
              <w:rPr>
                <w:rFonts w:hint="eastAsia" w:ascii="宋体" w:hAnsi="宋体" w:eastAsia="宋体" w:cs="宋体"/>
                <w:bCs/>
                <w:color w:val="000000"/>
                <w:sz w:val="18"/>
                <w:szCs w:val="18"/>
              </w:rPr>
              <w:t>）</w:t>
            </w:r>
          </w:p>
          <w:p>
            <w:pPr>
              <w:spacing w:line="360" w:lineRule="auto"/>
              <w:rPr>
                <w:rFonts w:hint="eastAsia" w:ascii="宋体" w:hAnsi="宋体" w:eastAsia="宋体" w:cs="宋体"/>
                <w:bCs/>
                <w:color w:val="000000"/>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w:t>
            </w:r>
            <w:r>
              <w:rPr>
                <w:rFonts w:hint="eastAsia" w:ascii="宋体" w:hAnsi="宋体" w:eastAsia="宋体" w:cs="宋体"/>
                <w:bCs/>
                <w:sz w:val="18"/>
                <w:szCs w:val="18"/>
                <w:lang w:val="en-US" w:eastAsia="zh-CN"/>
              </w:rPr>
              <w:t>1</w:t>
            </w:r>
            <w:r>
              <w:rPr>
                <w:rFonts w:hint="eastAsia" w:ascii="宋体" w:hAnsi="宋体" w:eastAsia="宋体" w:cs="宋体"/>
                <w:bCs/>
                <w:sz w:val="18"/>
                <w:szCs w:val="18"/>
              </w:rPr>
              <w:t>】元；超出起点金额的部分以【</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】元的整数倍递增。</w:t>
            </w:r>
            <w:r>
              <w:rPr>
                <w:rFonts w:hint="eastAsia" w:ascii="宋体" w:hAnsi="宋体" w:eastAsia="宋体" w:cs="宋体"/>
                <w:bCs/>
                <w:color w:val="000000"/>
                <w:sz w:val="18"/>
                <w:szCs w:val="18"/>
              </w:rPr>
              <w:t>（</w:t>
            </w:r>
            <w:r>
              <w:rPr>
                <w:rFonts w:hint="eastAsia" w:ascii="宋体" w:hAnsi="宋体" w:eastAsia="宋体" w:cs="宋体"/>
                <w:bCs/>
                <w:color w:val="000000"/>
                <w:sz w:val="18"/>
                <w:szCs w:val="18"/>
                <w:lang w:eastAsia="zh-CN"/>
              </w:rPr>
              <w:t>适用【</w:t>
            </w:r>
            <w:r>
              <w:rPr>
                <w:rFonts w:hint="eastAsia" w:ascii="宋体" w:hAnsi="宋体" w:eastAsia="宋体" w:cs="宋体"/>
                <w:bCs/>
                <w:color w:val="000000"/>
                <w:sz w:val="18"/>
                <w:szCs w:val="18"/>
                <w:lang w:val="en-US" w:eastAsia="zh-CN"/>
              </w:rPr>
              <w:t>F</w:t>
            </w:r>
            <w:r>
              <w:rPr>
                <w:rFonts w:hint="eastAsia" w:ascii="宋体" w:hAnsi="宋体" w:eastAsia="宋体" w:cs="宋体"/>
                <w:bCs/>
                <w:color w:val="000000"/>
                <w:sz w:val="18"/>
                <w:szCs w:val="18"/>
                <w:lang w:eastAsia="zh-CN"/>
              </w:rPr>
              <w:t>】类份额</w:t>
            </w:r>
            <w:r>
              <w:rPr>
                <w:rFonts w:hint="eastAsia" w:ascii="宋体" w:hAnsi="宋体" w:eastAsia="宋体" w:cs="宋体"/>
                <w:bCs/>
                <w:color w:val="000000"/>
                <w:sz w:val="18"/>
                <w:szCs w:val="18"/>
              </w:rPr>
              <w:t>）</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（适用【/】类份额）</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sz w:val="18"/>
                <w:szCs w:val="18"/>
              </w:rPr>
            </w:pPr>
            <w:r>
              <w:rPr>
                <w:rFonts w:ascii="Calibri" w:hAnsi="宋体" w:cs="宋体"/>
                <w:sz w:val="18"/>
                <w:szCs w:val="18"/>
              </w:rPr>
              <w:t>1.业绩比较基准的设置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eastAsia="宋体" w:cs="宋体"/>
                <w:kern w:val="0"/>
                <w:sz w:val="18"/>
                <w:szCs w:val="18"/>
              </w:rPr>
              <w:t>产品管理人设置业绩比较基准。</w:t>
            </w:r>
          </w:p>
          <w:p>
            <w:pPr>
              <w:spacing w:line="360" w:lineRule="auto"/>
              <w:jc w:val="left"/>
              <w:rPr>
                <w:rFonts w:ascii="宋体" w:hAnsi="宋体" w:eastAsia="宋体" w:cs="宋体"/>
                <w:bCs/>
                <w:sz w:val="18"/>
                <w:szCs w:val="18"/>
              </w:rPr>
            </w:pPr>
            <w:r>
              <w:rPr>
                <w:rFonts w:hint="eastAsia" w:ascii="宋体" w:hAnsi="宋体" w:cs="宋体"/>
                <w:bCs/>
                <w:sz w:val="18"/>
                <w:szCs w:val="18"/>
              </w:rPr>
              <w:t>（</w:t>
            </w:r>
            <w:r>
              <w:rPr>
                <w:rFonts w:ascii="宋体" w:hAnsi="宋体" w:cs="宋体"/>
                <w:bCs/>
                <w:sz w:val="18"/>
                <w:szCs w:val="18"/>
              </w:rPr>
              <w:t>1）业绩比较基准的说明：</w:t>
            </w:r>
            <w:r>
              <w:rPr>
                <w:rFonts w:hint="eastAsia" w:ascii="宋体" w:hAnsi="宋体" w:cs="宋体"/>
                <w:bCs/>
                <w:sz w:val="18"/>
                <w:szCs w:val="18"/>
              </w:rPr>
              <w:t>【以一年期定期存款利率为无风险利率，基于当前对未来市场的判断，根据拟投资债权类资产的信用利差、久期敞口以及流动性溢价，预判组合的波动幅度，设定业绩比较基准。</w:t>
            </w:r>
            <w:r>
              <w:rPr>
                <w:rFonts w:ascii="宋体" w:hAnsi="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2）业绩比较基准的设定：</w:t>
            </w:r>
            <w:r>
              <w:rPr>
                <w:rFonts w:hint="eastAsia" w:ascii="宋体" w:hAnsi="宋体" w:eastAsia="宋体" w:cs="宋体"/>
                <w:bCs/>
                <w:sz w:val="18"/>
                <w:szCs w:val="18"/>
              </w:rPr>
              <w:t>管理人对</w:t>
            </w:r>
            <w:r>
              <w:rPr>
                <w:rFonts w:ascii="宋体" w:hAnsi="宋体" w:eastAsia="宋体" w:cs="宋体"/>
                <w:bCs/>
                <w:sz w:val="18"/>
                <w:szCs w:val="18"/>
              </w:rPr>
              <w:t>本产品设定</w:t>
            </w:r>
            <w:r>
              <w:rPr>
                <w:rFonts w:hint="eastAsia" w:ascii="宋体" w:hAnsi="宋体" w:eastAsia="宋体" w:cs="宋体"/>
                <w:bCs/>
                <w:sz w:val="18"/>
                <w:szCs w:val="18"/>
              </w:rPr>
              <w:t>业绩比较基准：</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2.45</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B</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2.40</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C</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2.35</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D</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2.30</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E</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2.20</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F</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cs="宋体"/>
                <w:b/>
                <w:sz w:val="18"/>
                <w:szCs w:val="22"/>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sz w:val="18"/>
                <w:szCs w:val="18"/>
              </w:rPr>
            </w:pPr>
            <w:r>
              <w:rPr>
                <w:rFonts w:ascii="Calibri" w:hAnsi="宋体" w:cs="宋体"/>
                <w:bCs/>
                <w:sz w:val="18"/>
                <w:szCs w:val="18"/>
              </w:rPr>
              <w:t>1.业绩报酬计提基准的设置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产品管理人设置业绩报酬计提基准。</w:t>
            </w:r>
          </w:p>
          <w:p>
            <w:pPr>
              <w:spacing w:line="360" w:lineRule="auto"/>
              <w:jc w:val="left"/>
              <w:rPr>
                <w:rFonts w:hint="eastAsia" w:ascii="宋体" w:hAnsi="宋体" w:cs="宋体"/>
                <w:bCs/>
                <w:sz w:val="18"/>
                <w:szCs w:val="18"/>
              </w:rPr>
            </w:pPr>
            <w:r>
              <w:rPr>
                <w:rFonts w:ascii="宋体" w:hAnsi="宋体" w:cs="宋体"/>
                <w:bCs/>
                <w:sz w:val="18"/>
                <w:szCs w:val="18"/>
              </w:rPr>
              <w:t>业绩报酬计提基准的设定</w:t>
            </w:r>
            <w:r>
              <w:rPr>
                <w:rFonts w:hint="eastAsia" w:ascii="宋体" w:hAnsi="宋体" w:cs="宋体"/>
                <w:bCs/>
                <w:sz w:val="18"/>
                <w:szCs w:val="18"/>
              </w:rPr>
              <w:t>：管理人</w:t>
            </w:r>
            <w:r>
              <w:rPr>
                <w:rFonts w:ascii="宋体" w:hAnsi="宋体" w:cs="宋体"/>
                <w:bCs/>
                <w:sz w:val="18"/>
                <w:szCs w:val="18"/>
              </w:rPr>
              <w:t>对本产品设定</w:t>
            </w:r>
            <w:r>
              <w:rPr>
                <w:rFonts w:hint="eastAsia" w:ascii="宋体" w:hAnsi="宋体" w:cs="宋体"/>
                <w:bCs/>
                <w:sz w:val="18"/>
                <w:szCs w:val="18"/>
              </w:rPr>
              <w:t>业绩报酬计提基准：</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2.45</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B</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2.40</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C</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2.35</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D</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2.30</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E</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2.20</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F</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05</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B</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10</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C</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15</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D</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20</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E</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30</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F</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宋体" w:hAnsi="宋体" w:eastAsia="宋体" w:cs="宋体"/>
                <w:bCs/>
                <w:color w:val="000000"/>
                <w:sz w:val="18"/>
                <w:szCs w:val="18"/>
                <w:lang w:val="en-US" w:eastAsia="zh-CN"/>
              </w:rPr>
              <w:t>0.05%</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宋体" w:hAnsi="宋体" w:eastAsia="宋体" w:cs="宋体"/>
                <w:bCs/>
                <w:color w:val="000000"/>
                <w:sz w:val="18"/>
                <w:szCs w:val="18"/>
                <w:lang w:val="en-US" w:eastAsia="zh-CN"/>
              </w:rPr>
              <w:t>0.02%</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宋体" w:hAnsi="宋体" w:cs="宋体"/>
                <w:sz w:val="18"/>
                <w:szCs w:val="18"/>
                <w:lang w:val="en-US" w:eastAsia="zh-CN"/>
              </w:rPr>
              <w:t>50%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321"/>
      <w:bookmarkStart w:id="78" w:name="_Toc16265"/>
      <w:bookmarkStart w:id="79" w:name="_Toc3266"/>
      <w:bookmarkStart w:id="80" w:name="_Toc6714"/>
      <w:bookmarkStart w:id="81" w:name="_Toc27226"/>
      <w:bookmarkStart w:id="82" w:name="_Toc90742688"/>
      <w:bookmarkStart w:id="83" w:name="_Toc15203"/>
      <w:bookmarkStart w:id="84" w:name="_Toc7151"/>
      <w:bookmarkStart w:id="85" w:name="_Toc29784"/>
      <w:bookmarkStart w:id="86" w:name="_Toc74065741"/>
      <w:bookmarkStart w:id="87" w:name="_Toc90742390"/>
      <w:bookmarkStart w:id="88" w:name="_Toc22074"/>
      <w:bookmarkStart w:id="89" w:name="_Toc29948"/>
      <w:bookmarkStart w:id="90" w:name="_Toc79154668"/>
      <w:bookmarkStart w:id="91" w:name="_Toc27189"/>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（3）以套期保值为目的的国债期货、利率互换、信用风险缓释工具、债券借贷。</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540" w:firstLineChars="300"/>
        <w:jc w:val="left"/>
        <w:rPr>
          <w:rFonts w:hint="eastAsia" w:ascii="宋体" w:hAnsi="宋体" w:eastAsia="宋体" w:cs="宋体"/>
          <w:bCs/>
          <w:kern w:val="0"/>
          <w:sz w:val="18"/>
          <w:szCs w:val="18"/>
        </w:rPr>
      </w:pPr>
      <w:r>
        <w:rPr>
          <w:rFonts w:hint="eastAsia" w:ascii="宋体" w:hAnsi="宋体" w:eastAsia="宋体" w:cs="宋体"/>
          <w:bCs/>
          <w:kern w:val="0"/>
          <w:sz w:val="18"/>
          <w:szCs w:val="18"/>
        </w:rPr>
        <w:t xml:space="preserve">【（1）本产品投资于债权类资产的比例不低于产品总资产的80%。 </w:t>
      </w:r>
    </w:p>
    <w:p>
      <w:pPr>
        <w:autoSpaceDE w:val="0"/>
        <w:autoSpaceDN w:val="0"/>
        <w:adjustRightInd w:val="0"/>
        <w:spacing w:line="360" w:lineRule="auto"/>
        <w:ind w:firstLine="540" w:firstLineChars="300"/>
        <w:jc w:val="left"/>
        <w:rPr>
          <w:rFonts w:hint="eastAsia" w:ascii="宋体" w:hAnsi="宋体" w:eastAsia="宋体" w:cs="宋体"/>
          <w:bCs/>
          <w:kern w:val="0"/>
          <w:sz w:val="18"/>
          <w:szCs w:val="18"/>
        </w:rPr>
      </w:pPr>
      <w:r>
        <w:rPr>
          <w:rFonts w:hint="eastAsia" w:ascii="宋体" w:hAnsi="宋体" w:eastAsia="宋体" w:cs="宋体"/>
          <w:bCs/>
          <w:kern w:val="0"/>
          <w:sz w:val="18"/>
          <w:szCs w:val="18"/>
        </w:rPr>
        <w:t>（2）国债期货、利率互换、信用风险缓释工具等衍生品占产品总资产比例低于5%。</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76189758"/>
      <w:bookmarkStart w:id="94" w:name="_Toc74065742"/>
      <w:bookmarkStart w:id="95" w:name="_Toc139991735"/>
      <w:bookmarkStart w:id="96" w:name="_Toc21988"/>
      <w:bookmarkStart w:id="97" w:name="_Toc14893"/>
      <w:bookmarkStart w:id="98" w:name="_Toc141703885"/>
      <w:bookmarkStart w:id="99" w:name="_Toc4741"/>
      <w:bookmarkStart w:id="100" w:name="_Toc18329"/>
      <w:bookmarkStart w:id="101" w:name="_Toc26986"/>
      <w:bookmarkStart w:id="102" w:name="_Toc17912"/>
      <w:bookmarkStart w:id="103" w:name="_Toc7848"/>
      <w:bookmarkStart w:id="104" w:name="_Toc18526"/>
      <w:bookmarkStart w:id="105" w:name="_Toc1823"/>
      <w:bookmarkStart w:id="106" w:name="_Toc18797"/>
      <w:bookmarkStart w:id="107" w:name="_Toc7915466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4065743"/>
      <w:bookmarkStart w:id="110" w:name="_Toc23261"/>
      <w:bookmarkStart w:id="111" w:name="_Toc176189759"/>
      <w:bookmarkStart w:id="112" w:name="_Toc10463"/>
      <w:bookmarkStart w:id="113" w:name="_Toc123112234"/>
      <w:bookmarkStart w:id="114" w:name="_Toc1270"/>
      <w:bookmarkStart w:id="115" w:name="_Toc17244"/>
      <w:bookmarkStart w:id="116" w:name="_Toc4003"/>
      <w:bookmarkStart w:id="117" w:name="_Toc79392606"/>
      <w:bookmarkStart w:id="118" w:name="_Toc123051452"/>
      <w:bookmarkStart w:id="119" w:name="_Toc20733"/>
      <w:bookmarkStart w:id="120" w:name="_Toc139991736"/>
      <w:bookmarkStart w:id="121" w:name="_Toc610"/>
      <w:bookmarkStart w:id="122" w:name="_Toc23822"/>
      <w:bookmarkStart w:id="123" w:name="_Toc98560352"/>
      <w:bookmarkStart w:id="124" w:name="_Toc141703886"/>
      <w:bookmarkStart w:id="125" w:name="_Toc7920"/>
      <w:bookmarkStart w:id="126" w:name="_Toc1427"/>
      <w:bookmarkStart w:id="127" w:name="_Toc123102453"/>
      <w:bookmarkStart w:id="128" w:name="_Toc48649707"/>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4835"/>
      <w:bookmarkStart w:id="132" w:name="_Toc123051453"/>
      <w:bookmarkStart w:id="133" w:name="_Toc176189760"/>
      <w:bookmarkStart w:id="134" w:name="_Toc74065744"/>
      <w:bookmarkStart w:id="135" w:name="_Toc26207"/>
      <w:bookmarkStart w:id="136" w:name="_Toc15143"/>
      <w:bookmarkStart w:id="137" w:name="_Toc31644"/>
      <w:bookmarkStart w:id="138" w:name="_Toc6405"/>
      <w:bookmarkStart w:id="139" w:name="_Toc31653"/>
      <w:bookmarkStart w:id="140" w:name="_Toc139991737"/>
      <w:bookmarkStart w:id="141" w:name="_Toc123112235"/>
      <w:bookmarkStart w:id="142" w:name="_Toc12245"/>
      <w:bookmarkStart w:id="143" w:name="_Toc141703887"/>
      <w:bookmarkStart w:id="144" w:name="_Toc79154671"/>
      <w:bookmarkStart w:id="145" w:name="_Toc29251"/>
      <w:bookmarkStart w:id="146" w:name="_Toc31235"/>
      <w:bookmarkStart w:id="147" w:name="_Toc3601"/>
      <w:bookmarkStart w:id="148" w:name="_Toc123102454"/>
      <w:bookmarkStart w:id="149" w:name="_Toc985603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7530239"/>
      <w:bookmarkStart w:id="153" w:name="_Toc15118234"/>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outlineLvl w:val="2"/>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outlineLvl w:val="2"/>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79392583"/>
      <w:bookmarkStart w:id="158" w:name="_Toc141703888"/>
      <w:bookmarkStart w:id="159" w:name="_Toc123051454"/>
      <w:bookmarkStart w:id="160" w:name="_Toc139991738"/>
      <w:bookmarkStart w:id="161" w:name="_Toc3771"/>
      <w:bookmarkStart w:id="162" w:name="_Toc6447"/>
      <w:bookmarkStart w:id="163" w:name="_Toc10650"/>
      <w:bookmarkStart w:id="164" w:name="_Toc176189761"/>
      <w:bookmarkStart w:id="165" w:name="_Toc9706"/>
      <w:bookmarkStart w:id="166" w:name="_Toc123102455"/>
      <w:bookmarkStart w:id="167" w:name="_Toc4559"/>
      <w:bookmarkStart w:id="168" w:name="_Toc11030"/>
      <w:bookmarkStart w:id="169" w:name="_Toc74065745"/>
      <w:bookmarkStart w:id="170" w:name="_Toc25783"/>
      <w:bookmarkStart w:id="171" w:name="_Toc18567"/>
      <w:bookmarkStart w:id="172" w:name="_Toc98560354"/>
      <w:bookmarkStart w:id="173" w:name="_Toc7058"/>
      <w:bookmarkStart w:id="174" w:name="_Toc123112236"/>
      <w:bookmarkStart w:id="175" w:name="_Toc79154672"/>
      <w:bookmarkStart w:id="176" w:name="_Toc3321"/>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2）</w:t>
      </w:r>
      <w:r>
        <w:rPr>
          <w:rFonts w:hint="eastAsia" w:ascii="宋体" w:hAnsi="宋体" w:cs="宋体"/>
          <w:kern w:val="0"/>
          <w:sz w:val="18"/>
          <w:szCs w:val="18"/>
        </w:rPr>
        <w:t>理财产品的销售服务费</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本产品的销售服务费按前一日理财资产净值与销售服务费每日费率每日计提。销售服务费的计算方法如下：</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H＝E×销售服务费年费率÷365</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H为每日应计提的销售服务费</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E为前一日的理财资产净值</w:t>
      </w:r>
    </w:p>
    <w:p>
      <w:pPr>
        <w:widowControl w:val="0"/>
        <w:autoSpaceDE w:val="0"/>
        <w:autoSpaceDN w:val="0"/>
        <w:adjustRightInd w:val="0"/>
        <w:spacing w:line="360" w:lineRule="auto"/>
        <w:ind w:firstLine="360" w:firstLineChars="200"/>
        <w:rPr>
          <w:rFonts w:hint="eastAsia" w:ascii="宋体" w:hAnsi="宋体" w:eastAsia="宋体" w:cs="宋体"/>
          <w:color w:val="auto"/>
          <w:kern w:val="2"/>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每份产品份额超额业绩报酬每日计提，产品终止日结算。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③超额业绩报酬的计算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产品管理人对每</w:t>
      </w:r>
      <w:r>
        <w:rPr>
          <w:rFonts w:ascii="宋体" w:hAnsi="宋体" w:eastAsia="宋体" w:cs="宋体"/>
          <w:sz w:val="18"/>
          <w:szCs w:val="18"/>
        </w:rPr>
        <w:t>份</w:t>
      </w:r>
      <w:r>
        <w:rPr>
          <w:rFonts w:hint="eastAsia" w:ascii="宋体" w:hAnsi="宋体" w:eastAsia="宋体" w:cs="宋体"/>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当R≤当前业绩报酬计提基准，超额业绩报酬=0；</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725"/>
      <w:bookmarkStart w:id="180" w:name="_Toc74065746"/>
      <w:bookmarkStart w:id="181" w:name="_Toc123102456"/>
      <w:bookmarkStart w:id="182" w:name="_Toc98560355"/>
      <w:bookmarkStart w:id="183" w:name="_Toc16164"/>
      <w:bookmarkStart w:id="184" w:name="_Toc139991739"/>
      <w:bookmarkStart w:id="185" w:name="_Toc10398"/>
      <w:bookmarkStart w:id="186" w:name="_Toc3572"/>
      <w:bookmarkStart w:id="187" w:name="_Toc123112237"/>
      <w:bookmarkStart w:id="188" w:name="_Toc79154673"/>
      <w:bookmarkStart w:id="189" w:name="_Toc123051455"/>
      <w:bookmarkStart w:id="190" w:name="_Toc3080"/>
      <w:bookmarkStart w:id="191" w:name="_Toc176189762"/>
      <w:bookmarkStart w:id="192" w:name="_Toc18206"/>
      <w:bookmarkStart w:id="193" w:name="_Toc141703889"/>
      <w:bookmarkStart w:id="194" w:name="_Toc31821"/>
      <w:bookmarkStart w:id="195" w:name="_Toc2173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79392593"/>
      <w:bookmarkStart w:id="197" w:name="_Toc15118245"/>
      <w:bookmarkStart w:id="198" w:name="_Toc57530252"/>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9154674"/>
      <w:bookmarkStart w:id="200" w:name="_Toc123112238"/>
      <w:bookmarkStart w:id="201" w:name="_Toc139991740"/>
      <w:bookmarkStart w:id="202" w:name="_Toc8791"/>
      <w:bookmarkStart w:id="203" w:name="_Toc79392622"/>
      <w:bookmarkStart w:id="204" w:name="_Toc17198"/>
      <w:bookmarkStart w:id="205" w:name="_Toc48649708"/>
      <w:bookmarkStart w:id="206" w:name="_Toc123102457"/>
      <w:bookmarkStart w:id="207" w:name="_Toc5170"/>
      <w:bookmarkStart w:id="208" w:name="_Toc3329"/>
      <w:bookmarkStart w:id="209" w:name="_Toc98560356"/>
      <w:bookmarkStart w:id="210" w:name="_Toc32584"/>
      <w:bookmarkStart w:id="211" w:name="_Toc176189763"/>
      <w:bookmarkStart w:id="212" w:name="_Toc17920"/>
      <w:bookmarkStart w:id="213" w:name="_Toc21237"/>
      <w:bookmarkStart w:id="214" w:name="_Toc739"/>
      <w:bookmarkStart w:id="215" w:name="_Toc32092"/>
      <w:bookmarkStart w:id="216" w:name="_Toc29408"/>
      <w:bookmarkStart w:id="217" w:name="_Toc141703890"/>
      <w:bookmarkStart w:id="218" w:name="_Toc123051456"/>
      <w:bookmarkStart w:id="219" w:name="_Toc7406574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outlineLvl w:val="1"/>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outlineLvl w:val="2"/>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outlineLvl w:val="1"/>
        <w:rPr>
          <w:rFonts w:ascii="宋体" w:hAnsi="宋体" w:cs="宋体"/>
          <w:bCs/>
          <w:sz w:val="18"/>
          <w:szCs w:val="18"/>
        </w:rPr>
      </w:pPr>
      <w:r>
        <w:rPr>
          <w:rFonts w:hint="eastAsia" w:ascii="宋体" w:hAnsi="宋体" w:cs="宋体"/>
          <w:bCs/>
          <w:sz w:val="18"/>
          <w:szCs w:val="18"/>
        </w:rPr>
        <w:t xml:space="preserve">（2）投资商品和金融衍生品类资产的风险 </w:t>
      </w:r>
    </w:p>
    <w:p>
      <w:pPr>
        <w:spacing w:line="360" w:lineRule="auto"/>
        <w:ind w:firstLine="360" w:firstLineChars="200"/>
        <w:rPr>
          <w:rFonts w:hint="eastAsia" w:ascii="宋体" w:hAnsi="宋体" w:cs="宋体"/>
          <w:bCs/>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spacing w:line="360" w:lineRule="auto"/>
        <w:ind w:firstLine="360" w:firstLineChars="200"/>
        <w:rPr>
          <w:rFonts w:ascii="宋体" w:hAnsi="宋体" w:cs="宋体"/>
          <w:sz w:val="18"/>
          <w:szCs w:val="18"/>
        </w:rPr>
      </w:pP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bookmarkStart w:id="222" w:name="pro_name"/>
      <w:bookmarkEnd w:id="222"/>
      <w:r>
        <w:rPr>
          <w:rFonts w:hint="eastAsia" w:ascii="宋体" w:hAnsi="宋体" w:cs="仿宋_GB2312"/>
          <w:kern w:val="0"/>
          <w:sz w:val="18"/>
          <w:szCs w:val="18"/>
        </w:rPr>
        <w:t>兴银理财稳利恒盈封闭式2025年173期固收类理财产品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bookmarkStart w:id="223" w:name="sale_name"/>
      <w:bookmarkEnd w:id="223"/>
    </w:p>
    <w:p>
      <w:pPr>
        <w:ind w:firstLine="448" w:firstLineChars="249"/>
        <w:rPr>
          <w:rFonts w:hint="eastAsia" w:ascii="宋体" w:hAnsi="宋体" w:eastAsia="宋体" w:cs="仿宋_GB2312"/>
          <w:kern w:val="0"/>
          <w:sz w:val="18"/>
          <w:szCs w:val="18"/>
          <w:lang w:eastAsia="zh-CN"/>
        </w:rPr>
      </w:pPr>
      <w:r>
        <w:rPr>
          <w:rFonts w:hint="eastAsia" w:ascii="宋体" w:hAnsi="宋体" w:cs="仿宋_GB2312"/>
          <w:kern w:val="0"/>
          <w:sz w:val="18"/>
          <w:szCs w:val="18"/>
          <w:lang w:eastAsia="zh-CN"/>
        </w:rPr>
        <w:t>【</w:t>
      </w:r>
      <w:r>
        <w:rPr>
          <w:rFonts w:hint="eastAsia" w:ascii="宋体" w:hAnsi="宋体" w:cs="仿宋_GB2312"/>
          <w:kern w:val="0"/>
          <w:sz w:val="18"/>
          <w:szCs w:val="18"/>
        </w:rPr>
        <w:t>兴银理财稳利恒盈2025年173期B</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B</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lang w:eastAsia="zh-CN"/>
        </w:rPr>
        <w:t>【</w:t>
      </w:r>
      <w:r>
        <w:rPr>
          <w:rFonts w:hint="eastAsia" w:ascii="宋体" w:hAnsi="宋体" w:cs="仿宋_GB2312"/>
          <w:kern w:val="0"/>
          <w:sz w:val="18"/>
          <w:szCs w:val="18"/>
        </w:rPr>
        <w:t>兴银理财稳利恒盈2025年173期C</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C</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lang w:eastAsia="zh-CN"/>
        </w:rPr>
        <w:t>【</w:t>
      </w:r>
      <w:r>
        <w:rPr>
          <w:rFonts w:hint="eastAsia" w:ascii="宋体" w:hAnsi="宋体" w:cs="仿宋_GB2312"/>
          <w:kern w:val="0"/>
          <w:sz w:val="18"/>
          <w:szCs w:val="18"/>
        </w:rPr>
        <w:t>兴银理财稳利恒盈2025年173期D</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D</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lang w:eastAsia="zh-CN"/>
        </w:rPr>
        <w:t>【</w:t>
      </w:r>
      <w:r>
        <w:rPr>
          <w:rFonts w:hint="eastAsia" w:ascii="宋体" w:hAnsi="宋体" w:cs="仿宋_GB2312"/>
          <w:kern w:val="0"/>
          <w:sz w:val="18"/>
          <w:szCs w:val="18"/>
        </w:rPr>
        <w:t>兴银理财稳利恒盈2025年173期E</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E</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lang w:eastAsia="zh-CN"/>
        </w:rPr>
        <w:t>【兴银理财稳利恒盈2025年173期F】</w:t>
      </w:r>
      <w:r>
        <w:rPr>
          <w:rFonts w:hint="eastAsia" w:ascii="宋体" w:hAnsi="宋体" w:cs="仿宋_GB2312"/>
          <w:kern w:val="0"/>
          <w:sz w:val="18"/>
          <w:szCs w:val="18"/>
        </w:rPr>
        <w:t>（适用【</w:t>
      </w:r>
      <w:r>
        <w:rPr>
          <w:rFonts w:hint="eastAsia" w:ascii="宋体" w:hAnsi="宋体" w:cs="仿宋_GB2312"/>
          <w:kern w:val="0"/>
          <w:sz w:val="18"/>
          <w:szCs w:val="18"/>
          <w:lang w:val="en-US" w:eastAsia="zh-CN"/>
        </w:rPr>
        <w:t>F</w:t>
      </w:r>
      <w:r>
        <w:rPr>
          <w:rFonts w:hint="eastAsia" w:ascii="宋体" w:hAnsi="宋体" w:cs="仿宋_GB2312"/>
          <w:kern w:val="0"/>
          <w:sz w:val="18"/>
          <w:szCs w:val="18"/>
        </w:rPr>
        <w:t>】类份额）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bookmarkStart w:id="224" w:name="regist_code"/>
      <w:bookmarkEnd w:id="224"/>
      <w:r>
        <w:rPr>
          <w:rFonts w:hint="eastAsia" w:ascii="宋体" w:hAnsi="宋体" w:cs="仿宋_GB2312"/>
          <w:kern w:val="0"/>
          <w:sz w:val="18"/>
          <w:szCs w:val="18"/>
        </w:rPr>
        <w:t>Z7002025001631</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w:t>
      </w:r>
      <w:bookmarkStart w:id="225" w:name="allday"/>
      <w:bookmarkEnd w:id="225"/>
      <w:r>
        <w:rPr>
          <w:rFonts w:hint="eastAsia" w:ascii="宋体" w:hAnsi="宋体" w:cs="仿宋_GB2312"/>
          <w:kern w:val="0"/>
          <w:sz w:val="18"/>
          <w:szCs w:val="18"/>
          <w:lang w:val="en-US" w:eastAsia="zh-CN"/>
        </w:rPr>
        <w:t>365</w:t>
      </w:r>
      <w:r>
        <w:rPr>
          <w:rFonts w:hint="eastAsia" w:ascii="宋体" w:hAnsi="宋体" w:cs="仿宋_GB2312"/>
          <w:kern w:val="0"/>
          <w:sz w:val="18"/>
          <w:szCs w:val="18"/>
        </w:rPr>
        <w:t>天】</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bookmarkStart w:id="226" w:name="risk_level_1"/>
      <w:bookmarkEnd w:id="226"/>
      <w:r>
        <w:rPr>
          <w:rFonts w:hint="eastAsia" w:ascii="宋体" w:hAnsi="宋体" w:cs="仿宋_GB2312"/>
          <w:kern w:val="0"/>
          <w:sz w:val="18"/>
          <w:szCs w:val="18"/>
        </w:rPr>
        <w:t>R2</w:t>
      </w:r>
      <w:r>
        <w:rPr>
          <w:rFonts w:ascii="宋体" w:hAnsi="宋体" w:cs="仿宋_GB2312"/>
          <w:kern w:val="0"/>
          <w:sz w:val="18"/>
          <w:szCs w:val="18"/>
        </w:rPr>
        <w:t>】</w:t>
      </w:r>
      <w:r>
        <w:rPr>
          <w:rFonts w:hint="eastAsia" w:ascii="宋体" w:hAnsi="宋体" w:cs="仿宋_GB2312"/>
          <w:kern w:val="0"/>
          <w:sz w:val="18"/>
          <w:szCs w:val="18"/>
        </w:rPr>
        <w:t>（产品管理人定义的产品风险评级为【</w:t>
      </w:r>
      <w:bookmarkStart w:id="227" w:name="risk_level_2"/>
      <w:bookmarkEnd w:id="227"/>
      <w:r>
        <w:rPr>
          <w:rFonts w:hint="eastAsia" w:ascii="宋体" w:hAnsi="宋体" w:cs="仿宋_GB2312"/>
          <w:kern w:val="0"/>
          <w:sz w:val="18"/>
          <w:szCs w:val="18"/>
          <w:lang w:val="en-US" w:eastAsia="zh-CN"/>
        </w:rPr>
        <w:t>R2</w:t>
      </w:r>
      <w:r>
        <w:rPr>
          <w:rFonts w:hint="eastAsia" w:ascii="宋体" w:hAnsi="宋体" w:cs="仿宋_GB2312"/>
          <w:kern w:val="0"/>
          <w:sz w:val="18"/>
          <w:szCs w:val="18"/>
        </w:rPr>
        <w:t>】；代理销售机构定义的产品风险评级为【</w:t>
      </w:r>
      <w:bookmarkStart w:id="228" w:name="risk_level_3"/>
      <w:bookmarkEnd w:id="228"/>
      <w:r>
        <w:rPr>
          <w:rFonts w:hint="eastAsia" w:ascii="宋体" w:hAnsi="宋体" w:cs="仿宋_GB2312"/>
          <w:kern w:val="0"/>
          <w:sz w:val="18"/>
          <w:szCs w:val="18"/>
          <w:lang w:val="en-US" w:eastAsia="zh-CN"/>
        </w:rPr>
        <w:t>R2</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bookmarkStart w:id="229" w:name="per_risk"/>
      <w:bookmarkEnd w:id="229"/>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w:t>
      </w:r>
      <w:r>
        <w:rPr>
          <w:rFonts w:hint="eastAsia" w:cs="宋体" w:asciiTheme="majorEastAsia" w:hAnsiTheme="majorEastAsia" w:eastAsiaTheme="majorEastAsia"/>
          <w:bCs/>
          <w:color w:val="000000" w:themeColor="text1"/>
          <w:sz w:val="18"/>
          <w:szCs w:val="18"/>
          <w:lang w:val="en-US" w:eastAsia="zh-CN"/>
          <w14:textFill>
            <w14:solidFill>
              <w14:schemeClr w14:val="tx1"/>
            </w14:solidFill>
          </w14:textFill>
        </w:rPr>
        <w:t>6</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sz w:val="18"/>
          <w:szCs w:val="18"/>
          <w:lang w:val="en-US" w:eastAsia="zh-CN"/>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bookmarkStart w:id="230" w:name="ins_risk"/>
      <w:bookmarkEnd w:id="230"/>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bookmarkStart w:id="231" w:name="risk"/>
      <w:bookmarkEnd w:id="231"/>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（2）投资商品和金融衍生品类资产的风险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ind w:firstLine="360" w:firstLineChars="200"/>
        <w:rPr>
          <w:rFonts w:ascii="宋体" w:hAnsi="宋体" w:cs="宋体"/>
          <w:sz w:val="18"/>
          <w:szCs w:val="18"/>
        </w:rPr>
      </w:pP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lang w:val="en-US" w:eastAsia="zh-CN"/>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32" w:name="_GoBack"/>
      <w:bookmarkEnd w:id="23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CA468C"/>
    <w:rsid w:val="2BBE5BA7"/>
    <w:rsid w:val="3A810A70"/>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44911</Words>
  <Characters>45769</Characters>
  <Lines>0</Lines>
  <Paragraphs>0</Paragraphs>
  <TotalTime>0</TotalTime>
  <ScaleCrop>false</ScaleCrop>
  <LinksUpToDate>false</LinksUpToDate>
  <CharactersWithSpaces>46224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2025-11-24T09:57:26Z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B69562137FFA43A7AF01B6D669F5D152</vt:lpwstr>
  </property>
</Properties>
</file>