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兴银理财【稳利恒盈封闭式固收类】理财产品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兴银理财【稳利恒盈封闭式固收类】理财产品（代理）销售协议书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兴银理财【稳利恒盈封闭式固收类】理财产品投资者权益须知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Fonts w:hint="eastAsia" w:ascii="黑体" w:hAnsi="黑体" w:eastAsia="黑体"/>
          <w:b/>
          <w:sz w:val="44"/>
          <w:szCs w:val="44"/>
        </w:rPr>
        <w:t>稳利恒盈封闭式固收类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112263"/>
      <w:bookmarkStart w:id="1" w:name="_Toc123701383"/>
      <w:bookmarkStart w:id="2" w:name="_Toc139992301"/>
      <w:bookmarkStart w:id="3" w:name="_Toc123112224"/>
      <w:bookmarkStart w:id="4" w:name="_Toc139991726"/>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39991727"/>
      <w:bookmarkStart w:id="6" w:name="_Toc139992302"/>
      <w:bookmarkStart w:id="7" w:name="_Toc123112264"/>
      <w:bookmarkStart w:id="8" w:name="_Toc123112225"/>
      <w:bookmarkStart w:id="9" w:name="_Toc123701384"/>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w:t>
      </w:r>
      <w:r>
        <w:rPr>
          <w:rStyle w:val="10"/>
          <w:rFonts w:hint="eastAsia" w:ascii="宋体" w:hAnsi="宋体"/>
          <w:sz w:val="28"/>
          <w:szCs w:val="28"/>
          <w:lang w:val="en-US" w:eastAsia="zh-CN"/>
        </w:rPr>
        <w:t>2025</w:t>
      </w:r>
      <w:r>
        <w:rPr>
          <w:rStyle w:val="10"/>
          <w:rFonts w:hint="eastAsia" w:ascii="宋体" w:hAnsi="宋体"/>
          <w:sz w:val="28"/>
          <w:szCs w:val="28"/>
        </w:rPr>
        <w:t>】年【</w:t>
      </w:r>
      <w:r>
        <w:rPr>
          <w:rStyle w:val="10"/>
          <w:rFonts w:hint="eastAsia" w:ascii="宋体" w:hAnsi="宋体"/>
          <w:sz w:val="28"/>
          <w:szCs w:val="28"/>
          <w:lang w:val="en-US" w:eastAsia="zh-CN"/>
        </w:rPr>
        <w:t>11</w:t>
      </w:r>
      <w:r>
        <w:rPr>
          <w:rStyle w:val="10"/>
          <w:rFonts w:hint="eastAsia" w:ascii="宋体" w:hAnsi="宋体"/>
          <w:sz w:val="28"/>
          <w:szCs w:val="28"/>
        </w:rPr>
        <w:t>】月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39991729"/>
      <w:bookmarkStart w:id="11" w:name="_Toc123112227"/>
      <w:bookmarkStart w:id="12" w:name="_Toc123112266"/>
      <w:bookmarkStart w:id="13" w:name="_Toc12370138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本公司系根据原中国银保监会（现国家金融监督管理总局）批准设立的由兴业银行股份有限公司全资控股的银行理财子公司。公司名称：中文为“兴银理财有限责任公司”；英文：“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hint="eastAsia" w:ascii="宋体" w:hAnsi="宋体"/>
                <w:bCs/>
                <w:sz w:val="18"/>
                <w:szCs w:val="18"/>
              </w:rPr>
              <w:t>业务范围为：面向不特定社会公众公开发行理财产品，对受托的投资和财产进行投资和管理；面向合格投资者非公开发行理财产品，对受托的投资和财产进行投资和管理；理财顾问和咨询服务；经监管部门批准的其他业务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pPr>
              <w:spacing w:line="360" w:lineRule="auto"/>
              <w:jc w:val="left"/>
              <w:rPr>
                <w:rFonts w:ascii="宋体" w:hAnsi="宋体"/>
                <w:bCs/>
                <w:color w:val="auto"/>
                <w:sz w:val="18"/>
                <w:szCs w:val="18"/>
              </w:rPr>
            </w:pPr>
            <w:r>
              <w:rPr>
                <w:rFonts w:hint="eastAsia" w:ascii="宋体" w:hAnsi="宋体"/>
                <w:bCs/>
                <w:color w:val="auto"/>
                <w:sz w:val="18"/>
                <w:szCs w:val="18"/>
              </w:rPr>
              <w:t>【兴银理财稳利恒盈封闭式2025年</w:t>
            </w:r>
            <w:r>
              <w:rPr>
                <w:rFonts w:hint="eastAsia" w:ascii="宋体" w:hAnsi="宋体"/>
                <w:bCs/>
                <w:color w:val="auto"/>
                <w:sz w:val="18"/>
                <w:szCs w:val="18"/>
                <w:lang w:eastAsia="zh-CN"/>
              </w:rPr>
              <w:t>547期</w:t>
            </w:r>
            <w:r>
              <w:rPr>
                <w:rFonts w:hint="eastAsia" w:ascii="宋体" w:hAnsi="宋体"/>
                <w:bCs/>
                <w:color w:val="auto"/>
                <w:sz w:val="18"/>
                <w:szCs w:val="18"/>
              </w:rPr>
              <w:t>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spacing w:line="360" w:lineRule="auto"/>
              <w:jc w:val="left"/>
              <w:rPr>
                <w:rFonts w:hint="eastAsia" w:ascii="宋体" w:hAnsi="宋体"/>
                <w:bCs/>
                <w:color w:val="auto"/>
                <w:sz w:val="18"/>
                <w:szCs w:val="18"/>
              </w:rPr>
            </w:pPr>
            <w:r>
              <w:rPr>
                <w:rFonts w:hint="eastAsia" w:ascii="宋体" w:hAnsi="宋体"/>
                <w:bCs/>
                <w:color w:val="auto"/>
                <w:sz w:val="18"/>
                <w:szCs w:val="18"/>
              </w:rPr>
              <w:t>【稳利恒盈封闭2025年</w:t>
            </w:r>
            <w:r>
              <w:rPr>
                <w:rFonts w:hint="eastAsia" w:ascii="宋体" w:hAnsi="宋体"/>
                <w:bCs/>
                <w:color w:val="auto"/>
                <w:sz w:val="18"/>
                <w:szCs w:val="18"/>
                <w:lang w:eastAsia="zh-CN"/>
              </w:rPr>
              <w:t>547期</w:t>
            </w:r>
            <w:r>
              <w:rPr>
                <w:rFonts w:hint="eastAsia" w:ascii="宋体" w:hAnsi="宋体"/>
                <w:bCs/>
                <w:color w:val="auto"/>
                <w:sz w:val="18"/>
                <w:szCs w:val="18"/>
              </w:rPr>
              <w:t>14M(纯盈颐养款)A】（适用【A】类份额）</w:t>
            </w:r>
          </w:p>
          <w:p>
            <w:pPr>
              <w:spacing w:line="360" w:lineRule="auto"/>
              <w:jc w:val="left"/>
              <w:rPr>
                <w:rFonts w:hint="eastAsia" w:ascii="宋体" w:hAnsi="宋体"/>
                <w:bCs/>
                <w:color w:val="auto"/>
                <w:sz w:val="18"/>
                <w:szCs w:val="18"/>
              </w:rPr>
            </w:pPr>
            <w:r>
              <w:rPr>
                <w:rFonts w:hint="eastAsia" w:ascii="宋体" w:hAnsi="宋体"/>
                <w:bCs/>
                <w:color w:val="auto"/>
                <w:sz w:val="18"/>
                <w:szCs w:val="18"/>
              </w:rPr>
              <w:t>【稳利恒盈封闭2025年</w:t>
            </w:r>
            <w:r>
              <w:rPr>
                <w:rFonts w:hint="eastAsia" w:ascii="宋体" w:hAnsi="宋体"/>
                <w:bCs/>
                <w:color w:val="auto"/>
                <w:sz w:val="18"/>
                <w:szCs w:val="18"/>
                <w:lang w:eastAsia="zh-CN"/>
              </w:rPr>
              <w:t>547期</w:t>
            </w:r>
            <w:r>
              <w:rPr>
                <w:rFonts w:hint="eastAsia" w:ascii="宋体" w:hAnsi="宋体"/>
                <w:bCs/>
                <w:color w:val="auto"/>
                <w:sz w:val="18"/>
                <w:szCs w:val="18"/>
              </w:rPr>
              <w:t>14M(纯盈颐养款)C】（适用【</w:t>
            </w:r>
            <w:r>
              <w:rPr>
                <w:rFonts w:hint="eastAsia" w:ascii="宋体" w:hAnsi="宋体"/>
                <w:bCs/>
                <w:color w:val="auto"/>
                <w:sz w:val="18"/>
                <w:szCs w:val="18"/>
                <w:lang w:val="en-US" w:eastAsia="zh-CN"/>
              </w:rPr>
              <w:t>C</w:t>
            </w:r>
            <w:r>
              <w:rPr>
                <w:rFonts w:hint="eastAsia" w:ascii="宋体" w:hAnsi="宋体"/>
                <w:bCs/>
                <w:color w:val="auto"/>
                <w:sz w:val="18"/>
                <w:szCs w:val="18"/>
              </w:rPr>
              <w:t>】类份额）</w:t>
            </w:r>
          </w:p>
          <w:p>
            <w:pPr>
              <w:spacing w:line="360" w:lineRule="auto"/>
              <w:jc w:val="left"/>
              <w:rPr>
                <w:rFonts w:hint="eastAsia" w:ascii="宋体" w:hAnsi="宋体"/>
                <w:bCs/>
                <w:color w:val="auto"/>
                <w:sz w:val="18"/>
                <w:szCs w:val="18"/>
              </w:rPr>
            </w:pPr>
            <w:r>
              <w:rPr>
                <w:rFonts w:hint="eastAsia" w:ascii="宋体" w:hAnsi="宋体"/>
                <w:bCs/>
                <w:color w:val="auto"/>
                <w:sz w:val="18"/>
                <w:szCs w:val="18"/>
              </w:rPr>
              <w:t>【稳利恒盈封闭2025年</w:t>
            </w:r>
            <w:r>
              <w:rPr>
                <w:rFonts w:hint="eastAsia" w:ascii="宋体" w:hAnsi="宋体"/>
                <w:bCs/>
                <w:color w:val="auto"/>
                <w:sz w:val="18"/>
                <w:szCs w:val="18"/>
                <w:lang w:eastAsia="zh-CN"/>
              </w:rPr>
              <w:t>547期</w:t>
            </w:r>
            <w:r>
              <w:rPr>
                <w:rFonts w:hint="eastAsia" w:ascii="宋体" w:hAnsi="宋体"/>
                <w:bCs/>
                <w:color w:val="auto"/>
                <w:sz w:val="18"/>
                <w:szCs w:val="18"/>
              </w:rPr>
              <w:t>14M(纯盈颐养款)</w:t>
            </w:r>
            <w:r>
              <w:rPr>
                <w:rFonts w:hint="eastAsia" w:ascii="宋体" w:hAnsi="宋体"/>
                <w:bCs/>
                <w:color w:val="auto"/>
                <w:sz w:val="18"/>
                <w:szCs w:val="18"/>
                <w:lang w:val="en-US" w:eastAsia="zh-CN"/>
              </w:rPr>
              <w:t>D</w:t>
            </w:r>
            <w:r>
              <w:rPr>
                <w:rFonts w:hint="eastAsia" w:ascii="宋体" w:hAnsi="宋体"/>
                <w:bCs/>
                <w:color w:val="auto"/>
                <w:sz w:val="18"/>
                <w:szCs w:val="18"/>
              </w:rPr>
              <w:t>】（适用【</w:t>
            </w:r>
            <w:r>
              <w:rPr>
                <w:rFonts w:hint="eastAsia" w:ascii="宋体" w:hAnsi="宋体"/>
                <w:bCs/>
                <w:color w:val="auto"/>
                <w:sz w:val="18"/>
                <w:szCs w:val="18"/>
                <w:lang w:val="en-US" w:eastAsia="zh-CN"/>
              </w:rPr>
              <w:t>D</w:t>
            </w:r>
            <w:r>
              <w:rPr>
                <w:rFonts w:hint="eastAsia" w:ascii="宋体" w:hAnsi="宋体"/>
                <w:bCs/>
                <w:color w:val="auto"/>
                <w:sz w:val="18"/>
                <w:szCs w:val="18"/>
              </w:rPr>
              <w:t>】类份额）</w:t>
            </w:r>
          </w:p>
          <w:p>
            <w:pPr>
              <w:spacing w:line="360" w:lineRule="auto"/>
              <w:jc w:val="left"/>
              <w:rPr>
                <w:rFonts w:hint="eastAsia" w:ascii="宋体" w:hAnsi="宋体"/>
                <w:bCs/>
                <w:color w:val="auto"/>
                <w:sz w:val="18"/>
                <w:szCs w:val="18"/>
              </w:rPr>
            </w:pPr>
            <w:r>
              <w:rPr>
                <w:rFonts w:hint="eastAsia" w:ascii="宋体" w:hAnsi="宋体"/>
                <w:bCs/>
                <w:color w:val="auto"/>
                <w:sz w:val="18"/>
                <w:szCs w:val="18"/>
              </w:rPr>
              <w:t>【稳利恒盈封闭2025年</w:t>
            </w:r>
            <w:r>
              <w:rPr>
                <w:rFonts w:hint="eastAsia" w:ascii="宋体" w:hAnsi="宋体"/>
                <w:bCs/>
                <w:color w:val="auto"/>
                <w:sz w:val="18"/>
                <w:szCs w:val="18"/>
                <w:lang w:eastAsia="zh-CN"/>
              </w:rPr>
              <w:t>547期</w:t>
            </w:r>
            <w:r>
              <w:rPr>
                <w:rFonts w:hint="eastAsia" w:ascii="宋体" w:hAnsi="宋体"/>
                <w:bCs/>
                <w:color w:val="auto"/>
                <w:sz w:val="18"/>
                <w:szCs w:val="18"/>
              </w:rPr>
              <w:t>14M(纯盈颐养款)</w:t>
            </w:r>
            <w:r>
              <w:rPr>
                <w:rFonts w:hint="eastAsia" w:ascii="宋体" w:hAnsi="宋体"/>
                <w:bCs/>
                <w:color w:val="auto"/>
                <w:sz w:val="18"/>
                <w:szCs w:val="18"/>
                <w:lang w:val="en-US" w:eastAsia="zh-CN"/>
              </w:rPr>
              <w:t>E</w:t>
            </w:r>
            <w:r>
              <w:rPr>
                <w:rFonts w:hint="eastAsia" w:ascii="宋体" w:hAnsi="宋体"/>
                <w:bCs/>
                <w:color w:val="auto"/>
                <w:sz w:val="18"/>
                <w:szCs w:val="18"/>
              </w:rPr>
              <w:t>】（适用【</w:t>
            </w:r>
            <w:r>
              <w:rPr>
                <w:rFonts w:hint="eastAsia" w:ascii="宋体" w:hAnsi="宋体"/>
                <w:bCs/>
                <w:color w:val="auto"/>
                <w:sz w:val="18"/>
                <w:szCs w:val="18"/>
                <w:lang w:val="en-US" w:eastAsia="zh-CN"/>
              </w:rPr>
              <w:t>E</w:t>
            </w:r>
            <w:r>
              <w:rPr>
                <w:rFonts w:hint="eastAsia" w:ascii="宋体" w:hAnsi="宋体"/>
                <w:bCs/>
                <w:color w:val="auto"/>
                <w:sz w:val="18"/>
                <w:szCs w:val="18"/>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pPr>
              <w:spacing w:line="360" w:lineRule="auto"/>
              <w:jc w:val="left"/>
              <w:rPr>
                <w:rFonts w:ascii="宋体" w:hAnsi="宋体"/>
                <w:bCs/>
                <w:color w:val="auto"/>
                <w:sz w:val="18"/>
                <w:szCs w:val="18"/>
              </w:rPr>
            </w:pPr>
            <w:r>
              <w:rPr>
                <w:rFonts w:hint="eastAsia" w:ascii="宋体" w:hAnsi="宋体"/>
                <w:bCs/>
                <w:color w:val="auto"/>
                <w:sz w:val="18"/>
                <w:szCs w:val="18"/>
              </w:rPr>
              <w:t>【</w:t>
            </w:r>
            <w:r>
              <w:rPr>
                <w:rFonts w:hint="eastAsia" w:ascii="宋体" w:hAnsi="宋体"/>
                <w:bCs/>
                <w:color w:val="auto"/>
                <w:sz w:val="18"/>
                <w:szCs w:val="18"/>
                <w:lang w:val="en-US" w:eastAsia="zh-CN"/>
              </w:rPr>
              <w:t>Z7002025001379</w:t>
            </w:r>
            <w:r>
              <w:rPr>
                <w:rFonts w:hint="eastAsia" w:ascii="宋体" w:hAnsi="宋体"/>
                <w:bCs/>
                <w:color w:val="auto"/>
                <w:sz w:val="18"/>
                <w:szCs w:val="18"/>
              </w:rPr>
              <w:t>】注：投资者可依据理财产品登记编码在中国理财网查询产品信息</w:t>
            </w:r>
            <w:r>
              <w:rPr>
                <w:color w:val="auto"/>
              </w:rPr>
              <w:fldChar w:fldCharType="begin"/>
            </w:r>
            <w:r>
              <w:rPr>
                <w:color w:val="auto"/>
              </w:rPr>
              <w:instrText xml:space="preserve"> HYPERLINK "http://www.chinawealth.com.cn" </w:instrText>
            </w:r>
            <w:r>
              <w:rPr>
                <w:color w:val="auto"/>
              </w:rPr>
              <w:fldChar w:fldCharType="separate"/>
            </w:r>
            <w:r>
              <w:rPr>
                <w:rFonts w:ascii="宋体" w:hAnsi="宋体"/>
                <w:bCs/>
                <w:color w:val="auto"/>
                <w:sz w:val="18"/>
                <w:szCs w:val="18"/>
              </w:rPr>
              <w:t>www.chinawealth.com.cn</w:t>
            </w:r>
            <w:r>
              <w:rPr>
                <w:rFonts w:ascii="宋体" w:hAnsi="宋体"/>
                <w:bCs/>
                <w:color w:val="auto"/>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spacing w:line="360" w:lineRule="auto"/>
              <w:jc w:val="left"/>
              <w:rPr>
                <w:rFonts w:ascii="宋体" w:hAnsi="宋体"/>
                <w:bCs/>
                <w:color w:val="auto"/>
                <w:sz w:val="18"/>
                <w:szCs w:val="18"/>
              </w:rPr>
            </w:pPr>
            <w:r>
              <w:rPr>
                <w:rFonts w:ascii="宋体" w:hAnsi="宋体"/>
                <w:bCs/>
                <w:color w:val="auto"/>
                <w:sz w:val="18"/>
                <w:szCs w:val="18"/>
              </w:rPr>
              <w:t>【</w:t>
            </w:r>
            <w:r>
              <w:rPr>
                <w:rFonts w:hint="eastAsia" w:ascii="宋体" w:hAnsi="宋体"/>
                <w:bCs/>
                <w:color w:val="auto"/>
                <w:sz w:val="18"/>
                <w:szCs w:val="18"/>
                <w:lang w:eastAsia="zh-CN"/>
              </w:rPr>
              <w:t>9N255470</w:t>
            </w:r>
            <w:r>
              <w:rPr>
                <w:rFonts w:ascii="宋体" w:hAnsi="宋体"/>
                <w:bCs/>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spacing w:line="320" w:lineRule="exact"/>
              <w:jc w:val="left"/>
              <w:rPr>
                <w:rFonts w:hint="eastAsia" w:ascii="宋体" w:hAnsi="宋体"/>
                <w:bCs/>
                <w:color w:val="auto"/>
                <w:sz w:val="18"/>
                <w:szCs w:val="18"/>
              </w:rPr>
            </w:pPr>
            <w:r>
              <w:rPr>
                <w:rFonts w:hint="eastAsia" w:ascii="宋体" w:hAnsi="宋体"/>
                <w:bCs/>
                <w:color w:val="auto"/>
                <w:sz w:val="18"/>
                <w:szCs w:val="18"/>
              </w:rPr>
              <w:t>【</w:t>
            </w:r>
            <w:r>
              <w:rPr>
                <w:rFonts w:hint="eastAsia" w:ascii="宋体" w:hAnsi="宋体"/>
                <w:bCs/>
                <w:color w:val="auto"/>
                <w:sz w:val="18"/>
                <w:szCs w:val="18"/>
                <w:lang w:eastAsia="zh-CN"/>
              </w:rPr>
              <w:t>9N25547A</w:t>
            </w:r>
            <w:r>
              <w:rPr>
                <w:rFonts w:hint="eastAsia" w:ascii="宋体" w:hAnsi="宋体"/>
                <w:bCs/>
                <w:color w:val="auto"/>
                <w:sz w:val="18"/>
                <w:szCs w:val="18"/>
              </w:rPr>
              <w:t>】（适用【A】类份额）</w:t>
            </w:r>
          </w:p>
          <w:p>
            <w:pPr>
              <w:spacing w:line="320" w:lineRule="exact"/>
              <w:jc w:val="left"/>
              <w:rPr>
                <w:rFonts w:hint="eastAsia" w:ascii="宋体" w:hAnsi="宋体"/>
                <w:bCs/>
                <w:color w:val="auto"/>
                <w:sz w:val="18"/>
                <w:szCs w:val="18"/>
              </w:rPr>
            </w:pPr>
            <w:r>
              <w:rPr>
                <w:rFonts w:hint="eastAsia" w:ascii="宋体" w:hAnsi="宋体"/>
                <w:bCs/>
                <w:color w:val="auto"/>
                <w:sz w:val="18"/>
                <w:szCs w:val="18"/>
              </w:rPr>
              <w:t>【</w:t>
            </w:r>
            <w:r>
              <w:rPr>
                <w:rFonts w:hint="eastAsia" w:ascii="宋体" w:hAnsi="宋体"/>
                <w:bCs/>
                <w:color w:val="auto"/>
                <w:sz w:val="18"/>
                <w:szCs w:val="18"/>
                <w:lang w:eastAsia="zh-CN"/>
              </w:rPr>
              <w:t>9N25547</w:t>
            </w:r>
            <w:r>
              <w:rPr>
                <w:rFonts w:hint="eastAsia" w:ascii="宋体" w:hAnsi="宋体"/>
                <w:bCs/>
                <w:color w:val="auto"/>
                <w:sz w:val="18"/>
                <w:szCs w:val="18"/>
                <w:lang w:val="en-US" w:eastAsia="zh-CN"/>
              </w:rPr>
              <w:t>C</w:t>
            </w:r>
            <w:r>
              <w:rPr>
                <w:rFonts w:hint="eastAsia" w:ascii="宋体" w:hAnsi="宋体"/>
                <w:bCs/>
                <w:color w:val="auto"/>
                <w:sz w:val="18"/>
                <w:szCs w:val="18"/>
              </w:rPr>
              <w:t>】（适用【</w:t>
            </w:r>
            <w:r>
              <w:rPr>
                <w:rFonts w:hint="eastAsia" w:ascii="宋体" w:hAnsi="宋体"/>
                <w:bCs/>
                <w:color w:val="auto"/>
                <w:sz w:val="18"/>
                <w:szCs w:val="18"/>
                <w:lang w:val="en-US" w:eastAsia="zh-CN"/>
              </w:rPr>
              <w:t>C</w:t>
            </w:r>
            <w:r>
              <w:rPr>
                <w:rFonts w:hint="eastAsia" w:ascii="宋体" w:hAnsi="宋体"/>
                <w:bCs/>
                <w:color w:val="auto"/>
                <w:sz w:val="18"/>
                <w:szCs w:val="18"/>
              </w:rPr>
              <w:t>】类份额）</w:t>
            </w:r>
          </w:p>
          <w:p>
            <w:pPr>
              <w:spacing w:line="320" w:lineRule="exact"/>
              <w:jc w:val="left"/>
              <w:rPr>
                <w:rFonts w:hint="eastAsia" w:ascii="宋体" w:hAnsi="宋体"/>
                <w:bCs/>
                <w:color w:val="auto"/>
                <w:sz w:val="18"/>
                <w:szCs w:val="18"/>
              </w:rPr>
            </w:pPr>
            <w:r>
              <w:rPr>
                <w:rFonts w:hint="eastAsia" w:ascii="宋体" w:hAnsi="宋体"/>
                <w:bCs/>
                <w:color w:val="auto"/>
                <w:sz w:val="18"/>
                <w:szCs w:val="18"/>
              </w:rPr>
              <w:t>【</w:t>
            </w:r>
            <w:r>
              <w:rPr>
                <w:rFonts w:hint="eastAsia" w:ascii="宋体" w:hAnsi="宋体"/>
                <w:bCs/>
                <w:color w:val="auto"/>
                <w:sz w:val="18"/>
                <w:szCs w:val="18"/>
                <w:lang w:eastAsia="zh-CN"/>
              </w:rPr>
              <w:t>9N25547</w:t>
            </w:r>
            <w:r>
              <w:rPr>
                <w:rFonts w:hint="eastAsia" w:ascii="宋体" w:hAnsi="宋体"/>
                <w:bCs/>
                <w:color w:val="auto"/>
                <w:sz w:val="18"/>
                <w:szCs w:val="18"/>
                <w:lang w:val="en-US" w:eastAsia="zh-CN"/>
              </w:rPr>
              <w:t>D</w:t>
            </w:r>
            <w:r>
              <w:rPr>
                <w:rFonts w:hint="eastAsia" w:ascii="宋体" w:hAnsi="宋体"/>
                <w:bCs/>
                <w:color w:val="auto"/>
                <w:sz w:val="18"/>
                <w:szCs w:val="18"/>
              </w:rPr>
              <w:t>】（适用【</w:t>
            </w:r>
            <w:r>
              <w:rPr>
                <w:rFonts w:hint="eastAsia" w:ascii="宋体" w:hAnsi="宋体"/>
                <w:bCs/>
                <w:color w:val="auto"/>
                <w:sz w:val="18"/>
                <w:szCs w:val="18"/>
                <w:lang w:val="en-US" w:eastAsia="zh-CN"/>
              </w:rPr>
              <w:t>D</w:t>
            </w:r>
            <w:r>
              <w:rPr>
                <w:rFonts w:hint="eastAsia" w:ascii="宋体" w:hAnsi="宋体"/>
                <w:bCs/>
                <w:color w:val="auto"/>
                <w:sz w:val="18"/>
                <w:szCs w:val="18"/>
              </w:rPr>
              <w:t>】类份额）</w:t>
            </w:r>
          </w:p>
          <w:p>
            <w:pPr>
              <w:spacing w:line="320" w:lineRule="exact"/>
              <w:jc w:val="left"/>
              <w:rPr>
                <w:rFonts w:hint="eastAsia" w:ascii="宋体" w:hAnsi="宋体"/>
                <w:bCs/>
                <w:color w:val="auto"/>
                <w:sz w:val="18"/>
                <w:szCs w:val="18"/>
              </w:rPr>
            </w:pPr>
            <w:r>
              <w:rPr>
                <w:rFonts w:hint="eastAsia" w:ascii="宋体" w:hAnsi="宋体"/>
                <w:bCs/>
                <w:color w:val="auto"/>
                <w:sz w:val="18"/>
                <w:szCs w:val="18"/>
              </w:rPr>
              <w:t>【</w:t>
            </w:r>
            <w:r>
              <w:rPr>
                <w:rFonts w:hint="eastAsia" w:ascii="宋体" w:hAnsi="宋体"/>
                <w:bCs/>
                <w:color w:val="auto"/>
                <w:sz w:val="18"/>
                <w:szCs w:val="18"/>
                <w:lang w:eastAsia="zh-CN"/>
              </w:rPr>
              <w:t>9N25547</w:t>
            </w:r>
            <w:r>
              <w:rPr>
                <w:rFonts w:hint="eastAsia" w:ascii="宋体" w:hAnsi="宋体"/>
                <w:bCs/>
                <w:color w:val="auto"/>
                <w:sz w:val="18"/>
                <w:szCs w:val="18"/>
                <w:lang w:val="en-US" w:eastAsia="zh-CN"/>
              </w:rPr>
              <w:t>E</w:t>
            </w:r>
            <w:r>
              <w:rPr>
                <w:rFonts w:hint="eastAsia" w:ascii="宋体" w:hAnsi="宋体"/>
                <w:bCs/>
                <w:color w:val="auto"/>
                <w:sz w:val="18"/>
                <w:szCs w:val="18"/>
              </w:rPr>
              <w:t>】（适用【</w:t>
            </w:r>
            <w:r>
              <w:rPr>
                <w:rFonts w:hint="eastAsia" w:ascii="宋体" w:hAnsi="宋体"/>
                <w:bCs/>
                <w:color w:val="auto"/>
                <w:sz w:val="18"/>
                <w:szCs w:val="18"/>
                <w:lang w:val="en-US" w:eastAsia="zh-CN"/>
              </w:rPr>
              <w:t>E</w:t>
            </w:r>
            <w:r>
              <w:rPr>
                <w:rFonts w:hint="eastAsia" w:ascii="宋体" w:hAnsi="宋体"/>
                <w:bCs/>
                <w:color w:val="auto"/>
                <w:sz w:val="18"/>
                <w:szCs w:val="18"/>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8</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14</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6306"/>
      <w:bookmarkStart w:id="15" w:name="_Toc139991730"/>
      <w:bookmarkStart w:id="16" w:name="_Toc141703880"/>
      <w:bookmarkStart w:id="17" w:name="_Toc23386"/>
      <w:bookmarkStart w:id="18" w:name="_Toc30935"/>
      <w:bookmarkStart w:id="19" w:name="_Toc123112268"/>
      <w:bookmarkStart w:id="20" w:name="_Toc15517"/>
      <w:bookmarkStart w:id="21" w:name="_Toc32639"/>
      <w:bookmarkStart w:id="22" w:name="_Toc123112229"/>
      <w:bookmarkStart w:id="23" w:name="_Toc4966"/>
      <w:bookmarkStart w:id="24" w:name="_Toc123701389"/>
      <w:bookmarkStart w:id="25" w:name="_Toc4867"/>
      <w:bookmarkStart w:id="26" w:name="_Toc26897"/>
      <w:bookmarkStart w:id="27" w:name="_Toc29629"/>
      <w:bookmarkStart w:id="28" w:name="_Toc8727"/>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13020"/>
      <w:bookmarkStart w:id="33" w:name="_Toc3224"/>
      <w:bookmarkStart w:id="34" w:name="_Toc15067"/>
      <w:bookmarkStart w:id="35" w:name="_Toc21301"/>
      <w:bookmarkStart w:id="36" w:name="_Toc819"/>
      <w:bookmarkStart w:id="37" w:name="_Toc258829399"/>
      <w:bookmarkStart w:id="38" w:name="_Toc22864"/>
      <w:bookmarkStart w:id="39" w:name="_Toc2465"/>
      <w:bookmarkStart w:id="40" w:name="_Toc24860"/>
      <w:bookmarkStart w:id="41" w:name="_Toc6617"/>
      <w:bookmarkStart w:id="42" w:name="_Toc19592"/>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18631"/>
      <w:bookmarkStart w:id="48" w:name="_Toc733"/>
      <w:bookmarkStart w:id="49" w:name="_Toc74065740"/>
      <w:bookmarkStart w:id="50" w:name="_Toc6149"/>
      <w:bookmarkStart w:id="51" w:name="_Toc545"/>
      <w:bookmarkStart w:id="52" w:name="_Toc6683"/>
      <w:bookmarkStart w:id="53" w:name="_Toc13288"/>
      <w:bookmarkStart w:id="54" w:name="_Toc20627"/>
      <w:bookmarkStart w:id="55" w:name="_Toc20318"/>
      <w:bookmarkStart w:id="56" w:name="_Toc22708"/>
      <w:bookmarkStart w:id="57" w:name="_Toc24571"/>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兴银理财【稳利恒盈封闭式固收类】理财产品</w:t>
      </w: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w:t>
      </w:r>
      <w:r>
        <w:rPr>
          <w:rFonts w:hint="eastAsia" w:ascii="宋体" w:hAnsi="宋体" w:cs="Times New Roman"/>
          <w:b/>
          <w:bCs/>
          <w:sz w:val="32"/>
          <w:szCs w:val="32"/>
          <w:lang w:val="en-US" w:eastAsia="zh-CN"/>
        </w:rPr>
        <w:t>2025</w:t>
      </w:r>
      <w:r>
        <w:rPr>
          <w:rFonts w:hint="eastAsia" w:ascii="宋体" w:hAnsi="宋体" w:cs="Times New Roman"/>
          <w:b/>
          <w:bCs/>
          <w:sz w:val="32"/>
          <w:szCs w:val="32"/>
        </w:rPr>
        <w:t>】年【</w:t>
      </w:r>
      <w:r>
        <w:rPr>
          <w:rFonts w:hint="eastAsia" w:ascii="宋体" w:hAnsi="宋体" w:cs="Times New Roman"/>
          <w:b/>
          <w:bCs/>
          <w:sz w:val="32"/>
          <w:szCs w:val="32"/>
          <w:lang w:val="en-US" w:eastAsia="zh-CN"/>
        </w:rPr>
        <w:t>11</w:t>
      </w:r>
      <w:r>
        <w:rPr>
          <w:rFonts w:hint="eastAsia" w:ascii="宋体" w:hAnsi="宋体" w:cs="Times New Roman"/>
          <w:b/>
          <w:bCs/>
          <w:sz w:val="32"/>
          <w:szCs w:val="32"/>
        </w:rPr>
        <w:t>】月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兴业银行</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）。兴业银行成立于</w:t>
      </w:r>
      <w:r>
        <w:rPr>
          <w:rFonts w:ascii="宋体" w:hAnsi="宋体" w:eastAsia="宋体" w:cs="宋体"/>
          <w:bCs/>
          <w:color w:val="auto"/>
          <w:sz w:val="18"/>
          <w:szCs w:val="18"/>
          <w:lang w:val="en-US" w:eastAsia="zh-CN" w:bidi="ar-SA"/>
        </w:rPr>
        <w:t>1988年，于2005年开展资产托管业务，具备理财产品托管资格。</w:t>
      </w:r>
      <w:r>
        <w:rPr>
          <w:rFonts w:hint="eastAsia" w:ascii="宋体" w:hAnsi="宋体" w:eastAsia="宋体" w:cs="宋体"/>
          <w:bCs/>
          <w:color w:val="auto"/>
          <w:sz w:val="18"/>
          <w:szCs w:val="18"/>
          <w:lang w:val="en-US" w:eastAsia="zh-CN" w:bidi="ar-SA"/>
        </w:rPr>
        <w:t>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监管部门</w:t>
      </w:r>
      <w:r>
        <w:rPr>
          <w:rFonts w:ascii="宋体" w:hAnsi="宋体" w:eastAsia="宋体" w:cs="宋体"/>
          <w:bCs/>
          <w:color w:val="auto"/>
          <w:sz w:val="18"/>
          <w:szCs w:val="18"/>
          <w:lang w:val="en-US" w:eastAsia="zh-CN" w:bidi="ar-SA"/>
        </w:rPr>
        <w:t>认定的其他业务活动。各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。投资者按该份额净值进行理财产品申购、赎回和终止时分配。理财</w:t>
      </w:r>
      <w:r>
        <w:rPr>
          <w:rFonts w:ascii="宋体" w:hAnsi="宋体" w:eastAsia="宋体" w:cs="宋体"/>
          <w:bCs/>
          <w:color w:val="auto"/>
          <w:sz w:val="18"/>
          <w:szCs w:val="18"/>
          <w:lang w:val="en-US" w:eastAsia="zh-CN" w:bidi="ar-SA"/>
        </w:rPr>
        <w:t>产品份额净值四舍五入保留5位小数。</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工作日：指国家法定工作日。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spacing w:line="360" w:lineRule="auto"/>
              <w:jc w:val="left"/>
              <w:rPr>
                <w:rFonts w:ascii="宋体" w:hAnsi="宋体" w:eastAsia="宋体" w:cs="宋体"/>
                <w:bCs/>
                <w:color w:val="auto"/>
                <w:kern w:val="2"/>
                <w:sz w:val="18"/>
                <w:szCs w:val="18"/>
                <w:lang w:val="en-US" w:eastAsia="zh-CN" w:bidi="ar-SA"/>
              </w:rPr>
            </w:pPr>
            <w:r>
              <w:rPr>
                <w:rFonts w:hint="eastAsia" w:ascii="宋体" w:hAnsi="宋体" w:cs="宋体"/>
                <w:bCs/>
                <w:color w:val="auto"/>
                <w:sz w:val="18"/>
                <w:szCs w:val="18"/>
              </w:rPr>
              <w:t>【兴银理财稳利恒盈封闭式2025年</w:t>
            </w:r>
            <w:r>
              <w:rPr>
                <w:rFonts w:hint="eastAsia" w:ascii="宋体" w:hAnsi="宋体" w:cs="宋体"/>
                <w:bCs/>
                <w:color w:val="auto"/>
                <w:sz w:val="18"/>
                <w:szCs w:val="18"/>
                <w:lang w:eastAsia="zh-CN"/>
              </w:rPr>
              <w:t>547期</w:t>
            </w:r>
            <w:r>
              <w:rPr>
                <w:rFonts w:hint="eastAsia" w:ascii="宋体" w:hAnsi="宋体" w:cs="宋体"/>
                <w:bCs/>
                <w:color w:val="auto"/>
                <w:sz w:val="18"/>
                <w:szCs w:val="18"/>
              </w:rPr>
              <w:t>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center"/>
          </w:tcPr>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rPr>
              <w:t>【稳利恒盈封闭2025年</w:t>
            </w:r>
            <w:r>
              <w:rPr>
                <w:rFonts w:hint="eastAsia" w:ascii="宋体" w:hAnsi="宋体" w:cs="宋体"/>
                <w:bCs/>
                <w:color w:val="auto"/>
                <w:sz w:val="18"/>
                <w:szCs w:val="18"/>
                <w:lang w:eastAsia="zh-CN"/>
              </w:rPr>
              <w:t>547期</w:t>
            </w:r>
            <w:r>
              <w:rPr>
                <w:rFonts w:hint="eastAsia" w:ascii="宋体" w:hAnsi="宋体" w:cs="宋体"/>
                <w:bCs/>
                <w:color w:val="auto"/>
                <w:sz w:val="18"/>
                <w:szCs w:val="18"/>
              </w:rPr>
              <w:t>14M(纯盈颐养款)A】（适用【A】类份额）</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rPr>
              <w:t>【稳利恒盈封闭2025年</w:t>
            </w:r>
            <w:r>
              <w:rPr>
                <w:rFonts w:hint="eastAsia" w:ascii="宋体" w:hAnsi="宋体" w:cs="宋体"/>
                <w:bCs/>
                <w:color w:val="auto"/>
                <w:sz w:val="18"/>
                <w:szCs w:val="18"/>
                <w:lang w:eastAsia="zh-CN"/>
              </w:rPr>
              <w:t>547期</w:t>
            </w:r>
            <w:r>
              <w:rPr>
                <w:rFonts w:hint="eastAsia" w:ascii="宋体" w:hAnsi="宋体" w:cs="宋体"/>
                <w:bCs/>
                <w:color w:val="auto"/>
                <w:sz w:val="18"/>
                <w:szCs w:val="18"/>
              </w:rPr>
              <w:t>14M(纯盈颐养款)C】（适用【</w:t>
            </w:r>
            <w:r>
              <w:rPr>
                <w:rFonts w:hint="eastAsia" w:ascii="宋体" w:hAnsi="宋体" w:cs="宋体"/>
                <w:bCs/>
                <w:color w:val="auto"/>
                <w:sz w:val="18"/>
                <w:szCs w:val="18"/>
                <w:lang w:val="en-US" w:eastAsia="zh-CN"/>
              </w:rPr>
              <w:t>C</w:t>
            </w:r>
            <w:r>
              <w:rPr>
                <w:rFonts w:hint="eastAsia" w:ascii="宋体" w:hAnsi="宋体" w:cs="宋体"/>
                <w:bCs/>
                <w:color w:val="auto"/>
                <w:sz w:val="18"/>
                <w:szCs w:val="18"/>
              </w:rPr>
              <w:t>】类份额）</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rPr>
              <w:t>【稳利恒盈封闭2025年</w:t>
            </w:r>
            <w:r>
              <w:rPr>
                <w:rFonts w:hint="eastAsia" w:ascii="宋体" w:hAnsi="宋体" w:cs="宋体"/>
                <w:bCs/>
                <w:color w:val="auto"/>
                <w:sz w:val="18"/>
                <w:szCs w:val="18"/>
                <w:lang w:eastAsia="zh-CN"/>
              </w:rPr>
              <w:t>547期</w:t>
            </w:r>
            <w:r>
              <w:rPr>
                <w:rFonts w:hint="eastAsia" w:ascii="宋体" w:hAnsi="宋体" w:cs="宋体"/>
                <w:bCs/>
                <w:color w:val="auto"/>
                <w:sz w:val="18"/>
                <w:szCs w:val="18"/>
              </w:rPr>
              <w:t>14M(纯盈颐养款)</w:t>
            </w:r>
            <w:r>
              <w:rPr>
                <w:rFonts w:hint="eastAsia" w:ascii="宋体" w:hAnsi="宋体" w:cs="宋体"/>
                <w:bCs/>
                <w:color w:val="auto"/>
                <w:sz w:val="18"/>
                <w:szCs w:val="18"/>
                <w:lang w:val="en-US" w:eastAsia="zh-CN"/>
              </w:rPr>
              <w:t>D</w:t>
            </w:r>
            <w:r>
              <w:rPr>
                <w:rFonts w:hint="eastAsia" w:ascii="宋体" w:hAnsi="宋体" w:cs="宋体"/>
                <w:bCs/>
                <w:color w:val="auto"/>
                <w:sz w:val="18"/>
                <w:szCs w:val="18"/>
              </w:rPr>
              <w:t>】（适用【</w:t>
            </w:r>
            <w:r>
              <w:rPr>
                <w:rFonts w:hint="eastAsia" w:ascii="宋体" w:hAnsi="宋体" w:cs="宋体"/>
                <w:bCs/>
                <w:color w:val="auto"/>
                <w:sz w:val="18"/>
                <w:szCs w:val="18"/>
                <w:lang w:val="en-US" w:eastAsia="zh-CN"/>
              </w:rPr>
              <w:t>D</w:t>
            </w:r>
            <w:r>
              <w:rPr>
                <w:rFonts w:hint="eastAsia" w:ascii="宋体" w:hAnsi="宋体" w:cs="宋体"/>
                <w:bCs/>
                <w:color w:val="auto"/>
                <w:sz w:val="18"/>
                <w:szCs w:val="18"/>
              </w:rPr>
              <w:t>】类份额）</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rPr>
              <w:t>【稳利恒盈封闭2025年</w:t>
            </w:r>
            <w:r>
              <w:rPr>
                <w:rFonts w:hint="eastAsia" w:ascii="宋体" w:hAnsi="宋体" w:cs="宋体"/>
                <w:bCs/>
                <w:color w:val="auto"/>
                <w:sz w:val="18"/>
                <w:szCs w:val="18"/>
                <w:lang w:eastAsia="zh-CN"/>
              </w:rPr>
              <w:t>547期</w:t>
            </w:r>
            <w:r>
              <w:rPr>
                <w:rFonts w:hint="eastAsia" w:ascii="宋体" w:hAnsi="宋体" w:cs="宋体"/>
                <w:bCs/>
                <w:color w:val="auto"/>
                <w:sz w:val="18"/>
                <w:szCs w:val="18"/>
              </w:rPr>
              <w:t>14M(纯盈颐养款)</w:t>
            </w:r>
            <w:r>
              <w:rPr>
                <w:rFonts w:hint="eastAsia" w:ascii="宋体" w:hAnsi="宋体" w:cs="宋体"/>
                <w:bCs/>
                <w:color w:val="auto"/>
                <w:sz w:val="18"/>
                <w:szCs w:val="18"/>
                <w:lang w:val="en-US" w:eastAsia="zh-CN"/>
              </w:rPr>
              <w:t>E</w:t>
            </w:r>
            <w:r>
              <w:rPr>
                <w:rFonts w:hint="eastAsia" w:ascii="宋体" w:hAnsi="宋体" w:cs="宋体"/>
                <w:bCs/>
                <w:color w:val="auto"/>
                <w:sz w:val="18"/>
                <w:szCs w:val="18"/>
              </w:rPr>
              <w:t>】（适用【</w:t>
            </w:r>
            <w:r>
              <w:rPr>
                <w:rFonts w:hint="eastAsia" w:ascii="宋体" w:hAnsi="宋体" w:cs="宋体"/>
                <w:bCs/>
                <w:color w:val="auto"/>
                <w:sz w:val="18"/>
                <w:szCs w:val="18"/>
                <w:lang w:val="en-US" w:eastAsia="zh-CN"/>
              </w:rPr>
              <w:t>E</w:t>
            </w:r>
            <w:r>
              <w:rPr>
                <w:rFonts w:hint="eastAsia" w:ascii="宋体" w:hAnsi="宋体" w:cs="宋体"/>
                <w:bCs/>
                <w:color w:val="auto"/>
                <w:sz w:val="18"/>
                <w:szCs w:val="18"/>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pPr>
              <w:spacing w:line="360" w:lineRule="auto"/>
              <w:jc w:val="left"/>
              <w:rPr>
                <w:rFonts w:ascii="宋体" w:hAnsi="宋体" w:cs="宋体"/>
                <w:b/>
                <w:color w:val="auto"/>
                <w:sz w:val="18"/>
                <w:szCs w:val="18"/>
              </w:rPr>
            </w:pPr>
            <w:r>
              <w:rPr>
                <w:rFonts w:hint="eastAsia" w:ascii="宋体" w:hAnsi="宋体" w:cs="宋体"/>
                <w:bCs/>
                <w:color w:val="auto"/>
                <w:sz w:val="18"/>
                <w:szCs w:val="18"/>
              </w:rPr>
              <w:t>【</w:t>
            </w:r>
            <w:r>
              <w:rPr>
                <w:rFonts w:hint="eastAsia" w:ascii="宋体" w:hAnsi="宋体" w:cs="宋体"/>
                <w:bCs/>
                <w:color w:val="auto"/>
                <w:sz w:val="18"/>
                <w:szCs w:val="18"/>
                <w:lang w:val="en-US" w:eastAsia="zh-CN"/>
              </w:rPr>
              <w:t>Z7002025001379</w:t>
            </w:r>
            <w:r>
              <w:rPr>
                <w:rFonts w:hint="eastAsia" w:ascii="宋体" w:hAnsi="宋体" w:cs="宋体"/>
                <w:bCs/>
                <w:color w:val="auto"/>
                <w:sz w:val="18"/>
                <w:szCs w:val="18"/>
              </w:rPr>
              <w:t>】注：投资者可依据理财产品登记编码在中国理财网查询产品信息</w:t>
            </w:r>
            <w:r>
              <w:rPr>
                <w:rFonts w:ascii="Calibri" w:hAnsi="Calibri" w:cs="宋体"/>
                <w:color w:val="auto"/>
                <w:szCs w:val="22"/>
              </w:rPr>
              <w:fldChar w:fldCharType="begin"/>
            </w:r>
            <w:r>
              <w:rPr>
                <w:rFonts w:ascii="Calibri" w:hAnsi="Calibri" w:cs="宋体"/>
                <w:color w:val="auto"/>
                <w:szCs w:val="22"/>
              </w:rPr>
              <w:instrText xml:space="preserve"> HYPERLINK "http://www.chinawealth.com.cn" </w:instrText>
            </w:r>
            <w:r>
              <w:rPr>
                <w:rFonts w:ascii="Calibri" w:hAnsi="Calibri" w:cs="宋体"/>
                <w:color w:val="auto"/>
                <w:szCs w:val="22"/>
              </w:rPr>
              <w:fldChar w:fldCharType="separate"/>
            </w:r>
            <w:r>
              <w:rPr>
                <w:rFonts w:ascii="宋体" w:hAnsi="宋体" w:cs="宋体"/>
                <w:bCs/>
                <w:color w:val="auto"/>
                <w:sz w:val="18"/>
                <w:szCs w:val="18"/>
              </w:rPr>
              <w:t>www.chinawealth.com.cn</w:t>
            </w:r>
            <w:r>
              <w:rPr>
                <w:rFonts w:ascii="宋体" w:hAnsi="宋体" w:cs="宋体"/>
                <w:bCs/>
                <w:color w:val="auto"/>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spacing w:line="360" w:lineRule="auto"/>
              <w:jc w:val="left"/>
              <w:rPr>
                <w:rFonts w:ascii="宋体" w:hAnsi="宋体" w:cs="宋体"/>
                <w:bCs/>
                <w:color w:val="auto"/>
                <w:sz w:val="18"/>
                <w:szCs w:val="18"/>
              </w:rPr>
            </w:pPr>
            <w:r>
              <w:rPr>
                <w:rFonts w:ascii="宋体" w:hAnsi="宋体" w:cs="宋体"/>
                <w:bCs/>
                <w:color w:val="auto"/>
                <w:sz w:val="18"/>
                <w:szCs w:val="18"/>
              </w:rPr>
              <w:t>【</w:t>
            </w:r>
            <w:r>
              <w:rPr>
                <w:rFonts w:hint="eastAsia" w:ascii="宋体" w:hAnsi="宋体" w:cs="宋体"/>
                <w:bCs/>
                <w:color w:val="auto"/>
                <w:sz w:val="18"/>
                <w:szCs w:val="18"/>
                <w:lang w:eastAsia="zh-CN"/>
              </w:rPr>
              <w:t>9N255470</w:t>
            </w:r>
            <w:r>
              <w:rPr>
                <w:rFonts w:ascii="宋体" w:hAnsi="宋体" w:cs="宋体"/>
                <w:bCs/>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center"/>
          </w:tcPr>
          <w:p>
            <w:pPr>
              <w:spacing w:line="320" w:lineRule="exact"/>
              <w:jc w:val="left"/>
              <w:rPr>
                <w:rFonts w:hint="eastAsia" w:ascii="宋体" w:hAnsi="宋体" w:cs="宋体"/>
                <w:bCs/>
                <w:color w:val="auto"/>
                <w:sz w:val="18"/>
                <w:szCs w:val="18"/>
              </w:rPr>
            </w:pPr>
            <w:r>
              <w:rPr>
                <w:rFonts w:hint="eastAsia" w:ascii="宋体" w:hAnsi="宋体" w:cs="宋体"/>
                <w:bCs/>
                <w:color w:val="auto"/>
                <w:sz w:val="18"/>
                <w:szCs w:val="18"/>
              </w:rPr>
              <w:t>【</w:t>
            </w:r>
            <w:r>
              <w:rPr>
                <w:rFonts w:hint="eastAsia" w:ascii="宋体" w:hAnsi="宋体" w:cs="宋体"/>
                <w:bCs/>
                <w:color w:val="auto"/>
                <w:sz w:val="18"/>
                <w:szCs w:val="18"/>
                <w:lang w:eastAsia="zh-CN"/>
              </w:rPr>
              <w:t>9N25547A</w:t>
            </w:r>
            <w:r>
              <w:rPr>
                <w:rFonts w:hint="eastAsia" w:ascii="宋体" w:hAnsi="宋体" w:cs="宋体"/>
                <w:bCs/>
                <w:color w:val="auto"/>
                <w:sz w:val="18"/>
                <w:szCs w:val="18"/>
              </w:rPr>
              <w:t>】（适用【A】类份额）</w:t>
            </w:r>
          </w:p>
          <w:p>
            <w:pPr>
              <w:spacing w:line="320" w:lineRule="exact"/>
              <w:jc w:val="left"/>
              <w:rPr>
                <w:rFonts w:hint="eastAsia" w:ascii="宋体" w:hAnsi="宋体" w:cs="宋体"/>
                <w:bCs/>
                <w:color w:val="auto"/>
                <w:sz w:val="18"/>
                <w:szCs w:val="18"/>
              </w:rPr>
            </w:pPr>
            <w:r>
              <w:rPr>
                <w:rFonts w:hint="eastAsia" w:ascii="宋体" w:hAnsi="宋体" w:cs="宋体"/>
                <w:bCs/>
                <w:color w:val="auto"/>
                <w:sz w:val="18"/>
                <w:szCs w:val="18"/>
              </w:rPr>
              <w:t>【</w:t>
            </w:r>
            <w:r>
              <w:rPr>
                <w:rFonts w:hint="eastAsia" w:ascii="宋体" w:hAnsi="宋体" w:cs="宋体"/>
                <w:bCs/>
                <w:color w:val="auto"/>
                <w:sz w:val="18"/>
                <w:szCs w:val="18"/>
                <w:lang w:eastAsia="zh-CN"/>
              </w:rPr>
              <w:t>9N25547</w:t>
            </w:r>
            <w:r>
              <w:rPr>
                <w:rFonts w:hint="eastAsia" w:ascii="宋体" w:hAnsi="宋体" w:cs="宋体"/>
                <w:bCs/>
                <w:color w:val="auto"/>
                <w:sz w:val="18"/>
                <w:szCs w:val="18"/>
                <w:lang w:val="en-US" w:eastAsia="zh-CN"/>
              </w:rPr>
              <w:t>C</w:t>
            </w:r>
            <w:r>
              <w:rPr>
                <w:rFonts w:hint="eastAsia" w:ascii="宋体" w:hAnsi="宋体" w:cs="宋体"/>
                <w:bCs/>
                <w:color w:val="auto"/>
                <w:sz w:val="18"/>
                <w:szCs w:val="18"/>
              </w:rPr>
              <w:t>】（适用【</w:t>
            </w:r>
            <w:r>
              <w:rPr>
                <w:rFonts w:hint="eastAsia" w:ascii="宋体" w:hAnsi="宋体" w:cs="宋体"/>
                <w:bCs/>
                <w:color w:val="auto"/>
                <w:sz w:val="18"/>
                <w:szCs w:val="18"/>
                <w:lang w:val="en-US" w:eastAsia="zh-CN"/>
              </w:rPr>
              <w:t>C</w:t>
            </w:r>
            <w:r>
              <w:rPr>
                <w:rFonts w:hint="eastAsia" w:ascii="宋体" w:hAnsi="宋体" w:cs="宋体"/>
                <w:bCs/>
                <w:color w:val="auto"/>
                <w:sz w:val="18"/>
                <w:szCs w:val="18"/>
              </w:rPr>
              <w:t>】类份额）</w:t>
            </w:r>
          </w:p>
          <w:p>
            <w:pPr>
              <w:spacing w:line="320" w:lineRule="exact"/>
              <w:jc w:val="left"/>
              <w:rPr>
                <w:rFonts w:hint="eastAsia" w:ascii="宋体" w:hAnsi="宋体" w:cs="宋体"/>
                <w:bCs/>
                <w:color w:val="auto"/>
                <w:sz w:val="18"/>
                <w:szCs w:val="18"/>
              </w:rPr>
            </w:pPr>
            <w:r>
              <w:rPr>
                <w:rFonts w:hint="eastAsia" w:ascii="宋体" w:hAnsi="宋体" w:cs="宋体"/>
                <w:bCs/>
                <w:color w:val="auto"/>
                <w:sz w:val="18"/>
                <w:szCs w:val="18"/>
              </w:rPr>
              <w:t>【</w:t>
            </w:r>
            <w:r>
              <w:rPr>
                <w:rFonts w:hint="eastAsia" w:ascii="宋体" w:hAnsi="宋体" w:cs="宋体"/>
                <w:bCs/>
                <w:color w:val="auto"/>
                <w:sz w:val="18"/>
                <w:szCs w:val="18"/>
                <w:lang w:eastAsia="zh-CN"/>
              </w:rPr>
              <w:t>9N25547</w:t>
            </w:r>
            <w:r>
              <w:rPr>
                <w:rFonts w:hint="eastAsia" w:ascii="宋体" w:hAnsi="宋体" w:cs="宋体"/>
                <w:bCs/>
                <w:color w:val="auto"/>
                <w:sz w:val="18"/>
                <w:szCs w:val="18"/>
                <w:lang w:val="en-US" w:eastAsia="zh-CN"/>
              </w:rPr>
              <w:t>D</w:t>
            </w:r>
            <w:r>
              <w:rPr>
                <w:rFonts w:hint="eastAsia" w:ascii="宋体" w:hAnsi="宋体" w:cs="宋体"/>
                <w:bCs/>
                <w:color w:val="auto"/>
                <w:sz w:val="18"/>
                <w:szCs w:val="18"/>
              </w:rPr>
              <w:t>】（适用【</w:t>
            </w:r>
            <w:r>
              <w:rPr>
                <w:rFonts w:hint="eastAsia" w:ascii="宋体" w:hAnsi="宋体" w:cs="宋体"/>
                <w:bCs/>
                <w:color w:val="auto"/>
                <w:sz w:val="18"/>
                <w:szCs w:val="18"/>
                <w:lang w:val="en-US" w:eastAsia="zh-CN"/>
              </w:rPr>
              <w:t>D</w:t>
            </w:r>
            <w:r>
              <w:rPr>
                <w:rFonts w:hint="eastAsia" w:ascii="宋体" w:hAnsi="宋体" w:cs="宋体"/>
                <w:bCs/>
                <w:color w:val="auto"/>
                <w:sz w:val="18"/>
                <w:szCs w:val="18"/>
              </w:rPr>
              <w:t>】类份额）</w:t>
            </w:r>
          </w:p>
          <w:p>
            <w:pPr>
              <w:spacing w:line="320" w:lineRule="exact"/>
              <w:jc w:val="left"/>
              <w:rPr>
                <w:rFonts w:hint="eastAsia" w:ascii="宋体" w:hAnsi="宋体" w:cs="宋体"/>
                <w:bCs/>
                <w:color w:val="auto"/>
                <w:sz w:val="18"/>
                <w:szCs w:val="18"/>
              </w:rPr>
            </w:pPr>
            <w:r>
              <w:rPr>
                <w:rFonts w:hint="eastAsia" w:ascii="宋体" w:hAnsi="宋体" w:cs="宋体"/>
                <w:bCs/>
                <w:color w:val="auto"/>
                <w:sz w:val="18"/>
                <w:szCs w:val="18"/>
              </w:rPr>
              <w:t>【</w:t>
            </w:r>
            <w:r>
              <w:rPr>
                <w:rFonts w:hint="eastAsia" w:ascii="宋体" w:hAnsi="宋体" w:cs="宋体"/>
                <w:bCs/>
                <w:color w:val="auto"/>
                <w:sz w:val="18"/>
                <w:szCs w:val="18"/>
                <w:lang w:eastAsia="zh-CN"/>
              </w:rPr>
              <w:t>9N25547</w:t>
            </w:r>
            <w:r>
              <w:rPr>
                <w:rFonts w:hint="eastAsia" w:ascii="宋体" w:hAnsi="宋体" w:cs="宋体"/>
                <w:bCs/>
                <w:color w:val="auto"/>
                <w:sz w:val="18"/>
                <w:szCs w:val="18"/>
                <w:lang w:val="en-US" w:eastAsia="zh-CN"/>
              </w:rPr>
              <w:t>E</w:t>
            </w:r>
            <w:r>
              <w:rPr>
                <w:rFonts w:hint="eastAsia" w:ascii="宋体" w:hAnsi="宋体" w:cs="宋体"/>
                <w:bCs/>
                <w:color w:val="auto"/>
                <w:sz w:val="18"/>
                <w:szCs w:val="18"/>
              </w:rPr>
              <w:t>】（适用【</w:t>
            </w:r>
            <w:r>
              <w:rPr>
                <w:rFonts w:hint="eastAsia" w:ascii="宋体" w:hAnsi="宋体" w:cs="宋体"/>
                <w:bCs/>
                <w:color w:val="auto"/>
                <w:sz w:val="18"/>
                <w:szCs w:val="18"/>
                <w:lang w:val="en-US" w:eastAsia="zh-CN"/>
              </w:rPr>
              <w:t>E</w:t>
            </w:r>
            <w:r>
              <w:rPr>
                <w:rFonts w:hint="eastAsia" w:ascii="宋体" w:hAnsi="宋体" w:cs="宋体"/>
                <w:bCs/>
                <w:color w:val="auto"/>
                <w:sz w:val="18"/>
                <w:szCs w:val="18"/>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pPr>
              <w:spacing w:line="360" w:lineRule="auto"/>
              <w:rPr>
                <w:rFonts w:ascii="宋体" w:hAnsi="宋体" w:cs="宋体"/>
                <w:bCs/>
                <w:sz w:val="18"/>
                <w:szCs w:val="18"/>
              </w:rPr>
            </w:pPr>
            <w:r>
              <w:rPr>
                <w:rFonts w:hint="eastAsia" w:ascii="宋体" w:hAnsi="宋体" w:cs="宋体"/>
                <w:bCs/>
                <w:sz w:val="18"/>
                <w:szCs w:val="18"/>
              </w:rPr>
              <w:t>（1）销售名称</w:t>
            </w:r>
          </w:p>
          <w:p>
            <w:pPr>
              <w:spacing w:line="360" w:lineRule="auto"/>
              <w:rPr>
                <w:rFonts w:ascii="宋体" w:hAnsi="宋体" w:cs="宋体"/>
                <w:bCs/>
                <w:sz w:val="18"/>
                <w:szCs w:val="18"/>
              </w:rPr>
            </w:pPr>
            <w:r>
              <w:rPr>
                <w:rFonts w:hint="eastAsia" w:ascii="宋体" w:hAnsi="宋体" w:cs="宋体"/>
                <w:bCs/>
                <w:sz w:val="18"/>
                <w:szCs w:val="18"/>
              </w:rPr>
              <w:t>（2）收费方式</w:t>
            </w:r>
          </w:p>
          <w:p>
            <w:pPr>
              <w:spacing w:line="360" w:lineRule="auto"/>
              <w:rPr>
                <w:rFonts w:ascii="宋体" w:hAnsi="宋体" w:cs="宋体"/>
                <w:bCs/>
                <w:sz w:val="18"/>
                <w:szCs w:val="18"/>
              </w:rPr>
            </w:pPr>
            <w:r>
              <w:rPr>
                <w:rFonts w:hint="eastAsia" w:ascii="宋体" w:hAnsi="宋体" w:cs="宋体"/>
                <w:bCs/>
                <w:sz w:val="18"/>
                <w:szCs w:val="18"/>
              </w:rPr>
              <w:t>（3）销售服务费</w:t>
            </w:r>
          </w:p>
          <w:p>
            <w:pPr>
              <w:spacing w:line="360" w:lineRule="auto"/>
              <w:rPr>
                <w:rFonts w:ascii="宋体" w:hAnsi="宋体" w:cs="宋体"/>
                <w:bCs/>
                <w:sz w:val="18"/>
                <w:szCs w:val="18"/>
              </w:rPr>
            </w:pPr>
            <w:r>
              <w:rPr>
                <w:rFonts w:hint="eastAsia" w:ascii="宋体" w:hAnsi="宋体" w:cs="宋体"/>
                <w:bCs/>
                <w:sz w:val="18"/>
                <w:szCs w:val="18"/>
              </w:rPr>
              <w:t>（4）销售代码</w:t>
            </w:r>
          </w:p>
          <w:p>
            <w:pPr>
              <w:spacing w:line="360" w:lineRule="auto"/>
              <w:rPr>
                <w:rFonts w:ascii="宋体" w:hAnsi="宋体" w:cs="宋体"/>
                <w:bCs/>
                <w:sz w:val="18"/>
                <w:szCs w:val="18"/>
              </w:rPr>
            </w:pPr>
            <w:r>
              <w:rPr>
                <w:rFonts w:hint="eastAsia" w:ascii="宋体" w:hAnsi="宋体" w:cs="宋体"/>
                <w:bCs/>
                <w:sz w:val="18"/>
                <w:szCs w:val="18"/>
              </w:rPr>
              <w:t>（5）销售对象</w:t>
            </w:r>
          </w:p>
          <w:p>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spacing w:line="360" w:lineRule="auto"/>
              <w:rPr>
                <w:rFonts w:ascii="宋体" w:hAnsi="宋体" w:eastAsia="宋体" w:cs="宋体"/>
                <w:bCs/>
                <w:sz w:val="18"/>
                <w:szCs w:val="18"/>
              </w:rPr>
            </w:pPr>
            <w:r>
              <w:rPr>
                <w:rFonts w:hint="eastAsia" w:ascii="宋体" w:hAnsi="宋体" w:eastAsia="宋体" w:cs="宋体"/>
                <w:bCs/>
                <w:sz w:val="18"/>
                <w:szCs w:val="18"/>
              </w:rPr>
              <w:t xml:space="preserve">本产品属于【□ </w:t>
            </w:r>
            <w:r>
              <w:rPr>
                <w:rFonts w:ascii="宋体" w:hAnsi="宋体" w:eastAsia="宋体" w:cs="宋体"/>
                <w:bCs/>
                <w:sz w:val="18"/>
                <w:szCs w:val="18"/>
              </w:rPr>
              <w:t>R1、</w:t>
            </w:r>
            <w:r>
              <w:rPr>
                <w:rFonts w:hint="eastAsia" w:ascii="宋体" w:hAnsi="宋体" w:eastAsia="宋体" w:cs="宋体"/>
                <w:bCs/>
                <w:sz w:val="18"/>
                <w:szCs w:val="18"/>
              </w:rPr>
              <w:t>■</w:t>
            </w:r>
            <w:r>
              <w:rPr>
                <w:rFonts w:ascii="宋体" w:hAnsi="宋体" w:eastAsia="宋体" w:cs="宋体"/>
                <w:bCs/>
                <w:sz w:val="18"/>
                <w:szCs w:val="18"/>
              </w:rPr>
              <w:t xml:space="preserve"> R2、</w:t>
            </w:r>
            <w:r>
              <w:rPr>
                <w:rFonts w:hint="eastAsia" w:ascii="宋体" w:hAnsi="宋体" w:eastAsia="宋体" w:cs="宋体"/>
                <w:bCs/>
                <w:sz w:val="18"/>
                <w:szCs w:val="18"/>
              </w:rPr>
              <w:t>□</w:t>
            </w:r>
            <w:r>
              <w:rPr>
                <w:rFonts w:ascii="宋体" w:hAnsi="宋体" w:eastAsia="宋体" w:cs="宋体"/>
                <w:bCs/>
                <w:sz w:val="18"/>
                <w:szCs w:val="18"/>
              </w:rPr>
              <w:t xml:space="preserve"> R3、</w:t>
            </w:r>
            <w:r>
              <w:rPr>
                <w:rFonts w:hint="eastAsia" w:ascii="宋体" w:hAnsi="宋体" w:eastAsia="宋体" w:cs="宋体"/>
                <w:bCs/>
                <w:sz w:val="18"/>
                <w:szCs w:val="18"/>
              </w:rPr>
              <w:t>□</w:t>
            </w:r>
            <w:r>
              <w:rPr>
                <w:rFonts w:ascii="宋体" w:hAnsi="宋体" w:eastAsia="宋体" w:cs="宋体"/>
                <w:bCs/>
                <w:sz w:val="18"/>
                <w:szCs w:val="18"/>
              </w:rPr>
              <w:t xml:space="preserve"> R4、</w:t>
            </w:r>
            <w:r>
              <w:rPr>
                <w:rFonts w:hint="eastAsia" w:ascii="宋体" w:hAnsi="宋体" w:eastAsia="宋体" w:cs="宋体"/>
                <w:bCs/>
                <w:sz w:val="18"/>
                <w:szCs w:val="18"/>
              </w:rPr>
              <w:t>□</w:t>
            </w:r>
            <w:r>
              <w:rPr>
                <w:rFonts w:ascii="宋体" w:hAnsi="宋体" w:eastAsia="宋体" w:cs="宋体"/>
                <w:bCs/>
                <w:sz w:val="18"/>
                <w:szCs w:val="18"/>
              </w:rPr>
              <w:t xml:space="preserve"> R5】理财产品</w:t>
            </w:r>
            <w:r>
              <w:rPr>
                <w:rFonts w:hint="eastAsia" w:ascii="宋体" w:hAnsi="宋体" w:eastAsia="宋体" w:cs="宋体"/>
                <w:bCs/>
                <w:sz w:val="18"/>
                <w:szCs w:val="18"/>
              </w:rPr>
              <w:t>。</w:t>
            </w:r>
          </w:p>
          <w:p>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p>
          <w:p>
            <w:pPr>
              <w:spacing w:line="360" w:lineRule="auto"/>
              <w:rPr>
                <w:rFonts w:ascii="宋体" w:hAnsi="宋体" w:eastAsia="宋体" w:cs="宋体"/>
                <w:bCs/>
                <w:color w:val="000000"/>
                <w:sz w:val="18"/>
                <w:szCs w:val="18"/>
              </w:rPr>
            </w:pPr>
            <w:r>
              <w:rPr>
                <w:rFonts w:hint="eastAsia" w:ascii="宋体" w:hAnsi="宋体" w:eastAsia="宋体" w:cs="宋体"/>
                <w:bCs/>
                <w:color w:val="000000"/>
                <w:sz w:val="18"/>
                <w:szCs w:val="18"/>
              </w:rPr>
              <w:t>■个人投资者</w:t>
            </w:r>
          </w:p>
          <w:p>
            <w:pPr>
              <w:spacing w:line="360" w:lineRule="auto"/>
              <w:rPr>
                <w:rFonts w:ascii="宋体" w:hAnsi="宋体" w:eastAsia="宋体" w:cs="宋体"/>
                <w:bCs/>
                <w:sz w:val="18"/>
                <w:szCs w:val="18"/>
              </w:rPr>
            </w:pPr>
            <w:r>
              <w:rPr>
                <w:rFonts w:hint="eastAsia" w:ascii="宋体" w:hAnsi="宋体" w:eastAsia="宋体" w:cs="宋体"/>
                <w:bCs/>
                <w:color w:val="000000"/>
                <w:sz w:val="18"/>
                <w:szCs w:val="18"/>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 直销适用</w:t>
            </w:r>
          </w:p>
          <w:p>
            <w:pPr>
              <w:spacing w:line="360" w:lineRule="auto"/>
              <w:jc w:val="left"/>
              <w:rPr>
                <w:rFonts w:ascii="宋体" w:hAnsi="宋体" w:cs="宋体"/>
                <w:sz w:val="18"/>
                <w:szCs w:val="18"/>
              </w:rPr>
            </w:pPr>
            <w:r>
              <w:rPr>
                <w:rFonts w:hint="eastAsia" w:ascii="宋体" w:hAnsi="宋体" w:cs="宋体"/>
                <w:sz w:val="18"/>
                <w:szCs w:val="18"/>
              </w:rPr>
              <w:t>本产品由产品管理人销售。</w:t>
            </w:r>
          </w:p>
          <w:p>
            <w:pPr>
              <w:spacing w:line="360" w:lineRule="auto"/>
              <w:jc w:val="left"/>
              <w:rPr>
                <w:rFonts w:ascii="宋体" w:hAnsi="宋体" w:cs="宋体"/>
                <w:sz w:val="18"/>
                <w:szCs w:val="18"/>
              </w:rPr>
            </w:pPr>
            <w:r>
              <w:rPr>
                <w:rFonts w:hint="eastAsia" w:ascii="宋体" w:hAnsi="宋体" w:eastAsia="宋体" w:cs="宋体"/>
                <w:bCs/>
                <w:sz w:val="18"/>
                <w:szCs w:val="18"/>
              </w:rPr>
              <w:t>■</w:t>
            </w:r>
            <w:r>
              <w:rPr>
                <w:rFonts w:hint="eastAsia" w:ascii="宋体" w:hAnsi="宋体" w:eastAsia="宋体" w:cs="宋体"/>
                <w:bCs/>
                <w:sz w:val="18"/>
                <w:szCs w:val="18"/>
                <w:lang w:val="en-US" w:eastAsia="zh-CN"/>
              </w:rPr>
              <w:t xml:space="preserve"> </w:t>
            </w:r>
            <w:r>
              <w:rPr>
                <w:rFonts w:hint="eastAsia" w:ascii="宋体" w:hAnsi="宋体" w:cs="宋体"/>
                <w:sz w:val="18"/>
                <w:szCs w:val="18"/>
              </w:rPr>
              <w:t>代销适用</w:t>
            </w:r>
          </w:p>
          <w:p>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spacing w:line="360" w:lineRule="auto"/>
              <w:rPr>
                <w:rFonts w:ascii="宋体" w:hAnsi="宋体" w:eastAsia="宋体" w:cs="宋体"/>
                <w:bCs/>
                <w:color w:val="auto"/>
                <w:sz w:val="18"/>
                <w:szCs w:val="18"/>
                <w:highlight w:val="none"/>
              </w:rPr>
            </w:pPr>
            <w:r>
              <w:rPr>
                <w:rFonts w:hint="eastAsia" w:ascii="宋体" w:hAnsi="宋体" w:eastAsia="宋体" w:cs="宋体"/>
                <w:bCs/>
                <w:color w:val="auto"/>
                <w:sz w:val="18"/>
                <w:szCs w:val="18"/>
                <w:highlight w:val="none"/>
              </w:rPr>
              <w:t>1.本产品计划初始</w:t>
            </w:r>
            <w:r>
              <w:rPr>
                <w:rFonts w:ascii="宋体" w:hAnsi="宋体" w:eastAsia="宋体" w:cs="宋体"/>
                <w:bCs/>
                <w:color w:val="auto"/>
                <w:sz w:val="18"/>
                <w:szCs w:val="18"/>
                <w:highlight w:val="none"/>
              </w:rPr>
              <w:t>募集</w:t>
            </w:r>
            <w:r>
              <w:rPr>
                <w:rFonts w:hint="eastAsia" w:ascii="宋体" w:hAnsi="宋体" w:eastAsia="宋体" w:cs="宋体"/>
                <w:bCs/>
                <w:color w:val="auto"/>
                <w:sz w:val="18"/>
                <w:szCs w:val="18"/>
                <w:highlight w:val="none"/>
              </w:rPr>
              <w:t>规模为【</w:t>
            </w:r>
            <w:r>
              <w:rPr>
                <w:rFonts w:hint="eastAsia" w:ascii="宋体" w:hAnsi="宋体" w:eastAsia="宋体" w:cs="宋体"/>
                <w:bCs/>
                <w:color w:val="auto"/>
                <w:sz w:val="18"/>
                <w:szCs w:val="18"/>
                <w:highlight w:val="none"/>
                <w:lang w:val="en-US" w:eastAsia="zh-CN"/>
              </w:rPr>
              <w:t>8</w:t>
            </w:r>
            <w:r>
              <w:rPr>
                <w:rFonts w:hint="eastAsia" w:ascii="宋体" w:hAnsi="宋体" w:eastAsia="宋体" w:cs="宋体"/>
                <w:bCs/>
                <w:color w:val="auto"/>
                <w:sz w:val="18"/>
                <w:szCs w:val="18"/>
                <w:highlight w:val="none"/>
              </w:rPr>
              <w:t>】亿元，最小成立规模为【</w:t>
            </w:r>
            <w:r>
              <w:rPr>
                <w:rFonts w:hint="eastAsia" w:ascii="宋体" w:hAnsi="宋体" w:eastAsia="宋体" w:cs="宋体"/>
                <w:bCs/>
                <w:color w:val="auto"/>
                <w:sz w:val="18"/>
                <w:szCs w:val="18"/>
                <w:highlight w:val="none"/>
                <w:lang w:val="en-US" w:eastAsia="zh-CN"/>
              </w:rPr>
              <w:t>/</w:t>
            </w:r>
            <w:r>
              <w:rPr>
                <w:rFonts w:hint="eastAsia" w:ascii="宋体" w:hAnsi="宋体" w:eastAsia="宋体" w:cs="宋体"/>
                <w:bCs/>
                <w:color w:val="auto"/>
                <w:sz w:val="18"/>
                <w:szCs w:val="18"/>
                <w:highlight w:val="none"/>
              </w:rPr>
              <w:t>】亿元。</w:t>
            </w:r>
          </w:p>
          <w:p>
            <w:pPr>
              <w:spacing w:line="360" w:lineRule="auto"/>
              <w:rPr>
                <w:rFonts w:ascii="宋体" w:hAnsi="宋体" w:eastAsia="宋体" w:cs="宋体"/>
                <w:bCs/>
                <w:color w:val="auto"/>
                <w:sz w:val="18"/>
                <w:szCs w:val="18"/>
              </w:rPr>
            </w:pPr>
            <w:r>
              <w:rPr>
                <w:rFonts w:hint="eastAsia" w:ascii="宋体" w:hAnsi="宋体" w:eastAsia="宋体" w:cs="宋体"/>
                <w:bCs/>
                <w:color w:val="auto"/>
                <w:sz w:val="18"/>
                <w:szCs w:val="18"/>
              </w:rPr>
              <w:t>2.产品管理人</w:t>
            </w:r>
            <w:r>
              <w:rPr>
                <w:rFonts w:ascii="宋体" w:hAnsi="宋体" w:eastAsia="宋体" w:cs="宋体"/>
                <w:bCs/>
                <w:color w:val="auto"/>
                <w:sz w:val="18"/>
                <w:szCs w:val="18"/>
              </w:rPr>
              <w:t>有权根据实际需要对产品规模进行调整，产品最终规模以</w:t>
            </w:r>
            <w:r>
              <w:rPr>
                <w:rFonts w:hint="eastAsia" w:ascii="宋体" w:hAnsi="宋体" w:eastAsia="宋体" w:cs="宋体"/>
                <w:bCs/>
                <w:color w:val="auto"/>
                <w:sz w:val="18"/>
                <w:szCs w:val="18"/>
              </w:rPr>
              <w:t>产品管理人</w:t>
            </w:r>
            <w:r>
              <w:rPr>
                <w:rFonts w:ascii="宋体" w:hAnsi="宋体" w:eastAsia="宋体" w:cs="宋体"/>
                <w:bCs/>
                <w:color w:val="auto"/>
                <w:sz w:val="18"/>
                <w:szCs w:val="18"/>
              </w:rPr>
              <w:t>实际募集/管理的</w:t>
            </w:r>
            <w:r>
              <w:rPr>
                <w:rFonts w:hint="eastAsia" w:ascii="宋体" w:hAnsi="宋体" w:eastAsia="宋体" w:cs="宋体"/>
                <w:bCs/>
                <w:color w:val="auto"/>
                <w:sz w:val="18"/>
                <w:szCs w:val="18"/>
              </w:rPr>
              <w:t>金</w:t>
            </w:r>
            <w:r>
              <w:rPr>
                <w:rFonts w:ascii="宋体" w:hAnsi="宋体" w:eastAsia="宋体" w:cs="宋体"/>
                <w:bCs/>
                <w:color w:val="auto"/>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spacing w:line="360" w:lineRule="auto"/>
              <w:rPr>
                <w:rFonts w:hint="eastAsia" w:ascii="宋体" w:hAnsi="宋体" w:eastAsia="宋体" w:cs="宋体"/>
                <w:bCs/>
                <w:color w:val="auto"/>
                <w:sz w:val="18"/>
                <w:szCs w:val="18"/>
                <w:lang w:val="en-US" w:eastAsia="zh-CN"/>
              </w:rPr>
            </w:pPr>
            <w:r>
              <w:rPr>
                <w:rFonts w:hint="eastAsia" w:ascii="宋体" w:hAnsi="宋体" w:eastAsia="宋体" w:cs="宋体"/>
                <w:bCs/>
                <w:color w:val="auto"/>
                <w:sz w:val="18"/>
                <w:szCs w:val="18"/>
              </w:rPr>
              <w:t>■有固定期限：【</w:t>
            </w:r>
            <w:r>
              <w:rPr>
                <w:rFonts w:hint="eastAsia" w:ascii="宋体" w:hAnsi="宋体" w:eastAsia="宋体" w:cs="宋体"/>
                <w:bCs/>
                <w:color w:val="auto"/>
                <w:sz w:val="18"/>
                <w:szCs w:val="18"/>
                <w:lang w:val="en-US" w:eastAsia="zh-CN"/>
              </w:rPr>
              <w:t>438天</w:t>
            </w:r>
            <w:r>
              <w:rPr>
                <w:rFonts w:hint="eastAsia" w:ascii="宋体" w:hAnsi="宋体" w:eastAsia="宋体" w:cs="宋体"/>
                <w:bCs/>
                <w:color w:val="auto"/>
                <w:sz w:val="18"/>
                <w:szCs w:val="18"/>
              </w:rPr>
              <w:t>】</w:t>
            </w:r>
          </w:p>
          <w:p>
            <w:pPr>
              <w:spacing w:line="360" w:lineRule="auto"/>
              <w:rPr>
                <w:rFonts w:ascii="宋体" w:hAnsi="宋体" w:eastAsia="宋体" w:cs="宋体"/>
                <w:bCs/>
                <w:color w:val="auto"/>
                <w:sz w:val="18"/>
                <w:szCs w:val="18"/>
              </w:rPr>
            </w:pPr>
            <w:r>
              <w:rPr>
                <w:rFonts w:hint="eastAsia" w:ascii="宋体" w:hAnsi="宋体" w:eastAsia="宋体" w:cs="宋体"/>
                <w:bCs/>
                <w:color w:val="auto"/>
                <w:sz w:val="18"/>
                <w:szCs w:val="18"/>
              </w:rPr>
              <w:t>□无固定期限</w:t>
            </w:r>
          </w:p>
          <w:p>
            <w:pPr>
              <w:spacing w:line="360" w:lineRule="auto"/>
              <w:rPr>
                <w:rFonts w:ascii="宋体" w:hAnsi="宋体" w:eastAsia="宋体" w:cs="宋体"/>
                <w:bCs/>
                <w:color w:val="auto"/>
                <w:sz w:val="18"/>
                <w:szCs w:val="18"/>
              </w:rPr>
            </w:pPr>
            <w:r>
              <w:rPr>
                <w:rFonts w:hint="eastAsia" w:ascii="黑体" w:hAnsi="黑体" w:eastAsia="黑体" w:cs="宋体"/>
                <w:bCs/>
                <w:color w:val="auto"/>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337"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spacing w:line="360" w:lineRule="auto"/>
              <w:rPr>
                <w:rFonts w:hint="eastAsia" w:ascii="宋体" w:hAnsi="宋体" w:cs="Times New Roman"/>
                <w:color w:val="auto"/>
                <w:sz w:val="18"/>
                <w:szCs w:val="18"/>
              </w:rPr>
            </w:pPr>
            <w:r>
              <w:rPr>
                <w:rFonts w:ascii="宋体" w:hAnsi="宋体" w:cs="宋体"/>
                <w:bCs/>
                <w:color w:val="auto"/>
                <w:sz w:val="18"/>
                <w:szCs w:val="18"/>
              </w:rPr>
              <w:t>1</w:t>
            </w:r>
            <w:r>
              <w:rPr>
                <w:rFonts w:hint="eastAsia" w:ascii="宋体" w:hAnsi="宋体" w:cs="宋体"/>
                <w:bCs/>
                <w:color w:val="auto"/>
                <w:sz w:val="18"/>
                <w:szCs w:val="18"/>
              </w:rPr>
              <w:t>.</w:t>
            </w:r>
            <w:r>
              <w:rPr>
                <w:rFonts w:ascii="宋体" w:hAnsi="宋体" w:cs="宋体"/>
                <w:bCs/>
                <w:color w:val="auto"/>
                <w:sz w:val="18"/>
                <w:szCs w:val="18"/>
              </w:rPr>
              <w:t>本产品认购期/募集期为</w:t>
            </w:r>
            <w:r>
              <w:rPr>
                <w:rFonts w:hint="eastAsia" w:ascii="宋体" w:hAnsi="宋体" w:cs="宋体"/>
                <w:bCs/>
                <w:color w:val="auto"/>
                <w:sz w:val="18"/>
                <w:szCs w:val="18"/>
              </w:rPr>
              <w:t>：</w:t>
            </w:r>
            <w:r>
              <w:rPr>
                <w:rFonts w:hint="eastAsia" w:ascii="宋体" w:hAnsi="宋体" w:cs="Times New Roman"/>
                <w:color w:val="auto"/>
                <w:sz w:val="18"/>
                <w:szCs w:val="18"/>
              </w:rPr>
              <w:t>【202</w:t>
            </w:r>
            <w:r>
              <w:rPr>
                <w:rFonts w:hint="eastAsia" w:ascii="宋体" w:hAnsi="宋体" w:cs="Times New Roman"/>
                <w:color w:val="auto"/>
                <w:sz w:val="18"/>
                <w:szCs w:val="18"/>
                <w:lang w:val="en-US" w:eastAsia="zh-CN"/>
              </w:rPr>
              <w:t>5</w:t>
            </w:r>
            <w:r>
              <w:rPr>
                <w:rFonts w:hint="eastAsia" w:ascii="宋体" w:hAnsi="宋体" w:cs="Times New Roman"/>
                <w:color w:val="auto"/>
                <w:sz w:val="18"/>
                <w:szCs w:val="18"/>
              </w:rPr>
              <w:t>】年【11】月【</w:t>
            </w:r>
            <w:r>
              <w:rPr>
                <w:rFonts w:hint="eastAsia" w:ascii="宋体" w:hAnsi="宋体" w:cs="Times New Roman"/>
                <w:color w:val="auto"/>
                <w:sz w:val="18"/>
                <w:szCs w:val="18"/>
                <w:lang w:val="en-US" w:eastAsia="zh-CN"/>
              </w:rPr>
              <w:t>27</w:t>
            </w:r>
            <w:r>
              <w:rPr>
                <w:rFonts w:hint="eastAsia" w:ascii="宋体" w:hAnsi="宋体" w:cs="Times New Roman"/>
                <w:color w:val="auto"/>
                <w:sz w:val="18"/>
                <w:szCs w:val="18"/>
              </w:rPr>
              <w:t>】日【9:00】至【202</w:t>
            </w:r>
            <w:r>
              <w:rPr>
                <w:rFonts w:hint="eastAsia" w:ascii="宋体" w:hAnsi="宋体" w:cs="Times New Roman"/>
                <w:color w:val="auto"/>
                <w:sz w:val="18"/>
                <w:szCs w:val="18"/>
                <w:lang w:val="en-US" w:eastAsia="zh-CN"/>
              </w:rPr>
              <w:t>5</w:t>
            </w:r>
            <w:r>
              <w:rPr>
                <w:rFonts w:hint="eastAsia" w:ascii="宋体" w:hAnsi="宋体" w:cs="Times New Roman"/>
                <w:color w:val="auto"/>
                <w:sz w:val="18"/>
                <w:szCs w:val="18"/>
              </w:rPr>
              <w:t>】年【</w:t>
            </w:r>
            <w:r>
              <w:rPr>
                <w:rFonts w:hint="eastAsia" w:ascii="宋体" w:hAnsi="宋体" w:cs="Times New Roman"/>
                <w:color w:val="auto"/>
                <w:sz w:val="18"/>
                <w:szCs w:val="18"/>
                <w:lang w:val="en-US" w:eastAsia="zh-CN"/>
              </w:rPr>
              <w:t>12</w:t>
            </w:r>
            <w:r>
              <w:rPr>
                <w:rFonts w:hint="eastAsia" w:ascii="宋体" w:hAnsi="宋体" w:cs="Times New Roman"/>
                <w:color w:val="auto"/>
                <w:sz w:val="18"/>
                <w:szCs w:val="18"/>
              </w:rPr>
              <w:t>】月【</w:t>
            </w:r>
            <w:r>
              <w:rPr>
                <w:rFonts w:hint="eastAsia" w:ascii="宋体" w:hAnsi="宋体" w:cs="Times New Roman"/>
                <w:color w:val="auto"/>
                <w:sz w:val="18"/>
                <w:szCs w:val="18"/>
                <w:lang w:val="en-US" w:eastAsia="zh-CN"/>
              </w:rPr>
              <w:t>04</w:t>
            </w:r>
            <w:r>
              <w:rPr>
                <w:rFonts w:hint="eastAsia" w:ascii="宋体" w:hAnsi="宋体" w:cs="Times New Roman"/>
                <w:color w:val="auto"/>
                <w:sz w:val="18"/>
                <w:szCs w:val="18"/>
              </w:rPr>
              <w:t>】日【17:00】。</w:t>
            </w:r>
          </w:p>
          <w:p>
            <w:pPr>
              <w:spacing w:line="360" w:lineRule="auto"/>
              <w:rPr>
                <w:rFonts w:ascii="宋体" w:hAnsi="宋体" w:cs="宋体"/>
                <w:bCs/>
                <w:color w:val="auto"/>
                <w:sz w:val="18"/>
                <w:szCs w:val="18"/>
              </w:rPr>
            </w:pPr>
            <w:r>
              <w:rPr>
                <w:rFonts w:ascii="宋体" w:hAnsi="宋体" w:cs="宋体"/>
                <w:bCs/>
                <w:color w:val="auto"/>
                <w:sz w:val="18"/>
                <w:szCs w:val="18"/>
              </w:rPr>
              <w:t>2</w:t>
            </w:r>
            <w:r>
              <w:rPr>
                <w:rFonts w:hint="eastAsia" w:ascii="宋体" w:hAnsi="宋体" w:cs="宋体"/>
                <w:bCs/>
                <w:color w:val="auto"/>
                <w:sz w:val="18"/>
                <w:szCs w:val="18"/>
              </w:rPr>
              <w:t>.投资者在认购期/募集</w:t>
            </w:r>
            <w:r>
              <w:rPr>
                <w:rFonts w:hint="eastAsia" w:ascii="宋体" w:hAnsi="宋体" w:cs="宋体"/>
                <w:color w:val="auto"/>
                <w:sz w:val="18"/>
                <w:szCs w:val="22"/>
              </w:rPr>
              <w:t>期内认购</w:t>
            </w:r>
            <w:r>
              <w:rPr>
                <w:rFonts w:hint="eastAsia" w:ascii="宋体" w:hAnsi="宋体" w:cs="宋体"/>
                <w:bCs/>
                <w:color w:val="auto"/>
                <w:sz w:val="18"/>
                <w:szCs w:val="18"/>
              </w:rPr>
              <w:t>本</w:t>
            </w:r>
            <w:r>
              <w:rPr>
                <w:rFonts w:hint="eastAsia" w:ascii="宋体" w:hAnsi="宋体" w:cs="宋体"/>
                <w:color w:val="auto"/>
                <w:sz w:val="18"/>
                <w:szCs w:val="22"/>
              </w:rPr>
              <w:t>理财</w:t>
            </w:r>
            <w:r>
              <w:rPr>
                <w:rFonts w:hint="eastAsia" w:ascii="宋体" w:hAnsi="宋体" w:cs="宋体"/>
                <w:bCs/>
                <w:color w:val="auto"/>
                <w:sz w:val="18"/>
                <w:szCs w:val="18"/>
              </w:rPr>
              <w:t>产品后，</w:t>
            </w:r>
            <w:r>
              <w:rPr>
                <w:rFonts w:hint="eastAsia" w:ascii="宋体" w:hAnsi="宋体" w:cs="宋体"/>
                <w:color w:val="auto"/>
                <w:sz w:val="18"/>
                <w:szCs w:val="22"/>
              </w:rPr>
              <w:t>理财</w:t>
            </w:r>
            <w:r>
              <w:rPr>
                <w:rFonts w:hint="eastAsia" w:ascii="宋体" w:hAnsi="宋体" w:cs="宋体"/>
                <w:bCs/>
                <w:color w:val="auto"/>
                <w:sz w:val="18"/>
                <w:szCs w:val="18"/>
              </w:rPr>
              <w:t>资金将在成立日开始进行投资。</w:t>
            </w:r>
          </w:p>
          <w:p>
            <w:pPr>
              <w:spacing w:line="360" w:lineRule="auto"/>
              <w:rPr>
                <w:rFonts w:ascii="宋体" w:hAnsi="宋体" w:cs="宋体"/>
                <w:color w:val="auto"/>
                <w:sz w:val="18"/>
                <w:szCs w:val="22"/>
              </w:rPr>
            </w:pPr>
            <w:r>
              <w:rPr>
                <w:rFonts w:ascii="宋体" w:hAnsi="宋体" w:cs="宋体"/>
                <w:bCs/>
                <w:color w:val="auto"/>
                <w:sz w:val="18"/>
                <w:szCs w:val="18"/>
              </w:rPr>
              <w:t>3</w:t>
            </w:r>
            <w:r>
              <w:rPr>
                <w:rFonts w:hint="eastAsia" w:ascii="宋体" w:hAnsi="宋体" w:cs="宋体"/>
                <w:bCs/>
                <w:color w:val="auto"/>
                <w:sz w:val="18"/>
                <w:szCs w:val="18"/>
              </w:rPr>
              <w:t>.认购期/募集期内资金产生的利息不计入认购资金</w:t>
            </w:r>
            <w:r>
              <w:rPr>
                <w:rFonts w:hint="eastAsia" w:ascii="宋体" w:hAnsi="宋体" w:cs="宋体"/>
                <w:color w:val="auto"/>
                <w:sz w:val="18"/>
                <w:szCs w:val="22"/>
              </w:rPr>
              <w:t>。</w:t>
            </w:r>
          </w:p>
          <w:p>
            <w:pPr>
              <w:spacing w:line="360" w:lineRule="auto"/>
              <w:rPr>
                <w:rFonts w:ascii="黑体" w:hAnsi="黑体" w:eastAsia="黑体" w:cs="黑体"/>
                <w:bCs/>
                <w:color w:val="auto"/>
                <w:sz w:val="18"/>
                <w:szCs w:val="18"/>
              </w:rPr>
            </w:pPr>
            <w:r>
              <w:rPr>
                <w:rFonts w:hint="eastAsia" w:ascii="黑体" w:hAnsi="黑体" w:eastAsia="黑体" w:cs="黑体"/>
                <w:bCs/>
                <w:color w:val="auto"/>
                <w:sz w:val="18"/>
                <w:szCs w:val="18"/>
              </w:rPr>
              <w:t>注：关于代理销售机构的实际工作服务时段的提示</w:t>
            </w:r>
          </w:p>
          <w:p>
            <w:pPr>
              <w:spacing w:line="360" w:lineRule="auto"/>
              <w:rPr>
                <w:rFonts w:ascii="黑体" w:hAnsi="黑体" w:eastAsia="黑体" w:cs="黑体"/>
                <w:bCs/>
                <w:color w:val="auto"/>
                <w:sz w:val="18"/>
                <w:szCs w:val="18"/>
              </w:rPr>
            </w:pPr>
            <w:r>
              <w:rPr>
                <w:rFonts w:hint="eastAsia" w:ascii="黑体" w:hAnsi="黑体" w:eastAsia="黑体" w:cs="黑体"/>
                <w:bCs/>
                <w:color w:val="auto"/>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spacing w:line="360" w:lineRule="auto"/>
              <w:rPr>
                <w:rFonts w:ascii="宋体" w:hAnsi="宋体" w:eastAsia="宋体" w:cs="宋体"/>
                <w:bCs/>
                <w:color w:val="auto"/>
                <w:sz w:val="18"/>
                <w:szCs w:val="18"/>
              </w:rPr>
            </w:pPr>
            <w:r>
              <w:rPr>
                <w:rFonts w:hint="eastAsia" w:ascii="黑体" w:hAnsi="黑体" w:eastAsia="黑体" w:cs="黑体"/>
                <w:bCs/>
                <w:color w:val="auto"/>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spacing w:line="360" w:lineRule="auto"/>
              <w:rPr>
                <w:rFonts w:ascii="宋体" w:hAnsi="宋体" w:cs="宋体"/>
                <w:bCs/>
                <w:color w:val="auto"/>
                <w:sz w:val="18"/>
                <w:szCs w:val="18"/>
              </w:rPr>
            </w:pPr>
            <w:r>
              <w:rPr>
                <w:rFonts w:ascii="宋体" w:hAnsi="宋体" w:cs="宋体"/>
                <w:bCs/>
                <w:color w:val="auto"/>
                <w:sz w:val="18"/>
                <w:szCs w:val="18"/>
              </w:rPr>
              <w:t>1</w:t>
            </w:r>
            <w:r>
              <w:rPr>
                <w:rFonts w:hint="eastAsia" w:ascii="宋体" w:hAnsi="宋体" w:cs="宋体"/>
                <w:bCs/>
                <w:color w:val="auto"/>
                <w:sz w:val="18"/>
                <w:szCs w:val="18"/>
              </w:rPr>
              <w:t>.本产品的计划成立日为</w:t>
            </w:r>
            <w:r>
              <w:rPr>
                <w:rFonts w:ascii="宋体" w:hAnsi="宋体" w:cs="宋体"/>
                <w:bCs/>
                <w:color w:val="auto"/>
                <w:sz w:val="18"/>
                <w:szCs w:val="18"/>
              </w:rPr>
              <w:t>：</w:t>
            </w:r>
            <w:r>
              <w:rPr>
                <w:rFonts w:hint="eastAsia" w:ascii="宋体" w:hAnsi="宋体" w:cs="Times New Roman"/>
                <w:color w:val="auto"/>
                <w:sz w:val="18"/>
                <w:szCs w:val="18"/>
              </w:rPr>
              <w:t>【202</w:t>
            </w:r>
            <w:r>
              <w:rPr>
                <w:rFonts w:hint="eastAsia" w:ascii="宋体" w:hAnsi="宋体" w:cs="Times New Roman"/>
                <w:color w:val="auto"/>
                <w:sz w:val="18"/>
                <w:szCs w:val="18"/>
                <w:lang w:val="en-US" w:eastAsia="zh-CN"/>
              </w:rPr>
              <w:t>5】年【12】月【05】日</w:t>
            </w:r>
            <w:r>
              <w:rPr>
                <w:rFonts w:hint="eastAsia" w:ascii="宋体" w:hAnsi="宋体" w:cs="Times New Roman"/>
                <w:color w:val="auto"/>
                <w:sz w:val="18"/>
                <w:szCs w:val="18"/>
              </w:rPr>
              <w:t>（遇节假日顺延）</w:t>
            </w:r>
            <w:r>
              <w:rPr>
                <w:rFonts w:hint="eastAsia" w:ascii="宋体" w:hAnsi="宋体" w:cs="宋体"/>
                <w:bCs/>
                <w:color w:val="auto"/>
                <w:sz w:val="18"/>
                <w:szCs w:val="18"/>
              </w:rPr>
              <w:t>。</w:t>
            </w:r>
          </w:p>
          <w:p>
            <w:pPr>
              <w:spacing w:line="360" w:lineRule="auto"/>
              <w:rPr>
                <w:rFonts w:ascii="宋体" w:hAnsi="宋体" w:eastAsia="宋体" w:cs="宋体"/>
                <w:bCs/>
                <w:color w:val="auto"/>
                <w:sz w:val="18"/>
                <w:szCs w:val="18"/>
              </w:rPr>
            </w:pPr>
            <w:r>
              <w:rPr>
                <w:rFonts w:ascii="宋体" w:hAnsi="宋体" w:cs="宋体"/>
                <w:bCs/>
                <w:color w:val="auto"/>
                <w:sz w:val="18"/>
                <w:szCs w:val="18"/>
              </w:rPr>
              <w:t>2</w:t>
            </w:r>
            <w:r>
              <w:rPr>
                <w:rFonts w:hint="eastAsia" w:ascii="宋体" w:hAnsi="宋体" w:cs="宋体"/>
                <w:bCs/>
                <w:color w:val="auto"/>
                <w:sz w:val="18"/>
                <w:szCs w:val="18"/>
              </w:rPr>
              <w:t>.</w:t>
            </w:r>
            <w:r>
              <w:rPr>
                <w:rFonts w:ascii="宋体" w:hAnsi="宋体" w:cs="宋体"/>
                <w:bCs/>
                <w:color w:val="auto"/>
                <w:sz w:val="18"/>
                <w:szCs w:val="18"/>
              </w:rPr>
              <w:t>产品管理人有权根据实际募集情况提前或延后产品成立日期，并相应调整其他产品要素</w:t>
            </w:r>
            <w:r>
              <w:rPr>
                <w:rFonts w:hint="eastAsia" w:ascii="宋体" w:hAnsi="宋体" w:cs="宋体"/>
                <w:bCs/>
                <w:color w:val="auto"/>
                <w:sz w:val="18"/>
                <w:szCs w:val="18"/>
              </w:rPr>
              <w:t>，</w:t>
            </w:r>
            <w:r>
              <w:rPr>
                <w:rFonts w:ascii="宋体" w:hAnsi="宋体" w:cs="宋体"/>
                <w:bCs/>
                <w:color w:val="auto"/>
                <w:sz w:val="18"/>
                <w:szCs w:val="18"/>
              </w:rPr>
              <w:t>将依约</w:t>
            </w:r>
            <w:r>
              <w:rPr>
                <w:rFonts w:hint="eastAsia" w:ascii="宋体" w:hAnsi="宋体" w:cs="宋体"/>
                <w:bCs/>
                <w:color w:val="auto"/>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widowControl/>
              <w:suppressLineNumbers w:val="0"/>
              <w:jc w:val="left"/>
              <w:rPr>
                <w:rFonts w:ascii="宋体" w:hAnsi="宋体" w:cs="宋体"/>
                <w:bCs/>
                <w:color w:val="auto"/>
                <w:sz w:val="18"/>
                <w:szCs w:val="18"/>
              </w:rPr>
            </w:pPr>
            <w:r>
              <w:rPr>
                <w:rFonts w:ascii="宋体" w:hAnsi="宋体" w:cs="宋体"/>
                <w:bCs/>
                <w:color w:val="auto"/>
                <w:sz w:val="18"/>
                <w:szCs w:val="18"/>
              </w:rPr>
              <w:t>1</w:t>
            </w:r>
            <w:r>
              <w:rPr>
                <w:rFonts w:hint="eastAsia" w:ascii="宋体" w:hAnsi="宋体" w:cs="宋体"/>
                <w:bCs/>
                <w:color w:val="auto"/>
                <w:sz w:val="18"/>
                <w:szCs w:val="18"/>
              </w:rPr>
              <w:t>.本产品的计划终止日为</w:t>
            </w:r>
            <w:r>
              <w:rPr>
                <w:rFonts w:ascii="宋体" w:hAnsi="宋体" w:cs="宋体"/>
                <w:bCs/>
                <w:color w:val="auto"/>
                <w:sz w:val="18"/>
                <w:szCs w:val="18"/>
              </w:rPr>
              <w:t>：</w:t>
            </w:r>
            <w:r>
              <w:rPr>
                <w:rFonts w:hint="eastAsia" w:ascii="宋体" w:hAnsi="宋体" w:cs="Times New Roman"/>
                <w:color w:val="auto"/>
                <w:sz w:val="18"/>
                <w:szCs w:val="18"/>
              </w:rPr>
              <w:t>【202</w:t>
            </w:r>
            <w:r>
              <w:rPr>
                <w:rFonts w:hint="eastAsia" w:ascii="宋体" w:hAnsi="宋体" w:cs="Times New Roman"/>
                <w:color w:val="auto"/>
                <w:sz w:val="18"/>
                <w:szCs w:val="18"/>
                <w:lang w:val="en-US" w:eastAsia="zh-CN"/>
              </w:rPr>
              <w:t>7</w:t>
            </w:r>
            <w:r>
              <w:rPr>
                <w:rFonts w:hint="eastAsia" w:ascii="宋体" w:hAnsi="宋体" w:cs="Times New Roman"/>
                <w:color w:val="auto"/>
                <w:sz w:val="18"/>
                <w:szCs w:val="18"/>
              </w:rPr>
              <w:t>】年【</w:t>
            </w:r>
            <w:r>
              <w:rPr>
                <w:rFonts w:hint="eastAsia" w:ascii="宋体" w:hAnsi="宋体" w:cs="Times New Roman"/>
                <w:color w:val="auto"/>
                <w:sz w:val="18"/>
                <w:szCs w:val="18"/>
                <w:lang w:val="en-US" w:eastAsia="zh-CN"/>
              </w:rPr>
              <w:t>02</w:t>
            </w:r>
            <w:r>
              <w:rPr>
                <w:rFonts w:hint="eastAsia" w:ascii="宋体" w:hAnsi="宋体" w:cs="Times New Roman"/>
                <w:color w:val="auto"/>
                <w:sz w:val="18"/>
                <w:szCs w:val="18"/>
              </w:rPr>
              <w:t>】月【</w:t>
            </w:r>
            <w:r>
              <w:rPr>
                <w:rFonts w:hint="eastAsia" w:ascii="宋体" w:hAnsi="宋体" w:cs="Times New Roman"/>
                <w:color w:val="auto"/>
                <w:sz w:val="18"/>
                <w:szCs w:val="18"/>
                <w:lang w:val="en-US" w:eastAsia="zh-CN"/>
              </w:rPr>
              <w:t>16</w:t>
            </w:r>
            <w:r>
              <w:rPr>
                <w:rFonts w:hint="eastAsia" w:ascii="宋体" w:hAnsi="宋体" w:cs="Times New Roman"/>
                <w:color w:val="auto"/>
                <w:sz w:val="18"/>
                <w:szCs w:val="18"/>
              </w:rPr>
              <w:t>】日（遇节假日顺延）</w:t>
            </w:r>
            <w:r>
              <w:rPr>
                <w:rFonts w:hint="eastAsia" w:ascii="宋体" w:hAnsi="宋体" w:cs="宋体"/>
                <w:bCs/>
                <w:color w:val="auto"/>
                <w:sz w:val="18"/>
                <w:szCs w:val="18"/>
              </w:rPr>
              <w:t>。</w:t>
            </w:r>
          </w:p>
          <w:p>
            <w:pPr>
              <w:spacing w:line="360" w:lineRule="auto"/>
              <w:rPr>
                <w:rFonts w:ascii="宋体" w:hAnsi="宋体" w:cs="Times New Roman"/>
                <w:color w:val="auto"/>
                <w:sz w:val="18"/>
                <w:szCs w:val="18"/>
              </w:rPr>
            </w:pPr>
            <w:r>
              <w:rPr>
                <w:rFonts w:hint="eastAsia" w:ascii="宋体" w:hAnsi="宋体" w:cs="宋体"/>
                <w:bCs/>
                <w:color w:val="auto"/>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pPr>
              <w:spacing w:line="360" w:lineRule="auto"/>
              <w:rPr>
                <w:rFonts w:ascii="宋体" w:hAnsi="宋体" w:eastAsia="宋体" w:cs="宋体"/>
                <w:bCs/>
                <w:color w:val="auto"/>
                <w:sz w:val="18"/>
                <w:szCs w:val="18"/>
              </w:rPr>
            </w:pPr>
            <w:r>
              <w:rPr>
                <w:rFonts w:hint="eastAsia" w:ascii="宋体" w:hAnsi="宋体" w:eastAsia="宋体" w:cs="宋体"/>
                <w:color w:val="auto"/>
                <w:sz w:val="18"/>
                <w:szCs w:val="18"/>
              </w:rPr>
              <w:t>每笔</w:t>
            </w:r>
            <w:r>
              <w:rPr>
                <w:rFonts w:hint="eastAsia" w:ascii="宋体" w:hAnsi="宋体" w:eastAsia="宋体" w:cs="宋体"/>
                <w:bCs/>
                <w:color w:val="auto"/>
                <w:sz w:val="18"/>
                <w:szCs w:val="18"/>
              </w:rPr>
              <w:t>购买起点金额为【1.00】元；超出起点金额的部分以【0.01】元的整数倍递增。（适用【</w:t>
            </w:r>
            <w:r>
              <w:rPr>
                <w:rFonts w:hint="eastAsia" w:ascii="宋体" w:hAnsi="宋体" w:eastAsia="宋体" w:cs="宋体"/>
                <w:bCs/>
                <w:color w:val="auto"/>
                <w:sz w:val="18"/>
                <w:szCs w:val="18"/>
                <w:lang w:eastAsia="zh-CN"/>
              </w:rPr>
              <w:t>A/C/D/E</w:t>
            </w:r>
            <w:r>
              <w:rPr>
                <w:rFonts w:hint="eastAsia" w:ascii="宋体" w:hAnsi="宋体" w:eastAsia="宋体" w:cs="宋体"/>
                <w:bCs/>
                <w:color w:val="auto"/>
                <w:sz w:val="18"/>
                <w:szCs w:val="18"/>
              </w:rPr>
              <w:t>】类份额）</w:t>
            </w:r>
          </w:p>
          <w:p>
            <w:pPr>
              <w:spacing w:line="360" w:lineRule="auto"/>
              <w:rPr>
                <w:rFonts w:ascii="黑体" w:hAnsi="黑体" w:eastAsia="黑体" w:cs="宋体"/>
                <w:color w:val="auto"/>
                <w:sz w:val="18"/>
                <w:szCs w:val="18"/>
              </w:rPr>
            </w:pPr>
            <w:r>
              <w:rPr>
                <w:rFonts w:hint="eastAsia" w:ascii="黑体" w:hAnsi="黑体" w:eastAsia="黑体" w:cs="宋体"/>
                <w:color w:val="auto"/>
                <w:sz w:val="18"/>
                <w:szCs w:val="18"/>
              </w:rPr>
              <w:t>注</w:t>
            </w:r>
            <w:r>
              <w:rPr>
                <w:rFonts w:ascii="黑体" w:hAnsi="黑体" w:eastAsia="黑体" w:cs="宋体"/>
                <w:color w:val="auto"/>
                <w:sz w:val="18"/>
                <w:szCs w:val="18"/>
              </w:rPr>
              <w:t>：</w:t>
            </w:r>
            <w:r>
              <w:rPr>
                <w:rFonts w:hint="eastAsia" w:ascii="黑体" w:hAnsi="黑体" w:eastAsia="黑体" w:cs="宋体"/>
                <w:color w:val="auto"/>
                <w:sz w:val="18"/>
                <w:szCs w:val="18"/>
              </w:rPr>
              <w:t>关于代理销售机构的实际销售</w:t>
            </w:r>
            <w:r>
              <w:rPr>
                <w:rFonts w:ascii="黑体" w:hAnsi="黑体" w:eastAsia="黑体" w:cs="宋体"/>
                <w:color w:val="auto"/>
                <w:sz w:val="18"/>
                <w:szCs w:val="18"/>
              </w:rPr>
              <w:t>起点金额</w:t>
            </w:r>
            <w:r>
              <w:rPr>
                <w:rFonts w:hint="eastAsia" w:ascii="黑体" w:hAnsi="黑体" w:eastAsia="黑体" w:cs="宋体"/>
                <w:color w:val="auto"/>
                <w:sz w:val="18"/>
                <w:szCs w:val="18"/>
              </w:rPr>
              <w:t>的提示</w:t>
            </w:r>
          </w:p>
          <w:p>
            <w:pPr>
              <w:spacing w:line="360" w:lineRule="auto"/>
              <w:rPr>
                <w:rFonts w:ascii="黑体" w:hAnsi="黑体" w:eastAsia="黑体" w:cs="宋体"/>
                <w:color w:val="auto"/>
                <w:sz w:val="18"/>
                <w:szCs w:val="18"/>
              </w:rPr>
            </w:pPr>
            <w:r>
              <w:rPr>
                <w:rFonts w:hint="eastAsia" w:ascii="黑体" w:hAnsi="黑体" w:eastAsia="黑体" w:cs="宋体"/>
                <w:color w:val="auto"/>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auto"/>
                <w:sz w:val="18"/>
                <w:szCs w:val="18"/>
              </w:rPr>
              <w:t>以</w:t>
            </w:r>
            <w:r>
              <w:rPr>
                <w:rFonts w:hint="eastAsia" w:ascii="黑体" w:hAnsi="黑体" w:eastAsia="黑体" w:cs="宋体"/>
                <w:color w:val="auto"/>
                <w:sz w:val="18"/>
                <w:szCs w:val="18"/>
              </w:rPr>
              <w:t>代理销售机构展示</w:t>
            </w:r>
            <w:r>
              <w:rPr>
                <w:rFonts w:ascii="黑体" w:hAnsi="黑体" w:eastAsia="黑体" w:cs="宋体"/>
                <w:color w:val="auto"/>
                <w:sz w:val="18"/>
                <w:szCs w:val="18"/>
              </w:rPr>
              <w:t>为准</w:t>
            </w:r>
            <w:r>
              <w:rPr>
                <w:rFonts w:hint="eastAsia" w:ascii="黑体" w:hAnsi="黑体" w:eastAsia="黑体" w:cs="宋体"/>
                <w:color w:val="auto"/>
                <w:sz w:val="18"/>
                <w:szCs w:val="18"/>
              </w:rPr>
              <w:t>。</w:t>
            </w:r>
          </w:p>
          <w:p>
            <w:pPr>
              <w:spacing w:line="360" w:lineRule="auto"/>
              <w:jc w:val="left"/>
              <w:rPr>
                <w:rFonts w:ascii="宋体" w:hAnsi="宋体" w:cs="Times New Roman"/>
                <w:color w:val="auto"/>
                <w:sz w:val="18"/>
                <w:szCs w:val="18"/>
              </w:rPr>
            </w:pPr>
            <w:r>
              <w:rPr>
                <w:rFonts w:hint="eastAsia" w:ascii="黑体" w:hAnsi="黑体" w:eastAsia="黑体" w:cs="宋体"/>
                <w:color w:val="auto"/>
                <w:sz w:val="18"/>
                <w:szCs w:val="18"/>
              </w:rPr>
              <w:t>②代理销售机构的实际销售起点金额，</w:t>
            </w:r>
            <w:r>
              <w:rPr>
                <w:rFonts w:ascii="黑体" w:hAnsi="黑体" w:eastAsia="黑体" w:cs="宋体"/>
                <w:color w:val="auto"/>
                <w:sz w:val="18"/>
                <w:szCs w:val="18"/>
              </w:rPr>
              <w:t>不得低于</w:t>
            </w:r>
            <w:r>
              <w:rPr>
                <w:rFonts w:hint="eastAsia" w:ascii="黑体" w:hAnsi="黑体" w:eastAsia="黑体" w:cs="宋体"/>
                <w:color w:val="auto"/>
                <w:sz w:val="18"/>
                <w:szCs w:val="18"/>
              </w:rPr>
              <w:t>销售</w:t>
            </w:r>
            <w:r>
              <w:rPr>
                <w:rFonts w:ascii="黑体" w:hAnsi="黑体" w:eastAsia="黑体" w:cs="宋体"/>
                <w:color w:val="auto"/>
                <w:sz w:val="18"/>
                <w:szCs w:val="18"/>
              </w:rPr>
              <w:t>文件约定的</w:t>
            </w:r>
            <w:r>
              <w:rPr>
                <w:rFonts w:hint="eastAsia" w:ascii="黑体" w:hAnsi="黑体" w:eastAsia="黑体" w:cs="宋体"/>
                <w:color w:val="auto"/>
                <w:sz w:val="18"/>
                <w:szCs w:val="18"/>
              </w:rPr>
              <w:t>销售</w:t>
            </w:r>
            <w:r>
              <w:rPr>
                <w:rFonts w:ascii="黑体" w:hAnsi="黑体" w:eastAsia="黑体" w:cs="宋体"/>
                <w:color w:val="auto"/>
                <w:sz w:val="18"/>
                <w:szCs w:val="18"/>
              </w:rPr>
              <w:t>起点金额</w:t>
            </w:r>
            <w:r>
              <w:rPr>
                <w:rFonts w:hint="eastAsia" w:ascii="黑体" w:hAnsi="黑体" w:eastAsia="黑体" w:cs="宋体"/>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widowControl w:val="0"/>
              <w:autoSpaceDE w:val="0"/>
              <w:autoSpaceDN w:val="0"/>
              <w:adjustRightInd w:val="0"/>
              <w:spacing w:line="360" w:lineRule="auto"/>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（适用【/】类</w:t>
            </w:r>
            <w:r>
              <w:rPr>
                <w:rFonts w:ascii="宋体" w:hAnsi="宋体" w:eastAsia="宋体" w:cs="宋体"/>
                <w:bCs/>
                <w:color w:val="000000"/>
                <w:sz w:val="18"/>
                <w:szCs w:val="18"/>
                <w:lang w:val="en-US" w:eastAsia="zh-CN" w:bidi="ar-SA"/>
              </w:rPr>
              <w:t>份额</w:t>
            </w:r>
            <w:r>
              <w:rPr>
                <w:rFonts w:hint="eastAsia" w:ascii="宋体" w:hAnsi="宋体" w:eastAsia="宋体" w:cs="宋体"/>
                <w:bCs/>
                <w:color w:val="000000"/>
                <w:sz w:val="18"/>
                <w:szCs w:val="18"/>
                <w:lang w:val="en-US" w:eastAsia="zh-CN" w:bidi="ar-SA"/>
              </w:rPr>
              <w:t>）</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认购的数量限制</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（1）单一投资者认购上限为【/】。</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（2）产品</w:t>
            </w:r>
            <w:r>
              <w:rPr>
                <w:rFonts w:ascii="宋体" w:hAnsi="宋体" w:eastAsia="宋体" w:cs="宋体"/>
                <w:color w:val="auto"/>
                <w:sz w:val="18"/>
                <w:szCs w:val="18"/>
                <w:lang w:val="en-US" w:eastAsia="zh-CN" w:bidi="ar-SA"/>
              </w:rPr>
              <w:t>存续期间，</w:t>
            </w:r>
            <w:r>
              <w:rPr>
                <w:rFonts w:hint="eastAsia" w:ascii="宋体" w:hAnsi="宋体" w:eastAsia="宋体" w:cs="宋体"/>
                <w:color w:val="auto"/>
                <w:sz w:val="18"/>
                <w:szCs w:val="18"/>
                <w:lang w:val="en-US" w:eastAsia="zh-CN" w:bidi="ar-SA"/>
              </w:rPr>
              <w:t>单一投资者</w:t>
            </w:r>
            <w:r>
              <w:rPr>
                <w:rFonts w:ascii="宋体" w:hAnsi="宋体" w:eastAsia="宋体" w:cs="宋体"/>
                <w:color w:val="auto"/>
                <w:sz w:val="18"/>
                <w:szCs w:val="18"/>
                <w:lang w:val="en-US" w:eastAsia="zh-CN" w:bidi="ar-SA"/>
              </w:rPr>
              <w:t>最高</w:t>
            </w:r>
            <w:r>
              <w:rPr>
                <w:rFonts w:hint="eastAsia" w:ascii="宋体" w:hAnsi="宋体" w:eastAsia="宋体" w:cs="宋体"/>
                <w:color w:val="auto"/>
                <w:sz w:val="18"/>
                <w:szCs w:val="18"/>
                <w:lang w:val="en-US" w:eastAsia="zh-CN" w:bidi="ar-SA"/>
              </w:rPr>
              <w:t>持有</w:t>
            </w:r>
            <w:r>
              <w:rPr>
                <w:rFonts w:ascii="宋体" w:hAnsi="宋体" w:eastAsia="宋体" w:cs="宋体"/>
                <w:color w:val="auto"/>
                <w:sz w:val="18"/>
                <w:szCs w:val="18"/>
                <w:lang w:val="en-US" w:eastAsia="zh-CN" w:bidi="ar-SA"/>
              </w:rPr>
              <w:t>份额上限为</w:t>
            </w:r>
            <w:r>
              <w:rPr>
                <w:rFonts w:hint="eastAsia" w:ascii="宋体" w:hAnsi="宋体" w:eastAsia="宋体" w:cs="宋体"/>
                <w:color w:val="auto"/>
                <w:sz w:val="18"/>
                <w:szCs w:val="18"/>
                <w:lang w:val="en-US" w:eastAsia="zh-CN" w:bidi="ar-SA"/>
              </w:rPr>
              <w:t>【/】，符合产品管理人流动性管理的稳定资金除外。</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注</w:t>
            </w:r>
            <w:r>
              <w:rPr>
                <w:rFonts w:ascii="黑体" w:hAnsi="黑体" w:eastAsia="黑体" w:cs="宋体"/>
                <w:color w:val="000000"/>
                <w:sz w:val="18"/>
                <w:szCs w:val="18"/>
                <w:lang w:val="en-US" w:eastAsia="zh-CN" w:bidi="ar-SA"/>
              </w:rPr>
              <w:t>：</w:t>
            </w:r>
            <w:r>
              <w:rPr>
                <w:rFonts w:hint="eastAsia" w:ascii="黑体" w:hAnsi="黑体" w:eastAsia="黑体" w:cs="宋体"/>
                <w:color w:val="000000"/>
                <w:sz w:val="18"/>
                <w:szCs w:val="18"/>
                <w:lang w:val="en-US" w:eastAsia="zh-CN" w:bidi="ar-SA"/>
              </w:rPr>
              <w:t>本产品单一投资者持有份额不得超过产品总份额</w:t>
            </w:r>
            <w:r>
              <w:rPr>
                <w:rFonts w:ascii="黑体" w:hAnsi="黑体" w:eastAsia="黑体" w:cs="宋体"/>
                <w:color w:val="000000"/>
                <w:sz w:val="18"/>
                <w:szCs w:val="18"/>
                <w:lang w:val="en-US" w:eastAsia="zh-CN" w:bidi="ar-SA"/>
              </w:rPr>
              <w:t>50%。</w:t>
            </w:r>
          </w:p>
          <w:p>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w:t>
            </w:r>
            <w:r>
              <w:rPr>
                <w:rFonts w:ascii="黑体" w:hAnsi="黑体" w:eastAsia="黑体" w:cs="宋体"/>
                <w:color w:val="000000"/>
                <w:sz w:val="18"/>
                <w:szCs w:val="18"/>
                <w:lang w:val="en-US" w:eastAsia="zh-CN" w:bidi="ar-SA"/>
              </w:rPr>
              <w:t>1）投资者认购或申购确认后可能导致其持有份额超过产品总份额50%的，管理人有权拒绝或暂停认购、申购。</w:t>
            </w:r>
          </w:p>
          <w:p>
            <w:pPr>
              <w:spacing w:line="360" w:lineRule="auto"/>
              <w:rPr>
                <w:rFonts w:ascii="宋体" w:hAnsi="宋体" w:eastAsia="宋体" w:cs="宋体"/>
                <w:sz w:val="18"/>
                <w:szCs w:val="18"/>
              </w:rPr>
            </w:pPr>
            <w:r>
              <w:rPr>
                <w:rFonts w:hint="eastAsia" w:ascii="黑体" w:hAnsi="黑体" w:eastAsia="黑体" w:cs="宋体"/>
                <w:color w:val="000000"/>
                <w:sz w:val="18"/>
                <w:szCs w:val="18"/>
              </w:rPr>
              <w:t>（</w:t>
            </w:r>
            <w:r>
              <w:rPr>
                <w:rFonts w:ascii="黑体" w:hAnsi="黑体" w:eastAsia="黑体" w:cs="宋体"/>
                <w:color w:val="000000"/>
                <w:sz w:val="18"/>
                <w:szCs w:val="18"/>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pPr>
              <w:spacing w:line="360" w:lineRule="auto"/>
              <w:jc w:val="left"/>
              <w:rPr>
                <w:rFonts w:ascii="宋体" w:hAnsi="宋体" w:cs="Times New Roman"/>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autoSpaceDE w:val="0"/>
              <w:autoSpaceDN w:val="0"/>
              <w:adjustRightInd w:val="0"/>
              <w:spacing w:line="360" w:lineRule="auto"/>
              <w:jc w:val="left"/>
              <w:rPr>
                <w:rFonts w:ascii="Calibri" w:hAnsi="宋体" w:cs="宋体"/>
                <w:color w:val="auto"/>
                <w:sz w:val="18"/>
                <w:szCs w:val="18"/>
              </w:rPr>
            </w:pPr>
            <w:r>
              <w:rPr>
                <w:rFonts w:hint="eastAsia" w:ascii="Calibri" w:hAnsi="宋体" w:cs="宋体"/>
                <w:color w:val="auto"/>
                <w:sz w:val="18"/>
                <w:szCs w:val="18"/>
              </w:rPr>
              <w:t>（适用</w:t>
            </w:r>
            <w:r>
              <w:rPr>
                <w:rFonts w:hint="eastAsia" w:ascii="Calibri" w:hAnsi="宋体" w:cs="宋体"/>
                <w:color w:val="auto"/>
                <w:sz w:val="18"/>
                <w:szCs w:val="18"/>
                <w:lang w:eastAsia="zh-CN"/>
              </w:rPr>
              <w:t>【</w:t>
            </w:r>
            <w:r>
              <w:rPr>
                <w:rFonts w:hint="eastAsia" w:ascii="Calibri" w:hAnsi="宋体" w:cs="宋体"/>
                <w:color w:val="auto"/>
                <w:sz w:val="18"/>
                <w:szCs w:val="18"/>
                <w:lang w:val="en-US" w:eastAsia="zh-CN"/>
              </w:rPr>
              <w:t>/</w:t>
            </w:r>
            <w:r>
              <w:rPr>
                <w:rFonts w:hint="eastAsia" w:ascii="Calibri" w:hAnsi="宋体" w:cs="宋体"/>
                <w:color w:val="auto"/>
                <w:sz w:val="18"/>
                <w:szCs w:val="18"/>
                <w:lang w:eastAsia="zh-CN"/>
              </w:rPr>
              <w:t>】类</w:t>
            </w:r>
            <w:r>
              <w:rPr>
                <w:rFonts w:hint="eastAsia" w:ascii="Calibri" w:hAnsi="宋体" w:cs="宋体"/>
                <w:color w:val="auto"/>
                <w:sz w:val="18"/>
                <w:szCs w:val="18"/>
              </w:rPr>
              <w:t>份额）</w:t>
            </w:r>
          </w:p>
          <w:p>
            <w:pPr>
              <w:autoSpaceDE w:val="0"/>
              <w:autoSpaceDN w:val="0"/>
              <w:adjustRightInd w:val="0"/>
              <w:spacing w:line="360" w:lineRule="auto"/>
              <w:jc w:val="left"/>
              <w:rPr>
                <w:rFonts w:ascii="Calibri" w:hAnsi="宋体" w:cs="宋体"/>
                <w:color w:val="auto"/>
                <w:sz w:val="18"/>
                <w:szCs w:val="18"/>
              </w:rPr>
            </w:pPr>
            <w:r>
              <w:rPr>
                <w:rFonts w:ascii="Calibri" w:hAnsi="宋体" w:cs="宋体"/>
                <w:color w:val="auto"/>
                <w:sz w:val="18"/>
                <w:szCs w:val="18"/>
              </w:rPr>
              <w:t>1.业绩比较基准的设置</w:t>
            </w:r>
          </w:p>
          <w:p>
            <w:pPr>
              <w:autoSpaceDE w:val="0"/>
              <w:autoSpaceDN w:val="0"/>
              <w:adjustRightInd w:val="0"/>
              <w:spacing w:line="360" w:lineRule="auto"/>
              <w:jc w:val="left"/>
              <w:rPr>
                <w:rFonts w:ascii="宋体" w:hAnsi="宋体" w:eastAsia="宋体" w:cs="宋体"/>
                <w:color w:val="auto"/>
                <w:kern w:val="0"/>
                <w:sz w:val="18"/>
                <w:szCs w:val="18"/>
              </w:rPr>
            </w:pPr>
            <w:r>
              <w:rPr>
                <w:rFonts w:hint="eastAsia" w:ascii="宋体" w:hAnsi="宋体" w:eastAsia="宋体" w:cs="宋体"/>
                <w:bCs/>
                <w:color w:val="auto"/>
                <w:sz w:val="18"/>
                <w:szCs w:val="18"/>
              </w:rPr>
              <w:t>■</w:t>
            </w:r>
            <w:r>
              <w:rPr>
                <w:rFonts w:ascii="宋体" w:hAnsi="宋体" w:eastAsia="宋体" w:cs="宋体"/>
                <w:color w:val="auto"/>
                <w:kern w:val="0"/>
                <w:sz w:val="18"/>
                <w:szCs w:val="18"/>
              </w:rPr>
              <w:t xml:space="preserve"> </w:t>
            </w:r>
            <w:r>
              <w:rPr>
                <w:rFonts w:hint="eastAsia" w:ascii="宋体" w:hAnsi="宋体" w:eastAsia="宋体" w:cs="宋体"/>
                <w:color w:val="auto"/>
                <w:kern w:val="0"/>
                <w:sz w:val="18"/>
                <w:szCs w:val="18"/>
              </w:rPr>
              <w:t>产品管理人设置业绩比较基准。</w:t>
            </w:r>
          </w:p>
          <w:p>
            <w:pPr>
              <w:autoSpaceDE w:val="0"/>
              <w:autoSpaceDN w:val="0"/>
              <w:adjustRightInd w:val="0"/>
              <w:spacing w:line="360" w:lineRule="auto"/>
              <w:jc w:val="left"/>
              <w:rPr>
                <w:rFonts w:ascii="宋体" w:hAnsi="宋体" w:eastAsia="宋体" w:cs="宋体"/>
                <w:bCs/>
                <w:color w:val="auto"/>
                <w:sz w:val="18"/>
                <w:szCs w:val="18"/>
              </w:rPr>
            </w:pPr>
            <w:r>
              <w:rPr>
                <w:rFonts w:hint="eastAsia" w:ascii="宋体" w:hAnsi="宋体" w:cs="宋体"/>
                <w:bCs/>
                <w:color w:val="auto"/>
                <w:sz w:val="18"/>
                <w:szCs w:val="18"/>
              </w:rPr>
              <w:t>（</w:t>
            </w:r>
            <w:r>
              <w:rPr>
                <w:rFonts w:ascii="宋体" w:hAnsi="宋体" w:cs="宋体"/>
                <w:bCs/>
                <w:color w:val="auto"/>
                <w:sz w:val="18"/>
                <w:szCs w:val="18"/>
              </w:rPr>
              <w:t>1）业绩比较基准的说明：</w:t>
            </w:r>
            <w:r>
              <w:rPr>
                <w:rFonts w:hint="eastAsia" w:ascii="宋体" w:hAnsi="宋体" w:cs="宋体"/>
                <w:bCs/>
                <w:color w:val="auto"/>
                <w:sz w:val="18"/>
                <w:szCs w:val="18"/>
              </w:rPr>
              <w:t>【根据本产品各类资产的拟投资比例、资产信用利差、久期敞口以及流动性溢价，结合当前宏观环境和各类资产价格所处的位置，参考历史经验和回测结果，设定业绩基准</w:t>
            </w:r>
            <w:r>
              <w:rPr>
                <w:rFonts w:ascii="宋体" w:hAnsi="宋体" w:cs="宋体"/>
                <w:bCs/>
                <w:color w:val="auto"/>
                <w:sz w:val="18"/>
                <w:szCs w:val="18"/>
              </w:rPr>
              <w:t>】</w:t>
            </w:r>
            <w:r>
              <w:rPr>
                <w:rFonts w:hint="eastAsia" w:ascii="宋体" w:hAnsi="宋体" w:eastAsia="宋体" w:cs="宋体"/>
                <w:bCs/>
                <w:color w:val="auto"/>
                <w:sz w:val="18"/>
                <w:szCs w:val="18"/>
              </w:rPr>
              <w:t>。</w:t>
            </w:r>
          </w:p>
          <w:p>
            <w:pPr>
              <w:spacing w:line="360" w:lineRule="auto"/>
              <w:jc w:val="left"/>
              <w:rPr>
                <w:rFonts w:hint="eastAsia" w:ascii="宋体" w:hAnsi="宋体" w:cs="宋体"/>
                <w:color w:val="auto"/>
                <w:sz w:val="18"/>
                <w:szCs w:val="22"/>
              </w:rPr>
            </w:pPr>
            <w:r>
              <w:rPr>
                <w:rFonts w:hint="eastAsia" w:ascii="宋体" w:hAnsi="宋体" w:eastAsia="宋体" w:cs="宋体"/>
                <w:bCs/>
                <w:color w:val="auto"/>
                <w:sz w:val="18"/>
                <w:szCs w:val="18"/>
              </w:rPr>
              <w:t>（</w:t>
            </w:r>
            <w:r>
              <w:rPr>
                <w:rFonts w:ascii="宋体" w:hAnsi="宋体" w:eastAsia="宋体" w:cs="宋体"/>
                <w:bCs/>
                <w:color w:val="auto"/>
                <w:sz w:val="18"/>
                <w:szCs w:val="18"/>
              </w:rPr>
              <w:t>2）业绩比较基准的设定：</w:t>
            </w:r>
            <w:r>
              <w:rPr>
                <w:rFonts w:hint="eastAsia" w:ascii="宋体" w:hAnsi="宋体" w:cs="宋体"/>
                <w:color w:val="auto"/>
                <w:sz w:val="18"/>
                <w:szCs w:val="22"/>
              </w:rPr>
              <w:t>管理人对</w:t>
            </w:r>
            <w:r>
              <w:rPr>
                <w:rFonts w:ascii="宋体" w:hAnsi="宋体" w:cs="宋体"/>
                <w:color w:val="auto"/>
                <w:sz w:val="18"/>
                <w:szCs w:val="22"/>
              </w:rPr>
              <w:t>本产品设定</w:t>
            </w:r>
            <w:r>
              <w:rPr>
                <w:rFonts w:hint="eastAsia" w:ascii="宋体" w:hAnsi="宋体" w:cs="宋体"/>
                <w:color w:val="auto"/>
                <w:sz w:val="18"/>
                <w:szCs w:val="22"/>
              </w:rPr>
              <w:t>业绩比较基准：</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rPr>
              <w:t>A类份额：年化【2.</w:t>
            </w:r>
            <w:r>
              <w:rPr>
                <w:rFonts w:hint="eastAsia" w:ascii="宋体" w:hAnsi="宋体" w:cs="宋体"/>
                <w:bCs/>
                <w:color w:val="auto"/>
                <w:sz w:val="18"/>
                <w:szCs w:val="18"/>
                <w:lang w:val="en-US" w:eastAsia="zh-CN"/>
              </w:rPr>
              <w:t>27</w:t>
            </w:r>
            <w:r>
              <w:rPr>
                <w:rFonts w:hint="eastAsia" w:ascii="宋体" w:hAnsi="宋体" w:cs="宋体"/>
                <w:bCs/>
                <w:color w:val="auto"/>
                <w:sz w:val="18"/>
                <w:szCs w:val="18"/>
              </w:rPr>
              <w:t>%】。</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lang w:val="en-US" w:eastAsia="zh-CN"/>
              </w:rPr>
              <w:t>C</w:t>
            </w:r>
            <w:r>
              <w:rPr>
                <w:rFonts w:hint="eastAsia" w:ascii="宋体" w:hAnsi="宋体" w:cs="宋体"/>
                <w:bCs/>
                <w:color w:val="auto"/>
                <w:sz w:val="18"/>
                <w:szCs w:val="18"/>
              </w:rPr>
              <w:t>类份额：年化【2.</w:t>
            </w:r>
            <w:r>
              <w:rPr>
                <w:rFonts w:hint="eastAsia" w:ascii="宋体" w:hAnsi="宋体" w:cs="宋体"/>
                <w:bCs/>
                <w:color w:val="auto"/>
                <w:sz w:val="18"/>
                <w:szCs w:val="18"/>
                <w:lang w:val="en-US" w:eastAsia="zh-CN"/>
              </w:rPr>
              <w:t>31</w:t>
            </w:r>
            <w:r>
              <w:rPr>
                <w:rFonts w:hint="eastAsia" w:ascii="宋体" w:hAnsi="宋体" w:cs="宋体"/>
                <w:bCs/>
                <w:color w:val="auto"/>
                <w:sz w:val="18"/>
                <w:szCs w:val="18"/>
              </w:rPr>
              <w:t>%】。</w:t>
            </w:r>
          </w:p>
          <w:p>
            <w:pPr>
              <w:spacing w:line="360" w:lineRule="auto"/>
              <w:jc w:val="left"/>
              <w:rPr>
                <w:rFonts w:hint="eastAsia" w:ascii="宋体" w:hAnsi="宋体" w:cs="宋体"/>
                <w:bCs/>
                <w:color w:val="auto"/>
                <w:sz w:val="18"/>
                <w:szCs w:val="18"/>
                <w:lang w:val="en-US" w:eastAsia="zh-CN"/>
              </w:rPr>
            </w:pPr>
            <w:r>
              <w:rPr>
                <w:rFonts w:hint="eastAsia" w:ascii="宋体" w:hAnsi="宋体" w:cs="宋体"/>
                <w:bCs/>
                <w:color w:val="auto"/>
                <w:sz w:val="18"/>
                <w:szCs w:val="18"/>
                <w:lang w:val="en-US" w:eastAsia="zh-CN"/>
              </w:rPr>
              <w:t>D类份额：年化【2.21%】。</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lang w:val="en-US" w:eastAsia="zh-CN"/>
              </w:rPr>
              <w:t>E</w:t>
            </w:r>
            <w:r>
              <w:rPr>
                <w:rFonts w:hint="eastAsia" w:ascii="宋体" w:hAnsi="宋体" w:cs="宋体"/>
                <w:bCs/>
                <w:color w:val="auto"/>
                <w:sz w:val="18"/>
                <w:szCs w:val="18"/>
              </w:rPr>
              <w:t>类份额：年化【2.1</w:t>
            </w:r>
            <w:r>
              <w:rPr>
                <w:rFonts w:hint="eastAsia" w:ascii="宋体" w:hAnsi="宋体" w:cs="宋体"/>
                <w:bCs/>
                <w:color w:val="auto"/>
                <w:sz w:val="18"/>
                <w:szCs w:val="18"/>
                <w:lang w:val="en-US" w:eastAsia="zh-CN"/>
              </w:rPr>
              <w:t>1</w:t>
            </w:r>
            <w:r>
              <w:rPr>
                <w:rFonts w:hint="eastAsia" w:ascii="宋体" w:hAnsi="宋体" w:cs="宋体"/>
                <w:bCs/>
                <w:color w:val="auto"/>
                <w:sz w:val="18"/>
                <w:szCs w:val="18"/>
              </w:rPr>
              <w:t>%】。</w:t>
            </w:r>
          </w:p>
          <w:p>
            <w:pPr>
              <w:autoSpaceDE w:val="0"/>
              <w:autoSpaceDN w:val="0"/>
              <w:adjustRightInd w:val="0"/>
              <w:spacing w:line="360" w:lineRule="auto"/>
              <w:jc w:val="left"/>
              <w:rPr>
                <w:rFonts w:ascii="宋体" w:hAnsi="宋体" w:eastAsia="宋体" w:cs="宋体"/>
                <w:color w:val="auto"/>
                <w:kern w:val="0"/>
                <w:sz w:val="18"/>
                <w:szCs w:val="18"/>
              </w:rPr>
            </w:pPr>
            <w:r>
              <w:rPr>
                <w:rFonts w:hint="eastAsia" w:ascii="宋体" w:hAnsi="宋体" w:eastAsia="宋体" w:cs="宋体"/>
                <w:color w:val="auto"/>
                <w:kern w:val="0"/>
                <w:sz w:val="18"/>
                <w:szCs w:val="18"/>
              </w:rPr>
              <w:t>□</w:t>
            </w:r>
            <w:r>
              <w:rPr>
                <w:rFonts w:ascii="宋体" w:hAnsi="宋体" w:eastAsia="宋体" w:cs="宋体"/>
                <w:color w:val="auto"/>
                <w:kern w:val="0"/>
                <w:sz w:val="18"/>
                <w:szCs w:val="18"/>
              </w:rPr>
              <w:t xml:space="preserve"> </w:t>
            </w:r>
            <w:r>
              <w:rPr>
                <w:rFonts w:hint="eastAsia" w:ascii="宋体" w:hAnsi="宋体" w:eastAsia="宋体" w:cs="宋体"/>
                <w:color w:val="auto"/>
                <w:kern w:val="0"/>
                <w:sz w:val="18"/>
                <w:szCs w:val="18"/>
              </w:rPr>
              <w:t>产品管理人不设置业绩比较基准。</w:t>
            </w:r>
          </w:p>
          <w:p>
            <w:pPr>
              <w:spacing w:line="360" w:lineRule="auto"/>
              <w:jc w:val="left"/>
              <w:rPr>
                <w:rFonts w:ascii="宋体" w:hAnsi="宋体" w:eastAsia="宋体" w:cs="宋体"/>
                <w:bCs/>
                <w:color w:val="auto"/>
                <w:sz w:val="18"/>
                <w:szCs w:val="18"/>
              </w:rPr>
            </w:pPr>
            <w:r>
              <w:rPr>
                <w:rFonts w:ascii="宋体" w:hAnsi="宋体" w:eastAsia="宋体" w:cs="宋体"/>
                <w:bCs/>
                <w:color w:val="auto"/>
                <w:sz w:val="18"/>
                <w:szCs w:val="18"/>
              </w:rPr>
              <w:t>2.业绩比较基准的提示：</w:t>
            </w:r>
          </w:p>
          <w:p>
            <w:pPr>
              <w:spacing w:line="360" w:lineRule="auto"/>
              <w:jc w:val="left"/>
              <w:rPr>
                <w:rFonts w:ascii="宋体" w:hAnsi="宋体" w:cs="宋体"/>
                <w:b/>
                <w:color w:val="auto"/>
                <w:sz w:val="18"/>
                <w:szCs w:val="22"/>
              </w:rPr>
            </w:pPr>
            <w:r>
              <w:rPr>
                <w:rFonts w:hint="eastAsia" w:ascii="宋体" w:hAnsi="宋体" w:cs="宋体"/>
                <w:b/>
                <w:color w:val="auto"/>
                <w:sz w:val="18"/>
                <w:szCs w:val="22"/>
              </w:rPr>
              <w:t>（1）</w:t>
            </w:r>
            <w:r>
              <w:rPr>
                <w:rFonts w:hint="eastAsia" w:ascii="黑体" w:hAnsi="黑体" w:eastAsia="黑体" w:cs="宋体"/>
                <w:color w:val="auto"/>
                <w:sz w:val="18"/>
                <w:szCs w:val="18"/>
              </w:rPr>
              <w:t>★</w:t>
            </w:r>
            <w:r>
              <w:rPr>
                <w:rFonts w:hint="eastAsia" w:ascii="黑体" w:hAnsi="黑体" w:eastAsia="黑体" w:cs="宋体"/>
                <w:color w:val="auto"/>
                <w:sz w:val="18"/>
                <w:szCs w:val="22"/>
              </w:rPr>
              <w:t>业绩比较基准</w:t>
            </w:r>
            <w:r>
              <w:rPr>
                <w:rFonts w:hint="eastAsia" w:ascii="黑体" w:hAnsi="黑体" w:eastAsia="黑体" w:cs="宋体"/>
                <w:bCs/>
                <w:color w:val="auto"/>
                <w:sz w:val="18"/>
                <w:szCs w:val="18"/>
              </w:rPr>
              <w:t>不是预期收益率，</w:t>
            </w:r>
            <w:r>
              <w:rPr>
                <w:rFonts w:hint="eastAsia" w:ascii="黑体" w:hAnsi="黑体" w:eastAsia="黑体" w:cs="宋体"/>
                <w:color w:val="auto"/>
                <w:sz w:val="18"/>
                <w:szCs w:val="22"/>
              </w:rPr>
              <w:t>不代表产品</w:t>
            </w:r>
            <w:r>
              <w:rPr>
                <w:rFonts w:hint="eastAsia" w:ascii="黑体" w:hAnsi="黑体" w:eastAsia="黑体" w:cs="宋体"/>
                <w:bCs/>
                <w:color w:val="auto"/>
                <w:sz w:val="18"/>
                <w:szCs w:val="18"/>
              </w:rPr>
              <w:t>的</w:t>
            </w:r>
            <w:r>
              <w:rPr>
                <w:rFonts w:hint="eastAsia" w:ascii="黑体" w:hAnsi="黑体" w:eastAsia="黑体" w:cs="宋体"/>
                <w:color w:val="auto"/>
                <w:sz w:val="18"/>
                <w:szCs w:val="22"/>
              </w:rPr>
              <w:t>未来表现</w:t>
            </w:r>
            <w:r>
              <w:rPr>
                <w:rFonts w:hint="eastAsia" w:ascii="黑体" w:hAnsi="黑体" w:eastAsia="黑体" w:cs="宋体"/>
                <w:bCs/>
                <w:color w:val="auto"/>
                <w:sz w:val="18"/>
                <w:szCs w:val="18"/>
              </w:rPr>
              <w:t>和</w:t>
            </w:r>
            <w:r>
              <w:rPr>
                <w:rFonts w:hint="eastAsia" w:ascii="黑体" w:hAnsi="黑体" w:eastAsia="黑体" w:cs="宋体"/>
                <w:color w:val="auto"/>
                <w:sz w:val="18"/>
                <w:szCs w:val="22"/>
              </w:rPr>
              <w:t>实际收益，不</w:t>
            </w:r>
            <w:r>
              <w:rPr>
                <w:rFonts w:hint="eastAsia" w:ascii="黑体" w:hAnsi="黑体" w:eastAsia="黑体" w:cs="宋体"/>
                <w:bCs/>
                <w:color w:val="auto"/>
                <w:sz w:val="18"/>
                <w:szCs w:val="18"/>
              </w:rPr>
              <w:t>构成对</w:t>
            </w:r>
            <w:r>
              <w:rPr>
                <w:rFonts w:hint="eastAsia" w:ascii="黑体" w:hAnsi="黑体" w:eastAsia="黑体" w:cs="宋体"/>
                <w:color w:val="auto"/>
                <w:sz w:val="18"/>
                <w:szCs w:val="22"/>
              </w:rPr>
              <w:t>产品收益的</w:t>
            </w:r>
            <w:r>
              <w:rPr>
                <w:rFonts w:hint="eastAsia" w:ascii="黑体" w:hAnsi="黑体" w:eastAsia="黑体" w:cs="宋体"/>
                <w:bCs/>
                <w:color w:val="auto"/>
                <w:sz w:val="18"/>
                <w:szCs w:val="18"/>
              </w:rPr>
              <w:t>承诺</w:t>
            </w:r>
            <w:r>
              <w:rPr>
                <w:rFonts w:hint="eastAsia" w:ascii="黑体" w:hAnsi="黑体" w:eastAsia="黑体" w:cs="宋体"/>
                <w:color w:val="auto"/>
                <w:sz w:val="18"/>
                <w:szCs w:val="22"/>
              </w:rPr>
              <w:t>，投资须谨慎。</w:t>
            </w:r>
          </w:p>
          <w:p>
            <w:pPr>
              <w:spacing w:line="360" w:lineRule="auto"/>
              <w:jc w:val="left"/>
              <w:rPr>
                <w:rFonts w:ascii="宋体" w:hAnsi="宋体" w:eastAsia="宋体" w:cs="宋体"/>
                <w:b/>
                <w:bCs/>
                <w:color w:val="auto"/>
                <w:sz w:val="18"/>
                <w:szCs w:val="18"/>
              </w:rPr>
            </w:pPr>
            <w:r>
              <w:rPr>
                <w:rFonts w:hint="eastAsia" w:ascii="宋体" w:hAnsi="宋体" w:eastAsia="宋体" w:cs="宋体"/>
                <w:bCs/>
                <w:color w:val="auto"/>
                <w:sz w:val="18"/>
                <w:szCs w:val="18"/>
              </w:rPr>
              <w:t>（</w:t>
            </w:r>
            <w:r>
              <w:rPr>
                <w:rFonts w:ascii="宋体" w:hAnsi="宋体" w:eastAsia="宋体" w:cs="宋体"/>
                <w:bCs/>
                <w:color w:val="auto"/>
                <w:sz w:val="18"/>
                <w:szCs w:val="18"/>
              </w:rPr>
              <w:t>2）</w:t>
            </w:r>
            <w:r>
              <w:rPr>
                <w:rFonts w:hint="eastAsia" w:ascii="宋体" w:hAnsi="宋体" w:eastAsia="宋体" w:cs="宋体"/>
                <w:color w:val="auto"/>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hint="eastAsia" w:ascii="宋体" w:hAnsi="宋体" w:eastAsia="宋体" w:cs="宋体"/>
                <w:bCs/>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pPr>
              <w:spacing w:line="360" w:lineRule="auto"/>
              <w:jc w:val="left"/>
              <w:rPr>
                <w:rFonts w:ascii="Calibri" w:hAnsi="宋体" w:cs="宋体"/>
                <w:bCs/>
                <w:color w:val="auto"/>
                <w:sz w:val="18"/>
                <w:szCs w:val="18"/>
              </w:rPr>
            </w:pPr>
            <w:r>
              <w:rPr>
                <w:rFonts w:hint="eastAsia" w:ascii="Calibri" w:hAnsi="宋体" w:cs="宋体"/>
                <w:bCs/>
                <w:color w:val="auto"/>
                <w:sz w:val="18"/>
                <w:szCs w:val="18"/>
              </w:rPr>
              <w:t>（适用</w:t>
            </w:r>
            <w:r>
              <w:rPr>
                <w:rFonts w:hint="eastAsia" w:ascii="Calibri" w:hAnsi="宋体" w:cs="宋体"/>
                <w:bCs/>
                <w:color w:val="auto"/>
                <w:sz w:val="18"/>
                <w:szCs w:val="18"/>
                <w:lang w:eastAsia="zh-CN"/>
              </w:rPr>
              <w:t>【</w:t>
            </w:r>
            <w:r>
              <w:rPr>
                <w:rFonts w:hint="eastAsia" w:ascii="Calibri" w:hAnsi="宋体" w:cs="宋体"/>
                <w:bCs/>
                <w:color w:val="auto"/>
                <w:sz w:val="18"/>
                <w:szCs w:val="18"/>
                <w:lang w:val="en-US" w:eastAsia="zh-CN"/>
              </w:rPr>
              <w:t>/</w:t>
            </w:r>
            <w:r>
              <w:rPr>
                <w:rFonts w:hint="eastAsia" w:ascii="Calibri" w:hAnsi="宋体" w:cs="宋体"/>
                <w:bCs/>
                <w:color w:val="auto"/>
                <w:sz w:val="18"/>
                <w:szCs w:val="18"/>
                <w:lang w:eastAsia="zh-CN"/>
              </w:rPr>
              <w:t>】类</w:t>
            </w:r>
            <w:r>
              <w:rPr>
                <w:rFonts w:ascii="Calibri" w:hAnsi="宋体" w:cs="宋体"/>
                <w:bCs/>
                <w:color w:val="auto"/>
                <w:sz w:val="18"/>
                <w:szCs w:val="18"/>
              </w:rPr>
              <w:t>份额</w:t>
            </w:r>
            <w:r>
              <w:rPr>
                <w:rFonts w:hint="eastAsia" w:ascii="Calibri" w:hAnsi="宋体" w:cs="宋体"/>
                <w:bCs/>
                <w:color w:val="auto"/>
                <w:sz w:val="18"/>
                <w:szCs w:val="18"/>
              </w:rPr>
              <w:t>）</w:t>
            </w:r>
          </w:p>
          <w:p>
            <w:pPr>
              <w:spacing w:line="360" w:lineRule="auto"/>
              <w:jc w:val="left"/>
              <w:rPr>
                <w:rFonts w:ascii="Calibri" w:hAnsi="宋体" w:cs="宋体"/>
                <w:bCs/>
                <w:color w:val="auto"/>
                <w:sz w:val="18"/>
                <w:szCs w:val="18"/>
              </w:rPr>
            </w:pPr>
            <w:r>
              <w:rPr>
                <w:rFonts w:ascii="Calibri" w:hAnsi="宋体" w:cs="宋体"/>
                <w:bCs/>
                <w:color w:val="auto"/>
                <w:sz w:val="18"/>
                <w:szCs w:val="18"/>
              </w:rPr>
              <w:t>1.业绩报酬计提基准的设置</w:t>
            </w:r>
          </w:p>
          <w:p>
            <w:pPr>
              <w:autoSpaceDE w:val="0"/>
              <w:autoSpaceDN w:val="0"/>
              <w:adjustRightInd w:val="0"/>
              <w:spacing w:line="360" w:lineRule="auto"/>
              <w:jc w:val="left"/>
              <w:rPr>
                <w:rFonts w:ascii="宋体" w:hAnsi="宋体" w:eastAsia="宋体" w:cs="宋体"/>
                <w:color w:val="auto"/>
                <w:kern w:val="0"/>
                <w:sz w:val="18"/>
                <w:szCs w:val="18"/>
              </w:rPr>
            </w:pPr>
            <w:r>
              <w:rPr>
                <w:rFonts w:hint="eastAsia" w:ascii="宋体" w:hAnsi="宋体" w:eastAsia="宋体" w:cs="宋体"/>
                <w:bCs/>
                <w:color w:val="auto"/>
                <w:sz w:val="18"/>
                <w:szCs w:val="18"/>
              </w:rPr>
              <w:t>■</w:t>
            </w:r>
            <w:r>
              <w:rPr>
                <w:rFonts w:hint="eastAsia" w:ascii="宋体" w:hAnsi="宋体" w:eastAsia="宋体" w:cs="宋体"/>
                <w:bCs/>
                <w:color w:val="auto"/>
                <w:sz w:val="18"/>
                <w:szCs w:val="18"/>
                <w:lang w:val="en-US" w:eastAsia="zh-CN"/>
              </w:rPr>
              <w:t xml:space="preserve"> </w:t>
            </w:r>
            <w:r>
              <w:rPr>
                <w:rFonts w:hint="eastAsia" w:ascii="宋体" w:hAnsi="宋体" w:eastAsia="宋体" w:cs="宋体"/>
                <w:color w:val="auto"/>
                <w:kern w:val="0"/>
                <w:sz w:val="18"/>
                <w:szCs w:val="18"/>
              </w:rPr>
              <w:t>产品管理人设置业绩报酬计提基准。</w:t>
            </w:r>
          </w:p>
          <w:p>
            <w:pPr>
              <w:spacing w:line="360" w:lineRule="auto"/>
              <w:jc w:val="left"/>
              <w:rPr>
                <w:rFonts w:hint="eastAsia" w:ascii="宋体" w:hAnsi="宋体" w:cs="宋体"/>
                <w:bCs/>
                <w:color w:val="auto"/>
                <w:sz w:val="18"/>
                <w:szCs w:val="18"/>
              </w:rPr>
            </w:pPr>
            <w:r>
              <w:rPr>
                <w:rFonts w:ascii="宋体" w:hAnsi="宋体" w:cs="宋体"/>
                <w:bCs/>
                <w:color w:val="auto"/>
                <w:sz w:val="18"/>
                <w:szCs w:val="18"/>
              </w:rPr>
              <w:t>业绩报酬计提基准的设定</w:t>
            </w:r>
            <w:r>
              <w:rPr>
                <w:rFonts w:hint="eastAsia" w:ascii="宋体" w:hAnsi="宋体" w:cs="宋体"/>
                <w:bCs/>
                <w:color w:val="auto"/>
                <w:sz w:val="18"/>
                <w:szCs w:val="18"/>
              </w:rPr>
              <w:t>：管理人</w:t>
            </w:r>
            <w:r>
              <w:rPr>
                <w:rFonts w:ascii="宋体" w:hAnsi="宋体" w:cs="宋体"/>
                <w:bCs/>
                <w:color w:val="auto"/>
                <w:sz w:val="18"/>
                <w:szCs w:val="18"/>
              </w:rPr>
              <w:t>对本产品设定</w:t>
            </w:r>
            <w:r>
              <w:rPr>
                <w:rFonts w:hint="eastAsia" w:ascii="宋体" w:hAnsi="宋体" w:cs="宋体"/>
                <w:bCs/>
                <w:color w:val="auto"/>
                <w:sz w:val="18"/>
                <w:szCs w:val="18"/>
              </w:rPr>
              <w:t>业绩报酬计提基准：</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rPr>
              <w:t>A类份额：年化【2.</w:t>
            </w:r>
            <w:r>
              <w:rPr>
                <w:rFonts w:hint="eastAsia" w:ascii="宋体" w:hAnsi="宋体" w:cs="宋体"/>
                <w:bCs/>
                <w:color w:val="auto"/>
                <w:sz w:val="18"/>
                <w:szCs w:val="18"/>
                <w:lang w:val="en-US" w:eastAsia="zh-CN"/>
              </w:rPr>
              <w:t>27</w:t>
            </w:r>
            <w:r>
              <w:rPr>
                <w:rFonts w:hint="eastAsia" w:ascii="宋体" w:hAnsi="宋体" w:cs="宋体"/>
                <w:bCs/>
                <w:color w:val="auto"/>
                <w:sz w:val="18"/>
                <w:szCs w:val="18"/>
              </w:rPr>
              <w:t>%】。</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lang w:val="en-US" w:eastAsia="zh-CN"/>
              </w:rPr>
              <w:t>C</w:t>
            </w:r>
            <w:r>
              <w:rPr>
                <w:rFonts w:hint="eastAsia" w:ascii="宋体" w:hAnsi="宋体" w:cs="宋体"/>
                <w:bCs/>
                <w:color w:val="auto"/>
                <w:sz w:val="18"/>
                <w:szCs w:val="18"/>
              </w:rPr>
              <w:t>类份额：年化【2.</w:t>
            </w:r>
            <w:r>
              <w:rPr>
                <w:rFonts w:hint="eastAsia" w:ascii="宋体" w:hAnsi="宋体" w:cs="宋体"/>
                <w:bCs/>
                <w:color w:val="auto"/>
                <w:sz w:val="18"/>
                <w:szCs w:val="18"/>
                <w:lang w:val="en-US" w:eastAsia="zh-CN"/>
              </w:rPr>
              <w:t>31</w:t>
            </w:r>
            <w:r>
              <w:rPr>
                <w:rFonts w:hint="eastAsia" w:ascii="宋体" w:hAnsi="宋体" w:cs="宋体"/>
                <w:bCs/>
                <w:color w:val="auto"/>
                <w:sz w:val="18"/>
                <w:szCs w:val="18"/>
              </w:rPr>
              <w:t>%】。</w:t>
            </w:r>
          </w:p>
          <w:p>
            <w:pPr>
              <w:spacing w:line="360" w:lineRule="auto"/>
              <w:jc w:val="left"/>
              <w:rPr>
                <w:rFonts w:hint="eastAsia" w:ascii="宋体" w:hAnsi="宋体" w:cs="宋体"/>
                <w:bCs/>
                <w:color w:val="auto"/>
                <w:sz w:val="18"/>
                <w:szCs w:val="18"/>
                <w:lang w:val="en-US" w:eastAsia="zh-CN"/>
              </w:rPr>
            </w:pPr>
            <w:r>
              <w:rPr>
                <w:rFonts w:hint="eastAsia" w:ascii="宋体" w:hAnsi="宋体" w:cs="宋体"/>
                <w:bCs/>
                <w:color w:val="auto"/>
                <w:sz w:val="18"/>
                <w:szCs w:val="18"/>
                <w:lang w:val="en-US" w:eastAsia="zh-CN"/>
              </w:rPr>
              <w:t>D类份额：年化【2.21%】。</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lang w:val="en-US" w:eastAsia="zh-CN"/>
              </w:rPr>
              <w:t>E</w:t>
            </w:r>
            <w:r>
              <w:rPr>
                <w:rFonts w:hint="eastAsia" w:ascii="宋体" w:hAnsi="宋体" w:cs="宋体"/>
                <w:bCs/>
                <w:color w:val="auto"/>
                <w:sz w:val="18"/>
                <w:szCs w:val="18"/>
              </w:rPr>
              <w:t>类份额：年化【2.1</w:t>
            </w:r>
            <w:r>
              <w:rPr>
                <w:rFonts w:hint="eastAsia" w:ascii="宋体" w:hAnsi="宋体" w:cs="宋体"/>
                <w:bCs/>
                <w:color w:val="auto"/>
                <w:sz w:val="18"/>
                <w:szCs w:val="18"/>
                <w:lang w:val="en-US" w:eastAsia="zh-CN"/>
              </w:rPr>
              <w:t>1</w:t>
            </w:r>
            <w:r>
              <w:rPr>
                <w:rFonts w:hint="eastAsia" w:ascii="宋体" w:hAnsi="宋体" w:cs="宋体"/>
                <w:bCs/>
                <w:color w:val="auto"/>
                <w:sz w:val="18"/>
                <w:szCs w:val="18"/>
              </w:rPr>
              <w:t>%】。</w:t>
            </w:r>
          </w:p>
          <w:p>
            <w:pPr>
              <w:spacing w:line="360" w:lineRule="auto"/>
              <w:jc w:val="left"/>
              <w:rPr>
                <w:rFonts w:ascii="宋体" w:hAnsi="宋体" w:cs="宋体"/>
                <w:bCs/>
                <w:color w:val="auto"/>
                <w:sz w:val="18"/>
                <w:szCs w:val="18"/>
              </w:rPr>
            </w:pPr>
            <w:r>
              <w:rPr>
                <w:rFonts w:hint="eastAsia" w:ascii="宋体" w:hAnsi="宋体" w:eastAsia="宋体" w:cs="宋体"/>
                <w:color w:val="auto"/>
                <w:kern w:val="0"/>
                <w:sz w:val="18"/>
                <w:szCs w:val="18"/>
              </w:rPr>
              <w:t>□</w:t>
            </w:r>
            <w:r>
              <w:rPr>
                <w:rFonts w:ascii="宋体" w:hAnsi="宋体" w:eastAsia="宋体" w:cs="宋体"/>
                <w:color w:val="auto"/>
                <w:kern w:val="0"/>
                <w:sz w:val="18"/>
                <w:szCs w:val="18"/>
              </w:rPr>
              <w:t xml:space="preserve"> </w:t>
            </w:r>
            <w:r>
              <w:rPr>
                <w:rFonts w:hint="eastAsia" w:ascii="宋体" w:hAnsi="宋体" w:eastAsia="宋体" w:cs="宋体"/>
                <w:color w:val="auto"/>
                <w:kern w:val="0"/>
                <w:sz w:val="18"/>
                <w:szCs w:val="18"/>
              </w:rPr>
              <w:t>产品管理人不设置业绩报酬计提基准。</w:t>
            </w:r>
          </w:p>
          <w:p>
            <w:pPr>
              <w:spacing w:line="360" w:lineRule="auto"/>
              <w:jc w:val="left"/>
              <w:rPr>
                <w:rFonts w:ascii="宋体" w:hAnsi="宋体" w:cs="宋体"/>
                <w:bCs/>
                <w:color w:val="auto"/>
                <w:sz w:val="18"/>
                <w:szCs w:val="18"/>
              </w:rPr>
            </w:pPr>
            <w:r>
              <w:rPr>
                <w:rFonts w:ascii="宋体" w:hAnsi="宋体" w:cs="宋体"/>
                <w:bCs/>
                <w:color w:val="auto"/>
                <w:sz w:val="18"/>
                <w:szCs w:val="18"/>
              </w:rPr>
              <w:t>2.业绩报酬计提基准的提示</w:t>
            </w:r>
            <w:r>
              <w:rPr>
                <w:rFonts w:hint="eastAsia" w:ascii="宋体" w:hAnsi="宋体" w:cs="宋体"/>
                <w:bCs/>
                <w:color w:val="auto"/>
                <w:sz w:val="18"/>
                <w:szCs w:val="18"/>
              </w:rPr>
              <w:t>：</w:t>
            </w:r>
          </w:p>
          <w:p>
            <w:pPr>
              <w:autoSpaceDE w:val="0"/>
              <w:autoSpaceDN w:val="0"/>
              <w:adjustRightInd w:val="0"/>
              <w:spacing w:line="360" w:lineRule="auto"/>
              <w:jc w:val="left"/>
              <w:rPr>
                <w:rFonts w:ascii="黑体" w:hAnsi="黑体" w:eastAsia="黑体" w:cs="宋体"/>
                <w:color w:val="auto"/>
                <w:sz w:val="18"/>
                <w:szCs w:val="22"/>
              </w:rPr>
            </w:pPr>
            <w:r>
              <w:rPr>
                <w:rFonts w:hint="eastAsia" w:ascii="黑体" w:hAnsi="黑体" w:eastAsia="黑体" w:cs="宋体"/>
                <w:color w:val="auto"/>
                <w:sz w:val="18"/>
                <w:szCs w:val="22"/>
              </w:rPr>
              <w:t>（</w:t>
            </w:r>
            <w:r>
              <w:rPr>
                <w:rFonts w:ascii="黑体" w:hAnsi="黑体" w:eastAsia="黑体" w:cs="宋体"/>
                <w:color w:val="auto"/>
                <w:sz w:val="18"/>
                <w:szCs w:val="22"/>
              </w:rPr>
              <w:t>1）</w:t>
            </w:r>
            <w:r>
              <w:rPr>
                <w:rFonts w:hint="eastAsia" w:ascii="黑体" w:hAnsi="黑体" w:eastAsia="黑体" w:cs="宋体"/>
                <w:color w:val="auto"/>
                <w:sz w:val="18"/>
                <w:szCs w:val="18"/>
              </w:rPr>
              <w:t>★</w:t>
            </w:r>
            <w:r>
              <w:rPr>
                <w:rFonts w:hint="eastAsia" w:ascii="黑体" w:hAnsi="黑体" w:eastAsia="黑体" w:cs="宋体"/>
                <w:color w:val="auto"/>
                <w:sz w:val="18"/>
                <w:szCs w:val="22"/>
              </w:rPr>
              <w:t>业绩报酬计提基准仅作为管理人计算超额业绩报酬的参照标准</w:t>
            </w:r>
            <w:r>
              <w:rPr>
                <w:rFonts w:hint="eastAsia" w:ascii="黑体" w:hAnsi="黑体" w:eastAsia="黑体" w:cs="宋体"/>
                <w:bCs/>
                <w:color w:val="auto"/>
                <w:sz w:val="18"/>
                <w:szCs w:val="18"/>
              </w:rPr>
              <w:t>。业绩报酬计提基准不是预期收益率</w:t>
            </w:r>
            <w:r>
              <w:rPr>
                <w:rFonts w:hint="eastAsia" w:ascii="黑体" w:hAnsi="黑体" w:eastAsia="黑体" w:cs="宋体"/>
                <w:color w:val="auto"/>
                <w:sz w:val="18"/>
                <w:szCs w:val="22"/>
              </w:rPr>
              <w:t>，不代表产品</w:t>
            </w:r>
            <w:r>
              <w:rPr>
                <w:rFonts w:hint="eastAsia" w:ascii="黑体" w:hAnsi="黑体" w:eastAsia="黑体" w:cs="宋体"/>
                <w:bCs/>
                <w:color w:val="auto"/>
                <w:sz w:val="18"/>
                <w:szCs w:val="18"/>
              </w:rPr>
              <w:t>的</w:t>
            </w:r>
            <w:r>
              <w:rPr>
                <w:rFonts w:hint="eastAsia" w:ascii="黑体" w:hAnsi="黑体" w:eastAsia="黑体" w:cs="宋体"/>
                <w:color w:val="auto"/>
                <w:sz w:val="18"/>
                <w:szCs w:val="22"/>
              </w:rPr>
              <w:t>未来表现</w:t>
            </w:r>
            <w:r>
              <w:rPr>
                <w:rFonts w:hint="eastAsia" w:ascii="黑体" w:hAnsi="黑体" w:eastAsia="黑体" w:cs="宋体"/>
                <w:bCs/>
                <w:color w:val="auto"/>
                <w:sz w:val="18"/>
                <w:szCs w:val="18"/>
              </w:rPr>
              <w:t>和</w:t>
            </w:r>
            <w:r>
              <w:rPr>
                <w:rFonts w:hint="eastAsia" w:ascii="黑体" w:hAnsi="黑体" w:eastAsia="黑体" w:cs="宋体"/>
                <w:color w:val="auto"/>
                <w:sz w:val="18"/>
                <w:szCs w:val="22"/>
              </w:rPr>
              <w:t>实际收益，不</w:t>
            </w:r>
            <w:r>
              <w:rPr>
                <w:rFonts w:hint="eastAsia" w:ascii="黑体" w:hAnsi="黑体" w:eastAsia="黑体" w:cs="宋体"/>
                <w:bCs/>
                <w:color w:val="auto"/>
                <w:sz w:val="18"/>
                <w:szCs w:val="18"/>
              </w:rPr>
              <w:t>构成对</w:t>
            </w:r>
            <w:r>
              <w:rPr>
                <w:rFonts w:hint="eastAsia" w:ascii="黑体" w:hAnsi="黑体" w:eastAsia="黑体" w:cs="宋体"/>
                <w:color w:val="auto"/>
                <w:sz w:val="18"/>
                <w:szCs w:val="22"/>
              </w:rPr>
              <w:t>产品收益的</w:t>
            </w:r>
            <w:r>
              <w:rPr>
                <w:rFonts w:hint="eastAsia" w:ascii="黑体" w:hAnsi="黑体" w:eastAsia="黑体" w:cs="宋体"/>
                <w:bCs/>
                <w:color w:val="auto"/>
                <w:sz w:val="18"/>
                <w:szCs w:val="18"/>
              </w:rPr>
              <w:t>承诺</w:t>
            </w:r>
            <w:r>
              <w:rPr>
                <w:rFonts w:hint="eastAsia" w:ascii="黑体" w:hAnsi="黑体" w:eastAsia="黑体" w:cs="宋体"/>
                <w:color w:val="auto"/>
                <w:sz w:val="18"/>
                <w:szCs w:val="22"/>
              </w:rPr>
              <w:t>，投资须谨慎。</w:t>
            </w:r>
          </w:p>
          <w:p>
            <w:pPr>
              <w:spacing w:line="360" w:lineRule="auto"/>
              <w:jc w:val="left"/>
              <w:rPr>
                <w:rFonts w:ascii="宋体" w:hAnsi="宋体" w:cs="宋体"/>
                <w:b/>
                <w:bCs/>
                <w:color w:val="auto"/>
                <w:sz w:val="18"/>
                <w:szCs w:val="18"/>
              </w:rPr>
            </w:pPr>
            <w:r>
              <w:rPr>
                <w:rFonts w:hint="eastAsia" w:ascii="宋体" w:hAnsi="宋体" w:cs="宋体"/>
                <w:bCs/>
                <w:color w:val="auto"/>
                <w:sz w:val="18"/>
                <w:szCs w:val="18"/>
              </w:rPr>
              <w:t>（</w:t>
            </w:r>
            <w:r>
              <w:rPr>
                <w:rFonts w:ascii="宋体" w:hAnsi="宋体" w:cs="宋体"/>
                <w:bCs/>
                <w:color w:val="auto"/>
                <w:sz w:val="18"/>
                <w:szCs w:val="18"/>
              </w:rPr>
              <w:t>2）</w:t>
            </w:r>
            <w:r>
              <w:rPr>
                <w:rFonts w:hint="eastAsia" w:ascii="宋体" w:hAnsi="宋体" w:cs="宋体"/>
                <w:bCs/>
                <w:color w:val="auto"/>
                <w:sz w:val="18"/>
                <w:szCs w:val="18"/>
              </w:rPr>
              <w:t>如果今后法律法规发生变化，或者有其他代表性更强、更科学客观的业绩报酬计提基准适用于本产品时，经产品管理人和产品托管人协商一致后，本产品可以变更业绩报酬计提基准并及时公告。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spacing w:line="360" w:lineRule="auto"/>
              <w:rPr>
                <w:rFonts w:ascii="宋体" w:hAnsi="宋体" w:eastAsia="宋体" w:cs="宋体"/>
                <w:bCs/>
                <w:color w:val="000000"/>
                <w:sz w:val="18"/>
                <w:szCs w:val="18"/>
              </w:rPr>
            </w:pPr>
            <w:r>
              <w:rPr>
                <w:rFonts w:hint="eastAsia" w:ascii="宋体" w:hAnsi="宋体" w:eastAsia="宋体" w:cs="宋体"/>
                <w:bCs/>
                <w:color w:val="000000"/>
                <w:sz w:val="18"/>
                <w:szCs w:val="18"/>
              </w:rPr>
              <w:t>（适用</w:t>
            </w:r>
            <w:r>
              <w:rPr>
                <w:rFonts w:hint="eastAsia" w:ascii="宋体" w:hAnsi="宋体" w:eastAsia="宋体" w:cs="宋体"/>
                <w:bCs/>
                <w:color w:val="000000"/>
                <w:sz w:val="18"/>
                <w:szCs w:val="18"/>
                <w:lang w:eastAsia="zh-CN"/>
              </w:rPr>
              <w:t>【</w:t>
            </w:r>
            <w:r>
              <w:rPr>
                <w:rFonts w:hint="eastAsia" w:ascii="宋体" w:hAnsi="宋体" w:eastAsia="宋体" w:cs="宋体"/>
                <w:bCs/>
                <w:color w:val="000000"/>
                <w:sz w:val="18"/>
                <w:szCs w:val="18"/>
                <w:lang w:val="en-US" w:eastAsia="zh-CN"/>
              </w:rPr>
              <w:t>/</w:t>
            </w:r>
            <w:r>
              <w:rPr>
                <w:rFonts w:hint="eastAsia" w:ascii="宋体" w:hAnsi="宋体" w:eastAsia="宋体" w:cs="宋体"/>
                <w:bCs/>
                <w:color w:val="000000"/>
                <w:sz w:val="18"/>
                <w:szCs w:val="18"/>
                <w:lang w:eastAsia="zh-CN"/>
              </w:rPr>
              <w:t>】类</w:t>
            </w:r>
            <w:r>
              <w:rPr>
                <w:rFonts w:hint="eastAsia" w:ascii="宋体" w:hAnsi="宋体" w:eastAsia="宋体" w:cs="宋体"/>
                <w:bCs/>
                <w:color w:val="000000"/>
                <w:sz w:val="18"/>
                <w:szCs w:val="18"/>
              </w:rPr>
              <w:t>份额）</w:t>
            </w:r>
          </w:p>
          <w:p>
            <w:pPr>
              <w:spacing w:line="360" w:lineRule="auto"/>
              <w:rPr>
                <w:rFonts w:ascii="黑体" w:hAnsi="黑体" w:eastAsia="黑体" w:cs="宋体"/>
                <w:bCs/>
                <w:color w:val="000000"/>
                <w:sz w:val="18"/>
                <w:szCs w:val="18"/>
              </w:rPr>
            </w:pPr>
            <w:r>
              <w:rPr>
                <w:rFonts w:ascii="黑体" w:hAnsi="黑体" w:eastAsia="黑体" w:cs="宋体"/>
                <w:bCs/>
                <w:color w:val="000000"/>
                <w:sz w:val="18"/>
                <w:szCs w:val="18"/>
              </w:rPr>
              <w:t>1.理财产品的费率标准</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1）认购费：</w:t>
            </w:r>
            <w:r>
              <w:rPr>
                <w:rFonts w:hint="eastAsia" w:ascii="黑体" w:hAnsi="黑体" w:eastAsia="黑体" w:cs="宋体"/>
                <w:bCs/>
                <w:color w:val="000000"/>
                <w:sz w:val="18"/>
                <w:szCs w:val="18"/>
              </w:rPr>
              <w:t>【</w:t>
            </w:r>
            <w:r>
              <w:rPr>
                <w:rFonts w:hint="eastAsia" w:ascii="黑体" w:hAnsi="黑体" w:eastAsia="黑体" w:cs="宋体"/>
                <w:bCs/>
                <w:color w:val="000000"/>
                <w:sz w:val="18"/>
                <w:szCs w:val="18"/>
                <w:lang w:val="en-US" w:eastAsia="zh-CN"/>
              </w:rPr>
              <w:t>/</w:t>
            </w:r>
            <w:r>
              <w:rPr>
                <w:rFonts w:hint="eastAsia" w:ascii="黑体" w:hAnsi="黑体" w:eastAsia="黑体" w:cs="宋体"/>
                <w:bCs/>
                <w:color w:val="000000"/>
                <w:sz w:val="18"/>
                <w:szCs w:val="18"/>
              </w:rPr>
              <w:t>】。</w:t>
            </w:r>
          </w:p>
          <w:p>
            <w:pPr>
              <w:spacing w:line="360" w:lineRule="auto"/>
              <w:rPr>
                <w:rFonts w:hint="eastAsia"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2）销售服</w:t>
            </w:r>
            <w:r>
              <w:rPr>
                <w:rFonts w:hint="eastAsia" w:ascii="黑体" w:hAnsi="黑体" w:eastAsia="黑体" w:cs="宋体"/>
                <w:bCs/>
                <w:color w:val="000000"/>
                <w:sz w:val="18"/>
                <w:szCs w:val="18"/>
              </w:rPr>
              <w:t>务费：</w:t>
            </w:r>
          </w:p>
          <w:p>
            <w:pPr>
              <w:spacing w:line="360" w:lineRule="auto"/>
              <w:rPr>
                <w:rFonts w:hint="eastAsia" w:ascii="黑体" w:hAnsi="黑体" w:eastAsia="黑体" w:cs="宋体"/>
                <w:bCs/>
                <w:color w:val="auto"/>
                <w:sz w:val="18"/>
                <w:szCs w:val="18"/>
              </w:rPr>
            </w:pPr>
            <w:r>
              <w:rPr>
                <w:rFonts w:hint="eastAsia" w:ascii="黑体" w:hAnsi="黑体" w:eastAsia="黑体" w:cs="宋体"/>
                <w:bCs/>
                <w:color w:val="auto"/>
                <w:sz w:val="18"/>
                <w:szCs w:val="18"/>
              </w:rPr>
              <w:t>A类份额：年化费率【0.</w:t>
            </w:r>
            <w:r>
              <w:rPr>
                <w:rFonts w:hint="eastAsia" w:ascii="黑体" w:hAnsi="黑体" w:eastAsia="黑体" w:cs="宋体"/>
                <w:bCs/>
                <w:color w:val="auto"/>
                <w:sz w:val="18"/>
                <w:szCs w:val="18"/>
                <w:lang w:val="en-US" w:eastAsia="zh-CN"/>
              </w:rPr>
              <w:t>14</w:t>
            </w:r>
            <w:r>
              <w:rPr>
                <w:rFonts w:hint="eastAsia" w:ascii="黑体" w:hAnsi="黑体" w:eastAsia="黑体" w:cs="宋体"/>
                <w:bCs/>
                <w:color w:val="auto"/>
                <w:sz w:val="18"/>
                <w:szCs w:val="18"/>
              </w:rPr>
              <w:t>%】。</w:t>
            </w:r>
          </w:p>
          <w:p>
            <w:pPr>
              <w:spacing w:line="360" w:lineRule="auto"/>
              <w:rPr>
                <w:rFonts w:hint="eastAsia" w:ascii="黑体" w:hAnsi="黑体" w:eastAsia="黑体" w:cs="宋体"/>
                <w:bCs/>
                <w:color w:val="auto"/>
                <w:sz w:val="18"/>
                <w:szCs w:val="18"/>
              </w:rPr>
            </w:pPr>
            <w:r>
              <w:rPr>
                <w:rFonts w:hint="eastAsia" w:ascii="黑体" w:hAnsi="黑体" w:eastAsia="黑体" w:cs="宋体"/>
                <w:bCs/>
                <w:color w:val="auto"/>
                <w:sz w:val="18"/>
                <w:szCs w:val="18"/>
                <w:lang w:val="en-US" w:eastAsia="zh-CN"/>
              </w:rPr>
              <w:t>C</w:t>
            </w:r>
            <w:r>
              <w:rPr>
                <w:rFonts w:hint="eastAsia" w:ascii="黑体" w:hAnsi="黑体" w:eastAsia="黑体" w:cs="宋体"/>
                <w:bCs/>
                <w:color w:val="auto"/>
                <w:sz w:val="18"/>
                <w:szCs w:val="18"/>
              </w:rPr>
              <w:t>类份额：年化费率【0.</w:t>
            </w:r>
            <w:r>
              <w:rPr>
                <w:rFonts w:hint="eastAsia" w:ascii="黑体" w:hAnsi="黑体" w:eastAsia="黑体" w:cs="宋体"/>
                <w:bCs/>
                <w:color w:val="auto"/>
                <w:sz w:val="18"/>
                <w:szCs w:val="18"/>
                <w:lang w:val="en-US" w:eastAsia="zh-CN"/>
              </w:rPr>
              <w:t>10</w:t>
            </w:r>
            <w:r>
              <w:rPr>
                <w:rFonts w:hint="eastAsia" w:ascii="黑体" w:hAnsi="黑体" w:eastAsia="黑体" w:cs="宋体"/>
                <w:bCs/>
                <w:color w:val="auto"/>
                <w:sz w:val="18"/>
                <w:szCs w:val="18"/>
              </w:rPr>
              <w:t>%】。</w:t>
            </w:r>
          </w:p>
          <w:p>
            <w:pPr>
              <w:spacing w:line="360" w:lineRule="auto"/>
              <w:rPr>
                <w:rFonts w:hint="eastAsia" w:ascii="黑体" w:hAnsi="黑体" w:eastAsia="黑体" w:cs="宋体"/>
                <w:bCs/>
                <w:color w:val="auto"/>
                <w:sz w:val="18"/>
                <w:szCs w:val="18"/>
              </w:rPr>
            </w:pPr>
            <w:r>
              <w:rPr>
                <w:rFonts w:hint="eastAsia" w:ascii="黑体" w:hAnsi="黑体" w:eastAsia="黑体" w:cs="宋体"/>
                <w:bCs/>
                <w:color w:val="auto"/>
                <w:sz w:val="18"/>
                <w:szCs w:val="18"/>
                <w:lang w:val="en-US" w:eastAsia="zh-CN"/>
              </w:rPr>
              <w:t>D</w:t>
            </w:r>
            <w:r>
              <w:rPr>
                <w:rFonts w:hint="eastAsia" w:ascii="黑体" w:hAnsi="黑体" w:eastAsia="黑体" w:cs="宋体"/>
                <w:bCs/>
                <w:color w:val="auto"/>
                <w:sz w:val="18"/>
                <w:szCs w:val="18"/>
              </w:rPr>
              <w:t>类份额：年化费率【0.</w:t>
            </w:r>
            <w:r>
              <w:rPr>
                <w:rFonts w:hint="eastAsia" w:ascii="黑体" w:hAnsi="黑体" w:eastAsia="黑体" w:cs="宋体"/>
                <w:bCs/>
                <w:color w:val="auto"/>
                <w:sz w:val="18"/>
                <w:szCs w:val="18"/>
                <w:lang w:val="en-US" w:eastAsia="zh-CN"/>
              </w:rPr>
              <w:t>20</w:t>
            </w:r>
            <w:r>
              <w:rPr>
                <w:rFonts w:hint="eastAsia" w:ascii="黑体" w:hAnsi="黑体" w:eastAsia="黑体" w:cs="宋体"/>
                <w:bCs/>
                <w:color w:val="auto"/>
                <w:sz w:val="18"/>
                <w:szCs w:val="18"/>
              </w:rPr>
              <w:t>%】。</w:t>
            </w:r>
          </w:p>
          <w:p>
            <w:pPr>
              <w:spacing w:line="360" w:lineRule="auto"/>
              <w:rPr>
                <w:rFonts w:hint="eastAsia" w:ascii="黑体" w:hAnsi="黑体" w:eastAsia="黑体" w:cs="宋体"/>
                <w:bCs/>
                <w:color w:val="auto"/>
                <w:sz w:val="18"/>
                <w:szCs w:val="18"/>
              </w:rPr>
            </w:pPr>
            <w:r>
              <w:rPr>
                <w:rFonts w:hint="eastAsia" w:ascii="黑体" w:hAnsi="黑体" w:eastAsia="黑体" w:cs="宋体"/>
                <w:bCs/>
                <w:color w:val="auto"/>
                <w:sz w:val="18"/>
                <w:szCs w:val="18"/>
                <w:lang w:val="en-US" w:eastAsia="zh-CN"/>
              </w:rPr>
              <w:t>E</w:t>
            </w:r>
            <w:r>
              <w:rPr>
                <w:rFonts w:hint="eastAsia" w:ascii="黑体" w:hAnsi="黑体" w:eastAsia="黑体" w:cs="宋体"/>
                <w:bCs/>
                <w:color w:val="auto"/>
                <w:sz w:val="18"/>
                <w:szCs w:val="18"/>
              </w:rPr>
              <w:t>类份额：年化费率【0.</w:t>
            </w:r>
            <w:r>
              <w:rPr>
                <w:rFonts w:hint="eastAsia" w:ascii="黑体" w:hAnsi="黑体" w:eastAsia="黑体" w:cs="宋体"/>
                <w:bCs/>
                <w:color w:val="auto"/>
                <w:sz w:val="18"/>
                <w:szCs w:val="18"/>
                <w:lang w:val="en-US" w:eastAsia="zh-CN"/>
              </w:rPr>
              <w:t>30</w:t>
            </w:r>
            <w:r>
              <w:rPr>
                <w:rFonts w:hint="eastAsia" w:ascii="黑体" w:hAnsi="黑体" w:eastAsia="黑体" w:cs="宋体"/>
                <w:bCs/>
                <w:color w:val="auto"/>
                <w:sz w:val="18"/>
                <w:szCs w:val="18"/>
              </w:rPr>
              <w:t>%】。</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3）投资管理费：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黑体" w:hAnsi="黑体" w:eastAsia="黑体" w:cs="宋体"/>
                <w:bCs/>
                <w:sz w:val="18"/>
                <w:szCs w:val="18"/>
              </w:rPr>
              <w:t>0.01%</w:t>
            </w:r>
            <w:r>
              <w:rPr>
                <w:rFonts w:ascii="黑体" w:hAnsi="黑体" w:eastAsia="黑体" w:cs="宋体"/>
                <w:sz w:val="18"/>
                <w:szCs w:val="18"/>
              </w:rPr>
              <w:t>】</w:t>
            </w:r>
            <w:r>
              <w:rPr>
                <w:rFonts w:hint="eastAsia" w:ascii="黑体" w:hAnsi="黑体" w:eastAsia="黑体" w:cs="宋体"/>
                <w:bCs/>
                <w:color w:val="000000"/>
                <w:sz w:val="18"/>
                <w:szCs w:val="18"/>
              </w:rPr>
              <w:t>。</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4）产品托管费：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黑体" w:hAnsi="黑体" w:eastAsia="黑体" w:cs="宋体"/>
                <w:bCs/>
                <w:sz w:val="18"/>
                <w:szCs w:val="18"/>
              </w:rPr>
              <w:t>0.01%</w:t>
            </w:r>
            <w:r>
              <w:rPr>
                <w:rFonts w:ascii="黑体" w:hAnsi="黑体" w:eastAsia="黑体" w:cs="宋体"/>
                <w:sz w:val="18"/>
                <w:szCs w:val="18"/>
              </w:rPr>
              <w:t>】</w:t>
            </w:r>
            <w:r>
              <w:rPr>
                <w:rFonts w:hint="eastAsia" w:ascii="黑体" w:hAnsi="黑体" w:eastAsia="黑体" w:cs="宋体"/>
                <w:bCs/>
                <w:color w:val="000000"/>
                <w:sz w:val="18"/>
                <w:szCs w:val="18"/>
              </w:rPr>
              <w:t>。</w:t>
            </w:r>
          </w:p>
          <w:p>
            <w:pPr>
              <w:widowControl/>
              <w:spacing w:line="360" w:lineRule="auto"/>
              <w:jc w:val="left"/>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5）超额业绩报酬：</w:t>
            </w:r>
          </w:p>
          <w:p>
            <w:pPr>
              <w:widowControl/>
              <w:spacing w:line="360" w:lineRule="auto"/>
              <w:jc w:val="left"/>
              <w:rPr>
                <w:rFonts w:ascii="宋体" w:hAnsi="宋体" w:cs="宋体"/>
                <w:sz w:val="18"/>
                <w:szCs w:val="18"/>
              </w:rPr>
            </w:pPr>
            <w:r>
              <w:rPr>
                <w:rFonts w:hint="eastAsia" w:ascii="宋体" w:hAnsi="宋体" w:cs="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w:t>
            </w:r>
            <w:r>
              <w:rPr>
                <w:rFonts w:ascii="宋体" w:hAnsi="宋体" w:cs="宋体"/>
                <w:sz w:val="18"/>
                <w:szCs w:val="18"/>
              </w:rPr>
              <w:t>0</w:t>
            </w:r>
            <w:r>
              <w:rPr>
                <w:rFonts w:hint="eastAsia" w:ascii="宋体" w:hAnsi="宋体" w:cs="宋体"/>
                <w:sz w:val="18"/>
                <w:szCs w:val="18"/>
              </w:rPr>
              <w:t>%】作为超额业绩报酬。</w:t>
            </w:r>
          </w:p>
          <w:p>
            <w:pPr>
              <w:spacing w:line="360" w:lineRule="auto"/>
              <w:rPr>
                <w:rFonts w:ascii="黑体" w:hAnsi="黑体" w:eastAsia="黑体" w:cs="宋体"/>
                <w:bCs/>
                <w:sz w:val="18"/>
                <w:szCs w:val="18"/>
              </w:rPr>
            </w:pPr>
            <w:r>
              <w:rPr>
                <w:rFonts w:ascii="宋体" w:hAnsi="宋体" w:cs="宋体"/>
                <w:bCs/>
                <w:sz w:val="18"/>
                <w:szCs w:val="18"/>
              </w:rPr>
              <w:t>2</w:t>
            </w:r>
            <w:r>
              <w:rPr>
                <w:rFonts w:hint="eastAsia" w:ascii="宋体" w:hAnsi="宋体" w:eastAsia="宋体" w:cs="宋体"/>
                <w:bCs/>
                <w:sz w:val="18"/>
                <w:szCs w:val="18"/>
              </w:rPr>
              <w:t>.</w:t>
            </w:r>
            <w:r>
              <w:rPr>
                <w:rFonts w:hint="eastAsia" w:ascii="黑体" w:hAnsi="黑体" w:eastAsia="黑体" w:cs="宋体"/>
                <w:bCs/>
                <w:sz w:val="18"/>
                <w:szCs w:val="18"/>
              </w:rPr>
              <w:t>产品管理人</w:t>
            </w:r>
            <w:r>
              <w:rPr>
                <w:rFonts w:ascii="黑体" w:hAnsi="黑体" w:eastAsia="黑体" w:cs="宋体"/>
                <w:bCs/>
                <w:sz w:val="18"/>
                <w:szCs w:val="18"/>
              </w:rPr>
              <w:t>保留变更</w:t>
            </w:r>
            <w:r>
              <w:rPr>
                <w:rFonts w:hint="eastAsia" w:ascii="黑体" w:hAnsi="黑体" w:eastAsia="黑体" w:cs="宋体"/>
                <w:bCs/>
                <w:sz w:val="18"/>
                <w:szCs w:val="18"/>
              </w:rPr>
              <w:t>上述</w:t>
            </w:r>
            <w:r>
              <w:rPr>
                <w:rFonts w:ascii="黑体" w:hAnsi="黑体" w:eastAsia="黑体" w:cs="宋体"/>
                <w:bCs/>
                <w:sz w:val="18"/>
                <w:szCs w:val="18"/>
              </w:rPr>
              <w:t>理财产品</w:t>
            </w:r>
            <w:r>
              <w:rPr>
                <w:rFonts w:hint="eastAsia" w:ascii="黑体" w:hAnsi="黑体" w:eastAsia="黑体" w:cs="宋体"/>
                <w:bCs/>
                <w:sz w:val="18"/>
                <w:szCs w:val="18"/>
              </w:rPr>
              <w:t>收取</w:t>
            </w:r>
            <w:r>
              <w:rPr>
                <w:rFonts w:ascii="黑体" w:hAnsi="黑体" w:eastAsia="黑体" w:cs="宋体"/>
                <w:bCs/>
                <w:sz w:val="18"/>
                <w:szCs w:val="18"/>
              </w:rPr>
              <w:t>费率</w:t>
            </w:r>
            <w:r>
              <w:rPr>
                <w:rFonts w:hint="eastAsia" w:ascii="黑体" w:hAnsi="黑体" w:eastAsia="黑体" w:cs="宋体"/>
                <w:bCs/>
                <w:sz w:val="18"/>
                <w:szCs w:val="18"/>
              </w:rPr>
              <w:t>标准</w:t>
            </w:r>
            <w:r>
              <w:rPr>
                <w:rFonts w:ascii="黑体" w:hAnsi="黑体" w:eastAsia="黑体" w:cs="宋体"/>
                <w:bCs/>
                <w:sz w:val="18"/>
                <w:szCs w:val="18"/>
              </w:rPr>
              <w:t>的权利</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79154666"/>
      <w:bookmarkStart w:id="71" w:name="_Toc17618975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投资者认购资金在产品认购期内产生的利息不作为理财资金进入运作，不计算理财利益。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74065741"/>
      <w:bookmarkStart w:id="78" w:name="_Toc90742390"/>
      <w:bookmarkStart w:id="79" w:name="_Toc22074"/>
      <w:bookmarkStart w:id="80" w:name="_Toc27226"/>
      <w:bookmarkStart w:id="81" w:name="_Toc7151"/>
      <w:bookmarkStart w:id="82" w:name="_Toc15203"/>
      <w:bookmarkStart w:id="83" w:name="_Toc90742688"/>
      <w:bookmarkStart w:id="84" w:name="_Toc6714"/>
      <w:bookmarkStart w:id="85" w:name="_Toc29948"/>
      <w:bookmarkStart w:id="86" w:name="_Toc79154668"/>
      <w:bookmarkStart w:id="87" w:name="_Toc29784"/>
      <w:bookmarkStart w:id="88" w:name="_Toc16265"/>
      <w:bookmarkStart w:id="89" w:name="_Toc3266"/>
      <w:bookmarkStart w:id="90" w:name="_Toc90742321"/>
      <w:bookmarkStart w:id="91" w:name="_Toc27189"/>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（1）银行存款、债券逆回购、货币基金等货币市场工具及其它银行间和交易所资金融通工具；</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（3）符合监管要求的债权类资产。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（4）以套期保值为目的的国债期货、利率互换、信用风险缓释工具、债券借贷。</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（5）优先股。</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（6）结构化资产管理产品的优先级份额。</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7）投资于（1）-（5）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（8）其他风险不高于前述资产的资产。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kern w:val="0"/>
          <w:sz w:val="18"/>
          <w:szCs w:val="18"/>
        </w:rPr>
        <w:t>【</w:t>
      </w:r>
      <w:r>
        <w:rPr>
          <w:rFonts w:hint="eastAsia" w:ascii="宋体" w:hAnsi="宋体" w:eastAsia="宋体" w:cs="宋体"/>
          <w:bCs/>
          <w:sz w:val="18"/>
          <w:szCs w:val="18"/>
        </w:rPr>
        <w:t>（1）本产品投资于债权类资产的比例不低于产品总资产的80%。</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（2）国债期货、利率互换、信用风险缓释工具等衍生品占产品总资产比例</w:t>
      </w:r>
      <w:r>
        <w:rPr>
          <w:rFonts w:hint="eastAsia" w:ascii="宋体" w:hAnsi="宋体" w:eastAsia="宋体" w:cs="宋体"/>
          <w:bCs/>
          <w:sz w:val="18"/>
          <w:szCs w:val="18"/>
          <w:lang w:val="en-US" w:eastAsia="zh-CN"/>
        </w:rPr>
        <w:t>低</w:t>
      </w:r>
      <w:r>
        <w:rPr>
          <w:rFonts w:hint="eastAsia" w:ascii="宋体" w:hAnsi="宋体" w:eastAsia="宋体" w:cs="宋体"/>
          <w:bCs/>
          <w:sz w:val="18"/>
          <w:szCs w:val="18"/>
        </w:rPr>
        <w:t>于20%。</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（3）投资于权益类资产的比例不高于产品总资产的10%，权益类资产仅限于投资于优先股和结构化资产管理产品的优先级份额。</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（4）符合监管要求的非标准化债权类资产低于产品净资产的50%。</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【通过对经济基本面、企业盈利、无风险利率水平、资金面等因素进行定性和定量分析，根据产品的业绩目标和回撤目标制定各个阶段产品资产投资比例。】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76189758"/>
      <w:bookmarkStart w:id="94" w:name="_Toc4741"/>
      <w:bookmarkStart w:id="95" w:name="_Toc139991735"/>
      <w:bookmarkStart w:id="96" w:name="_Toc18329"/>
      <w:bookmarkStart w:id="97" w:name="_Toc18526"/>
      <w:bookmarkStart w:id="98" w:name="_Toc1823"/>
      <w:bookmarkStart w:id="99" w:name="_Toc14893"/>
      <w:bookmarkStart w:id="100" w:name="_Toc7848"/>
      <w:bookmarkStart w:id="101" w:name="_Toc26986"/>
      <w:bookmarkStart w:id="102" w:name="_Toc18797"/>
      <w:bookmarkStart w:id="103" w:name="_Toc74065742"/>
      <w:bookmarkStart w:id="104" w:name="_Toc79154669"/>
      <w:bookmarkStart w:id="105" w:name="_Toc21988"/>
      <w:bookmarkStart w:id="106" w:name="_Toc141703885"/>
      <w:bookmarkStart w:id="107" w:name="_Toc17912"/>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74065743"/>
      <w:bookmarkStart w:id="110" w:name="_Toc98560352"/>
      <w:bookmarkStart w:id="111" w:name="_Toc10463"/>
      <w:bookmarkStart w:id="112" w:name="_Toc48649707"/>
      <w:bookmarkStart w:id="113" w:name="_Toc23822"/>
      <w:bookmarkStart w:id="114" w:name="_Toc610"/>
      <w:bookmarkStart w:id="115" w:name="_Toc79392606"/>
      <w:bookmarkStart w:id="116" w:name="_Toc7920"/>
      <w:bookmarkStart w:id="117" w:name="_Toc17244"/>
      <w:bookmarkStart w:id="118" w:name="_Toc139991736"/>
      <w:bookmarkStart w:id="119" w:name="_Toc20733"/>
      <w:bookmarkStart w:id="120" w:name="_Toc23261"/>
      <w:bookmarkStart w:id="121" w:name="_Toc123051452"/>
      <w:bookmarkStart w:id="122" w:name="_Toc141703886"/>
      <w:bookmarkStart w:id="123" w:name="_Toc123102453"/>
      <w:bookmarkStart w:id="124" w:name="_Toc4003"/>
      <w:bookmarkStart w:id="125" w:name="_Toc123112234"/>
      <w:bookmarkStart w:id="126" w:name="_Toc1270"/>
      <w:bookmarkStart w:id="127" w:name="_Toc176189759"/>
      <w:bookmarkStart w:id="128" w:name="_Toc1427"/>
      <w:bookmarkStart w:id="129" w:name="_Toc79154670"/>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1.产品份额净值是按照估值日产品资产净值除以当日产品总份额计算，四舍五入保留5位小数。国家另有规定的，从其规定。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12245"/>
      <w:bookmarkStart w:id="132" w:name="_Toc6405"/>
      <w:bookmarkStart w:id="133" w:name="_Toc141703887"/>
      <w:bookmarkStart w:id="134" w:name="_Toc15143"/>
      <w:bookmarkStart w:id="135" w:name="_Toc3601"/>
      <w:bookmarkStart w:id="136" w:name="_Toc79154671"/>
      <w:bookmarkStart w:id="137" w:name="_Toc31644"/>
      <w:bookmarkStart w:id="138" w:name="_Toc123112235"/>
      <w:bookmarkStart w:id="139" w:name="_Toc123102454"/>
      <w:bookmarkStart w:id="140" w:name="_Toc74065744"/>
      <w:bookmarkStart w:id="141" w:name="_Toc139991737"/>
      <w:bookmarkStart w:id="142" w:name="_Toc29251"/>
      <w:bookmarkStart w:id="143" w:name="_Toc26207"/>
      <w:bookmarkStart w:id="144" w:name="_Toc123051453"/>
      <w:bookmarkStart w:id="145" w:name="_Toc31235"/>
      <w:bookmarkStart w:id="146" w:name="_Toc31653"/>
      <w:bookmarkStart w:id="147" w:name="_Toc14835"/>
      <w:bookmarkStart w:id="148" w:name="_Toc98560353"/>
      <w:bookmarkStart w:id="149" w:name="_Toc176189760"/>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79392580"/>
      <w:bookmarkStart w:id="152" w:name="_Toc523711668"/>
      <w:bookmarkStart w:id="153" w:name="_Toc57530239"/>
      <w:bookmarkStart w:id="154" w:name="_Toc15118234"/>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6447"/>
      <w:bookmarkStart w:id="158" w:name="_Toc9706"/>
      <w:bookmarkStart w:id="159" w:name="_Toc74065745"/>
      <w:bookmarkStart w:id="160" w:name="_Toc3321"/>
      <w:bookmarkStart w:id="161" w:name="_Toc139991738"/>
      <w:bookmarkStart w:id="162" w:name="_Toc25783"/>
      <w:bookmarkStart w:id="163" w:name="_Toc10650"/>
      <w:bookmarkStart w:id="164" w:name="_Toc79392583"/>
      <w:bookmarkStart w:id="165" w:name="_Toc11030"/>
      <w:bookmarkStart w:id="166" w:name="_Toc4559"/>
      <w:bookmarkStart w:id="167" w:name="_Toc3771"/>
      <w:bookmarkStart w:id="168" w:name="_Toc98560354"/>
      <w:bookmarkStart w:id="169" w:name="_Toc7058"/>
      <w:bookmarkStart w:id="170" w:name="_Toc141703888"/>
      <w:bookmarkStart w:id="171" w:name="_Toc176189761"/>
      <w:bookmarkStart w:id="172" w:name="_Toc123112236"/>
      <w:bookmarkStart w:id="173" w:name="_Toc18567"/>
      <w:bookmarkStart w:id="174" w:name="_Toc123102455"/>
      <w:bookmarkStart w:id="175" w:name="_Toc123051454"/>
      <w:bookmarkStart w:id="176" w:name="_Toc79154672"/>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（一）理财产品的费用</w:t>
      </w:r>
    </w:p>
    <w:p>
      <w:pPr>
        <w:widowControl/>
        <w:spacing w:line="360" w:lineRule="auto"/>
        <w:ind w:firstLine="360" w:firstLineChars="200"/>
        <w:jc w:val="left"/>
        <w:rPr>
          <w:rFonts w:ascii="Calibri" w:hAnsi="宋体" w:cs="宋体"/>
          <w:sz w:val="18"/>
          <w:szCs w:val="18"/>
        </w:rPr>
      </w:pPr>
      <w:r>
        <w:rPr>
          <w:rFonts w:ascii="宋体" w:hAnsi="宋体" w:cs="宋体"/>
          <w:kern w:val="0"/>
          <w:sz w:val="18"/>
          <w:szCs w:val="18"/>
        </w:rPr>
        <w:t>1</w:t>
      </w:r>
      <w:r>
        <w:rPr>
          <w:rFonts w:hint="eastAsia" w:ascii="宋体" w:hAnsi="宋体" w:cs="宋体"/>
          <w:kern w:val="0"/>
          <w:sz w:val="18"/>
          <w:szCs w:val="18"/>
        </w:rPr>
        <w:t>.</w:t>
      </w:r>
      <w:r>
        <w:rPr>
          <w:rFonts w:ascii="宋体" w:hAnsi="宋体" w:cs="宋体"/>
          <w:kern w:val="0"/>
          <w:sz w:val="18"/>
          <w:szCs w:val="18"/>
        </w:rPr>
        <w:t>理财产品费用的种类</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1）理财产品的认购费</w:t>
      </w:r>
      <w:r>
        <w:rPr>
          <w:rFonts w:hint="eastAsia" w:ascii="宋体" w:hAnsi="宋体" w:cs="宋体"/>
          <w:kern w:val="0"/>
          <w:sz w:val="18"/>
          <w:szCs w:val="18"/>
        </w:rPr>
        <w:t>；</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2）理财产品的销售服务费</w:t>
      </w:r>
      <w:r>
        <w:rPr>
          <w:rFonts w:hint="eastAsia" w:ascii="宋体" w:hAnsi="宋体" w:cs="宋体"/>
          <w:kern w:val="0"/>
          <w:sz w:val="18"/>
          <w:szCs w:val="18"/>
        </w:rPr>
        <w:t>；</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3）理财产品的投资管理费及超额业绩报酬；</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4</w:t>
      </w:r>
      <w:r>
        <w:rPr>
          <w:rFonts w:hint="eastAsia" w:ascii="宋体" w:hAnsi="宋体" w:cs="宋体"/>
          <w:kern w:val="0"/>
          <w:sz w:val="18"/>
          <w:szCs w:val="18"/>
        </w:rPr>
        <w:t>）理财产品的产品托管费；</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）理财产品的交易费用（包括但不限于证券交易费用、经纪费用等）；</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6</w:t>
      </w:r>
      <w:r>
        <w:rPr>
          <w:rFonts w:hint="eastAsia" w:ascii="宋体" w:hAnsi="宋体" w:cs="宋体"/>
          <w:kern w:val="0"/>
          <w:sz w:val="18"/>
          <w:szCs w:val="18"/>
        </w:rPr>
        <w:t>）理财产品验资费、审计费、律师费、信息披露费、清算费、执行费用等相关费用；</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7</w:t>
      </w:r>
      <w:r>
        <w:rPr>
          <w:rFonts w:hint="eastAsia" w:ascii="宋体" w:hAnsi="宋体" w:cs="宋体"/>
          <w:kern w:val="0"/>
          <w:sz w:val="18"/>
          <w:szCs w:val="18"/>
        </w:rPr>
        <w:t>）按照国家法律法规规定可以列入的其他费用。</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2.</w:t>
      </w:r>
      <w:r>
        <w:rPr>
          <w:rFonts w:hint="eastAsia" w:ascii="宋体" w:hAnsi="宋体" w:cs="宋体"/>
          <w:kern w:val="0"/>
          <w:sz w:val="18"/>
          <w:szCs w:val="18"/>
        </w:rPr>
        <w:t>理财产品费用计提方法、计提标准和支付方式</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1</w:t>
      </w:r>
      <w:r>
        <w:rPr>
          <w:rFonts w:hint="eastAsia" w:ascii="宋体" w:hAnsi="宋体" w:cs="宋体"/>
          <w:kern w:val="0"/>
          <w:sz w:val="18"/>
          <w:szCs w:val="18"/>
        </w:rPr>
        <w:t>）理财产品的认购费</w:t>
      </w:r>
    </w:p>
    <w:p>
      <w:pPr>
        <w:widowControl/>
        <w:spacing w:line="360" w:lineRule="auto"/>
        <w:ind w:firstLine="360" w:firstLineChars="200"/>
        <w:jc w:val="left"/>
        <w:rPr>
          <w:rFonts w:ascii="宋体" w:hAnsi="宋体" w:cs="宋体"/>
          <w:sz w:val="18"/>
          <w:szCs w:val="18"/>
        </w:rPr>
      </w:pPr>
      <w:r>
        <w:rPr>
          <w:rFonts w:ascii="宋体" w:hAnsi="宋体" w:eastAsia="宋体" w:cs="宋体"/>
          <w:bCs/>
          <w:sz w:val="18"/>
          <w:szCs w:val="18"/>
        </w:rPr>
        <w:t>费率</w:t>
      </w:r>
      <w:r>
        <w:rPr>
          <w:rFonts w:hint="eastAsia" w:ascii="宋体" w:hAnsi="宋体" w:eastAsia="宋体" w:cs="宋体"/>
          <w:bCs/>
          <w:sz w:val="18"/>
          <w:szCs w:val="18"/>
        </w:rPr>
        <w:t>具体数值以</w:t>
      </w:r>
      <w:r>
        <w:rPr>
          <w:rFonts w:hint="eastAsia" w:ascii="宋体" w:hAnsi="宋体" w:eastAsia="宋体" w:cs="宋体"/>
          <w:sz w:val="18"/>
          <w:szCs w:val="18"/>
        </w:rPr>
        <w:t>《产品说明书》“第二条 理财产品基本情况”</w:t>
      </w:r>
      <w:r>
        <w:rPr>
          <w:rFonts w:hint="eastAsia" w:ascii="宋体" w:hAnsi="宋体" w:eastAsia="宋体" w:cs="宋体"/>
          <w:bCs/>
          <w:sz w:val="18"/>
          <w:szCs w:val="18"/>
        </w:rPr>
        <w:t>为准</w:t>
      </w:r>
      <w:r>
        <w:rPr>
          <w:rFonts w:ascii="宋体" w:hAnsi="宋体" w:cs="宋体"/>
          <w:kern w:val="0"/>
          <w:sz w:val="18"/>
          <w:szCs w:val="18"/>
        </w:rPr>
        <w:t>。</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本产品的销售服务费于产品成立日一次性计提，每日摊销。销售服务费的计算方法如下：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H＝E×销售服务费年费率×产品期限总天数÷365</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H为应计提的产品销售服务费</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E为产品成立日的产品总份额</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销售服务费依照上述约定，从理财财产中支付。费率具体数值以《产品说明书》“第二条 理财产品基本情况”为准。</w:t>
      </w:r>
    </w:p>
    <w:p>
      <w:pPr>
        <w:widowControl w:val="0"/>
        <w:autoSpaceDE w:val="0"/>
        <w:autoSpaceDN w:val="0"/>
        <w:adjustRightInd w:val="0"/>
        <w:spacing w:line="360" w:lineRule="auto"/>
        <w:ind w:firstLine="361" w:firstLineChars="200"/>
        <w:rPr>
          <w:rFonts w:ascii="黑体" w:hAnsi="黑体" w:eastAsia="黑体" w:cs="宋体"/>
          <w:b/>
          <w:bCs/>
          <w:color w:val="000000"/>
          <w:sz w:val="18"/>
          <w:szCs w:val="18"/>
          <w:lang w:val="en-US" w:eastAsia="zh-CN" w:bidi="ar-SA"/>
        </w:rPr>
      </w:pPr>
      <w:r>
        <w:rPr>
          <w:rFonts w:hint="eastAsia" w:ascii="黑体" w:hAnsi="黑体" w:eastAsia="黑体" w:cs="宋体"/>
          <w:b/>
          <w:bCs/>
          <w:color w:val="000000"/>
          <w:sz w:val="18"/>
          <w:szCs w:val="18"/>
          <w:lang w:val="en-US" w:eastAsia="zh-CN" w:bidi="ar-SA"/>
        </w:rPr>
        <w:t>注：如本产品发生提前终止或提前退出，则产品管理人根据实际产品期限天数/实际份额计算销售服务费，多收取的销售服务费退还至理财产品资产。</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3）</w:t>
      </w:r>
      <w:r>
        <w:rPr>
          <w:rFonts w:hint="eastAsia" w:ascii="宋体" w:hAnsi="宋体" w:cs="宋体"/>
          <w:kern w:val="0"/>
          <w:sz w:val="18"/>
          <w:szCs w:val="18"/>
        </w:rPr>
        <w:t>理财产品</w:t>
      </w:r>
      <w:r>
        <w:rPr>
          <w:rFonts w:ascii="宋体" w:hAnsi="宋体" w:cs="宋体"/>
          <w:kern w:val="0"/>
          <w:sz w:val="18"/>
          <w:szCs w:val="18"/>
        </w:rPr>
        <w:t>的投资管理费</w:t>
      </w:r>
    </w:p>
    <w:p>
      <w:pPr>
        <w:widowControl/>
        <w:spacing w:line="360" w:lineRule="auto"/>
        <w:ind w:firstLine="360" w:firstLineChars="200"/>
        <w:jc w:val="left"/>
        <w:rPr>
          <w:rFonts w:ascii="宋体" w:hAnsi="宋体" w:cs="宋体"/>
          <w:sz w:val="18"/>
          <w:szCs w:val="18"/>
        </w:rPr>
      </w:pPr>
      <w:r>
        <w:rPr>
          <w:rFonts w:hint="eastAsia" w:ascii="宋体" w:hAnsi="宋体" w:cs="宋体"/>
          <w:sz w:val="18"/>
          <w:szCs w:val="18"/>
        </w:rPr>
        <w:t>本产品的投资管理费按前一日理财资产净值与投资管理费每日费率每日计提。</w:t>
      </w:r>
      <w:r>
        <w:rPr>
          <w:rFonts w:hint="eastAsia" w:ascii="宋体" w:hAnsi="宋体" w:cs="宋体"/>
          <w:kern w:val="0"/>
          <w:sz w:val="18"/>
          <w:szCs w:val="18"/>
        </w:rPr>
        <w:t>投资管理费的计算方法如下：</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w:t>
      </w:r>
      <w:r>
        <w:rPr>
          <w:rFonts w:hint="eastAsia" w:ascii="宋体" w:hAnsi="宋体" w:cs="宋体"/>
          <w:kern w:val="0"/>
          <w:sz w:val="18"/>
          <w:szCs w:val="18"/>
        </w:rPr>
        <w:t>投资管理费</w:t>
      </w:r>
      <w:r>
        <w:rPr>
          <w:rFonts w:ascii="宋体" w:hAnsi="宋体" w:cs="宋体"/>
          <w:kern w:val="0"/>
          <w:sz w:val="18"/>
          <w:szCs w:val="18"/>
        </w:rPr>
        <w:t>年费率÷</w:t>
      </w:r>
      <w:r>
        <w:rPr>
          <w:rFonts w:hint="eastAsia" w:ascii="宋体" w:hAnsi="宋体" w:cs="宋体"/>
          <w:kern w:val="0"/>
          <w:sz w:val="18"/>
          <w:szCs w:val="18"/>
        </w:rPr>
        <w:t>3</w:t>
      </w:r>
      <w:r>
        <w:rPr>
          <w:rFonts w:ascii="宋体" w:hAnsi="宋体" w:cs="宋体"/>
          <w:kern w:val="0"/>
          <w:sz w:val="18"/>
          <w:szCs w:val="18"/>
        </w:rPr>
        <w:t>65</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w:t>
      </w:r>
      <w:r>
        <w:rPr>
          <w:rFonts w:hint="eastAsia" w:ascii="宋体" w:hAnsi="宋体" w:cs="宋体"/>
          <w:kern w:val="0"/>
          <w:sz w:val="18"/>
          <w:szCs w:val="18"/>
        </w:rPr>
        <w:t>产品</w:t>
      </w:r>
      <w:r>
        <w:rPr>
          <w:rFonts w:ascii="宋体" w:hAnsi="宋体" w:cs="宋体"/>
          <w:kern w:val="0"/>
          <w:sz w:val="18"/>
          <w:szCs w:val="18"/>
        </w:rPr>
        <w:t>投资管理费</w:t>
      </w:r>
    </w:p>
    <w:p>
      <w:pPr>
        <w:widowControl/>
        <w:spacing w:line="360" w:lineRule="auto"/>
        <w:ind w:firstLine="360" w:firstLineChars="200"/>
        <w:jc w:val="left"/>
        <w:rPr>
          <w:rFonts w:ascii="宋体" w:hAnsi="宋体" w:cs="宋体"/>
          <w:kern w:val="0"/>
          <w:sz w:val="18"/>
          <w:szCs w:val="18"/>
        </w:rPr>
      </w:pPr>
      <w:r>
        <w:rPr>
          <w:rFonts w:ascii="宋体" w:hAnsi="宋体" w:cs="宋体"/>
          <w:kern w:val="0"/>
          <w:sz w:val="18"/>
          <w:szCs w:val="18"/>
        </w:rPr>
        <w:t>E为前一日的理财资产净值</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投资管理费依照上述约定，从理财财产中支付。</w:t>
      </w:r>
      <w:r>
        <w:rPr>
          <w:rFonts w:hint="eastAsia" w:ascii="宋体" w:hAnsi="宋体" w:eastAsia="宋体" w:cs="宋体"/>
          <w:sz w:val="18"/>
          <w:szCs w:val="18"/>
        </w:rPr>
        <w:t>费率具体数值以《产品说明书》“第二条 理财产品基本情况”为准</w:t>
      </w:r>
      <w:r>
        <w:rPr>
          <w:rFonts w:hint="eastAsia" w:ascii="宋体" w:hAnsi="宋体" w:cs="宋体"/>
          <w:kern w:val="0"/>
          <w:sz w:val="18"/>
          <w:szCs w:val="18"/>
        </w:rPr>
        <w:t>。</w:t>
      </w:r>
    </w:p>
    <w:p>
      <w:pPr>
        <w:widowControl/>
        <w:spacing w:line="360" w:lineRule="auto"/>
        <w:ind w:firstLine="360" w:firstLineChars="200"/>
        <w:jc w:val="left"/>
        <w:rPr>
          <w:rFonts w:ascii="宋体" w:hAnsi="宋体" w:cs="宋体"/>
          <w:kern w:val="0"/>
          <w:sz w:val="18"/>
          <w:szCs w:val="18"/>
        </w:rPr>
      </w:pPr>
      <w:r>
        <w:rPr>
          <w:rFonts w:ascii="宋体" w:hAnsi="宋体" w:cs="宋体"/>
          <w:kern w:val="0"/>
          <w:sz w:val="18"/>
          <w:szCs w:val="18"/>
        </w:rPr>
        <w:t>（4）超额业绩报酬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w:t>
      </w:r>
      <w:r>
        <w:rPr>
          <w:rFonts w:hint="eastAsia" w:ascii="黑体" w:hAnsi="黑体" w:eastAsia="黑体" w:cs="宋体"/>
          <w:sz w:val="18"/>
          <w:szCs w:val="18"/>
        </w:rPr>
        <w:t>★</w:t>
      </w:r>
      <w:r>
        <w:rPr>
          <w:rFonts w:hint="eastAsia" w:ascii="宋体" w:hAnsi="宋体" w:eastAsia="宋体" w:cs="宋体"/>
          <w:sz w:val="18"/>
          <w:szCs w:val="18"/>
        </w:rPr>
        <w:t>由此造成超额业绩报酬计提日产品份额净值调整的，以调整后的数值为准进行利益分配。</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业绩报酬计提基准的设置、超额业绩报酬的具体比例数值以《</w:t>
      </w:r>
      <w:r>
        <w:rPr>
          <w:rFonts w:hint="eastAsia" w:ascii="宋体" w:hAnsi="宋体" w:eastAsia="宋体" w:cs="宋体"/>
          <w:bCs/>
          <w:sz w:val="18"/>
          <w:szCs w:val="18"/>
        </w:rPr>
        <w:t>产品说明</w:t>
      </w:r>
      <w:r>
        <w:rPr>
          <w:rFonts w:hint="eastAsia" w:ascii="宋体" w:hAnsi="宋体" w:eastAsia="宋体" w:cs="宋体"/>
          <w:sz w:val="18"/>
          <w:szCs w:val="18"/>
        </w:rPr>
        <w:t>书》“第二条 理财产品基本情况”为准。</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1）收取超额业绩报酬的原则：</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①按投资者每</w:t>
      </w:r>
      <w:r>
        <w:rPr>
          <w:rFonts w:ascii="宋体" w:hAnsi="宋体" w:eastAsia="宋体" w:cs="宋体"/>
          <w:sz w:val="18"/>
          <w:szCs w:val="18"/>
        </w:rPr>
        <w:t>份</w:t>
      </w:r>
      <w:r>
        <w:rPr>
          <w:rFonts w:hint="eastAsia" w:ascii="宋体" w:hAnsi="宋体" w:eastAsia="宋体" w:cs="宋体"/>
          <w:sz w:val="18"/>
          <w:szCs w:val="18"/>
        </w:rPr>
        <w:t>产品份额分别计算年化收益率并计提超额业绩报酬；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③在产品终止日提取超额业绩报酬的，超额业绩报酬从清算资金中扣除；</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2）超额业绩报酬计提方法</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①超额业绩报酬计提起始日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每</w:t>
      </w:r>
      <w:r>
        <w:rPr>
          <w:rFonts w:ascii="宋体" w:hAnsi="宋体" w:eastAsia="宋体" w:cs="宋体"/>
          <w:sz w:val="18"/>
          <w:szCs w:val="18"/>
        </w:rPr>
        <w:t>份</w:t>
      </w:r>
      <w:r>
        <w:rPr>
          <w:rFonts w:hint="eastAsia" w:ascii="宋体" w:hAnsi="宋体" w:eastAsia="宋体" w:cs="宋体"/>
          <w:sz w:val="18"/>
          <w:szCs w:val="18"/>
        </w:rPr>
        <w:t>产品份额超额业绩报酬计提起始日为：募集期内认购的产品份额，以产品成立日为该</w:t>
      </w:r>
      <w:r>
        <w:rPr>
          <w:rFonts w:ascii="宋体" w:hAnsi="宋体" w:eastAsia="宋体" w:cs="宋体"/>
          <w:sz w:val="18"/>
          <w:szCs w:val="18"/>
        </w:rPr>
        <w:t>份</w:t>
      </w:r>
      <w:r>
        <w:rPr>
          <w:rFonts w:hint="eastAsia" w:ascii="宋体" w:hAnsi="宋体" w:eastAsia="宋体" w:cs="宋体"/>
          <w:sz w:val="18"/>
          <w:szCs w:val="18"/>
        </w:rPr>
        <w:t>产品份额超额业绩报酬计提起始日。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②超额业绩报酬计提日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每份产品份额超额业绩报酬每日计提，产品终止日结算。</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③超额业绩报酬的计算</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产品管理人对每</w:t>
      </w:r>
      <w:r>
        <w:rPr>
          <w:rFonts w:ascii="宋体" w:hAnsi="宋体" w:eastAsia="宋体" w:cs="宋体"/>
          <w:sz w:val="18"/>
          <w:szCs w:val="18"/>
        </w:rPr>
        <w:t>份</w:t>
      </w:r>
      <w:r>
        <w:rPr>
          <w:rFonts w:hint="eastAsia" w:ascii="宋体" w:hAnsi="宋体" w:eastAsia="宋体" w:cs="宋体"/>
          <w:sz w:val="18"/>
          <w:szCs w:val="18"/>
        </w:rPr>
        <w:t>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当R≤当前业绩报酬计提基准，超额业绩报酬=0；</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）理财产品</w:t>
      </w:r>
      <w:r>
        <w:rPr>
          <w:rFonts w:ascii="宋体" w:hAnsi="宋体" w:cs="宋体"/>
          <w:kern w:val="0"/>
          <w:sz w:val="18"/>
          <w:szCs w:val="18"/>
        </w:rPr>
        <w:t>的</w:t>
      </w:r>
      <w:r>
        <w:rPr>
          <w:rFonts w:hint="eastAsia" w:ascii="宋体" w:hAnsi="宋体" w:cs="宋体"/>
          <w:kern w:val="0"/>
          <w:sz w:val="18"/>
          <w:szCs w:val="18"/>
        </w:rPr>
        <w:t>产品</w:t>
      </w:r>
      <w:r>
        <w:rPr>
          <w:rFonts w:ascii="宋体" w:hAnsi="宋体" w:cs="宋体"/>
          <w:kern w:val="0"/>
          <w:sz w:val="18"/>
          <w:szCs w:val="18"/>
        </w:rPr>
        <w:t>托管费</w:t>
      </w:r>
    </w:p>
    <w:p>
      <w:pPr>
        <w:widowControl/>
        <w:spacing w:line="360" w:lineRule="auto"/>
        <w:ind w:firstLine="360" w:firstLineChars="200"/>
        <w:jc w:val="left"/>
        <w:rPr>
          <w:rFonts w:ascii="宋体" w:hAnsi="宋体" w:cs="宋体"/>
          <w:sz w:val="18"/>
          <w:szCs w:val="18"/>
        </w:rPr>
      </w:pPr>
      <w:r>
        <w:rPr>
          <w:rFonts w:hint="eastAsia" w:ascii="宋体" w:hAnsi="宋体" w:cs="宋体"/>
          <w:sz w:val="18"/>
          <w:szCs w:val="18"/>
        </w:rPr>
        <w:t>本产品的产品</w:t>
      </w:r>
      <w:r>
        <w:rPr>
          <w:rFonts w:ascii="宋体" w:hAnsi="宋体" w:cs="宋体"/>
          <w:sz w:val="18"/>
          <w:szCs w:val="18"/>
        </w:rPr>
        <w:t>托管</w:t>
      </w:r>
      <w:r>
        <w:rPr>
          <w:rFonts w:hint="eastAsia" w:ascii="宋体" w:hAnsi="宋体" w:cs="宋体"/>
          <w:sz w:val="18"/>
          <w:szCs w:val="18"/>
        </w:rPr>
        <w:t>费按前一日理财资产净值与产品</w:t>
      </w:r>
      <w:r>
        <w:rPr>
          <w:rFonts w:ascii="宋体" w:hAnsi="宋体" w:cs="宋体"/>
          <w:sz w:val="18"/>
          <w:szCs w:val="18"/>
        </w:rPr>
        <w:t>托管</w:t>
      </w:r>
      <w:r>
        <w:rPr>
          <w:rFonts w:hint="eastAsia" w:ascii="宋体" w:hAnsi="宋体" w:cs="宋体"/>
          <w:sz w:val="18"/>
          <w:szCs w:val="18"/>
        </w:rPr>
        <w:t>费每日费率每日计提。</w:t>
      </w:r>
      <w:r>
        <w:rPr>
          <w:rFonts w:hint="eastAsia" w:ascii="宋体" w:hAnsi="宋体" w:cs="宋体"/>
          <w:kern w:val="0"/>
          <w:sz w:val="18"/>
          <w:szCs w:val="18"/>
        </w:rPr>
        <w:t>产品</w:t>
      </w:r>
      <w:r>
        <w:rPr>
          <w:rFonts w:ascii="宋体" w:hAnsi="宋体" w:cs="宋体"/>
          <w:kern w:val="0"/>
          <w:sz w:val="18"/>
          <w:szCs w:val="18"/>
        </w:rPr>
        <w:t>托管费的计算方法如下：</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w:t>
      </w:r>
      <w:r>
        <w:rPr>
          <w:rFonts w:hint="eastAsia" w:ascii="宋体" w:hAnsi="宋体" w:cs="宋体"/>
          <w:kern w:val="0"/>
          <w:sz w:val="18"/>
          <w:szCs w:val="18"/>
        </w:rPr>
        <w:t>产品托管费</w:t>
      </w:r>
      <w:r>
        <w:rPr>
          <w:rFonts w:ascii="宋体" w:hAnsi="宋体" w:cs="宋体"/>
          <w:kern w:val="0"/>
          <w:sz w:val="18"/>
          <w:szCs w:val="18"/>
        </w:rPr>
        <w:t>年费率÷</w:t>
      </w:r>
      <w:r>
        <w:rPr>
          <w:rFonts w:hint="eastAsia" w:ascii="宋体" w:hAnsi="宋体" w:cs="宋体"/>
          <w:kern w:val="0"/>
          <w:sz w:val="18"/>
          <w:szCs w:val="18"/>
        </w:rPr>
        <w:t>3</w:t>
      </w:r>
      <w:r>
        <w:rPr>
          <w:rFonts w:ascii="宋体" w:hAnsi="宋体" w:cs="宋体"/>
          <w:kern w:val="0"/>
          <w:sz w:val="18"/>
          <w:szCs w:val="18"/>
        </w:rPr>
        <w:t>65</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w:t>
      </w:r>
      <w:r>
        <w:rPr>
          <w:rFonts w:hint="eastAsia" w:ascii="宋体" w:hAnsi="宋体" w:cs="宋体"/>
          <w:kern w:val="0"/>
          <w:sz w:val="18"/>
          <w:szCs w:val="18"/>
        </w:rPr>
        <w:t>产品</w:t>
      </w:r>
      <w:r>
        <w:rPr>
          <w:rFonts w:ascii="宋体" w:hAnsi="宋体" w:cs="宋体"/>
          <w:kern w:val="0"/>
          <w:sz w:val="18"/>
          <w:szCs w:val="18"/>
        </w:rPr>
        <w:t>托管费</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E为前一日的理财资产净值</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产品托管费依照上述约定，从理财财产中支付。</w:t>
      </w:r>
      <w:r>
        <w:rPr>
          <w:rFonts w:hint="eastAsia" w:ascii="宋体" w:hAnsi="宋体" w:eastAsia="宋体" w:cs="宋体"/>
          <w:sz w:val="18"/>
          <w:szCs w:val="18"/>
        </w:rPr>
        <w:t>费率具体数值以《产品说明书》“第二条 理财产品基本情况”为准。</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6</w:t>
      </w:r>
      <w:r>
        <w:rPr>
          <w:rFonts w:hint="eastAsia" w:ascii="宋体" w:hAnsi="宋体" w:cs="宋体"/>
          <w:kern w:val="0"/>
          <w:sz w:val="18"/>
          <w:szCs w:val="18"/>
        </w:rPr>
        <w:t>）</w:t>
      </w:r>
      <w:r>
        <w:rPr>
          <w:rFonts w:ascii="宋体" w:hAnsi="宋体" w:cs="宋体"/>
          <w:kern w:val="0"/>
          <w:sz w:val="18"/>
          <w:szCs w:val="18"/>
        </w:rPr>
        <w:t>上述</w:t>
      </w:r>
      <w:r>
        <w:rPr>
          <w:rFonts w:hint="eastAsia" w:ascii="宋体" w:hAnsi="宋体" w:cs="宋体"/>
          <w:kern w:val="0"/>
          <w:sz w:val="18"/>
          <w:szCs w:val="18"/>
        </w:rPr>
        <w:t>理财产品的证券交易费用</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按费用实际支出金额列入当期费用，从理财财产中支付。</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7）上述</w:t>
      </w:r>
      <w:r>
        <w:rPr>
          <w:rFonts w:hint="eastAsia" w:ascii="宋体" w:hAnsi="宋体" w:cs="宋体"/>
          <w:kern w:val="0"/>
          <w:sz w:val="18"/>
          <w:szCs w:val="18"/>
        </w:rPr>
        <w:t>理财产品</w:t>
      </w:r>
      <w:r>
        <w:rPr>
          <w:rFonts w:ascii="宋体" w:hAnsi="宋体" w:cs="宋体"/>
          <w:kern w:val="0"/>
          <w:sz w:val="18"/>
          <w:szCs w:val="18"/>
        </w:rPr>
        <w:t>验资费、审计费、律师费、信息披露费、</w:t>
      </w:r>
      <w:r>
        <w:rPr>
          <w:rFonts w:hint="eastAsia" w:ascii="宋体" w:hAnsi="宋体" w:cs="宋体"/>
          <w:kern w:val="0"/>
          <w:sz w:val="18"/>
          <w:szCs w:val="18"/>
        </w:rPr>
        <w:t>清算费、</w:t>
      </w:r>
      <w:r>
        <w:rPr>
          <w:rFonts w:ascii="宋体" w:hAnsi="宋体" w:cs="宋体"/>
          <w:kern w:val="0"/>
          <w:sz w:val="18"/>
          <w:szCs w:val="18"/>
        </w:rPr>
        <w:t>执行费用等相关费用</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按费用实际支出金额列入当期费用，从理财财产中支付。产品管理人因处理上述事务而先行垫付上述</w:t>
      </w:r>
      <w:r>
        <w:rPr>
          <w:rFonts w:ascii="宋体" w:hAnsi="宋体" w:cs="宋体"/>
          <w:kern w:val="0"/>
          <w:sz w:val="18"/>
          <w:szCs w:val="18"/>
        </w:rPr>
        <w:t>费用</w:t>
      </w:r>
      <w:r>
        <w:rPr>
          <w:rFonts w:hint="eastAsia" w:ascii="宋体" w:hAnsi="宋体" w:cs="宋体"/>
          <w:kern w:val="0"/>
          <w:sz w:val="18"/>
          <w:szCs w:val="18"/>
        </w:rPr>
        <w:t>的，管理人有权从理财产品资产中优先受偿。</w:t>
      </w:r>
    </w:p>
    <w:p>
      <w:pPr>
        <w:widowControl w:val="0"/>
        <w:autoSpaceDE w:val="0"/>
        <w:autoSpaceDN w:val="0"/>
        <w:adjustRightInd w:val="0"/>
        <w:spacing w:line="360" w:lineRule="auto"/>
        <w:ind w:firstLine="360" w:firstLineChars="200"/>
        <w:rPr>
          <w:rFonts w:ascii="黑体" w:hAnsi="黑体" w:eastAsia="黑体" w:cs="宋体"/>
          <w:color w:val="auto"/>
          <w:sz w:val="18"/>
          <w:szCs w:val="24"/>
          <w:lang w:val="en-US" w:eastAsia="zh-CN" w:bidi="ar-SA"/>
        </w:rPr>
      </w:pPr>
      <w:r>
        <w:rPr>
          <w:rFonts w:ascii="黑体" w:hAnsi="黑体" w:eastAsia="黑体" w:cs="宋体"/>
          <w:color w:val="auto"/>
          <w:sz w:val="18"/>
          <w:szCs w:val="24"/>
          <w:lang w:val="en-US" w:eastAsia="zh-CN" w:bidi="ar-SA"/>
        </w:rPr>
        <w:t>3.</w:t>
      </w:r>
      <w:r>
        <w:rPr>
          <w:rFonts w:ascii="宋体" w:hAnsi="宋体" w:eastAsia="宋体" w:cs="宋体"/>
          <w:color w:val="auto"/>
          <w:sz w:val="18"/>
          <w:szCs w:val="18"/>
          <w:lang w:val="en-US" w:eastAsia="zh-CN" w:bidi="ar-SA"/>
        </w:rPr>
        <w:t>★</w:t>
      </w:r>
      <w:r>
        <w:rPr>
          <w:rFonts w:hint="eastAsia" w:ascii="黑体" w:hAnsi="黑体" w:eastAsia="黑体" w:cs="宋体"/>
          <w:color w:val="auto"/>
          <w:sz w:val="18"/>
          <w:szCs w:val="18"/>
          <w:lang w:val="en-US" w:eastAsia="zh-CN" w:bidi="ar-SA"/>
        </w:rPr>
        <w:t>理财产品费用</w:t>
      </w:r>
      <w:r>
        <w:rPr>
          <w:rFonts w:hint="eastAsia" w:ascii="黑体" w:hAnsi="黑体" w:eastAsia="黑体" w:cs="宋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ascii="黑体" w:hAnsi="黑体" w:eastAsia="黑体" w:cs="宋体"/>
          <w:b/>
          <w:color w:val="auto"/>
          <w:sz w:val="18"/>
          <w:szCs w:val="24"/>
          <w:lang w:val="en-US" w:eastAsia="zh-CN" w:bidi="ar-SA"/>
        </w:rPr>
      </w:pPr>
      <w:r>
        <w:rPr>
          <w:rFonts w:hint="eastAsia" w:ascii="黑体" w:hAnsi="黑体" w:eastAsia="黑体" w:cs="宋体"/>
          <w:color w:val="auto"/>
          <w:sz w:val="18"/>
          <w:szCs w:val="24"/>
          <w:lang w:val="en-US" w:eastAsia="zh-CN" w:bidi="ar-SA"/>
        </w:rPr>
        <w:t>产品管理人有权</w:t>
      </w:r>
      <w:r>
        <w:rPr>
          <w:rFonts w:hint="eastAsia" w:ascii="黑体" w:hAnsi="黑体" w:eastAsia="黑体" w:cs="宋体"/>
          <w:color w:val="auto"/>
          <w:sz w:val="18"/>
          <w:szCs w:val="18"/>
          <w:lang w:val="en-US" w:eastAsia="zh-CN" w:bidi="ar-SA"/>
        </w:rPr>
        <w:t>根据相关法律和国家政策规定，</w:t>
      </w:r>
      <w:r>
        <w:rPr>
          <w:rFonts w:hint="eastAsia" w:ascii="黑体" w:hAnsi="黑体" w:eastAsia="黑体" w:cs="宋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宋体"/>
          <w:bCs/>
          <w:color w:val="auto"/>
          <w:sz w:val="18"/>
          <w:szCs w:val="24"/>
          <w:lang w:val="en-US" w:eastAsia="zh-CN" w:bidi="ar-SA"/>
        </w:rPr>
        <w:t>将依约定进行公告。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725"/>
      <w:bookmarkStart w:id="180" w:name="_Toc10398"/>
      <w:bookmarkStart w:id="181" w:name="_Toc3572"/>
      <w:bookmarkStart w:id="182" w:name="_Toc139991739"/>
      <w:bookmarkStart w:id="183" w:name="_Toc18206"/>
      <w:bookmarkStart w:id="184" w:name="_Toc21735"/>
      <w:bookmarkStart w:id="185" w:name="_Toc98560355"/>
      <w:bookmarkStart w:id="186" w:name="_Toc3080"/>
      <w:bookmarkStart w:id="187" w:name="_Toc141703889"/>
      <w:bookmarkStart w:id="188" w:name="_Toc31821"/>
      <w:bookmarkStart w:id="189" w:name="_Toc79154673"/>
      <w:bookmarkStart w:id="190" w:name="_Toc16164"/>
      <w:bookmarkStart w:id="191" w:name="_Toc123102456"/>
      <w:bookmarkStart w:id="192" w:name="_Toc123112237"/>
      <w:bookmarkStart w:id="193" w:name="_Toc123051455"/>
      <w:bookmarkStart w:id="194" w:name="_Toc74065746"/>
      <w:bookmarkStart w:id="195" w:name="_Toc176189762"/>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57530252"/>
      <w:bookmarkStart w:id="197" w:name="_Toc15118245"/>
      <w:bookmarkStart w:id="198" w:name="_Toc79392593"/>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不计算投资收益。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实际到账日之间，理财资金不计算</w:t>
      </w:r>
      <w:r>
        <w:rPr>
          <w:rFonts w:ascii="宋体" w:hAnsi="宋体" w:eastAsia="宋体" w:cs="宋体"/>
          <w:bCs/>
          <w:sz w:val="18"/>
          <w:szCs w:val="18"/>
        </w:rPr>
        <w:t>收益</w:t>
      </w:r>
      <w:r>
        <w:rPr>
          <w:rFonts w:hint="eastAsia" w:ascii="宋体" w:hAnsi="宋体" w:eastAsia="宋体" w:cs="宋体"/>
          <w:bCs/>
          <w:sz w:val="18"/>
          <w:szCs w:val="18"/>
        </w:rPr>
        <w:t>。</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139991740"/>
      <w:bookmarkStart w:id="200" w:name="_Toc21237"/>
      <w:bookmarkStart w:id="201" w:name="_Toc739"/>
      <w:bookmarkStart w:id="202" w:name="_Toc32092"/>
      <w:bookmarkStart w:id="203" w:name="_Toc141703890"/>
      <w:bookmarkStart w:id="204" w:name="_Toc8791"/>
      <w:bookmarkStart w:id="205" w:name="_Toc123112238"/>
      <w:bookmarkStart w:id="206" w:name="_Toc5170"/>
      <w:bookmarkStart w:id="207" w:name="_Toc79392622"/>
      <w:bookmarkStart w:id="208" w:name="_Toc29408"/>
      <w:bookmarkStart w:id="209" w:name="_Toc3329"/>
      <w:bookmarkStart w:id="210" w:name="_Toc17198"/>
      <w:bookmarkStart w:id="211" w:name="_Toc176189763"/>
      <w:bookmarkStart w:id="212" w:name="_Toc32584"/>
      <w:bookmarkStart w:id="213" w:name="_Toc123051456"/>
      <w:bookmarkStart w:id="214" w:name="_Toc79154674"/>
      <w:bookmarkStart w:id="215" w:name="_Toc98560356"/>
      <w:bookmarkStart w:id="216" w:name="_Toc48649708"/>
      <w:bookmarkStart w:id="217" w:name="_Toc74065747"/>
      <w:bookmarkStart w:id="218" w:name="_Toc123102457"/>
      <w:bookmarkStart w:id="219" w:name="_Toc17920"/>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ascii="宋体" w:hAnsi="宋体" w:cs="宋体"/>
          <w:bCs/>
          <w:sz w:val="18"/>
          <w:szCs w:val="18"/>
        </w:rPr>
      </w:pPr>
      <w:r>
        <w:rPr>
          <w:rFonts w:hint="eastAsia" w:ascii="宋体" w:hAnsi="宋体" w:cs="宋体"/>
          <w:sz w:val="18"/>
          <w:szCs w:val="18"/>
        </w:rPr>
        <w:t>【</w:t>
      </w:r>
      <w:r>
        <w:rPr>
          <w:rFonts w:hint="eastAsia" w:ascii="宋体" w:hAnsi="宋体" w:cs="宋体"/>
          <w:bCs/>
          <w:sz w:val="18"/>
          <w:szCs w:val="18"/>
        </w:rPr>
        <w:t>1.拟投资市场和资产的风险：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2）投资非标准化债权类资产的风险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 xml:space="preserve">（2）投资权益类资产的风险 </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1）投资股票类资产的风险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2）投资股权类资产的风险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 xml:space="preserve">（3）投资商品和金融衍生品类资产的风险 </w:t>
      </w:r>
    </w:p>
    <w:p>
      <w:pPr>
        <w:spacing w:line="360" w:lineRule="auto"/>
        <w:ind w:firstLine="360" w:firstLineChars="200"/>
        <w:rPr>
          <w:rFonts w:ascii="宋体" w:hAnsi="宋体" w:cs="宋体"/>
          <w:sz w:val="18"/>
          <w:szCs w:val="18"/>
        </w:rPr>
      </w:pPr>
      <w:r>
        <w:rPr>
          <w:rFonts w:hint="eastAsia" w:ascii="宋体" w:hAnsi="宋体" w:cs="宋体"/>
          <w:bCs/>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r>
        <w:rPr>
          <w:rFonts w:hint="eastAsia" w:ascii="宋体" w:hAnsi="宋体" w:cs="宋体"/>
          <w:sz w:val="18"/>
          <w:szCs w:val="18"/>
        </w:rPr>
        <w:t>】</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7</w:t>
      </w:r>
      <w:r>
        <w:rPr>
          <w:rFonts w:ascii="宋体" w:hAnsi="宋体" w:cs="宋体"/>
          <w:sz w:val="18"/>
          <w:szCs w:val="18"/>
        </w:rPr>
        <w:t>.</w:t>
      </w:r>
      <w:r>
        <w:rPr>
          <w:rFonts w:hint="eastAsia" w:ascii="宋体" w:hAnsi="宋体" w:cs="宋体"/>
          <w:sz w:val="18"/>
          <w:szCs w:val="18"/>
        </w:rPr>
        <w:t>关联交易风险</w:t>
      </w:r>
    </w:p>
    <w:p>
      <w:pPr>
        <w:spacing w:line="360" w:lineRule="auto"/>
        <w:ind w:firstLine="360" w:firstLineChars="200"/>
        <w:rPr>
          <w:rFonts w:ascii="宋体" w:hAnsi="宋体" w:cs="宋体"/>
          <w:sz w:val="18"/>
          <w:szCs w:val="18"/>
        </w:rPr>
      </w:pPr>
      <w:r>
        <w:rPr>
          <w:rFonts w:hint="eastAsia" w:ascii="宋体" w:hAnsi="宋体" w:cs="宋体"/>
          <w:sz w:val="18"/>
          <w:szCs w:val="18"/>
        </w:rPr>
        <w:t>若本产品的销售机构为兴业银行股份有限公司（以下简称“兴业银行”），鉴于兴业银行是产品管理人的关联方，尽管兴业银行已建立健全关联方产品销售管理制度，但上述关联</w:t>
      </w:r>
      <w:r>
        <w:rPr>
          <w:rFonts w:ascii="宋体" w:hAnsi="宋体" w:cs="宋体"/>
          <w:sz w:val="18"/>
          <w:szCs w:val="18"/>
        </w:rPr>
        <w:t>关系</w:t>
      </w:r>
      <w:r>
        <w:rPr>
          <w:rFonts w:hint="eastAsia" w:ascii="宋体" w:hAnsi="宋体" w:cs="宋体"/>
          <w:sz w:val="18"/>
          <w:szCs w:val="18"/>
        </w:rPr>
        <w:t>仍可能产生</w:t>
      </w:r>
      <w:r>
        <w:rPr>
          <w:rFonts w:ascii="宋体" w:hAnsi="宋体" w:cs="宋体"/>
          <w:sz w:val="18"/>
          <w:szCs w:val="18"/>
        </w:rPr>
        <w:t>不利影响和投资</w:t>
      </w:r>
      <w:r>
        <w:rPr>
          <w:rFonts w:hint="eastAsia" w:ascii="宋体" w:hAnsi="宋体" w:cs="宋体"/>
          <w:sz w:val="18"/>
          <w:szCs w:val="18"/>
        </w:rPr>
        <w:t>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spacing w:line="280" w:lineRule="atLeast"/>
              <w:ind w:firstLine="422"/>
              <w:jc w:val="center"/>
              <w:rPr>
                <w:rFonts w:ascii="宋体" w:hAnsi="宋体" w:cs="Arial"/>
                <w:b/>
                <w:szCs w:val="21"/>
              </w:rPr>
            </w:pPr>
            <w:r>
              <w:rPr>
                <w:rFonts w:hint="eastAsia" w:ascii="宋体" w:hAnsi="宋体" w:cs="Arial"/>
                <w:b/>
                <w:szCs w:val="21"/>
              </w:rPr>
              <w:t>投资者确认栏</w:t>
            </w:r>
          </w:p>
          <w:p>
            <w:pPr>
              <w:spacing w:line="360" w:lineRule="auto"/>
              <w:ind w:firstLine="361"/>
              <w:rPr>
                <w:rFonts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pPr>
              <w:spacing w:line="360" w:lineRule="auto"/>
              <w:ind w:firstLine="361"/>
              <w:jc w:val="left"/>
              <w:rPr>
                <w:rFonts w:ascii="Calibri" w:hAnsi="Calibri" w:cs="宋体"/>
                <w:b/>
                <w:sz w:val="18"/>
                <w:szCs w:val="18"/>
              </w:rPr>
            </w:pPr>
          </w:p>
          <w:p>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为乙方所发行的理财产品，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cs="宋体" w:asciiTheme="majorEastAsia" w:hAnsiTheme="majorEastAsia" w:eastAsiaTheme="majorEastAsia"/>
          <w:sz w:val="18"/>
          <w:szCs w:val="18"/>
        </w:rPr>
        <w:sym w:font="Wingdings 2" w:char="00A3"/>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cs="宋体" w:asciiTheme="majorEastAsia" w:hAnsiTheme="majorEastAsia" w:eastAsiaTheme="majorEastAsia"/>
          <w:sz w:val="18"/>
          <w:szCs w:val="18"/>
        </w:rPr>
        <w:sym w:font="Wingdings 2" w:char="00A3"/>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兴银理财【稳利恒盈封闭式固收类】</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color w:val="auto"/>
          <w:kern w:val="0"/>
          <w:sz w:val="18"/>
          <w:szCs w:val="18"/>
          <w:lang w:eastAsia="zh-CN"/>
        </w:rPr>
        <w:t>兴银理财稳利恒盈封闭式2025年547期固收类理财产品</w:t>
      </w:r>
      <w:r>
        <w:rPr>
          <w:rFonts w:hint="eastAsia" w:cs="宋体" w:asciiTheme="majorEastAsia" w:hAnsiTheme="majorEastAsia" w:eastAsiaTheme="majorEastAsia"/>
          <w:bCs/>
          <w:kern w:val="0"/>
          <w:sz w:val="18"/>
          <w:szCs w:val="18"/>
        </w:rPr>
        <w:t>】</w:t>
      </w:r>
    </w:p>
    <w:p>
      <w:pPr>
        <w:ind w:firstLine="448" w:firstLineChars="249"/>
        <w:rPr>
          <w:rFonts w:hint="eastAsia" w:ascii="宋体" w:hAnsi="宋体" w:cs="仿宋_GB2312"/>
          <w:color w:val="auto"/>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hint="eastAsia" w:ascii="宋体" w:hAnsi="宋体" w:cs="仿宋_GB2312"/>
          <w:color w:val="auto"/>
          <w:kern w:val="0"/>
          <w:sz w:val="18"/>
          <w:szCs w:val="18"/>
        </w:rPr>
        <w:t>【稳利恒盈封闭2025年</w:t>
      </w:r>
      <w:r>
        <w:rPr>
          <w:rFonts w:hint="eastAsia" w:ascii="宋体" w:hAnsi="宋体" w:cs="仿宋_GB2312"/>
          <w:color w:val="auto"/>
          <w:kern w:val="0"/>
          <w:sz w:val="18"/>
          <w:szCs w:val="18"/>
          <w:lang w:eastAsia="zh-CN"/>
        </w:rPr>
        <w:t>547期</w:t>
      </w:r>
      <w:r>
        <w:rPr>
          <w:rFonts w:hint="eastAsia" w:ascii="宋体" w:hAnsi="宋体" w:cs="仿宋_GB2312"/>
          <w:color w:val="auto"/>
          <w:kern w:val="0"/>
          <w:sz w:val="18"/>
          <w:szCs w:val="18"/>
        </w:rPr>
        <w:t>14M(纯盈颐养款)A】（适用【A】类份额）</w:t>
      </w:r>
    </w:p>
    <w:p>
      <w:pPr>
        <w:ind w:firstLine="448" w:firstLineChars="249"/>
        <w:rPr>
          <w:rFonts w:hint="eastAsia" w:ascii="宋体" w:hAnsi="宋体" w:cs="仿宋_GB2312"/>
          <w:color w:val="auto"/>
          <w:kern w:val="0"/>
          <w:sz w:val="18"/>
          <w:szCs w:val="18"/>
        </w:rPr>
      </w:pPr>
      <w:r>
        <w:rPr>
          <w:rFonts w:hint="eastAsia" w:ascii="宋体" w:hAnsi="宋体" w:cs="仿宋_GB2312"/>
          <w:color w:val="auto"/>
          <w:kern w:val="0"/>
          <w:sz w:val="18"/>
          <w:szCs w:val="18"/>
        </w:rPr>
        <w:t>【稳利恒盈封闭2025年</w:t>
      </w:r>
      <w:r>
        <w:rPr>
          <w:rFonts w:hint="eastAsia" w:ascii="宋体" w:hAnsi="宋体" w:cs="仿宋_GB2312"/>
          <w:color w:val="auto"/>
          <w:kern w:val="0"/>
          <w:sz w:val="18"/>
          <w:szCs w:val="18"/>
          <w:lang w:eastAsia="zh-CN"/>
        </w:rPr>
        <w:t>547期</w:t>
      </w:r>
      <w:r>
        <w:rPr>
          <w:rFonts w:hint="eastAsia" w:ascii="宋体" w:hAnsi="宋体" w:cs="仿宋_GB2312"/>
          <w:color w:val="auto"/>
          <w:kern w:val="0"/>
          <w:sz w:val="18"/>
          <w:szCs w:val="18"/>
        </w:rPr>
        <w:t>14M(纯盈颐养款)C】（适用【</w:t>
      </w:r>
      <w:r>
        <w:rPr>
          <w:rFonts w:hint="eastAsia" w:ascii="宋体" w:hAnsi="宋体" w:cs="仿宋_GB2312"/>
          <w:color w:val="auto"/>
          <w:kern w:val="0"/>
          <w:sz w:val="18"/>
          <w:szCs w:val="18"/>
          <w:lang w:val="en-US" w:eastAsia="zh-CN"/>
        </w:rPr>
        <w:t>C</w:t>
      </w:r>
      <w:r>
        <w:rPr>
          <w:rFonts w:hint="eastAsia" w:ascii="宋体" w:hAnsi="宋体" w:cs="仿宋_GB2312"/>
          <w:color w:val="auto"/>
          <w:kern w:val="0"/>
          <w:sz w:val="18"/>
          <w:szCs w:val="18"/>
        </w:rPr>
        <w:t>】类份额）</w:t>
      </w:r>
    </w:p>
    <w:p>
      <w:pPr>
        <w:ind w:firstLine="448" w:firstLineChars="249"/>
        <w:rPr>
          <w:rFonts w:hint="eastAsia" w:ascii="宋体" w:hAnsi="宋体" w:cs="仿宋_GB2312"/>
          <w:color w:val="auto"/>
          <w:kern w:val="0"/>
          <w:sz w:val="18"/>
          <w:szCs w:val="18"/>
        </w:rPr>
      </w:pPr>
      <w:r>
        <w:rPr>
          <w:rFonts w:hint="eastAsia" w:ascii="宋体" w:hAnsi="宋体" w:cs="仿宋_GB2312"/>
          <w:color w:val="auto"/>
          <w:kern w:val="0"/>
          <w:sz w:val="18"/>
          <w:szCs w:val="18"/>
        </w:rPr>
        <w:t>【稳利恒盈封闭2025年</w:t>
      </w:r>
      <w:r>
        <w:rPr>
          <w:rFonts w:hint="eastAsia" w:ascii="宋体" w:hAnsi="宋体" w:cs="仿宋_GB2312"/>
          <w:color w:val="auto"/>
          <w:kern w:val="0"/>
          <w:sz w:val="18"/>
          <w:szCs w:val="18"/>
          <w:lang w:eastAsia="zh-CN"/>
        </w:rPr>
        <w:t>547期</w:t>
      </w:r>
      <w:r>
        <w:rPr>
          <w:rFonts w:hint="eastAsia" w:ascii="宋体" w:hAnsi="宋体" w:cs="仿宋_GB2312"/>
          <w:color w:val="auto"/>
          <w:kern w:val="0"/>
          <w:sz w:val="18"/>
          <w:szCs w:val="18"/>
        </w:rPr>
        <w:t>14M(纯盈颐养款)</w:t>
      </w:r>
      <w:r>
        <w:rPr>
          <w:rFonts w:hint="eastAsia" w:ascii="宋体" w:hAnsi="宋体" w:cs="仿宋_GB2312"/>
          <w:color w:val="auto"/>
          <w:kern w:val="0"/>
          <w:sz w:val="18"/>
          <w:szCs w:val="18"/>
          <w:lang w:val="en-US" w:eastAsia="zh-CN"/>
        </w:rPr>
        <w:t>D</w:t>
      </w:r>
      <w:r>
        <w:rPr>
          <w:rFonts w:hint="eastAsia" w:ascii="宋体" w:hAnsi="宋体" w:cs="仿宋_GB2312"/>
          <w:color w:val="auto"/>
          <w:kern w:val="0"/>
          <w:sz w:val="18"/>
          <w:szCs w:val="18"/>
        </w:rPr>
        <w:t>】（适用【</w:t>
      </w:r>
      <w:r>
        <w:rPr>
          <w:rFonts w:hint="eastAsia" w:ascii="宋体" w:hAnsi="宋体" w:cs="仿宋_GB2312"/>
          <w:color w:val="auto"/>
          <w:kern w:val="0"/>
          <w:sz w:val="18"/>
          <w:szCs w:val="18"/>
          <w:lang w:val="en-US" w:eastAsia="zh-CN"/>
        </w:rPr>
        <w:t>D</w:t>
      </w:r>
      <w:r>
        <w:rPr>
          <w:rFonts w:hint="eastAsia" w:ascii="宋体" w:hAnsi="宋体" w:cs="仿宋_GB2312"/>
          <w:color w:val="auto"/>
          <w:kern w:val="0"/>
          <w:sz w:val="18"/>
          <w:szCs w:val="18"/>
        </w:rPr>
        <w:t>】类份额）</w:t>
      </w:r>
    </w:p>
    <w:p>
      <w:pPr>
        <w:ind w:firstLine="448" w:firstLineChars="249"/>
        <w:rPr>
          <w:rFonts w:hint="eastAsia" w:ascii="宋体" w:hAnsi="宋体" w:cs="仿宋_GB2312"/>
          <w:color w:val="auto"/>
          <w:kern w:val="0"/>
          <w:sz w:val="18"/>
          <w:szCs w:val="18"/>
        </w:rPr>
      </w:pPr>
      <w:r>
        <w:rPr>
          <w:rFonts w:hint="eastAsia" w:ascii="宋体" w:hAnsi="宋体" w:cs="仿宋_GB2312"/>
          <w:color w:val="auto"/>
          <w:kern w:val="0"/>
          <w:sz w:val="18"/>
          <w:szCs w:val="18"/>
        </w:rPr>
        <w:t>【稳利恒盈封闭2025年</w:t>
      </w:r>
      <w:r>
        <w:rPr>
          <w:rFonts w:hint="eastAsia" w:ascii="宋体" w:hAnsi="宋体" w:cs="仿宋_GB2312"/>
          <w:color w:val="auto"/>
          <w:kern w:val="0"/>
          <w:sz w:val="18"/>
          <w:szCs w:val="18"/>
          <w:lang w:eastAsia="zh-CN"/>
        </w:rPr>
        <w:t>547期</w:t>
      </w:r>
      <w:r>
        <w:rPr>
          <w:rFonts w:hint="eastAsia" w:ascii="宋体" w:hAnsi="宋体" w:cs="仿宋_GB2312"/>
          <w:color w:val="auto"/>
          <w:kern w:val="0"/>
          <w:sz w:val="18"/>
          <w:szCs w:val="18"/>
        </w:rPr>
        <w:t>14M(纯盈颐养款)</w:t>
      </w:r>
      <w:r>
        <w:rPr>
          <w:rFonts w:hint="eastAsia" w:ascii="宋体" w:hAnsi="宋体" w:cs="仿宋_GB2312"/>
          <w:color w:val="auto"/>
          <w:kern w:val="0"/>
          <w:sz w:val="18"/>
          <w:szCs w:val="18"/>
          <w:lang w:val="en-US" w:eastAsia="zh-CN"/>
        </w:rPr>
        <w:t>E</w:t>
      </w:r>
      <w:r>
        <w:rPr>
          <w:rFonts w:hint="eastAsia" w:ascii="宋体" w:hAnsi="宋体" w:cs="仿宋_GB2312"/>
          <w:color w:val="auto"/>
          <w:kern w:val="0"/>
          <w:sz w:val="18"/>
          <w:szCs w:val="18"/>
        </w:rPr>
        <w:t>】（适用【</w:t>
      </w:r>
      <w:r>
        <w:rPr>
          <w:rFonts w:hint="eastAsia" w:ascii="宋体" w:hAnsi="宋体" w:cs="仿宋_GB2312"/>
          <w:color w:val="auto"/>
          <w:kern w:val="0"/>
          <w:sz w:val="18"/>
          <w:szCs w:val="18"/>
          <w:lang w:val="en-US" w:eastAsia="zh-CN"/>
        </w:rPr>
        <w:t>E</w:t>
      </w:r>
      <w:r>
        <w:rPr>
          <w:rFonts w:hint="eastAsia" w:ascii="宋体" w:hAnsi="宋体" w:cs="仿宋_GB2312"/>
          <w:color w:val="auto"/>
          <w:kern w:val="0"/>
          <w:sz w:val="18"/>
          <w:szCs w:val="18"/>
        </w:rPr>
        <w:t>】类份额）</w:t>
      </w:r>
    </w:p>
    <w:p>
      <w:pPr>
        <w:ind w:firstLine="448" w:firstLineChars="249"/>
        <w:rPr>
          <w:rFonts w:hint="eastAsia" w:ascii="宋体" w:hAnsi="宋体" w:cs="仿宋_GB2312"/>
          <w:color w:val="auto"/>
          <w:kern w:val="0"/>
          <w:sz w:val="18"/>
          <w:szCs w:val="18"/>
        </w:rPr>
      </w:pPr>
    </w:p>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color w:val="auto"/>
          <w:kern w:val="0"/>
          <w:sz w:val="18"/>
          <w:szCs w:val="18"/>
          <w:lang w:eastAsia="zh-CN"/>
        </w:rPr>
        <w:t>Z7002025001379</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cs="宋体" w:asciiTheme="majorEastAsia" w:hAnsiTheme="majorEastAsia" w:eastAsiaTheme="majorEastAsia"/>
          <w:bCs/>
          <w:sz w:val="18"/>
          <w:szCs w:val="18"/>
        </w:rPr>
      </w:pPr>
      <w:r>
        <w:rPr>
          <w:rFonts w:hint="eastAsia" w:ascii="宋体" w:hAnsi="宋体" w:cs="仿宋_GB2312"/>
          <w:kern w:val="0"/>
          <w:sz w:val="18"/>
          <w:szCs w:val="18"/>
        </w:rPr>
        <w:t>【</w:t>
      </w:r>
      <w:r>
        <w:rPr>
          <w:rFonts w:hint="eastAsia" w:cs="宋体" w:asciiTheme="majorEastAsia" w:hAnsiTheme="majorEastAsia" w:eastAsiaTheme="majorEastAsia"/>
          <w:bCs/>
          <w:sz w:val="18"/>
          <w:szCs w:val="18"/>
        </w:rPr>
        <w:t>■有固定期限：【</w:t>
      </w:r>
      <w:r>
        <w:rPr>
          <w:rFonts w:hint="eastAsia" w:cs="宋体" w:asciiTheme="majorEastAsia" w:hAnsiTheme="majorEastAsia" w:eastAsiaTheme="majorEastAsia"/>
          <w:bCs/>
          <w:color w:val="auto"/>
          <w:sz w:val="18"/>
          <w:szCs w:val="18"/>
          <w:lang w:val="en-US" w:eastAsia="zh-CN"/>
        </w:rPr>
        <w:t>438</w:t>
      </w:r>
      <w:r>
        <w:rPr>
          <w:rFonts w:hint="eastAsia" w:cs="宋体" w:asciiTheme="majorEastAsia" w:hAnsiTheme="majorEastAsia" w:eastAsiaTheme="majorEastAsia"/>
          <w:bCs/>
          <w:sz w:val="18"/>
          <w:szCs w:val="18"/>
        </w:rPr>
        <w:t>天】</w:t>
      </w:r>
    </w:p>
    <w:p>
      <w:pPr>
        <w:ind w:firstLine="448" w:firstLineChars="249"/>
        <w:rPr>
          <w:rFonts w:ascii="宋体" w:hAnsi="宋体" w:cs="仿宋_GB2312"/>
          <w:kern w:val="0"/>
          <w:sz w:val="18"/>
          <w:szCs w:val="18"/>
        </w:rPr>
      </w:pPr>
      <w:r>
        <w:rPr>
          <w:rFonts w:hint="eastAsia" w:cs="宋体" w:asciiTheme="majorEastAsia" w:hAnsiTheme="majorEastAsia" w:eastAsiaTheme="majorEastAsia"/>
          <w:bCs/>
          <w:sz w:val="18"/>
          <w:szCs w:val="18"/>
        </w:rPr>
        <w:t>□无固定期限</w:t>
      </w:r>
      <w:r>
        <w:rPr>
          <w:rFonts w:hint="eastAsia" w:ascii="宋体" w:hAnsi="宋体" w:cs="仿宋_GB2312"/>
          <w:kern w:val="0"/>
          <w:sz w:val="18"/>
          <w:szCs w:val="18"/>
        </w:rPr>
        <w:t>】</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本理财产品风险评级最终定义为【R</w:t>
      </w:r>
      <w:r>
        <w:rPr>
          <w:rFonts w:ascii="宋体" w:hAnsi="宋体" w:cs="仿宋_GB2312"/>
          <w:kern w:val="0"/>
          <w:sz w:val="18"/>
          <w:szCs w:val="18"/>
        </w:rPr>
        <w:t>2】</w:t>
      </w:r>
      <w:r>
        <w:rPr>
          <w:rFonts w:hint="eastAsia" w:ascii="宋体" w:hAnsi="宋体" w:cs="仿宋_GB2312"/>
          <w:kern w:val="0"/>
          <w:sz w:val="18"/>
          <w:szCs w:val="18"/>
        </w:rPr>
        <w:t>（产品管理人定义的产品风险评级为【R</w:t>
      </w:r>
      <w:r>
        <w:rPr>
          <w:rFonts w:ascii="宋体" w:hAnsi="宋体" w:cs="仿宋_GB2312"/>
          <w:kern w:val="0"/>
          <w:sz w:val="18"/>
          <w:szCs w:val="18"/>
        </w:rPr>
        <w:t>2</w:t>
      </w:r>
      <w:r>
        <w:rPr>
          <w:rFonts w:hint="eastAsia" w:ascii="宋体" w:hAnsi="宋体" w:cs="仿宋_GB2312"/>
          <w:kern w:val="0"/>
          <w:sz w:val="18"/>
          <w:szCs w:val="18"/>
        </w:rPr>
        <w:t>】；代理销售机构定义的产品风险评级为【R</w:t>
      </w:r>
      <w:r>
        <w:rPr>
          <w:rFonts w:ascii="宋体" w:hAnsi="宋体" w:cs="仿宋_GB2312"/>
          <w:kern w:val="0"/>
          <w:sz w:val="18"/>
          <w:szCs w:val="18"/>
        </w:rPr>
        <w:t>2</w:t>
      </w:r>
      <w:r>
        <w:rPr>
          <w:rFonts w:hint="eastAsia" w:ascii="宋体" w:hAnsi="宋体" w:cs="仿宋_GB2312"/>
          <w:kern w:val="0"/>
          <w:sz w:val="18"/>
          <w:szCs w:val="18"/>
        </w:rPr>
        <w:t>】）。</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个人投资者</w:t>
      </w:r>
      <w:r>
        <w:rPr>
          <w:rFonts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color w:val="000000" w:themeColor="text1"/>
          <w:sz w:val="18"/>
          <w:szCs w:val="18"/>
          <w14:textFill>
            <w14:solidFill>
              <w14:schemeClr w14:val="tx1"/>
            </w14:solidFill>
          </w14:textFill>
        </w:rPr>
        <w:t>【□</w:t>
      </w:r>
      <w:r>
        <w:rPr>
          <w:rFonts w:cs="宋体"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C2、</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C3、</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C4、</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C5</w:t>
      </w:r>
      <w:r>
        <w:rPr>
          <w:rFonts w:hint="eastAsia"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C6】</w:t>
      </w:r>
      <w:r>
        <w:rPr>
          <w:rFonts w:hint="eastAsia" w:cs="宋体"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w:t>
      </w:r>
      <w:r>
        <w:rPr>
          <w:rFonts w:cs="宋体"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C2、</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C3、</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C4、</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C5】</w:t>
      </w:r>
      <w:r>
        <w:rPr>
          <w:rFonts w:hint="eastAsia" w:cs="宋体"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kern w:val="2"/>
          <w:sz w:val="18"/>
          <w:szCs w:val="18"/>
          <w:lang w:val="en-US" w:eastAsia="zh-CN" w:bidi="ar-SA"/>
        </w:rPr>
        <w:t>【</w:t>
      </w:r>
      <w:r>
        <w:rPr>
          <w:rFonts w:ascii="宋体" w:hAnsi="宋体" w:eastAsia="宋体" w:cs="宋体"/>
          <w:bCs/>
          <w:kern w:val="2"/>
          <w:sz w:val="18"/>
          <w:szCs w:val="18"/>
          <w:lang w:val="en-US" w:eastAsia="zh-CN" w:bidi="ar-SA"/>
        </w:rPr>
        <w:t>1.</w:t>
      </w:r>
      <w:r>
        <w:rPr>
          <w:rFonts w:hint="eastAsia" w:ascii="宋体" w:hAnsi="宋体" w:eastAsia="宋体" w:cs="宋体"/>
          <w:bCs/>
          <w:kern w:val="2"/>
          <w:sz w:val="18"/>
          <w:szCs w:val="18"/>
          <w:lang w:val="en-US" w:eastAsia="zh-CN" w:bidi="ar-SA"/>
        </w:rPr>
        <w:t>拟投资市场和资产的风险：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w:t>
      </w:r>
      <w:r>
        <w:rPr>
          <w:rFonts w:ascii="宋体" w:hAnsi="宋体" w:eastAsia="宋体" w:cs="宋体"/>
          <w:bCs/>
          <w:kern w:val="2"/>
          <w:sz w:val="18"/>
          <w:szCs w:val="18"/>
          <w:lang w:val="en-US" w:eastAsia="zh-CN" w:bidi="ar-SA"/>
        </w:rPr>
        <w:t>1</w:t>
      </w:r>
      <w:r>
        <w:rPr>
          <w:rFonts w:hint="eastAsia" w:ascii="宋体" w:hAnsi="宋体" w:eastAsia="宋体" w:cs="宋体"/>
          <w:bCs/>
          <w:kern w:val="2"/>
          <w:sz w:val="18"/>
          <w:szCs w:val="18"/>
          <w:lang w:val="en-US" w:eastAsia="zh-CN" w:bidi="ar-SA"/>
        </w:rPr>
        <w:t>）投资债权类资产的风险</w:t>
      </w:r>
    </w:p>
    <w:p>
      <w:pPr>
        <w:widowControl w:val="0"/>
        <w:ind w:firstLine="360" w:firstLineChars="200"/>
        <w:jc w:val="both"/>
        <w:rPr>
          <w:rFonts w:ascii="宋体" w:hAnsi="宋体" w:eastAsia="宋体" w:cs="宋体"/>
          <w:bCs/>
          <w:kern w:val="2"/>
          <w:sz w:val="18"/>
          <w:szCs w:val="18"/>
          <w:lang w:val="en-US" w:eastAsia="zh-CN" w:bidi="ar-SA"/>
        </w:rPr>
      </w:pPr>
      <w:r>
        <w:rPr>
          <w:rFonts w:ascii="宋体" w:hAnsi="宋体" w:eastAsia="宋体" w:cs="宋体"/>
          <w:bCs/>
          <w:kern w:val="2"/>
          <w:sz w:val="18"/>
          <w:szCs w:val="18"/>
          <w:lang w:val="en-US" w:eastAsia="zh-CN" w:bidi="ar-SA"/>
        </w:rPr>
        <w:t>1</w:t>
      </w:r>
      <w:r>
        <w:rPr>
          <w:rFonts w:hint="eastAsia" w:ascii="宋体" w:hAnsi="宋体" w:eastAsia="宋体" w:cs="宋体"/>
          <w:bCs/>
          <w:kern w:val="2"/>
          <w:sz w:val="18"/>
          <w:szCs w:val="18"/>
          <w:lang w:val="en-US" w:eastAsia="zh-CN" w:bidi="ar-SA"/>
        </w:rPr>
        <w:t>）投资标准化债权类资产的风险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widowControl w:val="0"/>
        <w:ind w:firstLine="360" w:firstLineChars="200"/>
        <w:jc w:val="both"/>
        <w:rPr>
          <w:rFonts w:ascii="宋体" w:hAnsi="宋体" w:eastAsia="宋体" w:cs="宋体"/>
          <w:bCs/>
          <w:kern w:val="2"/>
          <w:sz w:val="18"/>
          <w:szCs w:val="18"/>
          <w:lang w:val="en-US" w:eastAsia="zh-CN" w:bidi="ar-SA"/>
        </w:rPr>
      </w:pPr>
      <w:r>
        <w:rPr>
          <w:rFonts w:ascii="宋体" w:hAnsi="宋体" w:eastAsia="宋体" w:cs="宋体"/>
          <w:bCs/>
          <w:kern w:val="2"/>
          <w:sz w:val="18"/>
          <w:szCs w:val="18"/>
          <w:lang w:val="en-US" w:eastAsia="zh-CN" w:bidi="ar-SA"/>
        </w:rPr>
        <w:t>2</w:t>
      </w:r>
      <w:r>
        <w:rPr>
          <w:rFonts w:hint="eastAsia" w:ascii="宋体" w:hAnsi="宋体" w:eastAsia="宋体" w:cs="宋体"/>
          <w:bCs/>
          <w:kern w:val="2"/>
          <w:sz w:val="18"/>
          <w:szCs w:val="18"/>
          <w:lang w:val="en-US" w:eastAsia="zh-CN" w:bidi="ar-SA"/>
        </w:rPr>
        <w:t>）投资非标准化债权类资产的风险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本产品投资非标债权类资产时可能面临以下风险：由于融资主体</w:t>
      </w:r>
      <w:r>
        <w:rPr>
          <w:rFonts w:ascii="宋体" w:hAnsi="宋体" w:eastAsia="宋体" w:cs="宋体"/>
          <w:bCs/>
          <w:kern w:val="2"/>
          <w:sz w:val="18"/>
          <w:szCs w:val="18"/>
          <w:lang w:val="en-US" w:eastAsia="zh-CN" w:bidi="ar-SA"/>
        </w:rPr>
        <w:t>/</w:t>
      </w:r>
      <w:r>
        <w:rPr>
          <w:rFonts w:hint="eastAsia" w:ascii="宋体" w:hAnsi="宋体" w:eastAsia="宋体" w:cs="宋体"/>
          <w:bCs/>
          <w:kern w:val="2"/>
          <w:sz w:val="18"/>
          <w:szCs w:val="18"/>
          <w:lang w:val="en-US" w:eastAsia="zh-CN" w:bidi="ar-SA"/>
        </w:rPr>
        <w:t>增信主体</w:t>
      </w:r>
      <w:r>
        <w:rPr>
          <w:rFonts w:ascii="宋体" w:hAnsi="宋体" w:eastAsia="宋体" w:cs="宋体"/>
          <w:bCs/>
          <w:kern w:val="2"/>
          <w:sz w:val="18"/>
          <w:szCs w:val="18"/>
          <w:lang w:val="en-US" w:eastAsia="zh-CN" w:bidi="ar-SA"/>
        </w:rPr>
        <w:t>/</w:t>
      </w:r>
      <w:r>
        <w:rPr>
          <w:rFonts w:hint="eastAsia" w:ascii="宋体" w:hAnsi="宋体" w:eastAsia="宋体" w:cs="宋体"/>
          <w:bCs/>
          <w:kern w:val="2"/>
          <w:sz w:val="18"/>
          <w:szCs w:val="18"/>
          <w:lang w:val="en-US" w:eastAsia="zh-CN" w:bidi="ar-SA"/>
        </w:rPr>
        <w:t>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w:t>
      </w:r>
      <w:r>
        <w:rPr>
          <w:rFonts w:ascii="宋体" w:hAnsi="宋体" w:eastAsia="宋体" w:cs="宋体"/>
          <w:bCs/>
          <w:kern w:val="2"/>
          <w:sz w:val="18"/>
          <w:szCs w:val="18"/>
          <w:lang w:val="en-US" w:eastAsia="zh-CN" w:bidi="ar-SA"/>
        </w:rPr>
        <w:t>2</w:t>
      </w:r>
      <w:r>
        <w:rPr>
          <w:rFonts w:hint="eastAsia" w:ascii="宋体" w:hAnsi="宋体" w:eastAsia="宋体" w:cs="宋体"/>
          <w:bCs/>
          <w:kern w:val="2"/>
          <w:sz w:val="18"/>
          <w:szCs w:val="18"/>
          <w:lang w:val="en-US" w:eastAsia="zh-CN" w:bidi="ar-SA"/>
        </w:rPr>
        <w:t>）投资权益类资产的风险</w:t>
      </w:r>
      <w:r>
        <w:rPr>
          <w:rFonts w:ascii="宋体" w:hAnsi="宋体" w:eastAsia="宋体" w:cs="宋体"/>
          <w:bCs/>
          <w:kern w:val="2"/>
          <w:sz w:val="18"/>
          <w:szCs w:val="18"/>
          <w:lang w:val="en-US" w:eastAsia="zh-CN" w:bidi="ar-SA"/>
        </w:rPr>
        <w:t xml:space="preserve"> </w:t>
      </w:r>
    </w:p>
    <w:p>
      <w:pPr>
        <w:widowControl w:val="0"/>
        <w:ind w:firstLine="360" w:firstLineChars="200"/>
        <w:jc w:val="both"/>
        <w:rPr>
          <w:rFonts w:ascii="宋体" w:hAnsi="宋体" w:eastAsia="宋体" w:cs="宋体"/>
          <w:bCs/>
          <w:kern w:val="2"/>
          <w:sz w:val="18"/>
          <w:szCs w:val="18"/>
          <w:lang w:val="en-US" w:eastAsia="zh-CN" w:bidi="ar-SA"/>
        </w:rPr>
      </w:pPr>
      <w:r>
        <w:rPr>
          <w:rFonts w:ascii="宋体" w:hAnsi="宋体" w:eastAsia="宋体" w:cs="宋体"/>
          <w:bCs/>
          <w:kern w:val="2"/>
          <w:sz w:val="18"/>
          <w:szCs w:val="18"/>
          <w:lang w:val="en-US" w:eastAsia="zh-CN" w:bidi="ar-SA"/>
        </w:rPr>
        <w:t>1</w:t>
      </w:r>
      <w:r>
        <w:rPr>
          <w:rFonts w:hint="eastAsia" w:ascii="宋体" w:hAnsi="宋体" w:eastAsia="宋体" w:cs="宋体"/>
          <w:bCs/>
          <w:kern w:val="2"/>
          <w:sz w:val="18"/>
          <w:szCs w:val="18"/>
          <w:lang w:val="en-US" w:eastAsia="zh-CN" w:bidi="ar-SA"/>
        </w:rPr>
        <w:t>）投资股票类资产的风险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pPr>
        <w:widowControl w:val="0"/>
        <w:ind w:firstLine="360" w:firstLineChars="200"/>
        <w:jc w:val="both"/>
        <w:rPr>
          <w:rFonts w:ascii="宋体" w:hAnsi="宋体" w:eastAsia="宋体" w:cs="宋体"/>
          <w:bCs/>
          <w:kern w:val="2"/>
          <w:sz w:val="18"/>
          <w:szCs w:val="18"/>
          <w:lang w:val="en-US" w:eastAsia="zh-CN" w:bidi="ar-SA"/>
        </w:rPr>
      </w:pPr>
      <w:r>
        <w:rPr>
          <w:rFonts w:ascii="宋体" w:hAnsi="宋体" w:eastAsia="宋体" w:cs="宋体"/>
          <w:bCs/>
          <w:kern w:val="2"/>
          <w:sz w:val="18"/>
          <w:szCs w:val="18"/>
          <w:lang w:val="en-US" w:eastAsia="zh-CN" w:bidi="ar-SA"/>
        </w:rPr>
        <w:t>2</w:t>
      </w:r>
      <w:r>
        <w:rPr>
          <w:rFonts w:hint="eastAsia" w:ascii="宋体" w:hAnsi="宋体" w:eastAsia="宋体" w:cs="宋体"/>
          <w:bCs/>
          <w:kern w:val="2"/>
          <w:sz w:val="18"/>
          <w:szCs w:val="18"/>
          <w:lang w:val="en-US" w:eastAsia="zh-CN" w:bidi="ar-SA"/>
        </w:rPr>
        <w:t>）投资股权类资产的风险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w:t>
      </w:r>
      <w:r>
        <w:rPr>
          <w:rFonts w:ascii="宋体" w:hAnsi="宋体" w:eastAsia="宋体" w:cs="宋体"/>
          <w:bCs/>
          <w:kern w:val="2"/>
          <w:sz w:val="18"/>
          <w:szCs w:val="18"/>
          <w:lang w:val="en-US" w:eastAsia="zh-CN" w:bidi="ar-SA"/>
        </w:rPr>
        <w:t>3</w:t>
      </w:r>
      <w:r>
        <w:rPr>
          <w:rFonts w:hint="eastAsia" w:ascii="宋体" w:hAnsi="宋体" w:eastAsia="宋体" w:cs="宋体"/>
          <w:bCs/>
          <w:kern w:val="2"/>
          <w:sz w:val="18"/>
          <w:szCs w:val="18"/>
          <w:lang w:val="en-US" w:eastAsia="zh-CN" w:bidi="ar-SA"/>
        </w:rPr>
        <w:t>）投资商品和金融衍生品类资产的风险</w:t>
      </w:r>
      <w:r>
        <w:rPr>
          <w:rFonts w:ascii="宋体" w:hAnsi="宋体" w:eastAsia="宋体" w:cs="宋体"/>
          <w:bCs/>
          <w:kern w:val="2"/>
          <w:sz w:val="18"/>
          <w:szCs w:val="18"/>
          <w:lang w:val="en-US" w:eastAsia="zh-CN" w:bidi="ar-SA"/>
        </w:rPr>
        <w:t xml:space="preserve"> </w:t>
      </w:r>
    </w:p>
    <w:p>
      <w:pPr>
        <w:ind w:firstLine="360" w:firstLineChars="200"/>
        <w:rPr>
          <w:rFonts w:ascii="宋体" w:hAnsi="宋体" w:cs="宋体"/>
          <w:sz w:val="18"/>
          <w:szCs w:val="18"/>
        </w:rPr>
      </w:pPr>
      <w:r>
        <w:rPr>
          <w:rFonts w:hint="eastAsia" w:ascii="宋体" w:hAnsi="宋体" w:cs="宋体"/>
          <w:bCs/>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r>
        <w:rPr>
          <w:rFonts w:hint="eastAsia" w:ascii="宋体" w:hAnsi="宋体" w:cs="宋体"/>
          <w:sz w:val="18"/>
          <w:szCs w:val="18"/>
        </w:rPr>
        <w:t>】</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17.关联交易风险</w:t>
      </w:r>
    </w:p>
    <w:p>
      <w:pPr>
        <w:widowControl w:val="0"/>
        <w:ind w:firstLine="420" w:firstLineChars="0"/>
        <w:jc w:val="both"/>
        <w:rPr>
          <w:rFonts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w:t>
      </w:r>
      <w:r>
        <w:rPr>
          <w:rFonts w:ascii="宋体" w:hAnsi="宋体"/>
          <w:sz w:val="18"/>
          <w:szCs w:val="18"/>
          <w:highlight w:val="yellow"/>
        </w:rPr>
        <w:t>沧州银行股份有限公司</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w:t>
      </w:r>
      <w:r>
        <w:rPr>
          <w:rFonts w:hint="eastAsia" w:asciiTheme="majorEastAsia" w:hAnsiTheme="majorEastAsia" w:eastAsiaTheme="majorEastAsia"/>
          <w:bCs/>
          <w:sz w:val="18"/>
          <w:szCs w:val="18"/>
        </w:rPr>
        <w:t>■</w:t>
      </w:r>
      <w:r>
        <w:rPr>
          <w:rFonts w:hint="eastAsia" w:ascii="宋体" w:hAnsi="宋体"/>
          <w:sz w:val="18"/>
          <w:szCs w:val="18"/>
        </w:rPr>
        <w:t xml:space="preserve">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w:t>
      </w:r>
      <w:r>
        <w:rPr>
          <w:rFonts w:hint="eastAsia" w:ascii="宋体" w:hAnsi="宋体"/>
          <w:sz w:val="18"/>
          <w:szCs w:val="18"/>
          <w:lang w:val="en-US" w:eastAsia="zh-CN"/>
        </w:rPr>
        <w:t>C1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hint="eastAsia" w:ascii="宋体" w:hAnsi="宋体"/>
          <w:sz w:val="18"/>
          <w:szCs w:val="18"/>
          <w:lang w:val="en-US" w:eastAsia="zh-CN"/>
        </w:rPr>
        <w:t>C6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bookmarkStart w:id="222" w:name="_GoBack"/>
      <w:bookmarkEnd w:id="222"/>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outlineLvl w:val="2"/>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Wingdings 2">
    <w:altName w:val="Wingdings"/>
    <w:panose1 w:val="050201020105070707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3A144A"/>
    <w:rsid w:val="2BBE5BA7"/>
    <w:rsid w:val="48D63B7F"/>
    <w:rsid w:val="5A9026E3"/>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46232</Words>
  <Characters>47204</Characters>
  <Lines>0</Lines>
  <Paragraphs>0</Paragraphs>
  <TotalTime>0</TotalTime>
  <ScaleCrop>false</ScaleCrop>
  <LinksUpToDate>false</LinksUpToDate>
  <CharactersWithSpaces>47660</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2025-11-26T08:17:50Z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D69559E474244E78AD6B0F3B6F856F65</vt:lpwstr>
  </property>
</Properties>
</file>