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兴银理财【稳利恒盈封闭式固收类】理财产品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Fonts w:hint="eastAsia" w:ascii="黑体" w:hAnsi="黑体" w:eastAsia="黑体"/>
          <w:b/>
          <w:sz w:val="44"/>
          <w:szCs w:val="44"/>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23112224"/>
      <w:bookmarkStart w:id="2" w:name="_Toc139991726"/>
      <w:bookmarkStart w:id="3" w:name="_Toc123112263"/>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23701384"/>
      <w:bookmarkStart w:id="7" w:name="_Toc139992302"/>
      <w:bookmarkStart w:id="8" w:name="_Toc123112264"/>
      <w:bookmarkStart w:id="9" w:name="_Toc123112225"/>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11</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66"/>
      <w:bookmarkStart w:id="12" w:name="_Toc12370138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w:t>
            </w:r>
            <w:r>
              <w:rPr>
                <w:rFonts w:hint="eastAsia" w:ascii="宋体" w:hAnsi="宋体"/>
                <w:bCs/>
                <w:color w:val="auto"/>
                <w:sz w:val="18"/>
                <w:szCs w:val="18"/>
              </w:rPr>
              <w:t>兴银理财稳利恒盈封闭式2025年</w:t>
            </w:r>
            <w:r>
              <w:rPr>
                <w:rFonts w:hint="eastAsia" w:ascii="宋体" w:hAnsi="宋体"/>
                <w:bCs/>
                <w:color w:val="auto"/>
                <w:sz w:val="18"/>
                <w:szCs w:val="18"/>
                <w:lang w:eastAsia="zh-CN"/>
              </w:rPr>
              <w:t>582期</w:t>
            </w:r>
            <w:r>
              <w:rPr>
                <w:rFonts w:hint="eastAsia" w:ascii="宋体" w:hAnsi="宋体"/>
                <w:bCs/>
                <w:color w:val="auto"/>
                <w:sz w:val="18"/>
                <w:szCs w:val="18"/>
              </w:rPr>
              <w:t>固收类理财产品</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spacing w:line="360" w:lineRule="auto"/>
              <w:jc w:val="left"/>
              <w:rPr>
                <w:rFonts w:hint="eastAsia" w:ascii="宋体" w:hAnsi="宋体"/>
                <w:bCs/>
                <w:color w:val="auto"/>
                <w:sz w:val="18"/>
                <w:szCs w:val="18"/>
              </w:rPr>
            </w:pPr>
            <w:r>
              <w:rPr>
                <w:rFonts w:hint="eastAsia" w:ascii="宋体" w:hAnsi="宋体"/>
                <w:bCs/>
                <w:color w:val="auto"/>
                <w:sz w:val="18"/>
                <w:szCs w:val="18"/>
              </w:rPr>
              <w:t>【</w:t>
            </w:r>
            <w:r>
              <w:rPr>
                <w:rFonts w:hint="eastAsia" w:asciiTheme="majorEastAsia" w:hAnsiTheme="majorEastAsia" w:eastAsiaTheme="majorEastAsia"/>
                <w:bCs/>
                <w:color w:val="auto"/>
                <w:kern w:val="0"/>
                <w:sz w:val="18"/>
                <w:szCs w:val="18"/>
              </w:rPr>
              <w:t>稳利恒盈封闭2025年</w:t>
            </w:r>
            <w:r>
              <w:rPr>
                <w:rFonts w:hint="eastAsia" w:asciiTheme="majorEastAsia" w:hAnsiTheme="majorEastAsia" w:eastAsiaTheme="majorEastAsia"/>
                <w:bCs/>
                <w:color w:val="auto"/>
                <w:kern w:val="0"/>
                <w:sz w:val="18"/>
                <w:szCs w:val="18"/>
                <w:lang w:eastAsia="zh-CN"/>
              </w:rPr>
              <w:t>582期</w:t>
            </w:r>
            <w:r>
              <w:rPr>
                <w:rFonts w:hint="eastAsia" w:asciiTheme="majorEastAsia" w:hAnsiTheme="majorEastAsia" w:eastAsiaTheme="majorEastAsia"/>
                <w:bCs/>
                <w:color w:val="auto"/>
                <w:kern w:val="0"/>
                <w:sz w:val="18"/>
                <w:szCs w:val="18"/>
              </w:rPr>
              <w:t>26M(纯盈颐养款)</w:t>
            </w:r>
            <w:r>
              <w:rPr>
                <w:rFonts w:hint="eastAsia" w:asciiTheme="majorEastAsia" w:hAnsiTheme="majorEastAsia" w:eastAsiaTheme="majorEastAsia"/>
                <w:bCs/>
                <w:color w:val="auto"/>
                <w:kern w:val="0"/>
                <w:sz w:val="18"/>
                <w:szCs w:val="18"/>
                <w:lang w:val="en-US" w:eastAsia="zh-CN"/>
              </w:rPr>
              <w:t>B</w:t>
            </w:r>
            <w:r>
              <w:rPr>
                <w:rFonts w:hint="eastAsia" w:ascii="宋体" w:hAnsi="宋体"/>
                <w:bCs/>
                <w:color w:val="auto"/>
                <w:sz w:val="18"/>
                <w:szCs w:val="18"/>
              </w:rPr>
              <w:t>】（适用【</w:t>
            </w:r>
            <w:r>
              <w:rPr>
                <w:rFonts w:hint="eastAsia" w:ascii="宋体" w:hAnsi="宋体"/>
                <w:bCs/>
                <w:color w:val="auto"/>
                <w:sz w:val="18"/>
                <w:szCs w:val="18"/>
                <w:lang w:val="en-US" w:eastAsia="zh-CN"/>
              </w:rPr>
              <w:t>B</w:t>
            </w:r>
            <w:r>
              <w:rPr>
                <w:rFonts w:hint="eastAsia" w:ascii="宋体" w:hAnsi="宋体"/>
                <w:bCs/>
                <w:color w:val="auto"/>
                <w:sz w:val="18"/>
                <w:szCs w:val="18"/>
              </w:rPr>
              <w:t>】类份额）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w:t>
            </w:r>
            <w:r>
              <w:rPr>
                <w:rFonts w:hint="eastAsia" w:ascii="宋体" w:hAnsi="宋体"/>
                <w:bCs/>
                <w:color w:val="auto"/>
                <w:sz w:val="18"/>
                <w:szCs w:val="18"/>
                <w:lang w:eastAsia="zh-CN"/>
              </w:rPr>
              <w:t>582期</w:t>
            </w:r>
            <w:r>
              <w:rPr>
                <w:rFonts w:hint="eastAsia" w:ascii="宋体" w:hAnsi="宋体"/>
                <w:bCs/>
                <w:color w:val="auto"/>
                <w:sz w:val="18"/>
                <w:szCs w:val="18"/>
              </w:rPr>
              <w:t>26M(纯盈颐养款)</w:t>
            </w:r>
            <w:r>
              <w:rPr>
                <w:rFonts w:hint="eastAsia" w:ascii="宋体" w:hAnsi="宋体"/>
                <w:bCs/>
                <w:color w:val="auto"/>
                <w:sz w:val="18"/>
                <w:szCs w:val="18"/>
                <w:lang w:val="en-US" w:eastAsia="zh-CN"/>
              </w:rPr>
              <w:t>C</w:t>
            </w:r>
            <w:r>
              <w:rPr>
                <w:rFonts w:hint="eastAsia" w:ascii="宋体" w:hAnsi="宋体"/>
                <w:bCs/>
                <w:color w:val="auto"/>
                <w:sz w:val="18"/>
                <w:szCs w:val="18"/>
              </w:rPr>
              <w:t>】（适用【</w:t>
            </w:r>
            <w:r>
              <w:rPr>
                <w:rFonts w:hint="eastAsia" w:ascii="宋体" w:hAnsi="宋体"/>
                <w:bCs/>
                <w:color w:val="auto"/>
                <w:sz w:val="18"/>
                <w:szCs w:val="18"/>
                <w:lang w:val="en-US" w:eastAsia="zh-CN"/>
              </w:rPr>
              <w:t>C</w:t>
            </w:r>
            <w:r>
              <w:rPr>
                <w:rFonts w:hint="eastAsia" w:ascii="宋体" w:hAnsi="宋体"/>
                <w:bCs/>
                <w:color w:val="auto"/>
                <w:sz w:val="18"/>
                <w:szCs w:val="18"/>
              </w:rPr>
              <w:t>】类份额）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w:t>
            </w:r>
            <w:r>
              <w:rPr>
                <w:rFonts w:hint="eastAsia" w:ascii="宋体" w:hAnsi="宋体"/>
                <w:bCs/>
                <w:color w:val="auto"/>
                <w:sz w:val="18"/>
                <w:szCs w:val="18"/>
                <w:lang w:eastAsia="zh-CN"/>
              </w:rPr>
              <w:t>582期</w:t>
            </w:r>
            <w:r>
              <w:rPr>
                <w:rFonts w:hint="eastAsia" w:ascii="宋体" w:hAnsi="宋体"/>
                <w:bCs/>
                <w:color w:val="auto"/>
                <w:sz w:val="18"/>
                <w:szCs w:val="18"/>
              </w:rPr>
              <w:t>26M(纯盈颐养款)</w:t>
            </w:r>
            <w:r>
              <w:rPr>
                <w:rFonts w:hint="eastAsia" w:ascii="宋体" w:hAnsi="宋体"/>
                <w:bCs/>
                <w:color w:val="auto"/>
                <w:sz w:val="18"/>
                <w:szCs w:val="18"/>
                <w:lang w:val="en-US" w:eastAsia="zh-CN"/>
              </w:rPr>
              <w:t>D</w:t>
            </w:r>
            <w:r>
              <w:rPr>
                <w:rFonts w:hint="eastAsia" w:ascii="宋体" w:hAnsi="宋体"/>
                <w:bCs/>
                <w:color w:val="auto"/>
                <w:sz w:val="18"/>
                <w:szCs w:val="18"/>
              </w:rPr>
              <w:t>】（适用【</w:t>
            </w:r>
            <w:r>
              <w:rPr>
                <w:rFonts w:hint="eastAsia" w:ascii="宋体" w:hAnsi="宋体"/>
                <w:bCs/>
                <w:color w:val="auto"/>
                <w:sz w:val="18"/>
                <w:szCs w:val="18"/>
                <w:lang w:val="en-US" w:eastAsia="zh-CN"/>
              </w:rPr>
              <w:t>D</w:t>
            </w:r>
            <w:r>
              <w:rPr>
                <w:rFonts w:hint="eastAsia" w:ascii="宋体" w:hAnsi="宋体"/>
                <w:bCs/>
                <w:color w:val="auto"/>
                <w:sz w:val="18"/>
                <w:szCs w:val="18"/>
              </w:rPr>
              <w:t>】类份额）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【稳利恒盈封闭2025年</w:t>
            </w:r>
            <w:r>
              <w:rPr>
                <w:rFonts w:hint="eastAsia" w:ascii="宋体" w:hAnsi="宋体"/>
                <w:bCs/>
                <w:color w:val="auto"/>
                <w:sz w:val="18"/>
                <w:szCs w:val="18"/>
                <w:lang w:eastAsia="zh-CN"/>
              </w:rPr>
              <w:t>582期</w:t>
            </w:r>
            <w:r>
              <w:rPr>
                <w:rFonts w:hint="eastAsia" w:ascii="宋体" w:hAnsi="宋体"/>
                <w:bCs/>
                <w:color w:val="auto"/>
                <w:sz w:val="18"/>
                <w:szCs w:val="18"/>
              </w:rPr>
              <w:t>26M(纯盈颐养款)</w:t>
            </w:r>
            <w:r>
              <w:rPr>
                <w:rFonts w:hint="eastAsia" w:ascii="宋体" w:hAnsi="宋体"/>
                <w:bCs/>
                <w:color w:val="auto"/>
                <w:sz w:val="18"/>
                <w:szCs w:val="18"/>
                <w:lang w:val="en-US" w:eastAsia="zh-CN"/>
              </w:rPr>
              <w:t>E</w:t>
            </w:r>
            <w:r>
              <w:rPr>
                <w:rFonts w:hint="eastAsia" w:ascii="宋体" w:hAnsi="宋体"/>
                <w:bCs/>
                <w:color w:val="auto"/>
                <w:sz w:val="18"/>
                <w:szCs w:val="18"/>
              </w:rPr>
              <w:t>】（适用【</w:t>
            </w:r>
            <w:r>
              <w:rPr>
                <w:rFonts w:hint="eastAsia" w:ascii="宋体" w:hAnsi="宋体"/>
                <w:bCs/>
                <w:color w:val="auto"/>
                <w:sz w:val="18"/>
                <w:szCs w:val="18"/>
                <w:lang w:val="en-US" w:eastAsia="zh-CN"/>
              </w:rPr>
              <w:t>E</w:t>
            </w:r>
            <w:r>
              <w:rPr>
                <w:rFonts w:hint="eastAsia" w:ascii="宋体" w:hAnsi="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w:t>
            </w:r>
            <w:r>
              <w:rPr>
                <w:rFonts w:hint="eastAsia" w:ascii="宋体" w:hAnsi="宋体"/>
                <w:bCs/>
                <w:color w:val="auto"/>
                <w:sz w:val="18"/>
                <w:szCs w:val="18"/>
                <w:lang w:val="en-US" w:eastAsia="zh-CN"/>
              </w:rPr>
              <w:t>Z7002025001679</w:t>
            </w:r>
            <w:r>
              <w:rPr>
                <w:rFonts w:hint="eastAsia" w:ascii="宋体" w:hAnsi="宋体"/>
                <w:bCs/>
                <w:sz w:val="18"/>
                <w:szCs w:val="18"/>
              </w:rPr>
              <w:t>】注：投资者可依据理财产品登记编码在中国理财网查询产品信息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auto"/>
                <w:sz w:val="18"/>
                <w:szCs w:val="18"/>
              </w:rPr>
              <w:t>【</w:t>
            </w:r>
            <w:r>
              <w:rPr>
                <w:rFonts w:hint="eastAsia" w:ascii="宋体" w:hAnsi="宋体"/>
                <w:bCs/>
                <w:color w:val="auto"/>
                <w:sz w:val="18"/>
                <w:szCs w:val="18"/>
                <w:lang w:eastAsia="zh-CN"/>
              </w:rPr>
              <w:t>9N255820</w:t>
            </w:r>
            <w:r>
              <w:rPr>
                <w:rFonts w:ascii="宋体" w:hAnsi="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hint="eastAsia" w:ascii="宋体" w:hAnsi="宋体"/>
                <w:bCs/>
                <w:color w:val="auto"/>
                <w:sz w:val="18"/>
                <w:szCs w:val="18"/>
                <w:lang w:val="en-US" w:eastAsia="zh-CN"/>
              </w:rPr>
            </w:pPr>
            <w:r>
              <w:rPr>
                <w:rFonts w:hint="eastAsia" w:ascii="宋体" w:hAnsi="宋体"/>
                <w:bCs/>
                <w:color w:val="auto"/>
                <w:sz w:val="18"/>
                <w:szCs w:val="18"/>
                <w:lang w:val="en-US" w:eastAsia="zh-CN"/>
              </w:rPr>
              <w:t>【9N25582B】（适用【B】类份额）</w:t>
            </w:r>
          </w:p>
          <w:p>
            <w:pPr>
              <w:spacing w:line="360" w:lineRule="auto"/>
              <w:jc w:val="left"/>
              <w:rPr>
                <w:rFonts w:hint="eastAsia" w:ascii="宋体" w:hAnsi="宋体"/>
                <w:bCs/>
                <w:color w:val="auto"/>
                <w:sz w:val="18"/>
                <w:szCs w:val="18"/>
                <w:lang w:val="en-US" w:eastAsia="zh-CN"/>
              </w:rPr>
            </w:pPr>
            <w:r>
              <w:rPr>
                <w:rFonts w:hint="eastAsia" w:ascii="宋体" w:hAnsi="宋体"/>
                <w:bCs/>
                <w:color w:val="auto"/>
                <w:sz w:val="18"/>
                <w:szCs w:val="18"/>
                <w:lang w:val="en-US" w:eastAsia="zh-CN"/>
              </w:rPr>
              <w:t>【9N25582C】（适用【C】类份额）</w:t>
            </w:r>
          </w:p>
          <w:p>
            <w:pPr>
              <w:spacing w:line="360" w:lineRule="auto"/>
              <w:jc w:val="left"/>
              <w:rPr>
                <w:rFonts w:hint="eastAsia" w:ascii="宋体" w:hAnsi="宋体"/>
                <w:bCs/>
                <w:color w:val="auto"/>
                <w:sz w:val="18"/>
                <w:szCs w:val="18"/>
                <w:lang w:val="en-US" w:eastAsia="zh-CN"/>
              </w:rPr>
            </w:pPr>
            <w:r>
              <w:rPr>
                <w:rFonts w:hint="eastAsia" w:ascii="宋体" w:hAnsi="宋体"/>
                <w:bCs/>
                <w:color w:val="auto"/>
                <w:sz w:val="18"/>
                <w:szCs w:val="18"/>
                <w:lang w:val="en-US" w:eastAsia="zh-CN"/>
              </w:rPr>
              <w:t>【9N25582D】（适用【D】类份额）</w:t>
            </w:r>
          </w:p>
          <w:p>
            <w:pPr>
              <w:spacing w:line="360" w:lineRule="auto"/>
              <w:jc w:val="left"/>
              <w:rPr>
                <w:rFonts w:hint="eastAsia" w:ascii="宋体" w:hAnsi="宋体"/>
                <w:bCs/>
                <w:color w:val="auto"/>
                <w:sz w:val="18"/>
                <w:szCs w:val="18"/>
                <w:lang w:val="en-US" w:eastAsia="zh-CN"/>
              </w:rPr>
            </w:pPr>
            <w:r>
              <w:rPr>
                <w:rFonts w:hint="eastAsia" w:ascii="宋体" w:hAnsi="宋体"/>
                <w:bCs/>
                <w:color w:val="auto"/>
                <w:sz w:val="18"/>
                <w:szCs w:val="18"/>
                <w:lang w:val="en-US" w:eastAsia="zh-CN"/>
              </w:rPr>
              <w:t>【9N25582E】（适用【E】类份额）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23112229"/>
      <w:bookmarkStart w:id="15" w:name="_Toc141703880"/>
      <w:bookmarkStart w:id="16" w:name="_Toc123701389"/>
      <w:bookmarkStart w:id="17" w:name="_Toc30935"/>
      <w:bookmarkStart w:id="18" w:name="_Toc29629"/>
      <w:bookmarkStart w:id="19" w:name="_Toc139991730"/>
      <w:bookmarkStart w:id="20" w:name="_Toc32639"/>
      <w:bookmarkStart w:id="21" w:name="_Toc4966"/>
      <w:bookmarkStart w:id="22" w:name="_Toc6306"/>
      <w:bookmarkStart w:id="23" w:name="_Toc123112268"/>
      <w:bookmarkStart w:id="24" w:name="_Toc4867"/>
      <w:bookmarkStart w:id="25" w:name="_Toc15517"/>
      <w:bookmarkStart w:id="26" w:name="_Toc26897"/>
      <w:bookmarkStart w:id="27" w:name="_Toc8727"/>
      <w:bookmarkStart w:id="28" w:name="_Toc2338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6617"/>
      <w:bookmarkStart w:id="33" w:name="_Toc3224"/>
      <w:bookmarkStart w:id="34" w:name="_Toc819"/>
      <w:bookmarkStart w:id="35" w:name="_Toc21301"/>
      <w:bookmarkStart w:id="36" w:name="_Toc22864"/>
      <w:bookmarkStart w:id="37" w:name="_Toc24860"/>
      <w:bookmarkStart w:id="38" w:name="_Toc13020"/>
      <w:bookmarkStart w:id="39" w:name="_Toc258829399"/>
      <w:bookmarkStart w:id="40" w:name="_Toc15067"/>
      <w:bookmarkStart w:id="41" w:name="_Toc2465"/>
      <w:bookmarkStart w:id="42" w:name="_Toc19592"/>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0318"/>
      <w:bookmarkStart w:id="48" w:name="_Toc6149"/>
      <w:bookmarkStart w:id="49" w:name="_Toc22708"/>
      <w:bookmarkStart w:id="50" w:name="_Toc13288"/>
      <w:bookmarkStart w:id="51" w:name="_Toc24571"/>
      <w:bookmarkStart w:id="52" w:name="_Toc6683"/>
      <w:bookmarkStart w:id="53" w:name="_Toc18631"/>
      <w:bookmarkStart w:id="54" w:name="_Toc74065740"/>
      <w:bookmarkStart w:id="55" w:name="_Toc20627"/>
      <w:bookmarkStart w:id="56" w:name="_Toc733"/>
      <w:bookmarkStart w:id="57" w:name="_Toc545"/>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兴银理财【稳利恒盈封闭式固收类】理财产品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11</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）。兴业银行成立于</w:t>
      </w:r>
      <w:r>
        <w:rPr>
          <w:rFonts w:ascii="宋体" w:hAnsi="宋体" w:eastAsia="宋体" w:cs="宋体"/>
          <w:bCs/>
          <w:color w:val="auto"/>
          <w:sz w:val="18"/>
          <w:szCs w:val="18"/>
          <w:lang w:val="en-US" w:eastAsia="zh-CN" w:bidi="ar-SA"/>
        </w:rPr>
        <w:t>1988年，于2005年开展资产托管业务，具备理财产品托管资格。</w:t>
      </w:r>
      <w:r>
        <w:rPr>
          <w:rFonts w:hint="eastAsia" w:ascii="宋体" w:hAnsi="宋体" w:eastAsia="宋体" w:cs="宋体"/>
          <w:bCs/>
          <w:color w:val="auto"/>
          <w:sz w:val="18"/>
          <w:szCs w:val="18"/>
          <w:lang w:val="en-US" w:eastAsia="zh-CN" w:bidi="ar-SA"/>
        </w:rPr>
        <w:t>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spacing w:line="360" w:lineRule="auto"/>
              <w:jc w:val="left"/>
              <w:rPr>
                <w:rFonts w:ascii="宋体" w:hAnsi="宋体" w:eastAsia="宋体" w:cs="宋体"/>
                <w:bCs/>
                <w:color w:val="auto"/>
                <w:kern w:val="2"/>
                <w:sz w:val="18"/>
                <w:szCs w:val="18"/>
                <w:lang w:val="en-US" w:eastAsia="zh-CN" w:bidi="ar-SA"/>
              </w:rPr>
            </w:pPr>
            <w:r>
              <w:rPr>
                <w:rFonts w:hint="eastAsia" w:ascii="宋体" w:hAnsi="宋体" w:cs="宋体"/>
                <w:bCs/>
                <w:sz w:val="18"/>
                <w:szCs w:val="18"/>
              </w:rPr>
              <w:t>【</w:t>
            </w:r>
            <w:r>
              <w:rPr>
                <w:rFonts w:hint="eastAsia" w:ascii="宋体" w:hAnsi="宋体" w:cs="宋体"/>
                <w:bCs/>
                <w:color w:val="auto"/>
                <w:sz w:val="18"/>
                <w:szCs w:val="18"/>
              </w:rPr>
              <w:t>兴银理财稳利恒盈封闭式2025年</w:t>
            </w:r>
            <w:r>
              <w:rPr>
                <w:rFonts w:hint="eastAsia" w:ascii="宋体" w:hAnsi="宋体" w:cs="宋体"/>
                <w:bCs/>
                <w:color w:val="auto"/>
                <w:sz w:val="18"/>
                <w:szCs w:val="18"/>
                <w:lang w:eastAsia="zh-CN"/>
              </w:rPr>
              <w:t>582期</w:t>
            </w:r>
            <w:r>
              <w:rPr>
                <w:rFonts w:hint="eastAsia" w:ascii="宋体" w:hAnsi="宋体" w:cs="宋体"/>
                <w:bCs/>
                <w:color w:val="auto"/>
                <w:sz w:val="18"/>
                <w:szCs w:val="18"/>
              </w:rPr>
              <w:t>固收类理财产品</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center"/>
          </w:tcPr>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eastAsia="宋体" w:cs="宋体"/>
                <w:bCs/>
                <w:color w:val="auto"/>
                <w:kern w:val="0"/>
                <w:sz w:val="18"/>
                <w:szCs w:val="18"/>
              </w:rPr>
              <w:t>稳利恒盈封闭2025年</w:t>
            </w:r>
            <w:r>
              <w:rPr>
                <w:rFonts w:hint="eastAsia" w:ascii="宋体" w:hAnsi="宋体" w:eastAsia="宋体" w:cs="宋体"/>
                <w:bCs/>
                <w:color w:val="auto"/>
                <w:kern w:val="0"/>
                <w:sz w:val="18"/>
                <w:szCs w:val="18"/>
                <w:lang w:eastAsia="zh-CN"/>
              </w:rPr>
              <w:t>582期</w:t>
            </w:r>
            <w:r>
              <w:rPr>
                <w:rFonts w:hint="eastAsia" w:ascii="宋体" w:hAnsi="宋体" w:eastAsia="宋体" w:cs="宋体"/>
                <w:bCs/>
                <w:color w:val="auto"/>
                <w:kern w:val="0"/>
                <w:sz w:val="18"/>
                <w:szCs w:val="18"/>
              </w:rPr>
              <w:t>26M(纯盈颐养款)</w:t>
            </w:r>
            <w:r>
              <w:rPr>
                <w:rFonts w:hint="eastAsia" w:ascii="宋体" w:hAnsi="宋体" w:eastAsia="宋体" w:cs="宋体"/>
                <w:bCs/>
                <w:color w:val="auto"/>
                <w:kern w:val="0"/>
                <w:sz w:val="18"/>
                <w:szCs w:val="18"/>
                <w:lang w:val="en-US" w:eastAsia="zh-CN"/>
              </w:rPr>
              <w:t>B</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B</w:t>
            </w:r>
            <w:r>
              <w:rPr>
                <w:rFonts w:hint="eastAsia" w:ascii="宋体" w:hAnsi="宋体" w:cs="宋体"/>
                <w:bCs/>
                <w:color w:val="auto"/>
                <w:sz w:val="18"/>
                <w:szCs w:val="18"/>
              </w:rPr>
              <w:t>】类份额）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w:t>
            </w:r>
            <w:r>
              <w:rPr>
                <w:rFonts w:hint="eastAsia" w:ascii="宋体" w:hAnsi="宋体" w:cs="宋体"/>
                <w:bCs/>
                <w:color w:val="auto"/>
                <w:sz w:val="18"/>
                <w:szCs w:val="18"/>
                <w:lang w:eastAsia="zh-CN"/>
              </w:rPr>
              <w:t>582期</w:t>
            </w:r>
            <w:r>
              <w:rPr>
                <w:rFonts w:hint="eastAsia" w:ascii="宋体" w:hAnsi="宋体" w:cs="宋体"/>
                <w:bCs/>
                <w:color w:val="auto"/>
                <w:sz w:val="18"/>
                <w:szCs w:val="18"/>
              </w:rPr>
              <w:t>26M(纯盈颐养款)</w:t>
            </w:r>
            <w:r>
              <w:rPr>
                <w:rFonts w:hint="eastAsia" w:ascii="宋体" w:hAnsi="宋体" w:cs="宋体"/>
                <w:bCs/>
                <w:color w:val="auto"/>
                <w:sz w:val="18"/>
                <w:szCs w:val="18"/>
                <w:lang w:val="en-US" w:eastAsia="zh-CN"/>
              </w:rPr>
              <w:t>C</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【稳利恒盈封闭2025年</w:t>
            </w:r>
            <w:r>
              <w:rPr>
                <w:rFonts w:hint="eastAsia" w:ascii="宋体" w:hAnsi="宋体" w:cs="宋体"/>
                <w:bCs/>
                <w:color w:val="auto"/>
                <w:sz w:val="18"/>
                <w:szCs w:val="18"/>
                <w:lang w:eastAsia="zh-CN"/>
              </w:rPr>
              <w:t>582期</w:t>
            </w:r>
            <w:r>
              <w:rPr>
                <w:rFonts w:hint="eastAsia" w:ascii="宋体" w:hAnsi="宋体" w:cs="宋体"/>
                <w:bCs/>
                <w:color w:val="auto"/>
                <w:sz w:val="18"/>
                <w:szCs w:val="18"/>
              </w:rPr>
              <w:t>26M(纯盈颐养款)</w:t>
            </w:r>
            <w:r>
              <w:rPr>
                <w:rFonts w:hint="eastAsia" w:ascii="宋体" w:hAnsi="宋体" w:cs="宋体"/>
                <w:bCs/>
                <w:color w:val="auto"/>
                <w:sz w:val="18"/>
                <w:szCs w:val="18"/>
                <w:lang w:val="en-US" w:eastAsia="zh-CN"/>
              </w:rPr>
              <w:t>D</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D</w:t>
            </w:r>
            <w:r>
              <w:rPr>
                <w:rFonts w:hint="eastAsia" w:ascii="宋体" w:hAnsi="宋体" w:cs="宋体"/>
                <w:bCs/>
                <w:color w:val="auto"/>
                <w:sz w:val="18"/>
                <w:szCs w:val="18"/>
              </w:rPr>
              <w:t>】类份额）</w:t>
            </w:r>
          </w:p>
          <w:p>
            <w:pPr>
              <w:spacing w:line="360" w:lineRule="auto"/>
              <w:jc w:val="left"/>
              <w:rPr>
                <w:rFonts w:hint="eastAsia" w:ascii="宋体" w:hAnsi="宋体" w:cs="宋体"/>
                <w:bCs/>
                <w:color w:val="auto"/>
                <w:sz w:val="18"/>
                <w:szCs w:val="18"/>
                <w:lang w:val="en-US" w:eastAsia="zh-CN"/>
              </w:rPr>
            </w:pPr>
            <w:r>
              <w:rPr>
                <w:rFonts w:hint="eastAsia" w:ascii="宋体" w:hAnsi="宋体" w:cs="宋体"/>
                <w:bCs/>
                <w:color w:val="auto"/>
                <w:sz w:val="18"/>
                <w:szCs w:val="18"/>
              </w:rPr>
              <w:t>【稳利恒盈封闭2025年</w:t>
            </w:r>
            <w:r>
              <w:rPr>
                <w:rFonts w:hint="eastAsia" w:ascii="宋体" w:hAnsi="宋体" w:cs="宋体"/>
                <w:bCs/>
                <w:color w:val="auto"/>
                <w:sz w:val="18"/>
                <w:szCs w:val="18"/>
                <w:lang w:eastAsia="zh-CN"/>
              </w:rPr>
              <w:t>582期</w:t>
            </w:r>
            <w:r>
              <w:rPr>
                <w:rFonts w:hint="eastAsia" w:ascii="宋体" w:hAnsi="宋体" w:cs="宋体"/>
                <w:bCs/>
                <w:color w:val="auto"/>
                <w:sz w:val="18"/>
                <w:szCs w:val="18"/>
              </w:rPr>
              <w:t>26M(纯盈颐养款)</w:t>
            </w:r>
            <w:r>
              <w:rPr>
                <w:rFonts w:hint="eastAsia" w:ascii="宋体" w:hAnsi="宋体" w:cs="宋体"/>
                <w:bCs/>
                <w:color w:val="auto"/>
                <w:sz w:val="18"/>
                <w:szCs w:val="18"/>
                <w:lang w:val="en-US" w:eastAsia="zh-CN"/>
              </w:rPr>
              <w:t>E</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E</w:t>
            </w:r>
            <w:r>
              <w:rPr>
                <w:rFonts w:hint="eastAsia" w:ascii="宋体" w:hAnsi="宋体" w:cs="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spacing w:line="360" w:lineRule="auto"/>
              <w:jc w:val="left"/>
              <w:rPr>
                <w:rFonts w:ascii="宋体" w:hAnsi="宋体" w:cs="宋体"/>
                <w:b/>
                <w:sz w:val="18"/>
                <w:szCs w:val="18"/>
              </w:rPr>
            </w:pPr>
            <w:r>
              <w:rPr>
                <w:rFonts w:hint="eastAsia" w:ascii="宋体" w:hAnsi="宋体" w:cs="宋体"/>
                <w:sz w:val="18"/>
                <w:szCs w:val="18"/>
              </w:rPr>
              <w:t>【</w:t>
            </w:r>
            <w:r>
              <w:rPr>
                <w:rFonts w:hint="eastAsia" w:ascii="宋体" w:hAnsi="宋体" w:cs="宋体"/>
                <w:sz w:val="18"/>
                <w:szCs w:val="18"/>
                <w:lang w:eastAsia="zh-CN"/>
              </w:rPr>
              <w:t>Z7002025001679</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sz w:val="18"/>
                <w:szCs w:val="18"/>
              </w:rPr>
            </w:pPr>
            <w:r>
              <w:rPr>
                <w:rFonts w:ascii="宋体" w:hAnsi="宋体" w:cs="宋体"/>
                <w:bCs/>
                <w:color w:val="auto"/>
                <w:sz w:val="18"/>
                <w:szCs w:val="18"/>
              </w:rPr>
              <w:t>【</w:t>
            </w:r>
            <w:r>
              <w:rPr>
                <w:rFonts w:hint="eastAsia" w:ascii="宋体" w:hAnsi="宋体" w:cs="宋体"/>
                <w:bCs/>
                <w:color w:val="auto"/>
                <w:sz w:val="18"/>
                <w:szCs w:val="18"/>
                <w:lang w:eastAsia="zh-CN"/>
              </w:rPr>
              <w:t>9N255820</w:t>
            </w:r>
            <w:r>
              <w:rPr>
                <w:rFonts w:ascii="宋体" w:hAnsi="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center"/>
          </w:tcPr>
          <w:p>
            <w:pPr>
              <w:spacing w:line="360" w:lineRule="auto"/>
              <w:jc w:val="left"/>
              <w:rPr>
                <w:rFonts w:hint="eastAsia" w:ascii="宋体" w:hAnsi="宋体" w:cs="宋体"/>
                <w:bCs/>
                <w:color w:val="auto"/>
                <w:sz w:val="18"/>
                <w:szCs w:val="18"/>
                <w:lang w:val="en-US" w:eastAsia="zh-CN"/>
              </w:rPr>
            </w:pPr>
            <w:r>
              <w:rPr>
                <w:rFonts w:hint="eastAsia" w:ascii="宋体" w:hAnsi="宋体" w:cs="宋体"/>
                <w:bCs/>
                <w:color w:val="auto"/>
                <w:sz w:val="18"/>
                <w:szCs w:val="18"/>
                <w:lang w:val="en-US" w:eastAsia="zh-CN"/>
              </w:rPr>
              <w:t>【9N25582B】（适用【B】类份额）</w:t>
            </w:r>
          </w:p>
          <w:p>
            <w:pPr>
              <w:spacing w:line="360" w:lineRule="auto"/>
              <w:jc w:val="left"/>
              <w:rPr>
                <w:rFonts w:hint="eastAsia" w:ascii="宋体" w:hAnsi="宋体" w:cs="宋体"/>
                <w:bCs/>
                <w:color w:val="auto"/>
                <w:sz w:val="18"/>
                <w:szCs w:val="18"/>
                <w:lang w:val="en-US" w:eastAsia="zh-CN"/>
              </w:rPr>
            </w:pPr>
            <w:r>
              <w:rPr>
                <w:rFonts w:hint="eastAsia" w:ascii="宋体" w:hAnsi="宋体" w:cs="宋体"/>
                <w:bCs/>
                <w:color w:val="auto"/>
                <w:sz w:val="18"/>
                <w:szCs w:val="18"/>
                <w:lang w:val="en-US" w:eastAsia="zh-CN"/>
              </w:rPr>
              <w:t>【9N25582C】（适用【C】类份额）</w:t>
            </w:r>
          </w:p>
          <w:p>
            <w:pPr>
              <w:spacing w:line="360" w:lineRule="auto"/>
              <w:jc w:val="left"/>
              <w:rPr>
                <w:rFonts w:hint="eastAsia" w:ascii="宋体" w:hAnsi="宋体" w:cs="宋体"/>
                <w:bCs/>
                <w:color w:val="auto"/>
                <w:sz w:val="18"/>
                <w:szCs w:val="18"/>
                <w:lang w:val="en-US" w:eastAsia="zh-CN"/>
              </w:rPr>
            </w:pPr>
            <w:r>
              <w:rPr>
                <w:rFonts w:hint="eastAsia" w:ascii="宋体" w:hAnsi="宋体" w:cs="宋体"/>
                <w:bCs/>
                <w:color w:val="auto"/>
                <w:sz w:val="18"/>
                <w:szCs w:val="18"/>
                <w:lang w:val="en-US" w:eastAsia="zh-CN"/>
              </w:rPr>
              <w:t>【9N25582D】（适用【D】类份额）</w:t>
            </w:r>
          </w:p>
          <w:p>
            <w:pPr>
              <w:spacing w:line="360" w:lineRule="auto"/>
              <w:jc w:val="left"/>
              <w:rPr>
                <w:rFonts w:hint="eastAsia" w:ascii="宋体" w:hAnsi="宋体" w:cs="宋体"/>
                <w:bCs/>
                <w:color w:val="auto"/>
                <w:sz w:val="18"/>
                <w:szCs w:val="18"/>
                <w:lang w:val="en-US" w:eastAsia="zh-CN"/>
              </w:rPr>
            </w:pPr>
            <w:r>
              <w:rPr>
                <w:rFonts w:hint="eastAsia" w:ascii="宋体" w:hAnsi="宋体" w:cs="宋体"/>
                <w:bCs/>
                <w:color w:val="auto"/>
                <w:sz w:val="18"/>
                <w:szCs w:val="18"/>
                <w:lang w:val="en-US" w:eastAsia="zh-CN"/>
              </w:rPr>
              <w:t>【9N25582E】（适用【E】类份额）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pPr>
              <w:spacing w:line="360" w:lineRule="auto"/>
              <w:rPr>
                <w:rFonts w:ascii="宋体" w:hAnsi="宋体" w:eastAsia="宋体" w:cs="宋体"/>
                <w:bCs/>
                <w:color w:val="000000"/>
                <w:sz w:val="18"/>
                <w:szCs w:val="18"/>
              </w:rPr>
            </w:pP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4</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rPr>
              <w:t>■有固定期限：【</w:t>
            </w:r>
            <w:r>
              <w:rPr>
                <w:rFonts w:hint="eastAsia" w:ascii="宋体" w:hAnsi="宋体" w:eastAsia="宋体" w:cs="宋体"/>
                <w:bCs/>
                <w:sz w:val="18"/>
                <w:szCs w:val="18"/>
                <w:lang w:val="en-US" w:eastAsia="zh-CN"/>
              </w:rPr>
              <w:t>796天</w:t>
            </w:r>
            <w:r>
              <w:rPr>
                <w:rFonts w:hint="eastAsia" w:ascii="宋体" w:hAnsi="宋体" w:eastAsia="宋体" w:cs="宋体"/>
                <w:bCs/>
                <w:sz w:val="18"/>
                <w:szCs w:val="18"/>
              </w:rPr>
              <w:t>】</w:t>
            </w:r>
          </w:p>
          <w:p>
            <w:pPr>
              <w:spacing w:line="360" w:lineRule="auto"/>
              <w:rPr>
                <w:rFonts w:ascii="宋体" w:hAnsi="宋体" w:eastAsia="宋体" w:cs="宋体"/>
                <w:bCs/>
                <w:sz w:val="18"/>
                <w:szCs w:val="18"/>
              </w:rPr>
            </w:pPr>
            <w:r>
              <w:rPr>
                <w:rFonts w:hint="eastAsia" w:ascii="宋体" w:hAnsi="宋体" w:eastAsia="宋体" w:cs="宋体"/>
                <w:bCs/>
                <w:sz w:val="18"/>
                <w:szCs w:val="18"/>
              </w:rPr>
              <w:t>□无固定期限</w:t>
            </w:r>
          </w:p>
          <w:p>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337"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spacing w:line="360" w:lineRule="auto"/>
              <w:rPr>
                <w:rFonts w:hint="eastAsia" w:ascii="宋体" w:hAnsi="宋体" w:cs="Times New Roman"/>
                <w:color w:val="auto"/>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5</w:t>
            </w:r>
            <w:r>
              <w:rPr>
                <w:rFonts w:ascii="宋体" w:hAnsi="宋体" w:cs="Times New Roman"/>
                <w:color w:val="auto"/>
                <w:sz w:val="18"/>
                <w:szCs w:val="18"/>
              </w:rPr>
              <w:t>】年【</w:t>
            </w:r>
            <w:r>
              <w:rPr>
                <w:rFonts w:hint="eastAsia" w:ascii="宋体" w:hAnsi="宋体" w:cs="Times New Roman"/>
                <w:color w:val="auto"/>
                <w:sz w:val="18"/>
                <w:szCs w:val="18"/>
                <w:lang w:val="en-US" w:eastAsia="zh-CN"/>
              </w:rPr>
              <w:t>11</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26</w:t>
            </w:r>
            <w:r>
              <w:rPr>
                <w:rFonts w:hint="eastAsia" w:ascii="宋体" w:hAnsi="宋体" w:cs="Times New Roman"/>
                <w:color w:val="auto"/>
                <w:sz w:val="18"/>
                <w:szCs w:val="18"/>
              </w:rPr>
              <w:t>】日【9:00】至【202</w:t>
            </w:r>
            <w:r>
              <w:rPr>
                <w:rFonts w:hint="eastAsia" w:ascii="宋体" w:hAnsi="宋体" w:cs="Times New Roman"/>
                <w:color w:val="auto"/>
                <w:sz w:val="18"/>
                <w:szCs w:val="18"/>
                <w:lang w:val="en-US" w:eastAsia="zh-CN"/>
              </w:rPr>
              <w:t>5</w:t>
            </w:r>
            <w:r>
              <w:rPr>
                <w:rFonts w:hint="eastAsia" w:ascii="宋体" w:hAnsi="宋体" w:cs="Times New Roman"/>
                <w:color w:val="auto"/>
                <w:sz w:val="18"/>
                <w:szCs w:val="18"/>
              </w:rPr>
              <w:t>】年【</w:t>
            </w:r>
            <w:r>
              <w:rPr>
                <w:rFonts w:hint="eastAsia" w:ascii="宋体" w:hAnsi="宋体" w:cs="Times New Roman"/>
                <w:color w:val="auto"/>
                <w:sz w:val="18"/>
                <w:szCs w:val="18"/>
                <w:lang w:val="en-US" w:eastAsia="zh-CN"/>
              </w:rPr>
              <w:t>12</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10</w:t>
            </w:r>
            <w:r>
              <w:rPr>
                <w:rFonts w:hint="eastAsia" w:ascii="宋体" w:hAnsi="宋体" w:cs="Times New Roman"/>
                <w:color w:val="auto"/>
                <w:sz w:val="18"/>
                <w:szCs w:val="18"/>
              </w:rPr>
              <w:t>】日【17:00】。</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.认购期/募集期内资金产生的利息不计入认购资金</w:t>
            </w:r>
            <w:r>
              <w:rPr>
                <w:rFonts w:hint="eastAsia" w:ascii="宋体" w:hAnsi="宋体" w:cs="宋体"/>
                <w:sz w:val="18"/>
                <w:szCs w:val="22"/>
              </w:rPr>
              <w:t>。</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5</w:t>
            </w:r>
            <w:r>
              <w:rPr>
                <w:rFonts w:hint="eastAsia" w:ascii="宋体" w:hAnsi="宋体" w:cs="Times New Roman"/>
                <w:color w:val="auto"/>
                <w:sz w:val="18"/>
                <w:szCs w:val="18"/>
              </w:rPr>
              <w:t>】年【</w:t>
            </w:r>
            <w:r>
              <w:rPr>
                <w:rFonts w:hint="eastAsia" w:ascii="宋体" w:hAnsi="宋体" w:cs="Times New Roman"/>
                <w:color w:val="auto"/>
                <w:sz w:val="18"/>
                <w:szCs w:val="18"/>
                <w:lang w:val="en-US" w:eastAsia="zh-CN"/>
              </w:rPr>
              <w:t>12</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11</w:t>
            </w:r>
            <w:r>
              <w:rPr>
                <w:rFonts w:hint="eastAsia" w:ascii="宋体" w:hAnsi="宋体" w:cs="Times New Roman"/>
                <w:color w:val="auto"/>
                <w:sz w:val="18"/>
                <w:szCs w:val="18"/>
              </w:rPr>
              <w:t>】日</w:t>
            </w:r>
            <w:r>
              <w:rPr>
                <w:rFonts w:hint="eastAsia" w:ascii="宋体" w:hAnsi="宋体" w:cs="Times New Roman"/>
                <w:sz w:val="18"/>
                <w:szCs w:val="18"/>
              </w:rPr>
              <w:t>（遇节假日顺延）</w:t>
            </w:r>
            <w:r>
              <w:rPr>
                <w:rFonts w:hint="eastAsia" w:ascii="宋体" w:hAnsi="宋体" w:cs="宋体"/>
                <w:bCs/>
                <w:sz w:val="18"/>
                <w:szCs w:val="18"/>
              </w:rPr>
              <w:t>。</w:t>
            </w:r>
          </w:p>
          <w:p>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widowControl/>
              <w:suppressLineNumbers w:val="0"/>
              <w:jc w:val="left"/>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color w:val="auto"/>
                <w:sz w:val="18"/>
                <w:szCs w:val="18"/>
              </w:rPr>
              <w:t>【</w:t>
            </w:r>
            <w:r>
              <w:rPr>
                <w:rFonts w:hint="eastAsia" w:ascii="宋体" w:hAnsi="宋体" w:cs="Times New Roman"/>
                <w:color w:val="auto"/>
                <w:sz w:val="18"/>
                <w:szCs w:val="18"/>
                <w:lang w:val="en-US" w:eastAsia="zh-CN"/>
              </w:rPr>
              <w:t>2028</w:t>
            </w:r>
            <w:r>
              <w:rPr>
                <w:rFonts w:hint="eastAsia" w:ascii="宋体" w:hAnsi="宋体" w:cs="Times New Roman"/>
                <w:color w:val="auto"/>
                <w:sz w:val="18"/>
                <w:szCs w:val="18"/>
              </w:rPr>
              <w:t>】年【</w:t>
            </w:r>
            <w:r>
              <w:rPr>
                <w:rFonts w:hint="eastAsia" w:ascii="宋体" w:hAnsi="宋体" w:cs="Times New Roman"/>
                <w:color w:val="auto"/>
                <w:sz w:val="18"/>
                <w:szCs w:val="18"/>
                <w:lang w:val="en-US" w:eastAsia="zh-CN"/>
              </w:rPr>
              <w:t>02</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15</w:t>
            </w:r>
            <w:r>
              <w:rPr>
                <w:rFonts w:hint="eastAsia" w:ascii="宋体" w:hAnsi="宋体" w:cs="Times New Roman"/>
                <w:color w:val="auto"/>
                <w:sz w:val="18"/>
                <w:szCs w:val="18"/>
              </w:rPr>
              <w:t>】日</w:t>
            </w:r>
            <w:r>
              <w:rPr>
                <w:rFonts w:hint="eastAsia" w:ascii="宋体" w:hAnsi="宋体" w:cs="Times New Roman"/>
                <w:sz w:val="18"/>
                <w:szCs w:val="18"/>
              </w:rPr>
              <w:t>（遇节假日顺延）</w:t>
            </w:r>
            <w:r>
              <w:rPr>
                <w:rFonts w:hint="eastAsia" w:ascii="宋体" w:hAnsi="宋体" w:cs="宋体"/>
                <w:bCs/>
                <w:sz w:val="18"/>
                <w:szCs w:val="18"/>
              </w:rPr>
              <w:t>。</w:t>
            </w:r>
          </w:p>
          <w:p>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sz w:val="18"/>
                <w:szCs w:val="18"/>
              </w:rPr>
              <w:t>每笔</w:t>
            </w:r>
            <w:r>
              <w:rPr>
                <w:rFonts w:hint="eastAsia" w:ascii="宋体" w:hAnsi="宋体" w:eastAsia="宋体" w:cs="宋体"/>
                <w:bCs/>
                <w:sz w:val="18"/>
                <w:szCs w:val="18"/>
              </w:rPr>
              <w:t>购买起点金额为【1.00】元；超出起点金额的部分以【0.01】元的整数倍递增。</w:t>
            </w:r>
            <w:r>
              <w:rPr>
                <w:rFonts w:hint="eastAsia" w:ascii="宋体" w:hAnsi="宋体" w:eastAsia="宋体" w:cs="宋体"/>
                <w:bCs/>
                <w:color w:val="000000"/>
                <w:sz w:val="18"/>
                <w:szCs w:val="18"/>
              </w:rPr>
              <w:t>（适用【</w:t>
            </w:r>
            <w:r>
              <w:rPr>
                <w:rFonts w:hint="eastAsia" w:ascii="宋体" w:hAnsi="宋体" w:eastAsia="宋体" w:cs="宋体"/>
                <w:bCs/>
                <w:color w:val="000000"/>
                <w:sz w:val="18"/>
                <w:szCs w:val="18"/>
                <w:lang w:val="en-US" w:eastAsia="zh-CN"/>
              </w:rPr>
              <w:t>B/C/D/E</w:t>
            </w:r>
            <w:r>
              <w:rPr>
                <w:rFonts w:hint="eastAsia" w:ascii="宋体" w:hAnsi="宋体" w:eastAsia="宋体" w:cs="宋体"/>
                <w:bCs/>
                <w:color w:val="000000"/>
                <w:sz w:val="18"/>
                <w:szCs w:val="18"/>
              </w:rPr>
              <w:t>】类份额）</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（适用【/】类</w:t>
            </w:r>
            <w:r>
              <w:rPr>
                <w:rFonts w:ascii="宋体" w:hAnsi="宋体" w:eastAsia="宋体" w:cs="宋体"/>
                <w:bCs/>
                <w:color w:val="000000"/>
                <w:sz w:val="18"/>
                <w:szCs w:val="18"/>
                <w:lang w:val="en-US" w:eastAsia="zh-CN" w:bidi="ar-SA"/>
              </w:rPr>
              <w:t>份额</w:t>
            </w:r>
            <w:r>
              <w:rPr>
                <w:rFonts w:hint="eastAsia" w:ascii="宋体" w:hAnsi="宋体" w:eastAsia="宋体" w:cs="宋体"/>
                <w:bCs/>
                <w:color w:val="000000"/>
                <w:sz w:val="18"/>
                <w:szCs w:val="18"/>
                <w:lang w:val="en-US" w:eastAsia="zh-CN" w:bidi="ar-SA"/>
              </w:rPr>
              <w:t>）</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sz w:val="18"/>
                <w:szCs w:val="18"/>
              </w:rPr>
            </w:pPr>
            <w:r>
              <w:rPr>
                <w:rFonts w:hint="eastAsia" w:ascii="Calibri" w:hAnsi="宋体" w:cs="宋体"/>
                <w:sz w:val="18"/>
                <w:szCs w:val="18"/>
              </w:rPr>
              <w:t>（适用</w:t>
            </w:r>
            <w:r>
              <w:rPr>
                <w:rFonts w:hint="eastAsia" w:ascii="Calibri" w:hAnsi="宋体" w:cs="宋体"/>
                <w:sz w:val="18"/>
                <w:szCs w:val="18"/>
                <w:lang w:eastAsia="zh-CN"/>
              </w:rPr>
              <w:t>【</w:t>
            </w:r>
            <w:r>
              <w:rPr>
                <w:rFonts w:hint="eastAsia" w:ascii="Calibri" w:hAnsi="宋体" w:cs="宋体"/>
                <w:sz w:val="18"/>
                <w:szCs w:val="18"/>
                <w:lang w:val="en-US" w:eastAsia="zh-CN"/>
              </w:rPr>
              <w:t>/</w:t>
            </w:r>
            <w:r>
              <w:rPr>
                <w:rFonts w:hint="eastAsia" w:ascii="Calibri" w:hAnsi="宋体" w:cs="宋体"/>
                <w:sz w:val="18"/>
                <w:szCs w:val="18"/>
                <w:lang w:eastAsia="zh-CN"/>
              </w:rPr>
              <w:t>】类</w:t>
            </w:r>
            <w:r>
              <w:rPr>
                <w:rFonts w:hint="eastAsia" w:ascii="Calibri" w:hAnsi="宋体" w:cs="宋体"/>
                <w:sz w:val="18"/>
                <w:szCs w:val="18"/>
              </w:rPr>
              <w:t>份额）</w:t>
            </w:r>
          </w:p>
          <w:p>
            <w:pPr>
              <w:autoSpaceDE w:val="0"/>
              <w:autoSpaceDN w:val="0"/>
              <w:adjustRightInd w:val="0"/>
              <w:spacing w:line="360" w:lineRule="auto"/>
              <w:jc w:val="left"/>
              <w:rPr>
                <w:rFonts w:ascii="Calibri" w:hAnsi="宋体" w:cs="宋体"/>
                <w:sz w:val="18"/>
                <w:szCs w:val="18"/>
              </w:rPr>
            </w:pPr>
            <w:r>
              <w:rPr>
                <w:rFonts w:ascii="Calibri" w:hAnsi="宋体" w:cs="宋体"/>
                <w:sz w:val="18"/>
                <w:szCs w:val="18"/>
              </w:rPr>
              <w:t>1.业绩比较基准的设置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产品管理人设置业绩比较基准。</w:t>
            </w:r>
          </w:p>
          <w:p>
            <w:pPr>
              <w:autoSpaceDE w:val="0"/>
              <w:autoSpaceDN w:val="0"/>
              <w:adjustRightInd w:val="0"/>
              <w:spacing w:line="360" w:lineRule="auto"/>
              <w:jc w:val="left"/>
              <w:rPr>
                <w:rFonts w:ascii="宋体" w:hAnsi="宋体" w:eastAsia="宋体" w:cs="宋体"/>
                <w:bCs/>
                <w:sz w:val="18"/>
                <w:szCs w:val="18"/>
              </w:rPr>
            </w:pPr>
            <w:r>
              <w:rPr>
                <w:rFonts w:hint="eastAsia" w:ascii="宋体" w:hAnsi="宋体" w:cs="宋体"/>
                <w:bCs/>
                <w:sz w:val="18"/>
                <w:szCs w:val="18"/>
              </w:rPr>
              <w:t>（</w:t>
            </w:r>
            <w:r>
              <w:rPr>
                <w:rFonts w:ascii="宋体" w:hAnsi="宋体" w:cs="宋体"/>
                <w:bCs/>
                <w:sz w:val="18"/>
                <w:szCs w:val="18"/>
              </w:rPr>
              <w:t>1）业绩比较基准的说明：</w:t>
            </w:r>
            <w:r>
              <w:rPr>
                <w:rFonts w:hint="eastAsia" w:ascii="宋体" w:hAnsi="宋体" w:cs="宋体"/>
                <w:bCs/>
                <w:sz w:val="18"/>
                <w:szCs w:val="18"/>
              </w:rPr>
              <w:t>【根据本产品各类资产的拟投资比例、资产信用利差、久期敞口以及流动性溢价，结合当前宏观环境和各类资产价格所处的位置，参考历史经验和回测结果，设定业绩基准</w:t>
            </w:r>
            <w:r>
              <w:rPr>
                <w:rFonts w:ascii="宋体" w:hAnsi="宋体" w:cs="宋体"/>
                <w:bCs/>
                <w:sz w:val="18"/>
                <w:szCs w:val="18"/>
              </w:rPr>
              <w:t>】</w:t>
            </w:r>
            <w:r>
              <w:rPr>
                <w:rFonts w:hint="eastAsia" w:ascii="宋体" w:hAnsi="宋体" w:eastAsia="宋体" w:cs="宋体"/>
                <w:bCs/>
                <w:sz w:val="18"/>
                <w:szCs w:val="18"/>
              </w:rPr>
              <w:t>。</w:t>
            </w:r>
          </w:p>
          <w:p>
            <w:pPr>
              <w:spacing w:line="360" w:lineRule="auto"/>
              <w:jc w:val="left"/>
              <w:rPr>
                <w:rFonts w:hint="eastAsia" w:ascii="宋体" w:hAnsi="宋体" w:cs="宋体"/>
                <w:sz w:val="18"/>
                <w:szCs w:val="22"/>
              </w:rPr>
            </w:pPr>
            <w:r>
              <w:rPr>
                <w:rFonts w:hint="eastAsia" w:ascii="宋体" w:hAnsi="宋体" w:eastAsia="宋体" w:cs="宋体"/>
                <w:bCs/>
                <w:sz w:val="18"/>
                <w:szCs w:val="18"/>
              </w:rPr>
              <w:t>（</w:t>
            </w:r>
            <w:r>
              <w:rPr>
                <w:rFonts w:ascii="宋体" w:hAnsi="宋体" w:eastAsia="宋体" w:cs="宋体"/>
                <w:bCs/>
                <w:sz w:val="18"/>
                <w:szCs w:val="18"/>
              </w:rPr>
              <w:t>2）业绩比较基准的设定：</w:t>
            </w:r>
            <w:r>
              <w:rPr>
                <w:rFonts w:hint="eastAsia" w:ascii="宋体" w:hAnsi="宋体" w:cs="宋体"/>
                <w:sz w:val="18"/>
                <w:szCs w:val="22"/>
              </w:rPr>
              <w:t>管理人对</w:t>
            </w:r>
            <w:r>
              <w:rPr>
                <w:rFonts w:ascii="宋体" w:hAnsi="宋体" w:cs="宋体"/>
                <w:sz w:val="18"/>
                <w:szCs w:val="22"/>
              </w:rPr>
              <w:t>本产品设定</w:t>
            </w:r>
            <w:r>
              <w:rPr>
                <w:rFonts w:hint="eastAsia" w:ascii="宋体" w:hAnsi="宋体" w:cs="宋体"/>
                <w:sz w:val="18"/>
                <w:szCs w:val="22"/>
              </w:rPr>
              <w:t>业绩比较基准：</w:t>
            </w:r>
          </w:p>
          <w:p>
            <w:pPr>
              <w:autoSpaceDE w:val="0"/>
              <w:autoSpaceDN w:val="0"/>
              <w:adjustRightInd w:val="0"/>
              <w:spacing w:line="360" w:lineRule="auto"/>
              <w:jc w:val="left"/>
              <w:rPr>
                <w:rFonts w:hint="eastAsia" w:ascii="宋体" w:hAnsi="宋体" w:cs="宋体"/>
                <w:bCs/>
                <w:sz w:val="18"/>
                <w:szCs w:val="18"/>
              </w:rPr>
            </w:pPr>
            <w:r>
              <w:rPr>
                <w:rFonts w:hint="eastAsia" w:ascii="宋体" w:hAnsi="宋体" w:cs="宋体"/>
                <w:bCs/>
                <w:sz w:val="18"/>
                <w:szCs w:val="18"/>
                <w:lang w:val="en-US" w:eastAsia="zh-CN"/>
              </w:rPr>
              <w:t>B类份额</w:t>
            </w:r>
            <w:r>
              <w:rPr>
                <w:rFonts w:hint="eastAsia" w:ascii="宋体" w:hAnsi="宋体" w:cs="宋体"/>
                <w:bCs/>
                <w:sz w:val="18"/>
                <w:szCs w:val="18"/>
              </w:rPr>
              <w:t>：年化【</w:t>
            </w:r>
            <w:r>
              <w:rPr>
                <w:rFonts w:hint="eastAsia" w:ascii="宋体" w:hAnsi="宋体" w:cs="宋体"/>
                <w:bCs/>
                <w:sz w:val="18"/>
                <w:szCs w:val="18"/>
                <w:lang w:val="en-US" w:eastAsia="zh-CN"/>
              </w:rPr>
              <w:t>2.57%</w:t>
            </w:r>
            <w:r>
              <w:rPr>
                <w:rFonts w:hint="eastAsia" w:ascii="宋体" w:hAnsi="宋体" w:cs="宋体"/>
                <w:bCs/>
                <w:sz w:val="18"/>
                <w:szCs w:val="18"/>
              </w:rPr>
              <w:t>】。</w:t>
            </w:r>
          </w:p>
          <w:p>
            <w:pPr>
              <w:autoSpaceDE w:val="0"/>
              <w:autoSpaceDN w:val="0"/>
              <w:adjustRightInd w:val="0"/>
              <w:spacing w:line="360" w:lineRule="auto"/>
              <w:jc w:val="left"/>
              <w:rPr>
                <w:rFonts w:hint="eastAsia" w:ascii="宋体" w:hAnsi="宋体" w:cs="宋体"/>
                <w:bCs/>
                <w:sz w:val="18"/>
                <w:szCs w:val="18"/>
              </w:rPr>
            </w:pPr>
            <w:r>
              <w:rPr>
                <w:rFonts w:hint="eastAsia" w:ascii="宋体" w:hAnsi="宋体" w:cs="宋体"/>
                <w:bCs/>
                <w:sz w:val="18"/>
                <w:szCs w:val="18"/>
                <w:lang w:val="en-US" w:eastAsia="zh-CN"/>
              </w:rPr>
              <w:t>C类份额</w:t>
            </w:r>
            <w:r>
              <w:rPr>
                <w:rFonts w:hint="eastAsia" w:ascii="宋体" w:hAnsi="宋体" w:cs="宋体"/>
                <w:bCs/>
                <w:sz w:val="18"/>
                <w:szCs w:val="18"/>
              </w:rPr>
              <w:t>：年化【</w:t>
            </w:r>
            <w:r>
              <w:rPr>
                <w:rFonts w:hint="eastAsia" w:ascii="宋体" w:hAnsi="宋体" w:cs="宋体"/>
                <w:bCs/>
                <w:sz w:val="18"/>
                <w:szCs w:val="18"/>
                <w:lang w:val="en-US" w:eastAsia="zh-CN"/>
              </w:rPr>
              <w:t>2.52%</w:t>
            </w:r>
            <w:r>
              <w:rPr>
                <w:rFonts w:hint="eastAsia" w:ascii="宋体" w:hAnsi="宋体" w:cs="宋体"/>
                <w:bCs/>
                <w:sz w:val="18"/>
                <w:szCs w:val="18"/>
              </w:rPr>
              <w:t>】。</w:t>
            </w:r>
          </w:p>
          <w:p>
            <w:pPr>
              <w:autoSpaceDE w:val="0"/>
              <w:autoSpaceDN w:val="0"/>
              <w:adjustRightInd w:val="0"/>
              <w:spacing w:line="360" w:lineRule="auto"/>
              <w:jc w:val="left"/>
              <w:rPr>
                <w:rFonts w:hint="eastAsia" w:ascii="宋体" w:hAnsi="宋体" w:cs="宋体"/>
                <w:bCs/>
                <w:sz w:val="18"/>
                <w:szCs w:val="18"/>
              </w:rPr>
            </w:pPr>
            <w:r>
              <w:rPr>
                <w:rFonts w:hint="eastAsia" w:ascii="宋体" w:hAnsi="宋体" w:cs="宋体"/>
                <w:bCs/>
                <w:sz w:val="18"/>
                <w:szCs w:val="18"/>
                <w:lang w:val="en-US" w:eastAsia="zh-CN"/>
              </w:rPr>
              <w:t>D类份额</w:t>
            </w:r>
            <w:r>
              <w:rPr>
                <w:rFonts w:hint="eastAsia" w:ascii="宋体" w:hAnsi="宋体" w:cs="宋体"/>
                <w:bCs/>
                <w:sz w:val="18"/>
                <w:szCs w:val="18"/>
              </w:rPr>
              <w:t>：年化【</w:t>
            </w:r>
            <w:r>
              <w:rPr>
                <w:rFonts w:hint="eastAsia" w:ascii="宋体" w:hAnsi="宋体" w:cs="宋体"/>
                <w:bCs/>
                <w:sz w:val="18"/>
                <w:szCs w:val="18"/>
                <w:lang w:val="en-US" w:eastAsia="zh-CN"/>
              </w:rPr>
              <w:t>2.42%</w:t>
            </w:r>
            <w:r>
              <w:rPr>
                <w:rFonts w:hint="eastAsia" w:ascii="宋体" w:hAnsi="宋体" w:cs="宋体"/>
                <w:bCs/>
                <w:sz w:val="18"/>
                <w:szCs w:val="18"/>
              </w:rPr>
              <w:t>】。</w:t>
            </w:r>
          </w:p>
          <w:p>
            <w:pPr>
              <w:autoSpaceDE w:val="0"/>
              <w:autoSpaceDN w:val="0"/>
              <w:adjustRightInd w:val="0"/>
              <w:spacing w:line="360" w:lineRule="auto"/>
              <w:jc w:val="left"/>
              <w:rPr>
                <w:rFonts w:hint="eastAsia" w:ascii="宋体" w:hAnsi="宋体" w:cs="宋体"/>
                <w:bCs/>
                <w:sz w:val="18"/>
                <w:szCs w:val="18"/>
              </w:rPr>
            </w:pPr>
            <w:r>
              <w:rPr>
                <w:rFonts w:hint="eastAsia" w:ascii="宋体" w:hAnsi="宋体" w:cs="宋体"/>
                <w:bCs/>
                <w:sz w:val="18"/>
                <w:szCs w:val="18"/>
                <w:lang w:val="en-US" w:eastAsia="zh-CN"/>
              </w:rPr>
              <w:t>E类份额</w:t>
            </w:r>
            <w:r>
              <w:rPr>
                <w:rFonts w:hint="eastAsia" w:ascii="宋体" w:hAnsi="宋体" w:cs="宋体"/>
                <w:bCs/>
                <w:sz w:val="18"/>
                <w:szCs w:val="18"/>
              </w:rPr>
              <w:t>：年化【</w:t>
            </w:r>
            <w:r>
              <w:rPr>
                <w:rFonts w:hint="eastAsia" w:ascii="宋体" w:hAnsi="宋体" w:cs="宋体"/>
                <w:bCs/>
                <w:sz w:val="18"/>
                <w:szCs w:val="18"/>
                <w:lang w:val="en-US" w:eastAsia="zh-CN"/>
              </w:rPr>
              <w:t>2.32%</w:t>
            </w:r>
            <w:r>
              <w:rPr>
                <w:rFonts w:hint="eastAsia" w:ascii="宋体" w:hAnsi="宋体" w:cs="宋体"/>
                <w:bCs/>
                <w:sz w:val="18"/>
                <w:szCs w:val="18"/>
              </w:rPr>
              <w:t>】。</w:t>
            </w:r>
          </w:p>
          <w:p>
            <w:pPr>
              <w:autoSpaceDE w:val="0"/>
              <w:autoSpaceDN w:val="0"/>
              <w:adjustRightInd w:val="0"/>
              <w:spacing w:line="360" w:lineRule="auto"/>
              <w:jc w:val="left"/>
              <w:rPr>
                <w:rFonts w:hint="eastAsia" w:ascii="宋体" w:hAnsi="宋体" w:cs="宋体"/>
                <w:bCs/>
                <w:sz w:val="18"/>
                <w:szCs w:val="18"/>
              </w:rPr>
            </w:pP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产品管理人不设置业绩比较基准。</w:t>
            </w:r>
          </w:p>
          <w:p>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pPr>
              <w:spacing w:line="360" w:lineRule="auto"/>
              <w:jc w:val="left"/>
              <w:rPr>
                <w:rFonts w:ascii="宋体" w:hAnsi="宋体" w:cs="宋体"/>
                <w:b/>
                <w:sz w:val="18"/>
                <w:szCs w:val="22"/>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eastAsia="宋体" w:cs="宋体"/>
                <w:b/>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（适用</w:t>
            </w:r>
            <w:r>
              <w:rPr>
                <w:rFonts w:hint="eastAsia" w:ascii="Calibri" w:hAnsi="宋体" w:cs="宋体"/>
                <w:bCs/>
                <w:sz w:val="18"/>
                <w:szCs w:val="18"/>
                <w:lang w:eastAsia="zh-CN"/>
              </w:rPr>
              <w:t>【</w:t>
            </w:r>
            <w:r>
              <w:rPr>
                <w:rFonts w:hint="eastAsia" w:ascii="Calibri" w:hAnsi="宋体" w:cs="宋体"/>
                <w:bCs/>
                <w:sz w:val="18"/>
                <w:szCs w:val="18"/>
                <w:lang w:val="en-US" w:eastAsia="zh-CN"/>
              </w:rPr>
              <w:t>/</w:t>
            </w:r>
            <w:r>
              <w:rPr>
                <w:rFonts w:hint="eastAsia" w:ascii="Calibri" w:hAnsi="宋体" w:cs="宋体"/>
                <w:bCs/>
                <w:sz w:val="18"/>
                <w:szCs w:val="18"/>
                <w:lang w:eastAsia="zh-CN"/>
              </w:rPr>
              <w:t>】类</w:t>
            </w:r>
            <w:r>
              <w:rPr>
                <w:rFonts w:ascii="Calibri" w:hAnsi="宋体" w:cs="宋体"/>
                <w:bCs/>
                <w:sz w:val="18"/>
                <w:szCs w:val="18"/>
              </w:rPr>
              <w:t>份额</w:t>
            </w:r>
            <w:r>
              <w:rPr>
                <w:rFonts w:hint="eastAsia" w:ascii="Calibri" w:hAnsi="宋体" w:cs="宋体"/>
                <w:bCs/>
                <w:sz w:val="18"/>
                <w:szCs w:val="18"/>
              </w:rPr>
              <w:t>）</w:t>
            </w:r>
          </w:p>
          <w:p>
            <w:pPr>
              <w:spacing w:line="360" w:lineRule="auto"/>
              <w:jc w:val="left"/>
              <w:rPr>
                <w:rFonts w:ascii="Calibri" w:hAnsi="宋体" w:cs="宋体"/>
                <w:bCs/>
                <w:sz w:val="18"/>
                <w:szCs w:val="18"/>
              </w:rPr>
            </w:pPr>
            <w:r>
              <w:rPr>
                <w:rFonts w:ascii="Calibri" w:hAnsi="宋体" w:cs="宋体"/>
                <w:bCs/>
                <w:sz w:val="18"/>
                <w:szCs w:val="18"/>
              </w:rPr>
              <w:t>1.业绩报酬计提基准的设置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eastAsia="宋体" w:cs="宋体"/>
                <w:kern w:val="0"/>
                <w:sz w:val="18"/>
                <w:szCs w:val="18"/>
              </w:rPr>
              <w:t>产品管理人设置业绩报酬计提基准。</w:t>
            </w:r>
          </w:p>
          <w:p>
            <w:pPr>
              <w:spacing w:line="360" w:lineRule="auto"/>
              <w:jc w:val="left"/>
              <w:rPr>
                <w:rFonts w:hint="eastAsia" w:ascii="宋体" w:hAnsi="宋体" w:cs="宋体"/>
                <w:bCs/>
                <w:sz w:val="18"/>
                <w:szCs w:val="18"/>
              </w:rPr>
            </w:pPr>
            <w:r>
              <w:rPr>
                <w:rFonts w:ascii="宋体" w:hAnsi="宋体" w:cs="宋体"/>
                <w:bCs/>
                <w:sz w:val="18"/>
                <w:szCs w:val="18"/>
              </w:rPr>
              <w:t>业绩报酬计提基准的设定</w:t>
            </w:r>
            <w:r>
              <w:rPr>
                <w:rFonts w:hint="eastAsia" w:ascii="宋体" w:hAnsi="宋体" w:cs="宋体"/>
                <w:bCs/>
                <w:sz w:val="18"/>
                <w:szCs w:val="18"/>
              </w:rPr>
              <w:t>：管理人</w:t>
            </w:r>
            <w:r>
              <w:rPr>
                <w:rFonts w:ascii="宋体" w:hAnsi="宋体" w:cs="宋体"/>
                <w:bCs/>
                <w:sz w:val="18"/>
                <w:szCs w:val="18"/>
              </w:rPr>
              <w:t>对本产品设定</w:t>
            </w:r>
            <w:r>
              <w:rPr>
                <w:rFonts w:hint="eastAsia" w:ascii="宋体" w:hAnsi="宋体" w:cs="宋体"/>
                <w:bCs/>
                <w:sz w:val="18"/>
                <w:szCs w:val="18"/>
              </w:rPr>
              <w:t>业绩报酬计提基准：</w:t>
            </w:r>
          </w:p>
          <w:p>
            <w:pPr>
              <w:spacing w:line="360" w:lineRule="auto"/>
              <w:jc w:val="left"/>
              <w:rPr>
                <w:rFonts w:hint="eastAsia" w:ascii="宋体" w:hAnsi="宋体" w:cs="宋体"/>
                <w:bCs/>
                <w:sz w:val="18"/>
                <w:szCs w:val="18"/>
                <w:lang w:val="en-US" w:eastAsia="zh-CN"/>
              </w:rPr>
            </w:pPr>
            <w:r>
              <w:rPr>
                <w:rFonts w:hint="eastAsia" w:ascii="宋体" w:hAnsi="宋体" w:cs="宋体"/>
                <w:bCs/>
                <w:sz w:val="18"/>
                <w:szCs w:val="18"/>
                <w:lang w:val="en-US" w:eastAsia="zh-CN"/>
              </w:rPr>
              <w:t>B类份额：年化【2.57%】。</w:t>
            </w:r>
          </w:p>
          <w:p>
            <w:pPr>
              <w:spacing w:line="360" w:lineRule="auto"/>
              <w:jc w:val="left"/>
              <w:rPr>
                <w:rFonts w:hint="eastAsia" w:ascii="宋体" w:hAnsi="宋体" w:cs="宋体"/>
                <w:bCs/>
                <w:sz w:val="18"/>
                <w:szCs w:val="18"/>
                <w:lang w:val="en-US" w:eastAsia="zh-CN"/>
              </w:rPr>
            </w:pPr>
            <w:r>
              <w:rPr>
                <w:rFonts w:hint="eastAsia" w:ascii="宋体" w:hAnsi="宋体" w:cs="宋体"/>
                <w:bCs/>
                <w:sz w:val="18"/>
                <w:szCs w:val="18"/>
                <w:lang w:val="en-US" w:eastAsia="zh-CN"/>
              </w:rPr>
              <w:t>C类份额：年化【2.52%】。</w:t>
            </w:r>
          </w:p>
          <w:p>
            <w:pPr>
              <w:spacing w:line="360" w:lineRule="auto"/>
              <w:jc w:val="left"/>
              <w:rPr>
                <w:rFonts w:hint="eastAsia" w:ascii="宋体" w:hAnsi="宋体" w:cs="宋体"/>
                <w:bCs/>
                <w:sz w:val="18"/>
                <w:szCs w:val="18"/>
                <w:lang w:val="en-US" w:eastAsia="zh-CN"/>
              </w:rPr>
            </w:pPr>
            <w:r>
              <w:rPr>
                <w:rFonts w:hint="eastAsia" w:ascii="宋体" w:hAnsi="宋体" w:cs="宋体"/>
                <w:bCs/>
                <w:sz w:val="18"/>
                <w:szCs w:val="18"/>
                <w:lang w:val="en-US" w:eastAsia="zh-CN"/>
              </w:rPr>
              <w:t>D类份额：年化【2.42%】。</w:t>
            </w:r>
          </w:p>
          <w:p>
            <w:pPr>
              <w:spacing w:line="360" w:lineRule="auto"/>
              <w:jc w:val="left"/>
              <w:rPr>
                <w:rFonts w:hint="eastAsia" w:ascii="宋体" w:hAnsi="宋体" w:cs="宋体"/>
                <w:bCs/>
                <w:sz w:val="18"/>
                <w:szCs w:val="18"/>
                <w:lang w:val="en-US" w:eastAsia="zh-CN"/>
              </w:rPr>
            </w:pPr>
            <w:r>
              <w:rPr>
                <w:rFonts w:hint="eastAsia" w:ascii="宋体" w:hAnsi="宋体" w:cs="宋体"/>
                <w:bCs/>
                <w:sz w:val="18"/>
                <w:szCs w:val="18"/>
                <w:lang w:val="en-US" w:eastAsia="zh-CN"/>
              </w:rPr>
              <w:t>E类份额：年化【2.32%】。</w:t>
            </w:r>
          </w:p>
          <w:p>
            <w:pPr>
              <w:spacing w:line="360" w:lineRule="auto"/>
              <w:jc w:val="left"/>
              <w:rPr>
                <w:rFonts w:ascii="宋体" w:hAnsi="宋体" w:cs="宋体"/>
                <w:bCs/>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产品管理人不设置业绩报酬计提基准。</w:t>
            </w:r>
          </w:p>
          <w:p>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宋体" w:hAnsi="宋体" w:eastAsia="宋体" w:cs="宋体"/>
                <w:bCs/>
                <w:color w:val="000000"/>
                <w:sz w:val="18"/>
                <w:szCs w:val="18"/>
              </w:rPr>
            </w:pPr>
            <w:r>
              <w:rPr>
                <w:rFonts w:hint="eastAsia" w:ascii="宋体" w:hAnsi="宋体" w:eastAsia="宋体" w:cs="宋体"/>
                <w:bCs/>
                <w:color w:val="000000"/>
                <w:sz w:val="18"/>
                <w:szCs w:val="18"/>
              </w:rPr>
              <w:t>（适用</w:t>
            </w:r>
            <w:r>
              <w:rPr>
                <w:rFonts w:hint="eastAsia" w:ascii="宋体" w:hAnsi="宋体" w:eastAsia="宋体" w:cs="宋体"/>
                <w:bCs/>
                <w:color w:val="000000"/>
                <w:sz w:val="18"/>
                <w:szCs w:val="18"/>
                <w:lang w:eastAsia="zh-CN"/>
              </w:rPr>
              <w:t>【</w:t>
            </w:r>
            <w:r>
              <w:rPr>
                <w:rFonts w:hint="eastAsia" w:ascii="宋体" w:hAnsi="宋体" w:eastAsia="宋体" w:cs="宋体"/>
                <w:bCs/>
                <w:color w:val="000000"/>
                <w:sz w:val="18"/>
                <w:szCs w:val="18"/>
                <w:lang w:val="en-US" w:eastAsia="zh-CN"/>
              </w:rPr>
              <w:t>/</w:t>
            </w:r>
            <w:r>
              <w:rPr>
                <w:rFonts w:hint="eastAsia" w:ascii="宋体" w:hAnsi="宋体" w:eastAsia="宋体" w:cs="宋体"/>
                <w:bCs/>
                <w:color w:val="000000"/>
                <w:sz w:val="18"/>
                <w:szCs w:val="18"/>
                <w:lang w:eastAsia="zh-CN"/>
              </w:rPr>
              <w:t>】类</w:t>
            </w:r>
            <w:r>
              <w:rPr>
                <w:rFonts w:hint="eastAsia" w:ascii="宋体" w:hAnsi="宋体" w:eastAsia="宋体" w:cs="宋体"/>
                <w:bCs/>
                <w:color w:val="000000"/>
                <w:sz w:val="18"/>
                <w:szCs w:val="18"/>
              </w:rPr>
              <w:t>份额）</w:t>
            </w:r>
          </w:p>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keepNext w:val="0"/>
              <w:keepLines w:val="0"/>
              <w:widowControl/>
              <w:suppressLineNumbers w:val="0"/>
              <w:jc w:val="left"/>
              <w:rPr>
                <w:rFonts w:hint="eastAsia" w:ascii="黑体" w:hAnsi="黑体" w:eastAsia="黑体" w:cs="宋体"/>
                <w:bCs/>
                <w:sz w:val="18"/>
                <w:szCs w:val="18"/>
                <w:lang w:val="en-US" w:eastAsia="zh-CN"/>
              </w:rPr>
            </w:pPr>
            <w:r>
              <w:rPr>
                <w:rFonts w:hint="eastAsia" w:ascii="黑体" w:hAnsi="黑体" w:eastAsia="黑体" w:cs="宋体"/>
                <w:bCs/>
                <w:sz w:val="18"/>
                <w:szCs w:val="18"/>
                <w:lang w:val="en-US" w:eastAsia="zh-CN"/>
              </w:rPr>
              <w:t>B类份额：年化费率【0.05%】。</w:t>
            </w:r>
          </w:p>
          <w:p>
            <w:pPr>
              <w:keepNext w:val="0"/>
              <w:keepLines w:val="0"/>
              <w:widowControl/>
              <w:suppressLineNumbers w:val="0"/>
              <w:jc w:val="left"/>
              <w:rPr>
                <w:rFonts w:hint="eastAsia" w:ascii="黑体" w:hAnsi="黑体" w:eastAsia="黑体" w:cs="宋体"/>
                <w:bCs/>
                <w:sz w:val="18"/>
                <w:szCs w:val="18"/>
              </w:rPr>
            </w:pPr>
            <w:r>
              <w:rPr>
                <w:rFonts w:hint="eastAsia" w:ascii="黑体" w:hAnsi="黑体" w:eastAsia="黑体" w:cs="宋体"/>
                <w:bCs/>
                <w:sz w:val="18"/>
                <w:szCs w:val="18"/>
                <w:lang w:val="en-US" w:eastAsia="zh-CN"/>
              </w:rPr>
              <w:t>C类份额</w:t>
            </w:r>
            <w:r>
              <w:rPr>
                <w:rFonts w:hint="eastAsia" w:ascii="黑体" w:hAnsi="黑体" w:eastAsia="黑体" w:cs="宋体"/>
                <w:bCs/>
                <w:sz w:val="18"/>
                <w:szCs w:val="18"/>
              </w:rPr>
              <w:t>：年化费率【</w:t>
            </w:r>
            <w:r>
              <w:rPr>
                <w:rFonts w:hint="eastAsia" w:ascii="黑体" w:hAnsi="黑体" w:eastAsia="黑体" w:cs="宋体"/>
                <w:bCs/>
                <w:sz w:val="18"/>
                <w:szCs w:val="18"/>
                <w:lang w:val="en-US" w:eastAsia="zh-CN"/>
              </w:rPr>
              <w:t>0.10%</w:t>
            </w:r>
            <w:r>
              <w:rPr>
                <w:rFonts w:hint="eastAsia" w:ascii="黑体" w:hAnsi="黑体" w:eastAsia="黑体" w:cs="宋体"/>
                <w:bCs/>
                <w:sz w:val="18"/>
                <w:szCs w:val="18"/>
              </w:rPr>
              <w:t>】。</w:t>
            </w:r>
          </w:p>
          <w:p>
            <w:pPr>
              <w:keepNext w:val="0"/>
              <w:keepLines w:val="0"/>
              <w:widowControl/>
              <w:suppressLineNumbers w:val="0"/>
              <w:jc w:val="left"/>
              <w:rPr>
                <w:rFonts w:hint="eastAsia" w:ascii="黑体" w:hAnsi="黑体" w:eastAsia="黑体" w:cs="宋体"/>
                <w:bCs/>
                <w:sz w:val="18"/>
                <w:szCs w:val="18"/>
              </w:rPr>
            </w:pPr>
            <w:r>
              <w:rPr>
                <w:rFonts w:hint="eastAsia" w:ascii="黑体" w:hAnsi="黑体" w:eastAsia="黑体" w:cs="宋体"/>
                <w:bCs/>
                <w:sz w:val="18"/>
                <w:szCs w:val="18"/>
                <w:lang w:val="en-US" w:eastAsia="zh-CN"/>
              </w:rPr>
              <w:t>D类份额</w:t>
            </w:r>
            <w:r>
              <w:rPr>
                <w:rFonts w:hint="eastAsia" w:ascii="黑体" w:hAnsi="黑体" w:eastAsia="黑体" w:cs="宋体"/>
                <w:bCs/>
                <w:sz w:val="18"/>
                <w:szCs w:val="18"/>
              </w:rPr>
              <w:t>：年化费率【</w:t>
            </w:r>
            <w:r>
              <w:rPr>
                <w:rFonts w:hint="eastAsia" w:ascii="黑体" w:hAnsi="黑体" w:eastAsia="黑体" w:cs="宋体"/>
                <w:bCs/>
                <w:sz w:val="18"/>
                <w:szCs w:val="18"/>
                <w:lang w:val="en-US" w:eastAsia="zh-CN"/>
              </w:rPr>
              <w:t>0.20%</w:t>
            </w:r>
            <w:r>
              <w:rPr>
                <w:rFonts w:hint="eastAsia" w:ascii="黑体" w:hAnsi="黑体" w:eastAsia="黑体" w:cs="宋体"/>
                <w:bCs/>
                <w:sz w:val="18"/>
                <w:szCs w:val="18"/>
              </w:rPr>
              <w:t>】。</w:t>
            </w:r>
          </w:p>
          <w:p>
            <w:pPr>
              <w:keepNext w:val="0"/>
              <w:keepLines w:val="0"/>
              <w:widowControl/>
              <w:suppressLineNumbers w:val="0"/>
              <w:jc w:val="left"/>
              <w:rPr>
                <w:rFonts w:hint="eastAsia" w:ascii="黑体" w:hAnsi="黑体" w:eastAsia="黑体" w:cs="宋体"/>
                <w:bCs/>
                <w:sz w:val="18"/>
                <w:szCs w:val="18"/>
              </w:rPr>
            </w:pPr>
            <w:r>
              <w:rPr>
                <w:rFonts w:hint="eastAsia" w:ascii="黑体" w:hAnsi="黑体" w:eastAsia="黑体" w:cs="宋体"/>
                <w:bCs/>
                <w:sz w:val="18"/>
                <w:szCs w:val="18"/>
                <w:lang w:val="en-US" w:eastAsia="zh-CN"/>
              </w:rPr>
              <w:t>E类份额</w:t>
            </w:r>
            <w:r>
              <w:rPr>
                <w:rFonts w:hint="eastAsia" w:ascii="黑体" w:hAnsi="黑体" w:eastAsia="黑体" w:cs="宋体"/>
                <w:bCs/>
                <w:sz w:val="18"/>
                <w:szCs w:val="18"/>
              </w:rPr>
              <w:t>：年化费率【</w:t>
            </w:r>
            <w:r>
              <w:rPr>
                <w:rFonts w:hint="eastAsia" w:ascii="黑体" w:hAnsi="黑体" w:eastAsia="黑体" w:cs="宋体"/>
                <w:bCs/>
                <w:sz w:val="18"/>
                <w:szCs w:val="18"/>
                <w:lang w:val="en-US" w:eastAsia="zh-CN"/>
              </w:rPr>
              <w:t>0.30%</w:t>
            </w:r>
            <w:r>
              <w:rPr>
                <w:rFonts w:hint="eastAsia" w:ascii="黑体" w:hAnsi="黑体" w:eastAsia="黑体" w:cs="宋体"/>
                <w:bCs/>
                <w:sz w:val="18"/>
                <w:szCs w:val="18"/>
              </w:rPr>
              <w:t>】。</w:t>
            </w:r>
          </w:p>
          <w:p>
            <w:pPr>
              <w:keepNext w:val="0"/>
              <w:keepLines w:val="0"/>
              <w:widowControl/>
              <w:suppressLineNumbers w:val="0"/>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宋体" w:hAnsi="宋体" w:cs="宋体"/>
                <w:sz w:val="18"/>
                <w:szCs w:val="18"/>
                <w:lang w:val="en-US" w:eastAsia="zh-CN"/>
              </w:rPr>
              <w:t>0.05%</w:t>
            </w:r>
            <w:r>
              <w:rPr>
                <w:rFonts w:ascii="黑体" w:hAnsi="黑体" w:eastAsia="黑体" w:cs="宋体"/>
                <w:sz w:val="18"/>
                <w:szCs w:val="18"/>
              </w:rPr>
              <w:t>】</w:t>
            </w:r>
            <w:r>
              <w:rPr>
                <w:rFonts w:hint="eastAsia" w:ascii="黑体" w:hAnsi="黑体" w:eastAsia="黑体" w:cs="宋体"/>
                <w:bCs/>
                <w:color w:val="000000"/>
                <w:sz w:val="18"/>
                <w:szCs w:val="18"/>
              </w:rPr>
              <w:t>。</w:t>
            </w:r>
          </w:p>
          <w:p>
            <w:pPr>
              <w:keepNext w:val="0"/>
              <w:keepLines w:val="0"/>
              <w:widowControl/>
              <w:suppressLineNumbers w:val="0"/>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宋体" w:hAnsi="宋体" w:cs="宋体"/>
                <w:sz w:val="18"/>
                <w:szCs w:val="18"/>
                <w:lang w:val="en-US" w:eastAsia="zh-CN"/>
              </w:rPr>
              <w:t>0.01</w:t>
            </w:r>
            <w:r>
              <w:rPr>
                <w:rFonts w:hint="eastAsia" w:ascii="宋体" w:hAnsi="宋体" w:cs="宋体"/>
                <w:sz w:val="18"/>
                <w:szCs w:val="18"/>
              </w:rPr>
              <w:t>%</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w:t>
            </w:r>
            <w:r>
              <w:rPr>
                <w:rFonts w:ascii="宋体" w:hAnsi="宋体" w:cs="宋体"/>
                <w:sz w:val="18"/>
                <w:szCs w:val="18"/>
              </w:rPr>
              <w:t>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390"/>
      <w:bookmarkStart w:id="78" w:name="_Toc29948"/>
      <w:bookmarkStart w:id="79" w:name="_Toc90742688"/>
      <w:bookmarkStart w:id="80" w:name="_Toc16265"/>
      <w:bookmarkStart w:id="81" w:name="_Toc6714"/>
      <w:bookmarkStart w:id="82" w:name="_Toc79154668"/>
      <w:bookmarkStart w:id="83" w:name="_Toc29784"/>
      <w:bookmarkStart w:id="84" w:name="_Toc74065741"/>
      <w:bookmarkStart w:id="85" w:name="_Toc27189"/>
      <w:bookmarkStart w:id="86" w:name="_Toc7151"/>
      <w:bookmarkStart w:id="87" w:name="_Toc27226"/>
      <w:bookmarkStart w:id="88" w:name="_Toc22074"/>
      <w:bookmarkStart w:id="89" w:name="_Toc3266"/>
      <w:bookmarkStart w:id="90" w:name="_Toc90742321"/>
      <w:bookmarkStart w:id="91" w:name="_Toc1520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（3）符合监管要求的债权类资产。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（4）以套期保值为目的的国债期货、利率互换、信用风险缓释工具、债券借贷。</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（5）优先股。</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（6）结构化资产管理产品的优先级份额。</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（1）本产品投资于债权类资产的比例不低于产品总资产的80%。</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（2）国债期货、利率互换、信用风险缓释工具等衍生品占产品总资产比例</w:t>
      </w:r>
      <w:r>
        <w:rPr>
          <w:rFonts w:hint="eastAsia" w:ascii="宋体" w:hAnsi="宋体" w:eastAsia="宋体" w:cs="宋体"/>
          <w:bCs/>
          <w:sz w:val="18"/>
          <w:szCs w:val="18"/>
          <w:lang w:val="en-US" w:eastAsia="zh-CN"/>
        </w:rPr>
        <w:t>低</w:t>
      </w:r>
      <w:r>
        <w:rPr>
          <w:rFonts w:hint="eastAsia" w:ascii="宋体" w:hAnsi="宋体" w:eastAsia="宋体" w:cs="宋体"/>
          <w:bCs/>
          <w:sz w:val="18"/>
          <w:szCs w:val="18"/>
        </w:rPr>
        <w:t>于20%。</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（3）投资于权益类资产的比例不高于产品总资产的10%，权益类资产仅限于投资于优先股和结构化资产管理产品的优先级份额。</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（4）符合监管要求的非标准化债权类资产低于产品净资产的50%。</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1988"/>
      <w:bookmarkStart w:id="94" w:name="_Toc141703885"/>
      <w:bookmarkStart w:id="95" w:name="_Toc26986"/>
      <w:bookmarkStart w:id="96" w:name="_Toc7848"/>
      <w:bookmarkStart w:id="97" w:name="_Toc79154669"/>
      <w:bookmarkStart w:id="98" w:name="_Toc4741"/>
      <w:bookmarkStart w:id="99" w:name="_Toc18329"/>
      <w:bookmarkStart w:id="100" w:name="_Toc74065742"/>
      <w:bookmarkStart w:id="101" w:name="_Toc18797"/>
      <w:bookmarkStart w:id="102" w:name="_Toc139991735"/>
      <w:bookmarkStart w:id="103" w:name="_Toc176189758"/>
      <w:bookmarkStart w:id="104" w:name="_Toc14893"/>
      <w:bookmarkStart w:id="105" w:name="_Toc17912"/>
      <w:bookmarkStart w:id="106" w:name="_Toc1823"/>
      <w:bookmarkStart w:id="107" w:name="_Toc18526"/>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7920"/>
      <w:bookmarkStart w:id="110" w:name="_Toc79392606"/>
      <w:bookmarkStart w:id="111" w:name="_Toc74065743"/>
      <w:bookmarkStart w:id="112" w:name="_Toc20733"/>
      <w:bookmarkStart w:id="113" w:name="_Toc141703886"/>
      <w:bookmarkStart w:id="114" w:name="_Toc610"/>
      <w:bookmarkStart w:id="115" w:name="_Toc17244"/>
      <w:bookmarkStart w:id="116" w:name="_Toc139991736"/>
      <w:bookmarkStart w:id="117" w:name="_Toc98560352"/>
      <w:bookmarkStart w:id="118" w:name="_Toc79154670"/>
      <w:bookmarkStart w:id="119" w:name="_Toc10463"/>
      <w:bookmarkStart w:id="120" w:name="_Toc176189759"/>
      <w:bookmarkStart w:id="121" w:name="_Toc4003"/>
      <w:bookmarkStart w:id="122" w:name="_Toc48649707"/>
      <w:bookmarkStart w:id="123" w:name="_Toc123112234"/>
      <w:bookmarkStart w:id="124" w:name="_Toc123102453"/>
      <w:bookmarkStart w:id="125" w:name="_Toc123051452"/>
      <w:bookmarkStart w:id="126" w:name="_Toc23822"/>
      <w:bookmarkStart w:id="127" w:name="_Toc23261"/>
      <w:bookmarkStart w:id="128" w:name="_Toc1270"/>
      <w:bookmarkStart w:id="129" w:name="_Toc1427"/>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3601"/>
      <w:bookmarkStart w:id="132" w:name="_Toc31644"/>
      <w:bookmarkStart w:id="133" w:name="_Toc98560353"/>
      <w:bookmarkStart w:id="134" w:name="_Toc123102454"/>
      <w:bookmarkStart w:id="135" w:name="_Toc31653"/>
      <w:bookmarkStart w:id="136" w:name="_Toc139991737"/>
      <w:bookmarkStart w:id="137" w:name="_Toc141703887"/>
      <w:bookmarkStart w:id="138" w:name="_Toc15143"/>
      <w:bookmarkStart w:id="139" w:name="_Toc26207"/>
      <w:bookmarkStart w:id="140" w:name="_Toc123112235"/>
      <w:bookmarkStart w:id="141" w:name="_Toc31235"/>
      <w:bookmarkStart w:id="142" w:name="_Toc29251"/>
      <w:bookmarkStart w:id="143" w:name="_Toc74065744"/>
      <w:bookmarkStart w:id="144" w:name="_Toc176189760"/>
      <w:bookmarkStart w:id="145" w:name="_Toc14835"/>
      <w:bookmarkStart w:id="146" w:name="_Toc123051453"/>
      <w:bookmarkStart w:id="147" w:name="_Toc12245"/>
      <w:bookmarkStart w:id="148" w:name="_Toc79154671"/>
      <w:bookmarkStart w:id="149" w:name="_Toc640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23711668"/>
      <w:bookmarkStart w:id="153" w:name="_Toc57530239"/>
      <w:bookmarkStart w:id="154" w:name="_Toc79392580"/>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1030"/>
      <w:bookmarkStart w:id="158" w:name="_Toc123102455"/>
      <w:bookmarkStart w:id="159" w:name="_Toc4559"/>
      <w:bookmarkStart w:id="160" w:name="_Toc7058"/>
      <w:bookmarkStart w:id="161" w:name="_Toc141703888"/>
      <w:bookmarkStart w:id="162" w:name="_Toc3771"/>
      <w:bookmarkStart w:id="163" w:name="_Toc79392583"/>
      <w:bookmarkStart w:id="164" w:name="_Toc98560354"/>
      <w:bookmarkStart w:id="165" w:name="_Toc25783"/>
      <w:bookmarkStart w:id="166" w:name="_Toc79154672"/>
      <w:bookmarkStart w:id="167" w:name="_Toc9706"/>
      <w:bookmarkStart w:id="168" w:name="_Toc10650"/>
      <w:bookmarkStart w:id="169" w:name="_Toc6447"/>
      <w:bookmarkStart w:id="170" w:name="_Toc176189761"/>
      <w:bookmarkStart w:id="171" w:name="_Toc123051454"/>
      <w:bookmarkStart w:id="172" w:name="_Toc123112236"/>
      <w:bookmarkStart w:id="173" w:name="_Toc18567"/>
      <w:bookmarkStart w:id="174" w:name="_Toc3321"/>
      <w:bookmarkStart w:id="175" w:name="_Toc74065745"/>
      <w:bookmarkStart w:id="176" w:name="_Toc139991738"/>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本产品的销售服务费于产品成立日一次性计提，每日摊销。销售服务费的计算方法如下：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H＝E×销售服务费年费率×产品期限总天数÷365</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H为应计提的产品销售服务费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E为产品成立日的产品总份额</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val="0"/>
        <w:autoSpaceDE w:val="0"/>
        <w:autoSpaceDN w:val="0"/>
        <w:adjustRightInd w:val="0"/>
        <w:spacing w:line="360" w:lineRule="auto"/>
        <w:ind w:firstLine="361" w:firstLineChars="200"/>
        <w:rPr>
          <w:rFonts w:ascii="黑体" w:hAnsi="黑体" w:eastAsia="黑体" w:cs="宋体"/>
          <w:b/>
          <w:bCs/>
          <w:color w:val="000000"/>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注：如本产品发生提前终止或提前退出，则产品管理人根据实际产品期限天数/实际份额计算销售服务费，多收取的销售服务费退还至理财产品资产。</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每份产品份额超额业绩报酬每日计提，产品终止日结算。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③超额业绩报酬的计算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产品管理人对每</w:t>
      </w:r>
      <w:r>
        <w:rPr>
          <w:rFonts w:ascii="宋体" w:hAnsi="宋体" w:eastAsia="宋体" w:cs="宋体"/>
          <w:sz w:val="18"/>
          <w:szCs w:val="18"/>
        </w:rPr>
        <w:t>份</w:t>
      </w:r>
      <w:r>
        <w:rPr>
          <w:rFonts w:hint="eastAsia" w:ascii="宋体" w:hAnsi="宋体" w:eastAsia="宋体" w:cs="宋体"/>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当R≤当前业绩报酬计提基准，超额业绩报酬=0；</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0398"/>
      <w:bookmarkStart w:id="180" w:name="_Toc725"/>
      <w:bookmarkStart w:id="181" w:name="_Toc3572"/>
      <w:bookmarkStart w:id="182" w:name="_Toc98560355"/>
      <w:bookmarkStart w:id="183" w:name="_Toc139991739"/>
      <w:bookmarkStart w:id="184" w:name="_Toc3080"/>
      <w:bookmarkStart w:id="185" w:name="_Toc31821"/>
      <w:bookmarkStart w:id="186" w:name="_Toc18206"/>
      <w:bookmarkStart w:id="187" w:name="_Toc141703889"/>
      <w:bookmarkStart w:id="188" w:name="_Toc123102456"/>
      <w:bookmarkStart w:id="189" w:name="_Toc123112237"/>
      <w:bookmarkStart w:id="190" w:name="_Toc123051455"/>
      <w:bookmarkStart w:id="191" w:name="_Toc176189762"/>
      <w:bookmarkStart w:id="192" w:name="_Toc16164"/>
      <w:bookmarkStart w:id="193" w:name="_Toc79154673"/>
      <w:bookmarkStart w:id="194" w:name="_Toc21735"/>
      <w:bookmarkStart w:id="195" w:name="_Toc74065746"/>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48649708"/>
      <w:bookmarkStart w:id="200" w:name="_Toc21237"/>
      <w:bookmarkStart w:id="201" w:name="_Toc176189763"/>
      <w:bookmarkStart w:id="202" w:name="_Toc32092"/>
      <w:bookmarkStart w:id="203" w:name="_Toc17198"/>
      <w:bookmarkStart w:id="204" w:name="_Toc32584"/>
      <w:bookmarkStart w:id="205" w:name="_Toc141703890"/>
      <w:bookmarkStart w:id="206" w:name="_Toc29408"/>
      <w:bookmarkStart w:id="207" w:name="_Toc74065747"/>
      <w:bookmarkStart w:id="208" w:name="_Toc3329"/>
      <w:bookmarkStart w:id="209" w:name="_Toc123112238"/>
      <w:bookmarkStart w:id="210" w:name="_Toc139991740"/>
      <w:bookmarkStart w:id="211" w:name="_Toc79154674"/>
      <w:bookmarkStart w:id="212" w:name="_Toc123102457"/>
      <w:bookmarkStart w:id="213" w:name="_Toc123051456"/>
      <w:bookmarkStart w:id="214" w:name="_Toc5170"/>
      <w:bookmarkStart w:id="215" w:name="_Toc739"/>
      <w:bookmarkStart w:id="216" w:name="_Toc8791"/>
      <w:bookmarkStart w:id="217" w:name="_Toc79392622"/>
      <w:bookmarkStart w:id="218" w:name="_Toc98560356"/>
      <w:bookmarkStart w:id="219" w:name="_Toc17920"/>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（2）投资权益类资产的风险 </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1）投资股票类资产的风险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2）投资股权类资产的风险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color w:val="auto"/>
          <w:kern w:val="0"/>
          <w:sz w:val="18"/>
          <w:szCs w:val="18"/>
        </w:rPr>
        <w:t>兴银理财稳利恒盈封闭式2025年582期固收类理财产品</w:t>
      </w:r>
      <w:r>
        <w:rPr>
          <w:rFonts w:hint="eastAsia" w:cs="宋体" w:asciiTheme="majorEastAsia" w:hAnsiTheme="majorEastAsia" w:eastAsiaTheme="majorEastAsia"/>
          <w:bCs/>
          <w:kern w:val="0"/>
          <w:sz w:val="18"/>
          <w:szCs w:val="18"/>
        </w:rPr>
        <w:t>】</w:t>
      </w:r>
    </w:p>
    <w:p>
      <w:pPr>
        <w:rPr>
          <w:rFonts w:hint="eastAsia" w:ascii="宋体" w:hAnsi="宋体" w:cs="仿宋_GB2312"/>
          <w:color w:val="auto"/>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color w:val="auto"/>
          <w:kern w:val="0"/>
          <w:sz w:val="18"/>
          <w:szCs w:val="18"/>
        </w:rPr>
        <w:t>【稳利恒盈封闭2025年582期26M(纯盈颐养款)B】（适用【B】类份额）</w:t>
      </w:r>
    </w:p>
    <w:p>
      <w:pPr>
        <w:rPr>
          <w:rFonts w:hint="eastAsia" w:ascii="宋体" w:hAnsi="宋体" w:cs="仿宋_GB2312"/>
          <w:color w:val="auto"/>
          <w:kern w:val="0"/>
          <w:sz w:val="18"/>
          <w:szCs w:val="18"/>
        </w:rPr>
      </w:pPr>
      <w:r>
        <w:rPr>
          <w:rFonts w:hint="eastAsia" w:ascii="宋体" w:hAnsi="宋体" w:cs="仿宋_GB2312"/>
          <w:color w:val="auto"/>
          <w:kern w:val="0"/>
          <w:sz w:val="18"/>
          <w:szCs w:val="18"/>
        </w:rPr>
        <w:t>【稳利恒盈封闭2025年582期26M(纯盈颐养款)C】（适用【C】类份额）</w:t>
      </w:r>
    </w:p>
    <w:p>
      <w:pPr>
        <w:rPr>
          <w:rFonts w:hint="eastAsia" w:ascii="宋体" w:hAnsi="宋体" w:cs="仿宋_GB2312"/>
          <w:color w:val="auto"/>
          <w:kern w:val="0"/>
          <w:sz w:val="18"/>
          <w:szCs w:val="18"/>
        </w:rPr>
      </w:pPr>
      <w:r>
        <w:rPr>
          <w:rFonts w:hint="eastAsia" w:ascii="宋体" w:hAnsi="宋体" w:cs="仿宋_GB2312"/>
          <w:color w:val="auto"/>
          <w:kern w:val="0"/>
          <w:sz w:val="18"/>
          <w:szCs w:val="18"/>
        </w:rPr>
        <w:t>【稳利恒盈封闭2025年582期26M(纯盈颐养款)D】（适用【D】类份额）</w:t>
      </w:r>
    </w:p>
    <w:p>
      <w:pPr>
        <w:rPr>
          <w:rFonts w:hint="eastAsia" w:ascii="宋体" w:hAnsi="宋体" w:cs="仿宋_GB2312"/>
          <w:color w:val="auto"/>
          <w:kern w:val="0"/>
          <w:sz w:val="18"/>
          <w:szCs w:val="18"/>
        </w:rPr>
      </w:pPr>
      <w:r>
        <w:rPr>
          <w:rFonts w:hint="eastAsia" w:ascii="宋体" w:hAnsi="宋体" w:cs="仿宋_GB2312"/>
          <w:color w:val="auto"/>
          <w:kern w:val="0"/>
          <w:sz w:val="18"/>
          <w:szCs w:val="18"/>
        </w:rPr>
        <w:t>【稳利恒盈封闭2025年582期26M(纯盈颐养款)E】（适用【E】类份额）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color w:val="auto"/>
          <w:kern w:val="0"/>
          <w:sz w:val="18"/>
          <w:szCs w:val="18"/>
        </w:rPr>
        <w:t>Z7002025001679</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cs="宋体" w:asciiTheme="majorEastAsia" w:hAnsiTheme="majorEastAsia" w:eastAsiaTheme="majorEastAsia"/>
          <w:bCs/>
          <w:sz w:val="18"/>
          <w:szCs w:val="18"/>
        </w:rPr>
      </w:pPr>
      <w:r>
        <w:rPr>
          <w:rFonts w:hint="eastAsia" w:ascii="宋体" w:hAnsi="宋体" w:cs="仿宋_GB2312"/>
          <w:kern w:val="0"/>
          <w:sz w:val="18"/>
          <w:szCs w:val="18"/>
        </w:rPr>
        <w:t>【</w:t>
      </w:r>
      <w:r>
        <w:rPr>
          <w:rFonts w:hint="eastAsia" w:cs="宋体" w:asciiTheme="majorEastAsia" w:hAnsiTheme="majorEastAsia" w:eastAsiaTheme="majorEastAsia"/>
          <w:bCs/>
          <w:sz w:val="18"/>
          <w:szCs w:val="18"/>
        </w:rPr>
        <w:t>■有固定期限：【</w:t>
      </w:r>
      <w:r>
        <w:rPr>
          <w:rFonts w:hint="eastAsia" w:cs="宋体" w:asciiTheme="majorEastAsia" w:hAnsiTheme="majorEastAsia" w:eastAsiaTheme="majorEastAsia"/>
          <w:bCs/>
          <w:color w:val="auto"/>
          <w:sz w:val="18"/>
          <w:szCs w:val="18"/>
          <w:lang w:val="en-US" w:eastAsia="zh-CN"/>
        </w:rPr>
        <w:t>796</w:t>
      </w:r>
      <w:r>
        <w:rPr>
          <w:rFonts w:hint="eastAsia" w:cs="宋体" w:asciiTheme="majorEastAsia" w:hAnsiTheme="majorEastAsia" w:eastAsiaTheme="majorEastAsia"/>
          <w:bCs/>
          <w:sz w:val="18"/>
          <w:szCs w:val="18"/>
        </w:rPr>
        <w:t>天】</w:t>
      </w:r>
    </w:p>
    <w:p>
      <w:pPr>
        <w:ind w:firstLine="448" w:firstLineChars="249"/>
        <w:rPr>
          <w:rFonts w:ascii="宋体" w:hAnsi="宋体" w:cs="仿宋_GB2312"/>
          <w:kern w:val="0"/>
          <w:sz w:val="18"/>
          <w:szCs w:val="18"/>
        </w:rPr>
      </w:pPr>
      <w:r>
        <w:rPr>
          <w:rFonts w:hint="eastAsia" w:cs="宋体" w:asciiTheme="majorEastAsia" w:hAnsiTheme="majorEastAsia" w:eastAsiaTheme="majorEastAsia"/>
          <w:bCs/>
          <w:sz w:val="18"/>
          <w:szCs w:val="18"/>
        </w:rPr>
        <w:t>□无固定期限</w:t>
      </w:r>
      <w:r>
        <w:rPr>
          <w:rFonts w:hint="eastAsia" w:ascii="宋体" w:hAnsi="宋体" w:cs="仿宋_GB2312"/>
          <w:kern w:val="0"/>
          <w:sz w:val="18"/>
          <w:szCs w:val="18"/>
        </w:rPr>
        <w:t>】</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w:t>
      </w:r>
      <w:r>
        <w:rPr>
          <w:rFonts w:ascii="宋体" w:hAnsi="宋体" w:cs="仿宋_GB2312"/>
          <w:kern w:val="0"/>
          <w:sz w:val="18"/>
          <w:szCs w:val="18"/>
        </w:rPr>
        <w:t>2】</w:t>
      </w:r>
      <w:r>
        <w:rPr>
          <w:rFonts w:hint="eastAsia" w:ascii="宋体" w:hAnsi="宋体" w:cs="仿宋_GB2312"/>
          <w:kern w:val="0"/>
          <w:sz w:val="18"/>
          <w:szCs w:val="18"/>
        </w:rPr>
        <w:t>（产品管理人定义的产品风险评级为【R</w:t>
      </w:r>
      <w:r>
        <w:rPr>
          <w:rFonts w:ascii="宋体" w:hAnsi="宋体" w:cs="仿宋_GB2312"/>
          <w:kern w:val="0"/>
          <w:sz w:val="18"/>
          <w:szCs w:val="18"/>
        </w:rPr>
        <w:t>2</w:t>
      </w:r>
      <w:r>
        <w:rPr>
          <w:rFonts w:hint="eastAsia" w:ascii="宋体" w:hAnsi="宋体" w:cs="仿宋_GB2312"/>
          <w:kern w:val="0"/>
          <w:sz w:val="18"/>
          <w:szCs w:val="18"/>
        </w:rPr>
        <w:t>】；代理销售机构定义的产品风险评级为【R</w:t>
      </w:r>
      <w:r>
        <w:rPr>
          <w:rFonts w:ascii="宋体" w:hAnsi="宋体" w:cs="仿宋_GB2312"/>
          <w:kern w:val="0"/>
          <w:sz w:val="18"/>
          <w:szCs w:val="18"/>
        </w:rPr>
        <w:t>2</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C6】</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拟投资市场和资产的风险：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）投资标准化债权类资产的风险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）投资非标准化债权类资产的风险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本产品投资非标债权类资产时可能面临以下风险：由于融资主体</w:t>
      </w:r>
      <w:r>
        <w:rPr>
          <w:rFonts w:ascii="宋体" w:hAnsi="宋体" w:eastAsia="宋体" w:cs="宋体"/>
          <w:bCs/>
          <w:kern w:val="2"/>
          <w:sz w:val="18"/>
          <w:szCs w:val="18"/>
          <w:lang w:val="en-US" w:eastAsia="zh-CN" w:bidi="ar-SA"/>
        </w:rPr>
        <w:t>/</w:t>
      </w:r>
      <w:r>
        <w:rPr>
          <w:rFonts w:hint="eastAsia" w:ascii="宋体" w:hAnsi="宋体" w:eastAsia="宋体" w:cs="宋体"/>
          <w:bCs/>
          <w:kern w:val="2"/>
          <w:sz w:val="18"/>
          <w:szCs w:val="18"/>
          <w:lang w:val="en-US" w:eastAsia="zh-CN" w:bidi="ar-SA"/>
        </w:rPr>
        <w:t>增信主体</w:t>
      </w:r>
      <w:r>
        <w:rPr>
          <w:rFonts w:ascii="宋体" w:hAnsi="宋体" w:eastAsia="宋体" w:cs="宋体"/>
          <w:bCs/>
          <w:kern w:val="2"/>
          <w:sz w:val="18"/>
          <w:szCs w:val="18"/>
          <w:lang w:val="en-US" w:eastAsia="zh-CN" w:bidi="ar-SA"/>
        </w:rPr>
        <w:t>/</w:t>
      </w:r>
      <w:r>
        <w:rPr>
          <w:rFonts w:hint="eastAsia" w:ascii="宋体" w:hAnsi="宋体" w:eastAsia="宋体" w:cs="宋体"/>
          <w:bCs/>
          <w:kern w:val="2"/>
          <w:sz w:val="18"/>
          <w:szCs w:val="18"/>
          <w:lang w:val="en-US" w:eastAsia="zh-CN" w:bidi="ar-SA"/>
        </w:rPr>
        <w:t>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）投资权益类资产的风险</w:t>
      </w:r>
      <w:r>
        <w:rPr>
          <w:rFonts w:ascii="宋体" w:hAnsi="宋体" w:eastAsia="宋体" w:cs="宋体"/>
          <w:bCs/>
          <w:kern w:val="2"/>
          <w:sz w:val="18"/>
          <w:szCs w:val="18"/>
          <w:lang w:val="en-US" w:eastAsia="zh-CN" w:bidi="ar-SA"/>
        </w:rPr>
        <w:t xml:space="preserve"> </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）投资股票类资产的风险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）投资股权类资产的风险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3</w:t>
      </w:r>
      <w:r>
        <w:rPr>
          <w:rFonts w:hint="eastAsia" w:ascii="宋体" w:hAnsi="宋体" w:eastAsia="宋体" w:cs="宋体"/>
          <w:bCs/>
          <w:kern w:val="2"/>
          <w:sz w:val="18"/>
          <w:szCs w:val="18"/>
          <w:lang w:val="en-US" w:eastAsia="zh-CN" w:bidi="ar-SA"/>
        </w:rPr>
        <w:t>）投资商品和金融衍生品类资产的风险</w:t>
      </w:r>
      <w:r>
        <w:rPr>
          <w:rFonts w:ascii="宋体" w:hAnsi="宋体" w:eastAsia="宋体" w:cs="宋体"/>
          <w:bCs/>
          <w:kern w:val="2"/>
          <w:sz w:val="18"/>
          <w:szCs w:val="18"/>
          <w:lang w:val="en-US" w:eastAsia="zh-CN" w:bidi="ar-SA"/>
        </w:rPr>
        <w:t xml:space="preserve"> </w:t>
      </w:r>
    </w:p>
    <w:p>
      <w:pPr>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outlineLvl w:val="2"/>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40EC19A1"/>
    <w:rsid w:val="637F58C5"/>
    <w:rsid w:val="7C32569E"/>
    <w:rsid w:val="7CE97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46232</Words>
  <Characters>47205</Characters>
  <Lines>0</Lines>
  <Paragraphs>0</Paragraphs>
  <TotalTime>0</TotalTime>
  <ScaleCrop>false</ScaleCrop>
  <LinksUpToDate>false</LinksUpToDate>
  <CharactersWithSpaces>47662</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2025-11-24T09:58:56Z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D45CE0C8587C4B69B2DA433227D4884A</vt:lpwstr>
  </property>
</Properties>
</file>