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兴银理财【稳利安盈封闭式】理财产品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lang w:eastAsia="zh-CN"/>
              </w:rPr>
              <w:t>兴银理财【稳利安盈封闭式】理财产品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lang w:eastAsia="zh-CN"/>
              </w:rPr>
              <w:t>兴银理财【稳利安盈封闭式】理财产品</w:t>
            </w:r>
            <w:r>
              <w:rPr>
                <w:rFonts w:hint="eastAsia" w:ascii="宋体" w:hAnsi="宋体"/>
                <w:kern w:val="0"/>
                <w:sz w:val="20"/>
                <w:szCs w:val="21"/>
              </w:rPr>
              <w:t>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兴银理财【稳利安盈封闭式】理财产品</w:t>
            </w:r>
            <w:r>
              <w:rPr>
                <w:rFonts w:hint="eastAsia" w:ascii="宋体" w:hAnsi="宋体"/>
                <w:kern w:val="0"/>
                <w:sz w:val="20"/>
                <w:szCs w:val="21"/>
              </w:rPr>
              <w:t>（代理）销售协议书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lang w:eastAsia="zh-CN"/>
              </w:rPr>
              <w:t>兴银理财【稳利安盈封闭式】理财产品</w:t>
            </w:r>
            <w:r>
              <w:rPr>
                <w:rFonts w:hint="eastAsia" w:ascii="宋体" w:hAnsi="宋体"/>
                <w:kern w:val="0"/>
                <w:sz w:val="20"/>
                <w:szCs w:val="21"/>
              </w:rPr>
              <w:t>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兴银理财【稳利安盈封闭式】理财产品</w:t>
            </w:r>
            <w:r>
              <w:rPr>
                <w:rFonts w:hint="eastAsia" w:ascii="宋体" w:hAnsi="宋体"/>
                <w:kern w:val="0"/>
                <w:sz w:val="20"/>
                <w:szCs w:val="21"/>
              </w:rPr>
              <w:t>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兴银理财【稳利安盈封闭式】理财产品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2301"/>
      <w:bookmarkStart w:id="1" w:name="_Toc139991726"/>
      <w:bookmarkStart w:id="2" w:name="_Toc123112224"/>
      <w:bookmarkStart w:id="3" w:name="_Toc123701383"/>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23112225"/>
      <w:bookmarkStart w:id="7" w:name="_Toc123112264"/>
      <w:bookmarkStart w:id="8" w:name="_Toc139992302"/>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12</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66"/>
      <w:bookmarkStart w:id="12" w:name="_Toc12370138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30935"/>
      <w:bookmarkStart w:id="15" w:name="_Toc4966"/>
      <w:bookmarkStart w:id="16" w:name="_Toc32639"/>
      <w:bookmarkStart w:id="17" w:name="_Toc8727"/>
      <w:bookmarkStart w:id="18" w:name="_Toc23386"/>
      <w:bookmarkStart w:id="19" w:name="_Toc123112229"/>
      <w:bookmarkStart w:id="20" w:name="_Toc6306"/>
      <w:bookmarkStart w:id="21" w:name="_Toc29629"/>
      <w:bookmarkStart w:id="22" w:name="_Toc4867"/>
      <w:bookmarkStart w:id="23" w:name="_Toc123701389"/>
      <w:bookmarkStart w:id="24" w:name="_Toc139991730"/>
      <w:bookmarkStart w:id="25" w:name="_Toc141703880"/>
      <w:bookmarkStart w:id="26" w:name="_Toc123112268"/>
      <w:bookmarkStart w:id="27" w:name="_Toc15517"/>
      <w:bookmarkStart w:id="28" w:name="_Toc2689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1301"/>
      <w:bookmarkStart w:id="33" w:name="_Toc258829399"/>
      <w:bookmarkStart w:id="34" w:name="_Toc2465"/>
      <w:bookmarkStart w:id="35" w:name="_Toc24860"/>
      <w:bookmarkStart w:id="36" w:name="_Toc19592"/>
      <w:bookmarkStart w:id="37" w:name="_Toc819"/>
      <w:bookmarkStart w:id="38" w:name="_Toc3224"/>
      <w:bookmarkStart w:id="39" w:name="_Toc22864"/>
      <w:bookmarkStart w:id="40" w:name="_Toc6617"/>
      <w:bookmarkStart w:id="41" w:name="_Toc13020"/>
      <w:bookmarkStart w:id="42" w:name="_Toc15067"/>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0627"/>
      <w:bookmarkStart w:id="48" w:name="_Toc13288"/>
      <w:bookmarkStart w:id="49" w:name="_Toc22708"/>
      <w:bookmarkStart w:id="50" w:name="_Toc20318"/>
      <w:bookmarkStart w:id="51" w:name="_Toc6149"/>
      <w:bookmarkStart w:id="52" w:name="_Toc545"/>
      <w:bookmarkStart w:id="53" w:name="_Toc733"/>
      <w:bookmarkStart w:id="54" w:name="_Toc18631"/>
      <w:bookmarkStart w:id="55" w:name="_Toc6683"/>
      <w:bookmarkStart w:id="56" w:name="_Toc24571"/>
      <w:bookmarkStart w:id="57" w:name="_Toc74065740"/>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cols w:space="720" w:num="1"/>
          <w:docGrid w:type="lines" w:linePitch="312" w:charSpace="0"/>
        </w:sectPr>
      </w:pPr>
    </w:p>
    <w:p>
      <w:pPr>
        <w:pStyle w:val="14"/>
        <w:spacing w:line="360" w:lineRule="auto"/>
        <w:rPr>
          <w:rFonts w:hAnsi="宋体"/>
          <w:sz w:val="18"/>
          <w:szCs w:val="18"/>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兴银理财【稳利安盈封闭式】理财产品</w:t>
      </w: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bCs w:val="0"/>
          <w:sz w:val="28"/>
          <w:szCs w:val="28"/>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w:t>
      </w:r>
      <w:r>
        <w:rPr>
          <w:rStyle w:val="10"/>
          <w:rFonts w:hint="eastAsia" w:ascii="宋体" w:hAnsi="宋体" w:cs="Times New Roman"/>
          <w:sz w:val="32"/>
          <w:szCs w:val="32"/>
          <w:lang w:val="en-US" w:eastAsia="zh-CN"/>
        </w:rPr>
        <w:t>2025</w:t>
      </w:r>
      <w:r>
        <w:rPr>
          <w:rStyle w:val="10"/>
          <w:rFonts w:hint="eastAsia" w:ascii="宋体" w:hAnsi="宋体" w:cs="Times New Roman"/>
          <w:sz w:val="32"/>
          <w:szCs w:val="32"/>
        </w:rPr>
        <w:t>】年【</w:t>
      </w:r>
      <w:r>
        <w:rPr>
          <w:rStyle w:val="10"/>
          <w:rFonts w:hint="eastAsia" w:ascii="宋体" w:hAnsi="宋体" w:cs="Times New Roman"/>
          <w:sz w:val="32"/>
          <w:szCs w:val="32"/>
          <w:lang w:val="en-US" w:eastAsia="zh-CN"/>
        </w:rPr>
        <w:t>12</w:t>
      </w:r>
      <w:r>
        <w:rPr>
          <w:rStyle w:val="10"/>
          <w:rFonts w:hint="eastAsia" w:ascii="宋体" w:hAnsi="宋体" w:cs="Times New Roman"/>
          <w:sz w:val="32"/>
          <w:szCs w:val="32"/>
        </w:rPr>
        <w:t>】月</w:t>
      </w:r>
    </w:p>
    <w:p>
      <w:pPr>
        <w:adjustRightInd w:val="0"/>
        <w:spacing w:line="360" w:lineRule="auto"/>
        <w:jc w:val="center"/>
        <w:rPr>
          <w:rStyle w:val="10"/>
          <w:rFonts w:ascii="宋体" w:hAnsi="宋体"/>
          <w:sz w:val="32"/>
          <w:szCs w:val="32"/>
        </w:rPr>
      </w:pPr>
    </w:p>
    <w:p>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15"/>
            <w:spacing w:line="360" w:lineRule="auto"/>
            <w:jc w:val="center"/>
          </w:pPr>
          <w:bookmarkStart w:id="66" w:name="_Toc78276587"/>
          <w:r>
            <w:rPr>
              <w:lang w:val="zh-CN"/>
            </w:rPr>
            <w:t>目录</w:t>
          </w:r>
        </w:p>
        <w:p>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3</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8</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13</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15</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16</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19</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20</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24</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25</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28</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30</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32</w:t>
          </w:r>
          <w:r>
            <w:fldChar w:fldCharType="end"/>
          </w:r>
          <w:r>
            <w:fldChar w:fldCharType="end"/>
          </w:r>
        </w:p>
        <w:p>
          <w:pPr>
            <w:spacing w:line="360" w:lineRule="auto"/>
          </w:pPr>
          <w:r>
            <w:fldChar w:fldCharType="end"/>
          </w:r>
        </w:p>
      </w:sdtContent>
    </w:sdt>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w:t>
      </w:r>
      <w:r>
        <w:rPr>
          <w:rFonts w:hint="eastAsia" w:asciiTheme="majorEastAsia" w:hAnsiTheme="majorEastAsia" w:eastAsiaTheme="majorEastAsia"/>
          <w:bCs/>
          <w:color w:val="auto"/>
          <w:sz w:val="18"/>
          <w:szCs w:val="18"/>
          <w:lang w:eastAsia="zh-CN"/>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w:t>
      </w:r>
      <w:r>
        <w:rPr>
          <w:rFonts w:hint="eastAsia" w:asciiTheme="majorEastAsia" w:hAnsiTheme="majorEastAsia" w:eastAsiaTheme="majorEastAsia"/>
          <w:bCs/>
          <w:sz w:val="18"/>
          <w:szCs w:val="18"/>
          <w:lang w:eastAsia="zh-CN"/>
        </w:rPr>
        <w:t>兴银理财【稳利安盈封闭式】理财产品</w:t>
      </w:r>
      <w:r>
        <w:rPr>
          <w:rFonts w:hint="eastAsia" w:asciiTheme="majorEastAsia" w:hAnsiTheme="majorEastAsia" w:eastAsiaTheme="majorEastAsia"/>
          <w:bCs/>
          <w:sz w:val="18"/>
          <w:szCs w:val="18"/>
        </w:rPr>
        <w:t>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w:t>
      </w:r>
      <w:r>
        <w:rPr>
          <w:rFonts w:hint="eastAsia" w:asciiTheme="majorEastAsia" w:hAnsiTheme="majorEastAsia" w:eastAsiaTheme="majorEastAsia"/>
          <w:bCs/>
          <w:sz w:val="18"/>
          <w:szCs w:val="18"/>
          <w:lang w:eastAsia="zh-CN"/>
        </w:rPr>
        <w:t>兴银理财【稳利安盈封闭式】理财产品</w:t>
      </w:r>
      <w:r>
        <w:rPr>
          <w:rFonts w:hint="eastAsia" w:asciiTheme="majorEastAsia" w:hAnsiTheme="majorEastAsia" w:eastAsiaTheme="majorEastAsia"/>
          <w:bCs/>
          <w:sz w:val="18"/>
          <w:szCs w:val="18"/>
        </w:rPr>
        <w:t>投资协议书》，以及对该文件的有效修改或补充。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w:t>
      </w:r>
      <w:r>
        <w:rPr>
          <w:rFonts w:hint="eastAsia" w:asciiTheme="majorEastAsia" w:hAnsiTheme="majorEastAsia" w:eastAsiaTheme="majorEastAsia"/>
          <w:bCs/>
          <w:sz w:val="18"/>
          <w:szCs w:val="18"/>
          <w:lang w:eastAsia="zh-CN"/>
        </w:rPr>
        <w:t>兴银理财【稳利安盈封闭式】理财产品</w:t>
      </w:r>
      <w:r>
        <w:rPr>
          <w:rFonts w:hint="eastAsia" w:asciiTheme="majorEastAsia" w:hAnsiTheme="majorEastAsia" w:eastAsiaTheme="majorEastAsia"/>
          <w:bCs/>
          <w:sz w:val="18"/>
          <w:szCs w:val="18"/>
        </w:rPr>
        <w:t>产品说明书》，以及对该文件的有效修改或补充。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w:t>
      </w:r>
      <w:r>
        <w:rPr>
          <w:rFonts w:hint="eastAsia" w:asciiTheme="majorEastAsia" w:hAnsiTheme="majorEastAsia" w:eastAsiaTheme="majorEastAsia"/>
          <w:bCs/>
          <w:sz w:val="18"/>
          <w:szCs w:val="18"/>
          <w:lang w:eastAsia="zh-CN"/>
        </w:rPr>
        <w:t>兴银理财【稳利安盈封闭式】理财产品</w:t>
      </w:r>
      <w:r>
        <w:rPr>
          <w:rFonts w:hint="eastAsia" w:asciiTheme="majorEastAsia" w:hAnsiTheme="majorEastAsia" w:eastAsiaTheme="majorEastAsia"/>
          <w:bCs/>
          <w:sz w:val="18"/>
          <w:szCs w:val="18"/>
        </w:rPr>
        <w:t>（代理）销售协议书》或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兴银理财【稳利安盈封闭式】理财产品</w:t>
      </w:r>
      <w:r>
        <w:rPr>
          <w:rFonts w:hint="eastAsia" w:asciiTheme="majorEastAsia" w:hAnsiTheme="majorEastAsia" w:eastAsiaTheme="majorEastAsia"/>
          <w:bCs/>
          <w:sz w:val="18"/>
          <w:szCs w:val="18"/>
        </w:rPr>
        <w:t>（代理）销售协议书》（文件名称以代理销售机构实际编制为准），以及对该文件的有效修改或补充。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w:t>
      </w:r>
      <w:r>
        <w:rPr>
          <w:rFonts w:hint="eastAsia" w:asciiTheme="majorEastAsia" w:hAnsiTheme="majorEastAsia" w:eastAsiaTheme="majorEastAsia"/>
          <w:bCs/>
          <w:sz w:val="18"/>
          <w:szCs w:val="18"/>
          <w:lang w:eastAsia="zh-CN"/>
        </w:rPr>
        <w:t>兴银理财【稳利安盈封闭式】理财产品</w:t>
      </w:r>
      <w:r>
        <w:rPr>
          <w:rFonts w:hint="eastAsia" w:asciiTheme="majorEastAsia" w:hAnsiTheme="majorEastAsia" w:eastAsiaTheme="majorEastAsia"/>
          <w:bCs/>
          <w:sz w:val="18"/>
          <w:szCs w:val="18"/>
        </w:rPr>
        <w:t>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兴银理财【稳利安盈封闭式】理财产品</w:t>
      </w:r>
      <w:r>
        <w:rPr>
          <w:rFonts w:hint="eastAsia" w:asciiTheme="majorEastAsia" w:hAnsiTheme="majorEastAsia" w:eastAsiaTheme="majorEastAsia"/>
          <w:bCs/>
          <w:sz w:val="18"/>
          <w:szCs w:val="18"/>
        </w:rPr>
        <w:t>风险揭示书》（文件名称以代理销售机构实际编制为准），以及对该文件的有效修改或补充。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w:t>
      </w:r>
      <w:r>
        <w:rPr>
          <w:rFonts w:hint="eastAsia" w:asciiTheme="majorEastAsia" w:hAnsiTheme="majorEastAsia" w:eastAsiaTheme="majorEastAsia"/>
          <w:bCs/>
          <w:sz w:val="18"/>
          <w:szCs w:val="18"/>
          <w:lang w:eastAsia="zh-CN"/>
        </w:rPr>
        <w:t>兴银理财【稳利安盈封闭式】理财产品</w:t>
      </w:r>
      <w:r>
        <w:rPr>
          <w:rFonts w:hint="eastAsia" w:asciiTheme="majorEastAsia" w:hAnsiTheme="majorEastAsia" w:eastAsiaTheme="majorEastAsia"/>
          <w:bCs/>
          <w:sz w:val="18"/>
          <w:szCs w:val="18"/>
        </w:rPr>
        <w:t>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兴银理财【稳利安盈封闭式】理财产品</w:t>
      </w:r>
      <w:r>
        <w:rPr>
          <w:rFonts w:hint="eastAsia" w:asciiTheme="majorEastAsia" w:hAnsiTheme="majorEastAsia" w:eastAsiaTheme="majorEastAsia"/>
          <w:bCs/>
          <w:sz w:val="18"/>
          <w:szCs w:val="18"/>
        </w:rPr>
        <w:t>投资者权益须知》（文件名称以代理销售机构实际编制为准），以及对该文件的有效修改或补充。</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pPr>
        <w:pStyle w:val="2"/>
        <w:spacing w:before="0" w:after="0" w:line="360" w:lineRule="auto"/>
        <w:jc w:val="center"/>
        <w:rPr>
          <w:rFonts w:hAnsi="宋体"/>
          <w:sz w:val="28"/>
          <w:szCs w:val="28"/>
        </w:rPr>
      </w:pPr>
      <w:bookmarkStart w:id="68" w:name="_Toc79154665"/>
      <w:bookmarkStart w:id="69" w:name="_Toc176189754"/>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tcPr>
          <w:p>
            <w:pPr>
              <w:spacing w:line="360" w:lineRule="auto"/>
              <w:jc w:val="left"/>
              <w:rPr>
                <w:rFonts w:ascii="宋体" w:hAnsi="宋体"/>
                <w:bCs/>
                <w:sz w:val="18"/>
                <w:szCs w:val="18"/>
              </w:rPr>
            </w:pPr>
            <w:r>
              <w:rPr>
                <w:rFonts w:hint="eastAsia" w:asciiTheme="majorEastAsia" w:hAnsiTheme="majorEastAsia" w:eastAsiaTheme="majorEastAsia"/>
                <w:bCs/>
                <w:kern w:val="0"/>
                <w:sz w:val="18"/>
                <w:szCs w:val="18"/>
              </w:rPr>
              <w:t>【兴银理财稳利安盈封闭式2025年88期固收类理财产品】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tcPr>
          <w:p>
            <w:pPr>
              <w:widowControl/>
              <w:spacing w:line="360" w:lineRule="auto"/>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【兴银稳利安盈25年88期B】（适用【B】类份额）</w:t>
            </w:r>
          </w:p>
          <w:p>
            <w:pPr>
              <w:widowControl/>
              <w:spacing w:line="360" w:lineRule="auto"/>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【兴银稳利安盈25年88期C】（适用【C】类份额）</w:t>
            </w:r>
          </w:p>
          <w:p>
            <w:pPr>
              <w:widowControl/>
              <w:spacing w:line="360" w:lineRule="auto"/>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【兴银稳利安盈25年88期D】（适用【D】类份额）</w:t>
            </w:r>
          </w:p>
          <w:p>
            <w:pPr>
              <w:widowControl/>
              <w:spacing w:line="360" w:lineRule="auto"/>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【兴银稳利安盈25年88期E】（适用【E】类份额）</w:t>
            </w:r>
          </w:p>
          <w:p>
            <w:pPr>
              <w:widowControl/>
              <w:spacing w:line="360" w:lineRule="auto"/>
              <w:jc w:val="left"/>
              <w:rPr>
                <w:rFonts w:ascii="宋体" w:hAnsi="宋体"/>
                <w:kern w:val="0"/>
                <w:sz w:val="22"/>
              </w:rPr>
            </w:pPr>
            <w:r>
              <w:rPr>
                <w:rFonts w:hint="eastAsia" w:asciiTheme="majorEastAsia" w:hAnsiTheme="majorEastAsia" w:eastAsiaTheme="majorEastAsia"/>
                <w:bCs/>
                <w:kern w:val="0"/>
                <w:sz w:val="18"/>
                <w:szCs w:val="18"/>
              </w:rPr>
              <w:t>【兴银稳利安盈25年88期F】（适用【F】类份额）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tcPr>
          <w:p>
            <w:pPr>
              <w:spacing w:line="360" w:lineRule="auto"/>
              <w:jc w:val="left"/>
              <w:rPr>
                <w:rFonts w:ascii="宋体" w:hAnsi="宋体"/>
                <w:b/>
                <w:sz w:val="18"/>
                <w:szCs w:val="18"/>
              </w:rPr>
            </w:pPr>
            <w:r>
              <w:rPr>
                <w:rFonts w:hint="eastAsia" w:asciiTheme="minorEastAsia" w:hAnsiTheme="minorEastAsia"/>
                <w:sz w:val="18"/>
                <w:szCs w:val="18"/>
              </w:rPr>
              <w:t>【Z7002025002257】</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pPr>
              <w:spacing w:line="360" w:lineRule="auto"/>
              <w:jc w:val="left"/>
              <w:rPr>
                <w:rFonts w:ascii="宋体" w:hAnsi="宋体"/>
                <w:bCs/>
                <w:sz w:val="18"/>
                <w:szCs w:val="18"/>
              </w:rPr>
            </w:pPr>
            <w:r>
              <w:rPr>
                <w:rFonts w:ascii="宋体" w:hAnsi="宋体"/>
                <w:bCs/>
                <w:sz w:val="18"/>
                <w:szCs w:val="18"/>
              </w:rPr>
              <w:t>【</w:t>
            </w:r>
            <w:r>
              <w:rPr>
                <w:rFonts w:hint="eastAsia" w:ascii="宋体" w:hAnsi="宋体"/>
                <w:bCs/>
                <w:sz w:val="18"/>
                <w:szCs w:val="18"/>
              </w:rPr>
              <w:t>9A250880】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tcPr>
          <w:p>
            <w:pPr>
              <w:widowControl/>
              <w:spacing w:line="360" w:lineRule="auto"/>
              <w:jc w:val="left"/>
              <w:rPr>
                <w:rFonts w:hint="eastAsia" w:asciiTheme="majorEastAsia" w:hAnsiTheme="majorEastAsia" w:eastAsiaTheme="majorEastAsia"/>
                <w:bCs/>
                <w:kern w:val="0"/>
                <w:sz w:val="18"/>
                <w:szCs w:val="18"/>
                <w:lang w:eastAsia="zh-CN"/>
              </w:rPr>
            </w:pPr>
            <w:r>
              <w:rPr>
                <w:rFonts w:hint="eastAsia" w:asciiTheme="majorEastAsia" w:hAnsiTheme="majorEastAsia" w:eastAsiaTheme="majorEastAsia"/>
                <w:bCs/>
                <w:kern w:val="0"/>
                <w:sz w:val="18"/>
                <w:szCs w:val="18"/>
                <w:lang w:eastAsia="zh-CN"/>
              </w:rPr>
              <w:t>【9A25088B】（适用【</w:t>
            </w:r>
            <w:r>
              <w:rPr>
                <w:rFonts w:hint="eastAsia" w:asciiTheme="majorEastAsia" w:hAnsiTheme="majorEastAsia" w:eastAsiaTheme="majorEastAsia"/>
                <w:bCs/>
                <w:kern w:val="0"/>
                <w:sz w:val="18"/>
                <w:szCs w:val="18"/>
                <w:lang w:val="en-US" w:eastAsia="zh-CN"/>
              </w:rPr>
              <w:t>B</w:t>
            </w:r>
            <w:r>
              <w:rPr>
                <w:rFonts w:hint="eastAsia" w:asciiTheme="majorEastAsia" w:hAnsiTheme="majorEastAsia" w:eastAsiaTheme="majorEastAsia"/>
                <w:bCs/>
                <w:kern w:val="0"/>
                <w:sz w:val="18"/>
                <w:szCs w:val="18"/>
                <w:lang w:eastAsia="zh-CN"/>
              </w:rPr>
              <w:t>】类份额）</w:t>
            </w:r>
          </w:p>
          <w:p>
            <w:pPr>
              <w:widowControl/>
              <w:spacing w:line="360" w:lineRule="auto"/>
              <w:jc w:val="left"/>
              <w:rPr>
                <w:rFonts w:hint="eastAsia" w:asciiTheme="majorEastAsia" w:hAnsiTheme="majorEastAsia" w:eastAsiaTheme="majorEastAsia"/>
                <w:bCs/>
                <w:kern w:val="0"/>
                <w:sz w:val="18"/>
                <w:szCs w:val="18"/>
                <w:lang w:eastAsia="zh-CN"/>
              </w:rPr>
            </w:pPr>
            <w:r>
              <w:rPr>
                <w:rFonts w:hint="eastAsia" w:asciiTheme="majorEastAsia" w:hAnsiTheme="majorEastAsia" w:eastAsiaTheme="majorEastAsia"/>
                <w:bCs/>
                <w:kern w:val="0"/>
                <w:sz w:val="18"/>
                <w:szCs w:val="18"/>
                <w:lang w:eastAsia="zh-CN"/>
              </w:rPr>
              <w:t>【9A25088C】（适用【</w:t>
            </w:r>
            <w:r>
              <w:rPr>
                <w:rFonts w:hint="eastAsia" w:asciiTheme="majorEastAsia" w:hAnsiTheme="majorEastAsia" w:eastAsiaTheme="majorEastAsia"/>
                <w:bCs/>
                <w:kern w:val="0"/>
                <w:sz w:val="18"/>
                <w:szCs w:val="18"/>
                <w:lang w:val="en-US" w:eastAsia="zh-CN"/>
              </w:rPr>
              <w:t>C</w:t>
            </w:r>
            <w:r>
              <w:rPr>
                <w:rFonts w:hint="eastAsia" w:asciiTheme="majorEastAsia" w:hAnsiTheme="majorEastAsia" w:eastAsiaTheme="majorEastAsia"/>
                <w:bCs/>
                <w:kern w:val="0"/>
                <w:sz w:val="18"/>
                <w:szCs w:val="18"/>
                <w:lang w:eastAsia="zh-CN"/>
              </w:rPr>
              <w:t>】类份额）</w:t>
            </w:r>
          </w:p>
          <w:p>
            <w:pPr>
              <w:widowControl/>
              <w:spacing w:line="360" w:lineRule="auto"/>
              <w:jc w:val="left"/>
              <w:rPr>
                <w:rFonts w:hint="eastAsia" w:asciiTheme="majorEastAsia" w:hAnsiTheme="majorEastAsia" w:eastAsiaTheme="majorEastAsia"/>
                <w:bCs/>
                <w:kern w:val="0"/>
                <w:sz w:val="18"/>
                <w:szCs w:val="18"/>
                <w:lang w:eastAsia="zh-CN"/>
              </w:rPr>
            </w:pPr>
            <w:r>
              <w:rPr>
                <w:rFonts w:hint="eastAsia" w:asciiTheme="majorEastAsia" w:hAnsiTheme="majorEastAsia" w:eastAsiaTheme="majorEastAsia"/>
                <w:bCs/>
                <w:kern w:val="0"/>
                <w:sz w:val="18"/>
                <w:szCs w:val="18"/>
                <w:lang w:eastAsia="zh-CN"/>
              </w:rPr>
              <w:t>【9A25088D】（适用【</w:t>
            </w:r>
            <w:r>
              <w:rPr>
                <w:rFonts w:hint="eastAsia" w:asciiTheme="majorEastAsia" w:hAnsiTheme="majorEastAsia" w:eastAsiaTheme="majorEastAsia"/>
                <w:bCs/>
                <w:kern w:val="0"/>
                <w:sz w:val="18"/>
                <w:szCs w:val="18"/>
                <w:lang w:val="en-US" w:eastAsia="zh-CN"/>
              </w:rPr>
              <w:t>D</w:t>
            </w:r>
            <w:r>
              <w:rPr>
                <w:rFonts w:hint="eastAsia" w:asciiTheme="majorEastAsia" w:hAnsiTheme="majorEastAsia" w:eastAsiaTheme="majorEastAsia"/>
                <w:bCs/>
                <w:kern w:val="0"/>
                <w:sz w:val="18"/>
                <w:szCs w:val="18"/>
                <w:lang w:eastAsia="zh-CN"/>
              </w:rPr>
              <w:t>】类份额）</w:t>
            </w:r>
          </w:p>
          <w:p>
            <w:pPr>
              <w:widowControl/>
              <w:spacing w:line="360" w:lineRule="auto"/>
              <w:jc w:val="left"/>
              <w:rPr>
                <w:rFonts w:hint="eastAsia" w:asciiTheme="majorEastAsia" w:hAnsiTheme="majorEastAsia" w:eastAsiaTheme="majorEastAsia"/>
                <w:bCs/>
                <w:kern w:val="0"/>
                <w:sz w:val="18"/>
                <w:szCs w:val="18"/>
                <w:lang w:eastAsia="zh-CN"/>
              </w:rPr>
            </w:pPr>
            <w:r>
              <w:rPr>
                <w:rFonts w:hint="eastAsia" w:asciiTheme="majorEastAsia" w:hAnsiTheme="majorEastAsia" w:eastAsiaTheme="majorEastAsia"/>
                <w:bCs/>
                <w:kern w:val="0"/>
                <w:sz w:val="18"/>
                <w:szCs w:val="18"/>
                <w:lang w:eastAsia="zh-CN"/>
              </w:rPr>
              <w:t>【9A25088E】（适用【</w:t>
            </w:r>
            <w:r>
              <w:rPr>
                <w:rFonts w:hint="eastAsia" w:asciiTheme="majorEastAsia" w:hAnsiTheme="majorEastAsia" w:eastAsiaTheme="majorEastAsia"/>
                <w:bCs/>
                <w:kern w:val="0"/>
                <w:sz w:val="18"/>
                <w:szCs w:val="18"/>
                <w:lang w:val="en-US" w:eastAsia="zh-CN"/>
              </w:rPr>
              <w:t>E</w:t>
            </w:r>
            <w:r>
              <w:rPr>
                <w:rFonts w:hint="eastAsia" w:asciiTheme="majorEastAsia" w:hAnsiTheme="majorEastAsia" w:eastAsiaTheme="majorEastAsia"/>
                <w:bCs/>
                <w:kern w:val="0"/>
                <w:sz w:val="18"/>
                <w:szCs w:val="18"/>
                <w:lang w:eastAsia="zh-CN"/>
              </w:rPr>
              <w:t>】类份额）</w:t>
            </w:r>
          </w:p>
          <w:p>
            <w:pPr>
              <w:spacing w:line="360" w:lineRule="auto"/>
              <w:jc w:val="left"/>
              <w:rPr>
                <w:rFonts w:hAnsi="宋体"/>
                <w:sz w:val="18"/>
                <w:szCs w:val="18"/>
              </w:rPr>
            </w:pPr>
            <w:r>
              <w:rPr>
                <w:rFonts w:hint="eastAsia" w:asciiTheme="majorEastAsia" w:hAnsiTheme="majorEastAsia" w:eastAsiaTheme="majorEastAsia"/>
                <w:bCs/>
                <w:kern w:val="0"/>
                <w:sz w:val="18"/>
                <w:szCs w:val="18"/>
                <w:lang w:eastAsia="zh-CN"/>
              </w:rPr>
              <w:t>【9A25088F】（适用【</w:t>
            </w:r>
            <w:r>
              <w:rPr>
                <w:rFonts w:hint="eastAsia" w:asciiTheme="majorEastAsia" w:hAnsiTheme="majorEastAsia" w:eastAsiaTheme="majorEastAsia"/>
                <w:bCs/>
                <w:kern w:val="0"/>
                <w:sz w:val="18"/>
                <w:szCs w:val="18"/>
                <w:lang w:val="en-US" w:eastAsia="zh-CN"/>
              </w:rPr>
              <w:t>F</w:t>
            </w:r>
            <w:r>
              <w:rPr>
                <w:rFonts w:hint="eastAsia" w:asciiTheme="majorEastAsia" w:hAnsiTheme="majorEastAsia" w:eastAsiaTheme="majorEastAsia"/>
                <w:bCs/>
                <w:kern w:val="0"/>
                <w:sz w:val="18"/>
                <w:szCs w:val="18"/>
                <w:lang w:eastAsia="zh-CN"/>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pPr>
              <w:spacing w:line="360" w:lineRule="auto"/>
              <w:rPr>
                <w:rFonts w:ascii="宋体" w:hAnsi="宋体"/>
                <w:bCs/>
                <w:sz w:val="18"/>
                <w:szCs w:val="18"/>
              </w:rPr>
            </w:pPr>
            <w:r>
              <w:rPr>
                <w:rFonts w:hint="eastAsia" w:ascii="宋体" w:hAnsi="宋体"/>
                <w:bCs/>
                <w:sz w:val="18"/>
                <w:szCs w:val="18"/>
              </w:rPr>
              <w:t>（1）销售名称</w:t>
            </w:r>
          </w:p>
          <w:p>
            <w:pPr>
              <w:spacing w:line="360" w:lineRule="auto"/>
              <w:rPr>
                <w:rFonts w:ascii="宋体" w:hAnsi="宋体"/>
                <w:bCs/>
                <w:sz w:val="18"/>
                <w:szCs w:val="18"/>
              </w:rPr>
            </w:pPr>
            <w:r>
              <w:rPr>
                <w:rFonts w:hint="eastAsia" w:ascii="宋体" w:hAnsi="宋体"/>
                <w:bCs/>
                <w:sz w:val="18"/>
                <w:szCs w:val="18"/>
              </w:rPr>
              <w:t>（2）收费方式</w:t>
            </w:r>
          </w:p>
          <w:p>
            <w:pPr>
              <w:spacing w:line="360" w:lineRule="auto"/>
              <w:rPr>
                <w:rFonts w:ascii="宋体" w:hAnsi="宋体"/>
                <w:bCs/>
                <w:sz w:val="18"/>
                <w:szCs w:val="18"/>
              </w:rPr>
            </w:pPr>
            <w:r>
              <w:rPr>
                <w:rFonts w:hint="eastAsia" w:ascii="宋体" w:hAnsi="宋体"/>
                <w:bCs/>
                <w:sz w:val="18"/>
                <w:szCs w:val="18"/>
              </w:rPr>
              <w:t>（3）销售服务费</w:t>
            </w:r>
          </w:p>
          <w:p>
            <w:pPr>
              <w:spacing w:line="360" w:lineRule="auto"/>
              <w:rPr>
                <w:rFonts w:ascii="宋体" w:hAnsi="宋体"/>
                <w:bCs/>
                <w:sz w:val="18"/>
                <w:szCs w:val="18"/>
              </w:rPr>
            </w:pPr>
            <w:r>
              <w:rPr>
                <w:rFonts w:hint="eastAsia" w:ascii="宋体" w:hAnsi="宋体"/>
                <w:bCs/>
                <w:sz w:val="18"/>
                <w:szCs w:val="18"/>
              </w:rPr>
              <w:t>（4）销售代码</w:t>
            </w:r>
          </w:p>
          <w:p>
            <w:pPr>
              <w:spacing w:line="360" w:lineRule="auto"/>
              <w:rPr>
                <w:rFonts w:ascii="宋体" w:hAnsi="宋体"/>
                <w:bCs/>
                <w:sz w:val="18"/>
                <w:szCs w:val="18"/>
              </w:rPr>
            </w:pPr>
            <w:r>
              <w:rPr>
                <w:rFonts w:hint="eastAsia" w:ascii="宋体" w:hAnsi="宋体"/>
                <w:bCs/>
                <w:sz w:val="18"/>
                <w:szCs w:val="18"/>
              </w:rPr>
              <w:t>（5）销售对象</w:t>
            </w:r>
          </w:p>
          <w:p>
            <w:pPr>
              <w:spacing w:line="360" w:lineRule="auto"/>
              <w:rPr>
                <w:rFonts w:ascii="宋体" w:hAnsi="宋体"/>
                <w:bCs/>
                <w:sz w:val="18"/>
                <w:szCs w:val="18"/>
              </w:rPr>
            </w:pPr>
            <w:r>
              <w:rPr>
                <w:rFonts w:hint="eastAsia" w:ascii="宋体" w:hAnsi="宋体"/>
                <w:bCs/>
                <w:sz w:val="18"/>
                <w:szCs w:val="18"/>
              </w:rPr>
              <w:t>（6）销售起点金额（认购、申购的起点金额）</w:t>
            </w:r>
          </w:p>
          <w:p>
            <w:pPr>
              <w:spacing w:line="360" w:lineRule="auto"/>
              <w:rPr>
                <w:rFonts w:ascii="宋体" w:hAnsi="宋体"/>
                <w:bCs/>
                <w:sz w:val="18"/>
                <w:szCs w:val="18"/>
              </w:rPr>
            </w:pPr>
            <w:r>
              <w:rPr>
                <w:rFonts w:hint="eastAsia" w:ascii="宋体" w:hAnsi="宋体"/>
                <w:bCs/>
                <w:sz w:val="18"/>
                <w:szCs w:val="18"/>
              </w:rPr>
              <w:t>（7）投资者认购、申购和赎回的数量限制</w:t>
            </w:r>
          </w:p>
          <w:p>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spacing w:line="360" w:lineRule="auto"/>
              <w:rPr>
                <w:rFonts w:ascii="宋体" w:hAnsi="宋体"/>
                <w:bCs/>
                <w:sz w:val="18"/>
                <w:szCs w:val="18"/>
              </w:rPr>
            </w:pPr>
            <w:r>
              <w:rPr>
                <w:rFonts w:hint="eastAsia" w:ascii="宋体" w:hAnsi="宋体"/>
                <w:bCs/>
                <w:sz w:val="18"/>
                <w:szCs w:val="18"/>
              </w:rPr>
              <w:t>（9）分别计算和公告产品份额净值</w:t>
            </w:r>
          </w:p>
          <w:p>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pPr>
              <w:spacing w:line="360" w:lineRule="auto"/>
              <w:rPr>
                <w:rFonts w:ascii="宋体" w:hAnsi="宋体"/>
                <w:bCs/>
                <w:sz w:val="18"/>
                <w:szCs w:val="18"/>
              </w:rPr>
            </w:pPr>
            <w:r>
              <w:rPr>
                <w:rFonts w:hint="eastAsia" w:ascii="宋体" w:hAnsi="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Theme="majorEastAsia" w:hAnsiTheme="majorEastAsia" w:eastAsiaTheme="majorEastAsia"/>
                <w:bCs/>
                <w:sz w:val="18"/>
                <w:szCs w:val="18"/>
                <w:lang w:eastAsia="zh-CN"/>
              </w:rPr>
              <w:t>■</w:t>
            </w:r>
            <w:r>
              <w:rPr>
                <w:rFonts w:hint="eastAsia" w:ascii="黑体" w:hAnsi="黑体" w:eastAsia="黑体" w:cs="黑体"/>
                <w:bCs/>
                <w:sz w:val="18"/>
                <w:szCs w:val="18"/>
              </w:rPr>
              <w:t xml:space="preserve"> R1、□ R2、□ R3、□ R4、□ R5】理财产品。</w:t>
            </w:r>
          </w:p>
          <w:p>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r>
              <w:rPr>
                <w:rFonts w:hint="eastAsia" w:asciiTheme="majorEastAsia" w:hAnsiTheme="majorEastAsia" w:eastAsiaTheme="majorEastAsia"/>
                <w:bCs/>
                <w:color w:val="000000" w:themeColor="text1"/>
                <w:sz w:val="18"/>
                <w:szCs w:val="18"/>
                <w14:textFill>
                  <w14:solidFill>
                    <w14:schemeClr w14:val="tx1"/>
                  </w14:solidFill>
                </w14:textFill>
              </w:rPr>
              <w:t>（适用【</w:t>
            </w:r>
            <w:bookmarkStart w:id="70" w:name="Sharetype"/>
            <w:bookmarkEnd w:id="70"/>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B/C/D/E/F</w:t>
            </w:r>
            <w:r>
              <w:rPr>
                <w:rFonts w:hint="eastAsia" w:asciiTheme="majorEastAsia" w:hAnsiTheme="majorEastAsia" w:eastAsiaTheme="majorEastAsia"/>
                <w:bCs/>
                <w:color w:val="000000" w:themeColor="text1"/>
                <w:sz w:val="18"/>
                <w:szCs w:val="18"/>
                <w14:textFill>
                  <w14:solidFill>
                    <w14:schemeClr w14:val="tx1"/>
                  </w14:solidFill>
                </w14:textFill>
              </w:rPr>
              <w:t>】类份额）</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 直销适用</w:t>
            </w:r>
          </w:p>
          <w:p>
            <w:pPr>
              <w:spacing w:line="360" w:lineRule="auto"/>
              <w:jc w:val="left"/>
              <w:rPr>
                <w:rFonts w:ascii="宋体" w:hAnsi="宋体"/>
                <w:sz w:val="18"/>
                <w:szCs w:val="18"/>
              </w:rPr>
            </w:pPr>
            <w:r>
              <w:rPr>
                <w:rFonts w:hint="eastAsia" w:ascii="宋体" w:hAnsi="宋体"/>
                <w:sz w:val="18"/>
                <w:szCs w:val="18"/>
              </w:rPr>
              <w:t>本产品由产品管理人销售。</w:t>
            </w:r>
          </w:p>
          <w:p>
            <w:pPr>
              <w:spacing w:line="360" w:lineRule="auto"/>
              <w:jc w:val="left"/>
              <w:rPr>
                <w:rFonts w:ascii="宋体" w:hAnsi="宋体"/>
                <w:sz w:val="18"/>
                <w:szCs w:val="18"/>
              </w:rPr>
            </w:pPr>
            <w:r>
              <w:rPr>
                <w:rFonts w:hint="eastAsia" w:asciiTheme="majorEastAsia" w:hAnsiTheme="majorEastAsia" w:eastAsiaTheme="majorEastAsia"/>
                <w:bCs/>
                <w:sz w:val="18"/>
                <w:szCs w:val="18"/>
                <w:lang w:eastAsia="zh-CN"/>
              </w:rPr>
              <w:t>■</w:t>
            </w:r>
            <w:r>
              <w:rPr>
                <w:rFonts w:hint="eastAsia" w:ascii="宋体" w:hAnsi="宋体"/>
                <w:sz w:val="18"/>
                <w:szCs w:val="18"/>
              </w:rPr>
              <w:t xml:space="preserve"> 代销适用</w:t>
            </w:r>
          </w:p>
          <w:p>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lang w:eastAsia="zh-CN"/>
              </w:rPr>
              <w:t>中国工商银行股份有限公司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w:t>
            </w:r>
            <w:r>
              <w:rPr>
                <w:rFonts w:hint="eastAsia" w:asciiTheme="majorEastAsia" w:hAnsiTheme="majorEastAsia" w:eastAsiaTheme="majorEastAsia"/>
                <w:bCs/>
                <w:sz w:val="18"/>
                <w:szCs w:val="18"/>
                <w:lang w:val="en-US" w:eastAsia="zh-CN"/>
              </w:rPr>
              <w:t>6</w:t>
            </w:r>
            <w:r>
              <w:rPr>
                <w:rFonts w:hint="eastAsia" w:asciiTheme="majorEastAsia" w:hAnsiTheme="majorEastAsia" w:eastAsiaTheme="majorEastAsia"/>
                <w:bCs/>
                <w:sz w:val="18"/>
                <w:szCs w:val="18"/>
              </w:rPr>
              <w:t>】亿元，最小成立规模为【</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】亿元。</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sz w:val="18"/>
                <w:szCs w:val="18"/>
              </w:rPr>
              <w:t>有固定期限：【</w:t>
            </w:r>
            <w:r>
              <w:rPr>
                <w:rFonts w:hint="eastAsia" w:asciiTheme="majorEastAsia" w:hAnsiTheme="majorEastAsia" w:eastAsiaTheme="majorEastAsia"/>
                <w:bCs/>
                <w:sz w:val="18"/>
                <w:szCs w:val="18"/>
                <w:lang w:val="en-US" w:eastAsia="zh-CN"/>
              </w:rPr>
              <w:t>170天</w:t>
            </w:r>
            <w:r>
              <w:rPr>
                <w:rFonts w:hint="eastAsia" w:asciiTheme="majorEastAsia" w:hAnsiTheme="majorEastAsia" w:eastAsiaTheme="majorEastAsia"/>
                <w:bCs/>
                <w:sz w:val="18"/>
                <w:szCs w:val="18"/>
              </w:rPr>
              <w:t>】</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□无固定期限</w:t>
            </w:r>
          </w:p>
          <w:p>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12</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25</w:t>
            </w:r>
            <w:r>
              <w:rPr>
                <w:rFonts w:hint="eastAsia" w:cs="Times New Roman" w:asciiTheme="minorEastAsia" w:hAnsiTheme="minorEastAsia"/>
                <w:sz w:val="18"/>
                <w:szCs w:val="18"/>
              </w:rPr>
              <w:t>】日【</w:t>
            </w:r>
            <w:r>
              <w:rPr>
                <w:rFonts w:hint="eastAsia" w:asciiTheme="minorEastAsia" w:hAnsiTheme="minorEastAsia"/>
                <w:bCs/>
                <w:sz w:val="18"/>
                <w:szCs w:val="18"/>
                <w:lang w:eastAsia="zh-CN"/>
              </w:rPr>
              <w:t>9:00</w:t>
            </w:r>
            <w:r>
              <w:rPr>
                <w:rFonts w:hint="eastAsia" w:cs="Times New Roman" w:asciiTheme="minorEastAsia" w:hAnsiTheme="minorEastAsia"/>
                <w:sz w:val="18"/>
                <w:szCs w:val="18"/>
              </w:rPr>
              <w:t>】</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6</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r>
              <w:rPr>
                <w:rFonts w:hint="eastAsia" w:asciiTheme="minorEastAsia" w:hAnsiTheme="minorEastAsia"/>
                <w:bCs/>
                <w:sz w:val="18"/>
                <w:szCs w:val="18"/>
                <w:lang w:val="en-US" w:eastAsia="zh-CN"/>
              </w:rPr>
              <w:t>17</w:t>
            </w:r>
            <w:r>
              <w:rPr>
                <w:rFonts w:hint="eastAsia" w:asciiTheme="minorEastAsia" w:hAnsiTheme="minorEastAsia"/>
                <w:bCs/>
                <w:sz w:val="18"/>
                <w:szCs w:val="18"/>
                <w:lang w:eastAsia="zh-CN"/>
              </w:rPr>
              <w:t>:00</w:t>
            </w:r>
            <w:r>
              <w:rPr>
                <w:rFonts w:hint="eastAsia" w:asciiTheme="majorEastAsia" w:hAnsiTheme="majorEastAsia" w:eastAsiaTheme="majorEastAsia"/>
                <w:sz w:val="18"/>
                <w:szCs w:val="18"/>
              </w:rPr>
              <w:t>】</w:t>
            </w:r>
            <w:r>
              <w:rPr>
                <w:rFonts w:asciiTheme="majorEastAsia" w:hAnsiTheme="majorEastAsia" w:eastAsiaTheme="majorEastAsia"/>
                <w:sz w:val="18"/>
                <w:szCs w:val="18"/>
              </w:rPr>
              <w:t>。</w:t>
            </w:r>
          </w:p>
          <w:p>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认购期/募集期内资金产生的利息（如有）不计入本金份额</w:t>
            </w:r>
            <w:r>
              <w:rPr>
                <w:rFonts w:hint="eastAsia" w:ascii="宋体" w:hAnsi="宋体"/>
                <w:sz w:val="18"/>
              </w:rPr>
              <w:t>。</w:t>
            </w:r>
          </w:p>
          <w:p>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7</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6</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26</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pPr>
              <w:spacing w:line="360" w:lineRule="auto"/>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lang w:eastAsia="zh-CN"/>
                <w14:textFill>
                  <w14:solidFill>
                    <w14:schemeClr w14:val="tx1"/>
                  </w14:solidFill>
                </w14:textFill>
              </w:rPr>
              <w:t>每笔购买起点金额为【1.00】元；超出起点金额的部分以【0.01】元的整数倍递增。（适用【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B</w:t>
            </w:r>
            <w:r>
              <w:rPr>
                <w:rFonts w:hint="eastAsia" w:asciiTheme="majorEastAsia" w:hAnsiTheme="majorEastAsia" w:eastAsiaTheme="majorEastAsia"/>
                <w:bCs/>
                <w:color w:val="000000" w:themeColor="text1"/>
                <w:sz w:val="18"/>
                <w:szCs w:val="18"/>
                <w:lang w:eastAsia="zh-CN"/>
                <w14:textFill>
                  <w14:solidFill>
                    <w14:schemeClr w14:val="tx1"/>
                  </w14:solidFill>
                </w14:textFill>
              </w:rPr>
              <w:t>】类份额）</w:t>
            </w:r>
          </w:p>
          <w:p>
            <w:pPr>
              <w:spacing w:line="360" w:lineRule="auto"/>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lang w:eastAsia="zh-CN"/>
                <w14:textFill>
                  <w14:solidFill>
                    <w14:schemeClr w14:val="tx1"/>
                  </w14:solidFill>
                </w14:textFill>
              </w:rPr>
              <w:t>每笔购买起点金额为【1.00】元；超出起点金额的部分以【0.01】元的整数倍递增。（适用【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C</w:t>
            </w:r>
            <w:r>
              <w:rPr>
                <w:rFonts w:hint="eastAsia" w:asciiTheme="majorEastAsia" w:hAnsiTheme="majorEastAsia" w:eastAsiaTheme="majorEastAsia"/>
                <w:bCs/>
                <w:color w:val="000000" w:themeColor="text1"/>
                <w:sz w:val="18"/>
                <w:szCs w:val="18"/>
                <w:lang w:eastAsia="zh-CN"/>
                <w14:textFill>
                  <w14:solidFill>
                    <w14:schemeClr w14:val="tx1"/>
                  </w14:solidFill>
                </w14:textFill>
              </w:rPr>
              <w:t>】类份额）</w:t>
            </w:r>
          </w:p>
          <w:p>
            <w:pPr>
              <w:spacing w:line="360" w:lineRule="auto"/>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lang w:eastAsia="zh-CN"/>
                <w14:textFill>
                  <w14:solidFill>
                    <w14:schemeClr w14:val="tx1"/>
                  </w14:solidFill>
                </w14:textFill>
              </w:rPr>
              <w:t>每笔购买起点金额为【1.00】元；超出起点金额的部分以【0.01】元的整数倍递增。（适用【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D</w:t>
            </w:r>
            <w:r>
              <w:rPr>
                <w:rFonts w:hint="eastAsia" w:asciiTheme="majorEastAsia" w:hAnsiTheme="majorEastAsia" w:eastAsiaTheme="majorEastAsia"/>
                <w:bCs/>
                <w:color w:val="000000" w:themeColor="text1"/>
                <w:sz w:val="18"/>
                <w:szCs w:val="18"/>
                <w:lang w:eastAsia="zh-CN"/>
                <w14:textFill>
                  <w14:solidFill>
                    <w14:schemeClr w14:val="tx1"/>
                  </w14:solidFill>
                </w14:textFill>
              </w:rPr>
              <w:t>】类份额）</w:t>
            </w:r>
          </w:p>
          <w:p>
            <w:pPr>
              <w:spacing w:line="360" w:lineRule="auto"/>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lang w:eastAsia="zh-CN"/>
                <w14:textFill>
                  <w14:solidFill>
                    <w14:schemeClr w14:val="tx1"/>
                  </w14:solidFill>
                </w14:textFill>
              </w:rPr>
              <w:t>每笔购买起点金额为【1.00】元；超出起点金额的部分以【0.01】元的整数倍递增。（适用【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E</w:t>
            </w:r>
            <w:r>
              <w:rPr>
                <w:rFonts w:hint="eastAsia" w:asciiTheme="majorEastAsia" w:hAnsiTheme="majorEastAsia" w:eastAsiaTheme="majorEastAsia"/>
                <w:bCs/>
                <w:color w:val="000000" w:themeColor="text1"/>
                <w:sz w:val="18"/>
                <w:szCs w:val="18"/>
                <w:lang w:eastAsia="zh-CN"/>
                <w14:textFill>
                  <w14:solidFill>
                    <w14:schemeClr w14:val="tx1"/>
                  </w14:solidFill>
                </w14:textFill>
              </w:rPr>
              <w:t>】类份额）</w:t>
            </w:r>
          </w:p>
          <w:p>
            <w:pPr>
              <w:spacing w:line="360" w:lineRule="auto"/>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lang w:eastAsia="zh-CN"/>
                <w14:textFill>
                  <w14:solidFill>
                    <w14:schemeClr w14:val="tx1"/>
                  </w14:solidFill>
                </w14:textFill>
              </w:rPr>
              <w:t>每笔购买起点金额为【1.00】元；超出起点金额的部分以【0.01】元的整数倍递增。（适用【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F</w:t>
            </w:r>
            <w:r>
              <w:rPr>
                <w:rFonts w:hint="eastAsia" w:asciiTheme="majorEastAsia" w:hAnsiTheme="majorEastAsia" w:eastAsiaTheme="majorEastAsia"/>
                <w:bCs/>
                <w:color w:val="000000" w:themeColor="text1"/>
                <w:sz w:val="18"/>
                <w:szCs w:val="18"/>
                <w:lang w:eastAsia="zh-CN"/>
                <w14:textFill>
                  <w14:solidFill>
                    <w14:schemeClr w14:val="tx1"/>
                  </w14:solidFill>
                </w14:textFill>
              </w:rPr>
              <w:t>】类份额）</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pPr>
              <w:pStyle w:val="14"/>
              <w:spacing w:line="360" w:lineRule="auto"/>
              <w:rPr>
                <w:rFonts w:hAnsi="宋体"/>
                <w:bCs/>
                <w:sz w:val="18"/>
                <w:szCs w:val="18"/>
              </w:rPr>
            </w:pPr>
            <w:r>
              <w:rPr>
                <w:rFonts w:hint="eastAsia" w:hAnsi="宋体"/>
                <w:bCs/>
                <w:sz w:val="18"/>
                <w:szCs w:val="18"/>
              </w:rPr>
              <w:t>（</w:t>
            </w:r>
            <w:r>
              <w:rPr>
                <w:rFonts w:hint="eastAsia" w:hAnsi="宋体"/>
                <w:bCs/>
                <w:sz w:val="18"/>
                <w:szCs w:val="18"/>
                <w:lang w:eastAsia="zh-CN"/>
              </w:rPr>
              <w:t>适用【</w:t>
            </w:r>
            <w:r>
              <w:rPr>
                <w:rFonts w:hAnsi="宋体"/>
                <w:bCs/>
                <w:sz w:val="18"/>
                <w:szCs w:val="18"/>
              </w:rPr>
              <w:t>/</w:t>
            </w:r>
            <w:r>
              <w:rPr>
                <w:rFonts w:hint="eastAsia" w:hAnsi="宋体"/>
                <w:bCs/>
                <w:sz w:val="18"/>
                <w:szCs w:val="18"/>
                <w:lang w:eastAsia="zh-CN"/>
              </w:rPr>
              <w:t>】类份额</w:t>
            </w:r>
            <w:r>
              <w:rPr>
                <w:rFonts w:hint="eastAsia" w:hAnsi="宋体"/>
                <w:bCs/>
                <w:sz w:val="18"/>
                <w:szCs w:val="18"/>
              </w:rPr>
              <w:t>）</w:t>
            </w:r>
          </w:p>
          <w:p>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认购的数量限制</w:t>
            </w:r>
          </w:p>
          <w:p>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（1）单一投资者认购上限为【</w:t>
            </w:r>
            <w:r>
              <w:rPr>
                <w:rFonts w:hAnsi="宋体"/>
                <w:bCs/>
                <w:sz w:val="18"/>
                <w:szCs w:val="18"/>
              </w:rPr>
              <w:t>/</w:t>
            </w:r>
            <w:r>
              <w:rPr>
                <w:rFonts w:hint="eastAsia" w:asciiTheme="minorEastAsia" w:hAnsiTheme="minorEastAsia" w:eastAsiaTheme="minorEastAsia"/>
                <w:color w:val="auto"/>
                <w:sz w:val="18"/>
                <w:szCs w:val="18"/>
              </w:rPr>
              <w:t>】。</w:t>
            </w:r>
          </w:p>
          <w:p>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w:t>
            </w:r>
            <w:r>
              <w:rPr>
                <w:rFonts w:hAnsi="宋体"/>
                <w:bCs/>
                <w:sz w:val="18"/>
                <w:szCs w:val="18"/>
              </w:rPr>
              <w:t>/</w:t>
            </w:r>
            <w:r>
              <w:rPr>
                <w:rFonts w:hint="eastAsia" w:asciiTheme="minorEastAsia" w:hAnsiTheme="minorEastAsia" w:eastAsiaTheme="minorEastAsia"/>
                <w:color w:val="auto"/>
                <w:sz w:val="18"/>
                <w:szCs w:val="18"/>
              </w:rPr>
              <w:t>】，符合产品管理人流动性管理的稳定资金除外。</w:t>
            </w:r>
          </w:p>
          <w:p>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1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本产品单一投资者持有份额不得超过产品总份额</w:t>
            </w:r>
            <w:r>
              <w:rPr>
                <w:rFonts w:ascii="黑体" w:hAnsi="黑体" w:eastAsia="黑体"/>
                <w:color w:val="000000" w:themeColor="text1"/>
                <w:sz w:val="18"/>
                <w:szCs w:val="18"/>
                <w14:textFill>
                  <w14:solidFill>
                    <w14:schemeClr w14:val="tx1"/>
                  </w14:solidFill>
                </w14:textFill>
              </w:rPr>
              <w:t>50%。</w:t>
            </w:r>
          </w:p>
          <w:p>
            <w:pPr>
              <w:pStyle w:val="1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w:t>
            </w:r>
            <w:r>
              <w:rPr>
                <w:rFonts w:ascii="黑体" w:hAnsi="黑体" w:eastAsia="黑体"/>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spacing w:line="360" w:lineRule="auto"/>
              <w:rPr>
                <w:rFonts w:asciiTheme="minorEastAsia" w:hAnsiTheme="minorEastAsia" w:eastAsiaTheme="minorEastAsia"/>
                <w:sz w:val="18"/>
                <w:szCs w:val="18"/>
              </w:rPr>
            </w:pPr>
            <w:r>
              <w:rPr>
                <w:rFonts w:hint="eastAsia" w:ascii="黑体" w:hAnsi="黑体" w:eastAsia="黑体"/>
                <w:color w:val="000000" w:themeColor="text1"/>
                <w:sz w:val="18"/>
                <w:szCs w:val="18"/>
                <w14:textFill>
                  <w14:solidFill>
                    <w14:schemeClr w14:val="tx1"/>
                  </w14:solidFill>
                </w14:textFill>
              </w:rPr>
              <w:t>（</w:t>
            </w:r>
            <w:r>
              <w:rPr>
                <w:rFonts w:ascii="黑体" w:hAnsi="黑体" w:eastAsia="黑体"/>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hAnsi="宋体"/>
                <w:sz w:val="18"/>
                <w:szCs w:val="18"/>
              </w:rPr>
            </w:pPr>
            <w:r>
              <w:rPr>
                <w:rFonts w:hAnsi="宋体"/>
                <w:sz w:val="18"/>
                <w:szCs w:val="18"/>
              </w:rPr>
              <w:t>1.业绩比较基准的设置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产品管理人设置业绩比较基准。</w:t>
            </w:r>
          </w:p>
          <w:p>
            <w:pPr>
              <w:autoSpaceDE w:val="0"/>
              <w:autoSpaceDN w:val="0"/>
              <w:adjustRightInd w:val="0"/>
              <w:spacing w:line="360" w:lineRule="auto"/>
              <w:jc w:val="left"/>
              <w:rPr>
                <w:rFonts w:asciiTheme="majorEastAsia" w:hAnsiTheme="majorEastAsia" w:eastAsiaTheme="majorEastAsia"/>
                <w:bCs/>
                <w:sz w:val="18"/>
                <w:szCs w:val="18"/>
              </w:rPr>
            </w:pPr>
            <w:r>
              <w:rPr>
                <w:rFonts w:hint="eastAsia" w:ascii="宋体" w:hAnsi="宋体"/>
                <w:bCs/>
                <w:sz w:val="18"/>
                <w:szCs w:val="18"/>
              </w:rPr>
              <w:t>（</w:t>
            </w:r>
            <w:r>
              <w:rPr>
                <w:rFonts w:ascii="宋体" w:hAnsi="宋体"/>
                <w:bCs/>
                <w:sz w:val="18"/>
                <w:szCs w:val="18"/>
              </w:rPr>
              <w:t>1）业绩比较基准的说明：</w:t>
            </w:r>
            <w:r>
              <w:rPr>
                <w:rFonts w:hint="eastAsia" w:ascii="宋体" w:hAnsi="宋体"/>
                <w:bCs/>
                <w:sz w:val="18"/>
                <w:szCs w:val="18"/>
              </w:rPr>
              <w:t>【</w:t>
            </w:r>
            <w:r>
              <w:rPr>
                <w:rFonts w:hint="eastAsia" w:asciiTheme="majorEastAsia" w:hAnsiTheme="majorEastAsia" w:eastAsiaTheme="majorEastAsia"/>
                <w:bCs/>
                <w:sz w:val="18"/>
                <w:szCs w:val="18"/>
                <w:lang w:eastAsia="zh-CN"/>
              </w:rPr>
              <w:t>产品投资债权类资产不低于80%，根据当前市场环境下大类资产合理配置比例及大类资产收益情况，考虑杠杆和费率等因素，并结合产品投资策略，设定业绩比较基准</w:t>
            </w:r>
            <w:r>
              <w:rPr>
                <w:rFonts w:ascii="宋体" w:hAnsi="宋体"/>
                <w:bCs/>
                <w:sz w:val="18"/>
                <w:szCs w:val="18"/>
              </w:rPr>
              <w:t>】</w:t>
            </w:r>
            <w:r>
              <w:rPr>
                <w:rFonts w:hint="eastAsia" w:asciiTheme="majorEastAsia" w:hAnsiTheme="majorEastAsia" w:eastAsiaTheme="majorEastAsia"/>
                <w:bCs/>
                <w:sz w:val="18"/>
                <w:szCs w:val="18"/>
              </w:rPr>
              <w:t>。</w:t>
            </w:r>
          </w:p>
          <w:p>
            <w:pPr>
              <w:spacing w:line="360" w:lineRule="auto"/>
              <w:jc w:val="left"/>
              <w:rPr>
                <w:rFonts w:hint="eastAsia" w:asciiTheme="majorEastAsia" w:hAnsiTheme="majorEastAsia"/>
                <w:sz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2）业绩比较基准的设定：</w:t>
            </w:r>
            <w:r>
              <w:rPr>
                <w:rFonts w:hint="eastAsia" w:asciiTheme="majorEastAsia" w:hAnsiTheme="majorEastAsia"/>
                <w:sz w:val="18"/>
              </w:rPr>
              <w:t>管理人对</w:t>
            </w:r>
            <w:r>
              <w:rPr>
                <w:rFonts w:asciiTheme="majorEastAsia" w:hAnsiTheme="majorEastAsia"/>
                <w:sz w:val="18"/>
              </w:rPr>
              <w:t>本产品设定</w:t>
            </w:r>
            <w:r>
              <w:rPr>
                <w:rFonts w:hint="eastAsia" w:asciiTheme="majorEastAsia" w:hAnsiTheme="majorEastAsia"/>
                <w:sz w:val="18"/>
              </w:rPr>
              <w:t>业绩比较基准：</w:t>
            </w:r>
          </w:p>
          <w:p>
            <w:pPr>
              <w:autoSpaceDE w:val="0"/>
              <w:autoSpaceDN w:val="0"/>
              <w:adjustRightInd w:val="0"/>
              <w:spacing w:line="360" w:lineRule="auto"/>
              <w:jc w:val="left"/>
              <w:rPr>
                <w:rFonts w:hint="eastAsia" w:asciiTheme="majorEastAsia" w:hAnsiTheme="majorEastAsia"/>
                <w:sz w:val="18"/>
                <w:lang w:eastAsia="zh-CN"/>
              </w:rPr>
            </w:pPr>
            <w:r>
              <w:rPr>
                <w:rFonts w:hint="eastAsia" w:asciiTheme="majorEastAsia" w:hAnsiTheme="majorEastAsia"/>
                <w:sz w:val="18"/>
                <w:lang w:eastAsia="zh-CN"/>
              </w:rPr>
              <w:t>年化【</w:t>
            </w:r>
            <w:r>
              <w:rPr>
                <w:rFonts w:hint="eastAsia" w:asciiTheme="majorEastAsia" w:hAnsiTheme="majorEastAsia"/>
                <w:sz w:val="18"/>
                <w:lang w:val="en-US" w:eastAsia="zh-CN"/>
              </w:rPr>
              <w:t>1.85</w:t>
            </w:r>
            <w:r>
              <w:rPr>
                <w:rFonts w:hint="eastAsia" w:asciiTheme="majorEastAsia" w:hAnsiTheme="majorEastAsia"/>
                <w:sz w:val="18"/>
                <w:lang w:eastAsia="zh-CN"/>
              </w:rPr>
              <w:t>%</w:t>
            </w:r>
            <w:r>
              <w:rPr>
                <w:rFonts w:hint="eastAsia" w:asciiTheme="majorEastAsia" w:hAnsiTheme="majorEastAsia"/>
                <w:sz w:val="18"/>
                <w:lang w:val="en-US" w:eastAsia="zh-CN"/>
              </w:rPr>
              <w:t>-2.45%</w:t>
            </w:r>
            <w:r>
              <w:rPr>
                <w:rFonts w:hint="eastAsia" w:asciiTheme="majorEastAsia" w:hAnsiTheme="majorEastAsia"/>
                <w:sz w:val="18"/>
                <w:lang w:eastAsia="zh-CN"/>
              </w:rPr>
              <w:t>】（适用【</w:t>
            </w:r>
            <w:r>
              <w:rPr>
                <w:rFonts w:hint="eastAsia" w:asciiTheme="majorEastAsia" w:hAnsiTheme="majorEastAsia"/>
                <w:sz w:val="18"/>
                <w:lang w:val="en-US" w:eastAsia="zh-CN"/>
              </w:rPr>
              <w:t>B</w:t>
            </w:r>
            <w:r>
              <w:rPr>
                <w:rFonts w:hint="eastAsia" w:asciiTheme="majorEastAsia" w:hAnsiTheme="majorEastAsia"/>
                <w:sz w:val="18"/>
                <w:lang w:eastAsia="zh-CN"/>
              </w:rPr>
              <w:t>】类份额）</w:t>
            </w:r>
          </w:p>
          <w:p>
            <w:pPr>
              <w:autoSpaceDE w:val="0"/>
              <w:autoSpaceDN w:val="0"/>
              <w:adjustRightInd w:val="0"/>
              <w:spacing w:line="360" w:lineRule="auto"/>
              <w:jc w:val="left"/>
              <w:rPr>
                <w:rFonts w:hint="eastAsia" w:eastAsia="宋体" w:asciiTheme="majorEastAsia" w:hAnsiTheme="majorEastAsia"/>
                <w:sz w:val="18"/>
                <w:lang w:eastAsia="zh-CN"/>
              </w:rPr>
            </w:pPr>
            <w:r>
              <w:rPr>
                <w:rFonts w:hint="eastAsia" w:asciiTheme="majorEastAsia" w:hAnsiTheme="majorEastAsia"/>
                <w:sz w:val="18"/>
                <w:lang w:eastAsia="zh-CN"/>
              </w:rPr>
              <w:t>年化【</w:t>
            </w:r>
            <w:r>
              <w:rPr>
                <w:rFonts w:hint="eastAsia" w:asciiTheme="majorEastAsia" w:hAnsiTheme="majorEastAsia"/>
                <w:sz w:val="18"/>
                <w:lang w:val="en-US" w:eastAsia="zh-CN"/>
              </w:rPr>
              <w:t>1.80</w:t>
            </w:r>
            <w:r>
              <w:rPr>
                <w:rFonts w:hint="eastAsia" w:asciiTheme="majorEastAsia" w:hAnsiTheme="majorEastAsia"/>
                <w:sz w:val="18"/>
                <w:lang w:eastAsia="zh-CN"/>
              </w:rPr>
              <w:t>%</w:t>
            </w:r>
            <w:r>
              <w:rPr>
                <w:rFonts w:hint="eastAsia" w:asciiTheme="majorEastAsia" w:hAnsiTheme="majorEastAsia"/>
                <w:sz w:val="18"/>
                <w:lang w:val="en-US" w:eastAsia="zh-CN"/>
              </w:rPr>
              <w:t>-2.40%</w:t>
            </w:r>
            <w:r>
              <w:rPr>
                <w:rFonts w:hint="eastAsia" w:asciiTheme="majorEastAsia" w:hAnsiTheme="majorEastAsia"/>
                <w:sz w:val="18"/>
                <w:lang w:eastAsia="zh-CN"/>
              </w:rPr>
              <w:t>】（适用【</w:t>
            </w:r>
            <w:r>
              <w:rPr>
                <w:rFonts w:hint="eastAsia" w:asciiTheme="majorEastAsia" w:hAnsiTheme="majorEastAsia"/>
                <w:sz w:val="18"/>
                <w:lang w:val="en-US" w:eastAsia="zh-CN"/>
              </w:rPr>
              <w:t>C</w:t>
            </w:r>
            <w:r>
              <w:rPr>
                <w:rFonts w:hint="eastAsia" w:asciiTheme="majorEastAsia" w:hAnsiTheme="majorEastAsia"/>
                <w:sz w:val="18"/>
                <w:lang w:eastAsia="zh-CN"/>
              </w:rPr>
              <w:t>】类份额）</w:t>
            </w:r>
          </w:p>
          <w:p>
            <w:pPr>
              <w:autoSpaceDE w:val="0"/>
              <w:autoSpaceDN w:val="0"/>
              <w:adjustRightInd w:val="0"/>
              <w:spacing w:line="360" w:lineRule="auto"/>
              <w:jc w:val="left"/>
              <w:rPr>
                <w:rFonts w:hint="eastAsia" w:eastAsia="宋体" w:asciiTheme="majorEastAsia" w:hAnsiTheme="majorEastAsia"/>
                <w:sz w:val="18"/>
                <w:lang w:eastAsia="zh-CN"/>
              </w:rPr>
            </w:pPr>
            <w:r>
              <w:rPr>
                <w:rFonts w:hint="eastAsia" w:asciiTheme="majorEastAsia" w:hAnsiTheme="majorEastAsia"/>
                <w:sz w:val="18"/>
                <w:lang w:eastAsia="zh-CN"/>
              </w:rPr>
              <w:t>年化【1.</w:t>
            </w:r>
            <w:r>
              <w:rPr>
                <w:rFonts w:hint="eastAsia" w:asciiTheme="majorEastAsia" w:hAnsiTheme="majorEastAsia"/>
                <w:sz w:val="18"/>
                <w:lang w:val="en-US" w:eastAsia="zh-CN"/>
              </w:rPr>
              <w:t>75</w:t>
            </w:r>
            <w:r>
              <w:rPr>
                <w:rFonts w:hint="eastAsia" w:asciiTheme="majorEastAsia" w:hAnsiTheme="majorEastAsia"/>
                <w:sz w:val="18"/>
                <w:lang w:eastAsia="zh-CN"/>
              </w:rPr>
              <w:t>%</w:t>
            </w:r>
            <w:r>
              <w:rPr>
                <w:rFonts w:hint="eastAsia" w:asciiTheme="majorEastAsia" w:hAnsiTheme="majorEastAsia"/>
                <w:sz w:val="18"/>
                <w:lang w:val="en-US" w:eastAsia="zh-CN"/>
              </w:rPr>
              <w:t>-2.35%</w:t>
            </w:r>
            <w:r>
              <w:rPr>
                <w:rFonts w:hint="eastAsia" w:asciiTheme="majorEastAsia" w:hAnsiTheme="majorEastAsia"/>
                <w:sz w:val="18"/>
                <w:lang w:eastAsia="zh-CN"/>
              </w:rPr>
              <w:t>】（适用【</w:t>
            </w:r>
            <w:r>
              <w:rPr>
                <w:rFonts w:hint="eastAsia" w:asciiTheme="majorEastAsia" w:hAnsiTheme="majorEastAsia"/>
                <w:sz w:val="18"/>
                <w:lang w:val="en-US" w:eastAsia="zh-CN"/>
              </w:rPr>
              <w:t>D</w:t>
            </w:r>
            <w:r>
              <w:rPr>
                <w:rFonts w:hint="eastAsia" w:asciiTheme="majorEastAsia" w:hAnsiTheme="majorEastAsia"/>
                <w:sz w:val="18"/>
                <w:lang w:eastAsia="zh-CN"/>
              </w:rPr>
              <w:t>】类份额）</w:t>
            </w:r>
          </w:p>
          <w:p>
            <w:pPr>
              <w:autoSpaceDE w:val="0"/>
              <w:autoSpaceDN w:val="0"/>
              <w:adjustRightInd w:val="0"/>
              <w:spacing w:line="360" w:lineRule="auto"/>
              <w:jc w:val="left"/>
              <w:rPr>
                <w:rFonts w:hint="eastAsia" w:eastAsia="宋体" w:asciiTheme="majorEastAsia" w:hAnsiTheme="majorEastAsia"/>
                <w:sz w:val="18"/>
                <w:lang w:eastAsia="zh-CN"/>
              </w:rPr>
            </w:pPr>
            <w:r>
              <w:rPr>
                <w:rFonts w:hint="eastAsia" w:asciiTheme="majorEastAsia" w:hAnsiTheme="majorEastAsia"/>
                <w:sz w:val="18"/>
                <w:lang w:eastAsia="zh-CN"/>
              </w:rPr>
              <w:t>年化【1.</w:t>
            </w:r>
            <w:r>
              <w:rPr>
                <w:rFonts w:hint="eastAsia" w:asciiTheme="majorEastAsia" w:hAnsiTheme="majorEastAsia"/>
                <w:sz w:val="18"/>
                <w:lang w:val="en-US" w:eastAsia="zh-CN"/>
              </w:rPr>
              <w:t>70</w:t>
            </w:r>
            <w:r>
              <w:rPr>
                <w:rFonts w:hint="eastAsia" w:asciiTheme="majorEastAsia" w:hAnsiTheme="majorEastAsia"/>
                <w:sz w:val="18"/>
                <w:lang w:eastAsia="zh-CN"/>
              </w:rPr>
              <w:t>%</w:t>
            </w:r>
            <w:r>
              <w:rPr>
                <w:rFonts w:hint="eastAsia" w:asciiTheme="majorEastAsia" w:hAnsiTheme="majorEastAsia"/>
                <w:sz w:val="18"/>
                <w:lang w:val="en-US" w:eastAsia="zh-CN"/>
              </w:rPr>
              <w:t>-2.30%</w:t>
            </w:r>
            <w:r>
              <w:rPr>
                <w:rFonts w:hint="eastAsia" w:asciiTheme="majorEastAsia" w:hAnsiTheme="majorEastAsia"/>
                <w:sz w:val="18"/>
                <w:lang w:eastAsia="zh-CN"/>
              </w:rPr>
              <w:t>】（适用【</w:t>
            </w:r>
            <w:r>
              <w:rPr>
                <w:rFonts w:hint="eastAsia" w:asciiTheme="majorEastAsia" w:hAnsiTheme="majorEastAsia"/>
                <w:sz w:val="18"/>
                <w:lang w:val="en-US" w:eastAsia="zh-CN"/>
              </w:rPr>
              <w:t>E</w:t>
            </w:r>
            <w:r>
              <w:rPr>
                <w:rFonts w:hint="eastAsia" w:asciiTheme="majorEastAsia" w:hAnsiTheme="majorEastAsia"/>
                <w:sz w:val="18"/>
                <w:lang w:eastAsia="zh-CN"/>
              </w:rPr>
              <w:t>】类份额）</w:t>
            </w:r>
          </w:p>
          <w:p>
            <w:pPr>
              <w:autoSpaceDE w:val="0"/>
              <w:autoSpaceDN w:val="0"/>
              <w:adjustRightInd w:val="0"/>
              <w:spacing w:line="360" w:lineRule="auto"/>
              <w:jc w:val="left"/>
              <w:rPr>
                <w:rFonts w:hint="eastAsia" w:asciiTheme="majorEastAsia" w:hAnsiTheme="majorEastAsia"/>
                <w:sz w:val="18"/>
                <w:lang w:eastAsia="zh-CN"/>
              </w:rPr>
            </w:pPr>
            <w:r>
              <w:rPr>
                <w:rFonts w:hint="eastAsia" w:asciiTheme="majorEastAsia" w:hAnsiTheme="majorEastAsia"/>
                <w:sz w:val="18"/>
                <w:lang w:eastAsia="zh-CN"/>
              </w:rPr>
              <w:t>年化【1.</w:t>
            </w:r>
            <w:r>
              <w:rPr>
                <w:rFonts w:hint="eastAsia" w:asciiTheme="majorEastAsia" w:hAnsiTheme="majorEastAsia"/>
                <w:sz w:val="18"/>
                <w:lang w:val="en-US" w:eastAsia="zh-CN"/>
              </w:rPr>
              <w:t>65</w:t>
            </w:r>
            <w:r>
              <w:rPr>
                <w:rFonts w:hint="eastAsia" w:asciiTheme="majorEastAsia" w:hAnsiTheme="majorEastAsia"/>
                <w:sz w:val="18"/>
                <w:lang w:eastAsia="zh-CN"/>
              </w:rPr>
              <w:t>%</w:t>
            </w:r>
            <w:r>
              <w:rPr>
                <w:rFonts w:hint="eastAsia" w:asciiTheme="majorEastAsia" w:hAnsiTheme="majorEastAsia"/>
                <w:sz w:val="18"/>
                <w:lang w:val="en-US" w:eastAsia="zh-CN"/>
              </w:rPr>
              <w:t>-2.25%</w:t>
            </w:r>
            <w:r>
              <w:rPr>
                <w:rFonts w:hint="eastAsia" w:asciiTheme="majorEastAsia" w:hAnsiTheme="majorEastAsia"/>
                <w:sz w:val="18"/>
                <w:lang w:eastAsia="zh-CN"/>
              </w:rPr>
              <w:t>】（适用【</w:t>
            </w:r>
            <w:r>
              <w:rPr>
                <w:rFonts w:hint="eastAsia" w:asciiTheme="majorEastAsia" w:hAnsiTheme="majorEastAsia"/>
                <w:sz w:val="18"/>
                <w:lang w:val="en-US" w:eastAsia="zh-CN"/>
              </w:rPr>
              <w:t>F</w:t>
            </w:r>
            <w:r>
              <w:rPr>
                <w:rFonts w:hint="eastAsia" w:asciiTheme="majorEastAsia" w:hAnsiTheme="majorEastAsia"/>
                <w:sz w:val="18"/>
                <w:lang w:eastAsia="zh-CN"/>
              </w:rPr>
              <w:t>】类份额）</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产品管理人不设置业绩比较基准。</w:t>
            </w:r>
          </w:p>
          <w:p>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pPr>
              <w:spacing w:line="360" w:lineRule="auto"/>
              <w:jc w:val="left"/>
              <w:rPr>
                <w:rFonts w:hAnsi="宋体"/>
                <w:bCs/>
                <w:sz w:val="18"/>
                <w:szCs w:val="18"/>
              </w:rPr>
            </w:pPr>
            <w:r>
              <w:rPr>
                <w:rFonts w:hAnsi="宋体"/>
                <w:bCs/>
                <w:sz w:val="18"/>
                <w:szCs w:val="18"/>
              </w:rPr>
              <w:t>1.业绩报酬计提基准的设置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产品管理人设置业绩报酬计提基准。</w:t>
            </w:r>
          </w:p>
          <w:p>
            <w:pPr>
              <w:spacing w:line="360" w:lineRule="auto"/>
              <w:jc w:val="left"/>
              <w:rPr>
                <w:rFonts w:hint="eastAsia" w:ascii="宋体" w:hAnsi="宋体"/>
                <w:bCs/>
                <w:sz w:val="18"/>
                <w:szCs w:val="18"/>
              </w:rPr>
            </w:pPr>
            <w:r>
              <w:rPr>
                <w:rFonts w:ascii="宋体" w:hAnsi="宋体"/>
                <w:bCs/>
                <w:sz w:val="18"/>
                <w:szCs w:val="18"/>
              </w:rPr>
              <w:t>业绩报酬计提基准的设定</w:t>
            </w:r>
            <w:r>
              <w:rPr>
                <w:rFonts w:hint="eastAsia" w:ascii="宋体" w:hAnsi="宋体"/>
                <w:bCs/>
                <w:sz w:val="18"/>
                <w:szCs w:val="18"/>
              </w:rPr>
              <w:t>：管理人</w:t>
            </w:r>
            <w:r>
              <w:rPr>
                <w:rFonts w:ascii="宋体" w:hAnsi="宋体"/>
                <w:bCs/>
                <w:sz w:val="18"/>
                <w:szCs w:val="18"/>
              </w:rPr>
              <w:t>对本产品设定</w:t>
            </w:r>
            <w:r>
              <w:rPr>
                <w:rFonts w:hint="eastAsia" w:ascii="宋体" w:hAnsi="宋体"/>
                <w:bCs/>
                <w:sz w:val="18"/>
                <w:szCs w:val="18"/>
              </w:rPr>
              <w:t>业绩报酬计提基准：</w:t>
            </w:r>
          </w:p>
          <w:p>
            <w:pPr>
              <w:autoSpaceDE w:val="0"/>
              <w:autoSpaceDN w:val="0"/>
              <w:adjustRightInd w:val="0"/>
              <w:spacing w:line="360" w:lineRule="auto"/>
              <w:jc w:val="left"/>
              <w:rPr>
                <w:rFonts w:hint="eastAsia" w:asciiTheme="majorEastAsia" w:hAnsiTheme="majorEastAsia"/>
                <w:sz w:val="18"/>
                <w:lang w:eastAsia="zh-CN"/>
              </w:rPr>
            </w:pPr>
            <w:r>
              <w:rPr>
                <w:rFonts w:hint="eastAsia" w:asciiTheme="majorEastAsia" w:hAnsiTheme="majorEastAsia"/>
                <w:sz w:val="18"/>
                <w:lang w:eastAsia="zh-CN"/>
              </w:rPr>
              <w:t>年化【</w:t>
            </w:r>
            <w:r>
              <w:rPr>
                <w:rFonts w:hint="eastAsia" w:asciiTheme="majorEastAsia" w:hAnsiTheme="majorEastAsia"/>
                <w:sz w:val="18"/>
                <w:lang w:val="en-US" w:eastAsia="zh-CN"/>
              </w:rPr>
              <w:t>2.15</w:t>
            </w:r>
            <w:r>
              <w:rPr>
                <w:rFonts w:hint="eastAsia" w:asciiTheme="majorEastAsia" w:hAnsiTheme="majorEastAsia"/>
                <w:sz w:val="18"/>
                <w:lang w:eastAsia="zh-CN"/>
              </w:rPr>
              <w:t>%】（适用【</w:t>
            </w:r>
            <w:r>
              <w:rPr>
                <w:rFonts w:hint="eastAsia" w:asciiTheme="majorEastAsia" w:hAnsiTheme="majorEastAsia"/>
                <w:sz w:val="18"/>
                <w:lang w:val="en-US" w:eastAsia="zh-CN"/>
              </w:rPr>
              <w:t>B</w:t>
            </w:r>
            <w:r>
              <w:rPr>
                <w:rFonts w:hint="eastAsia" w:asciiTheme="majorEastAsia" w:hAnsiTheme="majorEastAsia"/>
                <w:sz w:val="18"/>
                <w:lang w:eastAsia="zh-CN"/>
              </w:rPr>
              <w:t>】类份额）</w:t>
            </w:r>
          </w:p>
          <w:p>
            <w:pPr>
              <w:autoSpaceDE w:val="0"/>
              <w:autoSpaceDN w:val="0"/>
              <w:adjustRightInd w:val="0"/>
              <w:spacing w:line="360" w:lineRule="auto"/>
              <w:jc w:val="left"/>
              <w:rPr>
                <w:rFonts w:hint="eastAsia" w:eastAsia="宋体" w:asciiTheme="majorEastAsia" w:hAnsiTheme="majorEastAsia"/>
                <w:sz w:val="18"/>
                <w:lang w:eastAsia="zh-CN"/>
              </w:rPr>
            </w:pPr>
            <w:r>
              <w:rPr>
                <w:rFonts w:hint="eastAsia" w:asciiTheme="majorEastAsia" w:hAnsiTheme="majorEastAsia"/>
                <w:sz w:val="18"/>
                <w:lang w:eastAsia="zh-CN"/>
              </w:rPr>
              <w:t>年化【</w:t>
            </w:r>
            <w:r>
              <w:rPr>
                <w:rFonts w:hint="eastAsia" w:asciiTheme="majorEastAsia" w:hAnsiTheme="majorEastAsia"/>
                <w:sz w:val="18"/>
                <w:lang w:val="en-US" w:eastAsia="zh-CN"/>
              </w:rPr>
              <w:t>2.10</w:t>
            </w:r>
            <w:r>
              <w:rPr>
                <w:rFonts w:hint="eastAsia" w:asciiTheme="majorEastAsia" w:hAnsiTheme="majorEastAsia"/>
                <w:sz w:val="18"/>
                <w:lang w:eastAsia="zh-CN"/>
              </w:rPr>
              <w:t>%】（适用【</w:t>
            </w:r>
            <w:r>
              <w:rPr>
                <w:rFonts w:hint="eastAsia" w:asciiTheme="majorEastAsia" w:hAnsiTheme="majorEastAsia"/>
                <w:sz w:val="18"/>
                <w:lang w:val="en-US" w:eastAsia="zh-CN"/>
              </w:rPr>
              <w:t>C</w:t>
            </w:r>
            <w:r>
              <w:rPr>
                <w:rFonts w:hint="eastAsia" w:asciiTheme="majorEastAsia" w:hAnsiTheme="majorEastAsia"/>
                <w:sz w:val="18"/>
                <w:lang w:eastAsia="zh-CN"/>
              </w:rPr>
              <w:t>】类份额）</w:t>
            </w:r>
          </w:p>
          <w:p>
            <w:pPr>
              <w:autoSpaceDE w:val="0"/>
              <w:autoSpaceDN w:val="0"/>
              <w:adjustRightInd w:val="0"/>
              <w:spacing w:line="360" w:lineRule="auto"/>
              <w:jc w:val="left"/>
              <w:rPr>
                <w:rFonts w:hint="eastAsia" w:eastAsia="宋体" w:asciiTheme="majorEastAsia" w:hAnsiTheme="majorEastAsia"/>
                <w:sz w:val="18"/>
                <w:lang w:eastAsia="zh-CN"/>
              </w:rPr>
            </w:pPr>
            <w:r>
              <w:rPr>
                <w:rFonts w:hint="eastAsia" w:asciiTheme="majorEastAsia" w:hAnsiTheme="majorEastAsia"/>
                <w:sz w:val="18"/>
                <w:lang w:eastAsia="zh-CN"/>
              </w:rPr>
              <w:t>年化【</w:t>
            </w:r>
            <w:r>
              <w:rPr>
                <w:rFonts w:hint="eastAsia" w:asciiTheme="majorEastAsia" w:hAnsiTheme="majorEastAsia"/>
                <w:sz w:val="18"/>
                <w:lang w:val="en-US" w:eastAsia="zh-CN"/>
              </w:rPr>
              <w:t>2.05</w:t>
            </w:r>
            <w:r>
              <w:rPr>
                <w:rFonts w:hint="eastAsia" w:asciiTheme="majorEastAsia" w:hAnsiTheme="majorEastAsia"/>
                <w:sz w:val="18"/>
                <w:lang w:eastAsia="zh-CN"/>
              </w:rPr>
              <w:t>%】（适用【</w:t>
            </w:r>
            <w:r>
              <w:rPr>
                <w:rFonts w:hint="eastAsia" w:asciiTheme="majorEastAsia" w:hAnsiTheme="majorEastAsia"/>
                <w:sz w:val="18"/>
                <w:lang w:val="en-US" w:eastAsia="zh-CN"/>
              </w:rPr>
              <w:t>D</w:t>
            </w:r>
            <w:r>
              <w:rPr>
                <w:rFonts w:hint="eastAsia" w:asciiTheme="majorEastAsia" w:hAnsiTheme="majorEastAsia"/>
                <w:sz w:val="18"/>
                <w:lang w:eastAsia="zh-CN"/>
              </w:rPr>
              <w:t>】类份额）</w:t>
            </w:r>
          </w:p>
          <w:p>
            <w:pPr>
              <w:autoSpaceDE w:val="0"/>
              <w:autoSpaceDN w:val="0"/>
              <w:adjustRightInd w:val="0"/>
              <w:spacing w:line="360" w:lineRule="auto"/>
              <w:jc w:val="left"/>
              <w:rPr>
                <w:rFonts w:hint="eastAsia" w:eastAsia="宋体" w:asciiTheme="majorEastAsia" w:hAnsiTheme="majorEastAsia"/>
                <w:sz w:val="18"/>
                <w:lang w:eastAsia="zh-CN"/>
              </w:rPr>
            </w:pPr>
            <w:r>
              <w:rPr>
                <w:rFonts w:hint="eastAsia" w:asciiTheme="majorEastAsia" w:hAnsiTheme="majorEastAsia"/>
                <w:sz w:val="18"/>
                <w:lang w:eastAsia="zh-CN"/>
              </w:rPr>
              <w:t>年化【</w:t>
            </w:r>
            <w:r>
              <w:rPr>
                <w:rFonts w:hint="eastAsia" w:asciiTheme="majorEastAsia" w:hAnsiTheme="majorEastAsia"/>
                <w:sz w:val="18"/>
                <w:lang w:val="en-US" w:eastAsia="zh-CN"/>
              </w:rPr>
              <w:t>2.00</w:t>
            </w:r>
            <w:r>
              <w:rPr>
                <w:rFonts w:hint="eastAsia" w:asciiTheme="majorEastAsia" w:hAnsiTheme="majorEastAsia"/>
                <w:sz w:val="18"/>
                <w:lang w:eastAsia="zh-CN"/>
              </w:rPr>
              <w:t>%】（适用【</w:t>
            </w:r>
            <w:r>
              <w:rPr>
                <w:rFonts w:hint="eastAsia" w:asciiTheme="majorEastAsia" w:hAnsiTheme="majorEastAsia"/>
                <w:sz w:val="18"/>
                <w:lang w:val="en-US" w:eastAsia="zh-CN"/>
              </w:rPr>
              <w:t>E</w:t>
            </w:r>
            <w:r>
              <w:rPr>
                <w:rFonts w:hint="eastAsia" w:asciiTheme="majorEastAsia" w:hAnsiTheme="majorEastAsia"/>
                <w:sz w:val="18"/>
                <w:lang w:eastAsia="zh-CN"/>
              </w:rPr>
              <w:t>】类份额）</w:t>
            </w:r>
          </w:p>
          <w:p>
            <w:pPr>
              <w:autoSpaceDE w:val="0"/>
              <w:autoSpaceDN w:val="0"/>
              <w:adjustRightInd w:val="0"/>
              <w:spacing w:line="360" w:lineRule="auto"/>
              <w:jc w:val="left"/>
              <w:rPr>
                <w:rFonts w:hint="eastAsia" w:asciiTheme="majorEastAsia" w:hAnsiTheme="majorEastAsia"/>
                <w:sz w:val="18"/>
                <w:lang w:eastAsia="zh-CN"/>
              </w:rPr>
            </w:pPr>
            <w:r>
              <w:rPr>
                <w:rFonts w:hint="eastAsia" w:asciiTheme="majorEastAsia" w:hAnsiTheme="majorEastAsia"/>
                <w:sz w:val="18"/>
                <w:lang w:eastAsia="zh-CN"/>
              </w:rPr>
              <w:t>年化【</w:t>
            </w:r>
            <w:r>
              <w:rPr>
                <w:rFonts w:hint="eastAsia" w:asciiTheme="majorEastAsia" w:hAnsiTheme="majorEastAsia"/>
                <w:sz w:val="18"/>
                <w:lang w:val="en-US" w:eastAsia="zh-CN"/>
              </w:rPr>
              <w:t>1.95</w:t>
            </w:r>
            <w:r>
              <w:rPr>
                <w:rFonts w:hint="eastAsia" w:asciiTheme="majorEastAsia" w:hAnsiTheme="majorEastAsia"/>
                <w:sz w:val="18"/>
                <w:lang w:eastAsia="zh-CN"/>
              </w:rPr>
              <w:t>%】（适用【</w:t>
            </w:r>
            <w:r>
              <w:rPr>
                <w:rFonts w:hint="eastAsia" w:asciiTheme="majorEastAsia" w:hAnsiTheme="majorEastAsia"/>
                <w:sz w:val="18"/>
                <w:lang w:val="en-US" w:eastAsia="zh-CN"/>
              </w:rPr>
              <w:t>F</w:t>
            </w:r>
            <w:r>
              <w:rPr>
                <w:rFonts w:hint="eastAsia" w:asciiTheme="majorEastAsia" w:hAnsiTheme="majorEastAsia"/>
                <w:sz w:val="18"/>
                <w:lang w:eastAsia="zh-CN"/>
              </w:rPr>
              <w:t>】类份额）</w:t>
            </w:r>
          </w:p>
          <w:p>
            <w:pPr>
              <w:spacing w:line="360" w:lineRule="auto"/>
              <w:jc w:val="left"/>
              <w:rPr>
                <w:rFonts w:ascii="宋体" w:hAnsi="宋体"/>
                <w:bCs/>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产品管理人不设置业绩报酬计提基准。</w:t>
            </w:r>
          </w:p>
          <w:p>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pPr>
              <w:spacing w:line="360" w:lineRule="auto"/>
              <w:rPr>
                <w:rFonts w:ascii="黑体" w:hAnsi="黑体" w:eastAsia="黑体"/>
                <w:bCs/>
                <w:color w:val="000000" w:themeColor="text1"/>
                <w:sz w:val="18"/>
                <w:szCs w:val="18"/>
                <w14:textFill>
                  <w14:solidFill>
                    <w14:schemeClr w14:val="tx1"/>
                  </w14:solidFill>
                </w14:textFill>
              </w:rPr>
            </w:pPr>
            <w:r>
              <w:rPr>
                <w:rFonts w:ascii="黑体" w:hAnsi="黑体" w:eastAsia="黑体"/>
                <w:bCs/>
                <w:color w:val="000000" w:themeColor="text1"/>
                <w:sz w:val="18"/>
                <w:szCs w:val="18"/>
                <w14:textFill>
                  <w14:solidFill>
                    <w14:schemeClr w14:val="tx1"/>
                  </w14:solidFill>
                </w14:textFill>
              </w:rPr>
              <w:t>1.理财产品的费率标准</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1）认购费：</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hint="eastAsia"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2）销售服</w:t>
            </w:r>
            <w:r>
              <w:rPr>
                <w:rFonts w:hint="eastAsia" w:ascii="黑体" w:hAnsi="黑体" w:eastAsia="黑体"/>
                <w:bCs/>
                <w:color w:val="000000" w:themeColor="text1"/>
                <w:sz w:val="18"/>
                <w:szCs w:val="18"/>
                <w14:textFill>
                  <w14:solidFill>
                    <w14:schemeClr w14:val="tx1"/>
                  </w14:solidFill>
                </w14:textFill>
              </w:rPr>
              <w:t>务费：</w:t>
            </w:r>
          </w:p>
          <w:p>
            <w:pPr>
              <w:spacing w:line="360" w:lineRule="auto"/>
              <w:rPr>
                <w:rFonts w:hint="eastAsia" w:ascii="黑体" w:hAnsi="黑体" w:eastAsia="黑体"/>
                <w:bCs/>
                <w:sz w:val="18"/>
                <w:szCs w:val="18"/>
                <w:lang w:eastAsia="zh-CN"/>
              </w:rPr>
            </w:pPr>
            <w:r>
              <w:rPr>
                <w:rFonts w:hint="eastAsia" w:ascii="黑体" w:hAnsi="黑体" w:eastAsia="黑体"/>
                <w:bCs/>
                <w:sz w:val="18"/>
                <w:szCs w:val="18"/>
                <w:lang w:eastAsia="zh-CN"/>
              </w:rPr>
              <w:t>年化费率【0.</w:t>
            </w:r>
            <w:r>
              <w:rPr>
                <w:rFonts w:hint="eastAsia" w:ascii="黑体" w:hAnsi="黑体" w:eastAsia="黑体"/>
                <w:bCs/>
                <w:sz w:val="18"/>
                <w:szCs w:val="18"/>
                <w:lang w:val="en-US" w:eastAsia="zh-CN"/>
              </w:rPr>
              <w:t>00</w:t>
            </w:r>
            <w:r>
              <w:rPr>
                <w:rFonts w:hint="eastAsia" w:ascii="黑体" w:hAnsi="黑体" w:eastAsia="黑体"/>
                <w:bCs/>
                <w:sz w:val="18"/>
                <w:szCs w:val="18"/>
                <w:lang w:eastAsia="zh-CN"/>
              </w:rPr>
              <w:t>%】（适用【</w:t>
            </w:r>
            <w:r>
              <w:rPr>
                <w:rFonts w:hint="eastAsia" w:ascii="黑体" w:hAnsi="黑体" w:eastAsia="黑体"/>
                <w:bCs/>
                <w:sz w:val="18"/>
                <w:szCs w:val="18"/>
                <w:lang w:val="en-US" w:eastAsia="zh-CN"/>
              </w:rPr>
              <w:t>B</w:t>
            </w:r>
            <w:r>
              <w:rPr>
                <w:rFonts w:hint="eastAsia" w:ascii="黑体" w:hAnsi="黑体" w:eastAsia="黑体"/>
                <w:bCs/>
                <w:sz w:val="18"/>
                <w:szCs w:val="18"/>
                <w:lang w:eastAsia="zh-CN"/>
              </w:rPr>
              <w:t>】类份额）。</w:t>
            </w:r>
          </w:p>
          <w:p>
            <w:pPr>
              <w:spacing w:line="360" w:lineRule="auto"/>
              <w:rPr>
                <w:rFonts w:hint="eastAsia" w:ascii="黑体" w:hAnsi="黑体" w:eastAsia="黑体"/>
                <w:bCs/>
                <w:sz w:val="18"/>
                <w:szCs w:val="18"/>
                <w:lang w:eastAsia="zh-CN"/>
              </w:rPr>
            </w:pPr>
            <w:r>
              <w:rPr>
                <w:rFonts w:hint="eastAsia" w:ascii="黑体" w:hAnsi="黑体" w:eastAsia="黑体"/>
                <w:bCs/>
                <w:sz w:val="18"/>
                <w:szCs w:val="18"/>
                <w:lang w:eastAsia="zh-CN"/>
              </w:rPr>
              <w:t>年化费率【0.</w:t>
            </w:r>
            <w:r>
              <w:rPr>
                <w:rFonts w:hint="eastAsia" w:ascii="黑体" w:hAnsi="黑体" w:eastAsia="黑体"/>
                <w:bCs/>
                <w:sz w:val="18"/>
                <w:szCs w:val="18"/>
                <w:lang w:val="en-US" w:eastAsia="zh-CN"/>
              </w:rPr>
              <w:t>05</w:t>
            </w:r>
            <w:r>
              <w:rPr>
                <w:rFonts w:hint="eastAsia" w:ascii="黑体" w:hAnsi="黑体" w:eastAsia="黑体"/>
                <w:bCs/>
                <w:sz w:val="18"/>
                <w:szCs w:val="18"/>
                <w:lang w:eastAsia="zh-CN"/>
              </w:rPr>
              <w:t>%】（适用【</w:t>
            </w:r>
            <w:r>
              <w:rPr>
                <w:rFonts w:hint="eastAsia" w:ascii="黑体" w:hAnsi="黑体" w:eastAsia="黑体"/>
                <w:bCs/>
                <w:sz w:val="18"/>
                <w:szCs w:val="18"/>
                <w:lang w:val="en-US" w:eastAsia="zh-CN"/>
              </w:rPr>
              <w:t>C</w:t>
            </w:r>
            <w:r>
              <w:rPr>
                <w:rFonts w:hint="eastAsia" w:ascii="黑体" w:hAnsi="黑体" w:eastAsia="黑体"/>
                <w:bCs/>
                <w:sz w:val="18"/>
                <w:szCs w:val="18"/>
                <w:lang w:eastAsia="zh-CN"/>
              </w:rPr>
              <w:t>】类份额）。</w:t>
            </w:r>
          </w:p>
          <w:p>
            <w:pPr>
              <w:spacing w:line="360" w:lineRule="auto"/>
              <w:rPr>
                <w:rFonts w:hint="eastAsia" w:ascii="黑体" w:hAnsi="黑体" w:eastAsia="黑体"/>
                <w:bCs/>
                <w:sz w:val="18"/>
                <w:szCs w:val="18"/>
                <w:lang w:eastAsia="zh-CN"/>
              </w:rPr>
            </w:pPr>
            <w:r>
              <w:rPr>
                <w:rFonts w:hint="eastAsia" w:ascii="黑体" w:hAnsi="黑体" w:eastAsia="黑体"/>
                <w:bCs/>
                <w:sz w:val="18"/>
                <w:szCs w:val="18"/>
                <w:lang w:eastAsia="zh-CN"/>
              </w:rPr>
              <w:t>年化费率【0.</w:t>
            </w:r>
            <w:r>
              <w:rPr>
                <w:rFonts w:hint="eastAsia" w:ascii="黑体" w:hAnsi="黑体" w:eastAsia="黑体"/>
                <w:bCs/>
                <w:sz w:val="18"/>
                <w:szCs w:val="18"/>
                <w:lang w:val="en-US" w:eastAsia="zh-CN"/>
              </w:rPr>
              <w:t>10</w:t>
            </w:r>
            <w:r>
              <w:rPr>
                <w:rFonts w:hint="eastAsia" w:ascii="黑体" w:hAnsi="黑体" w:eastAsia="黑体"/>
                <w:bCs/>
                <w:sz w:val="18"/>
                <w:szCs w:val="18"/>
                <w:lang w:eastAsia="zh-CN"/>
              </w:rPr>
              <w:t>%】（适用【</w:t>
            </w:r>
            <w:r>
              <w:rPr>
                <w:rFonts w:hint="eastAsia" w:ascii="黑体" w:hAnsi="黑体" w:eastAsia="黑体"/>
                <w:bCs/>
                <w:sz w:val="18"/>
                <w:szCs w:val="18"/>
                <w:lang w:val="en-US" w:eastAsia="zh-CN"/>
              </w:rPr>
              <w:t>D</w:t>
            </w:r>
            <w:r>
              <w:rPr>
                <w:rFonts w:hint="eastAsia" w:ascii="黑体" w:hAnsi="黑体" w:eastAsia="黑体"/>
                <w:bCs/>
                <w:sz w:val="18"/>
                <w:szCs w:val="18"/>
                <w:lang w:eastAsia="zh-CN"/>
              </w:rPr>
              <w:t>】类份额）。</w:t>
            </w:r>
          </w:p>
          <w:p>
            <w:pPr>
              <w:spacing w:line="360" w:lineRule="auto"/>
              <w:rPr>
                <w:rFonts w:hint="eastAsia" w:ascii="黑体" w:hAnsi="黑体" w:eastAsia="黑体"/>
                <w:bCs/>
                <w:sz w:val="18"/>
                <w:szCs w:val="18"/>
                <w:lang w:eastAsia="zh-CN"/>
              </w:rPr>
            </w:pPr>
            <w:r>
              <w:rPr>
                <w:rFonts w:hint="eastAsia" w:ascii="黑体" w:hAnsi="黑体" w:eastAsia="黑体"/>
                <w:bCs/>
                <w:sz w:val="18"/>
                <w:szCs w:val="18"/>
                <w:lang w:eastAsia="zh-CN"/>
              </w:rPr>
              <w:t>年化费率【0.</w:t>
            </w:r>
            <w:r>
              <w:rPr>
                <w:rFonts w:hint="eastAsia" w:ascii="黑体" w:hAnsi="黑体" w:eastAsia="黑体"/>
                <w:bCs/>
                <w:sz w:val="18"/>
                <w:szCs w:val="18"/>
                <w:lang w:val="en-US" w:eastAsia="zh-CN"/>
              </w:rPr>
              <w:t>15</w:t>
            </w:r>
            <w:r>
              <w:rPr>
                <w:rFonts w:hint="eastAsia" w:ascii="黑体" w:hAnsi="黑体" w:eastAsia="黑体"/>
                <w:bCs/>
                <w:sz w:val="18"/>
                <w:szCs w:val="18"/>
                <w:lang w:eastAsia="zh-CN"/>
              </w:rPr>
              <w:t>%】（适用【</w:t>
            </w:r>
            <w:r>
              <w:rPr>
                <w:rFonts w:hint="eastAsia" w:ascii="黑体" w:hAnsi="黑体" w:eastAsia="黑体"/>
                <w:bCs/>
                <w:sz w:val="18"/>
                <w:szCs w:val="18"/>
                <w:lang w:val="en-US" w:eastAsia="zh-CN"/>
              </w:rPr>
              <w:t>E</w:t>
            </w:r>
            <w:r>
              <w:rPr>
                <w:rFonts w:hint="eastAsia" w:ascii="黑体" w:hAnsi="黑体" w:eastAsia="黑体"/>
                <w:bCs/>
                <w:sz w:val="18"/>
                <w:szCs w:val="18"/>
                <w:lang w:eastAsia="zh-CN"/>
              </w:rPr>
              <w:t>】类份额）。</w:t>
            </w:r>
          </w:p>
          <w:p>
            <w:pPr>
              <w:spacing w:line="360" w:lineRule="auto"/>
              <w:rPr>
                <w:rFonts w:hint="eastAsia" w:ascii="黑体" w:hAnsi="黑体" w:eastAsia="黑体"/>
                <w:bCs/>
                <w:sz w:val="18"/>
                <w:szCs w:val="18"/>
                <w:lang w:eastAsia="zh-CN"/>
              </w:rPr>
            </w:pPr>
            <w:r>
              <w:rPr>
                <w:rFonts w:hint="eastAsia" w:ascii="黑体" w:hAnsi="黑体" w:eastAsia="黑体"/>
                <w:bCs/>
                <w:sz w:val="18"/>
                <w:szCs w:val="18"/>
                <w:lang w:eastAsia="zh-CN"/>
              </w:rPr>
              <w:t>年化费率【0.</w:t>
            </w:r>
            <w:r>
              <w:rPr>
                <w:rFonts w:hint="eastAsia" w:ascii="黑体" w:hAnsi="黑体" w:eastAsia="黑体"/>
                <w:bCs/>
                <w:sz w:val="18"/>
                <w:szCs w:val="18"/>
                <w:lang w:val="en-US" w:eastAsia="zh-CN"/>
              </w:rPr>
              <w:t>20</w:t>
            </w:r>
            <w:r>
              <w:rPr>
                <w:rFonts w:hint="eastAsia" w:ascii="黑体" w:hAnsi="黑体" w:eastAsia="黑体"/>
                <w:bCs/>
                <w:sz w:val="18"/>
                <w:szCs w:val="18"/>
                <w:lang w:eastAsia="zh-CN"/>
              </w:rPr>
              <w:t>%】（适用【</w:t>
            </w:r>
            <w:r>
              <w:rPr>
                <w:rFonts w:hint="eastAsia" w:ascii="黑体" w:hAnsi="黑体" w:eastAsia="黑体"/>
                <w:bCs/>
                <w:sz w:val="18"/>
                <w:szCs w:val="18"/>
                <w:lang w:val="en-US" w:eastAsia="zh-CN"/>
              </w:rPr>
              <w:t>F</w:t>
            </w:r>
            <w:r>
              <w:rPr>
                <w:rFonts w:hint="eastAsia" w:ascii="黑体" w:hAnsi="黑体" w:eastAsia="黑体"/>
                <w:bCs/>
                <w:sz w:val="18"/>
                <w:szCs w:val="18"/>
                <w:lang w:eastAsia="zh-CN"/>
              </w:rPr>
              <w:t>】类份额）。</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3）投资管理费：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bookmarkStart w:id="71" w:name="imcost"/>
            <w:bookmarkEnd w:id="71"/>
            <w:r>
              <w:rPr>
                <w:rFonts w:hint="eastAsia" w:ascii="黑体" w:hAnsi="黑体" w:eastAsia="黑体"/>
                <w:sz w:val="18"/>
                <w:szCs w:val="18"/>
                <w:lang w:eastAsia="zh-CN"/>
              </w:rPr>
              <w:t>0.05%</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4）产品托管费：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bookmarkStart w:id="72" w:name="emcost"/>
            <w:bookmarkEnd w:id="72"/>
            <w:r>
              <w:rPr>
                <w:rFonts w:hint="eastAsia" w:ascii="黑体" w:hAnsi="黑体" w:eastAsia="黑体"/>
                <w:sz w:val="18"/>
                <w:szCs w:val="18"/>
                <w:lang w:eastAsia="zh-CN"/>
              </w:rPr>
              <w:t>0.0</w:t>
            </w:r>
            <w:r>
              <w:rPr>
                <w:rFonts w:hint="eastAsia" w:ascii="黑体" w:hAnsi="黑体" w:eastAsia="黑体"/>
                <w:sz w:val="18"/>
                <w:szCs w:val="18"/>
                <w:lang w:val="en-US" w:eastAsia="zh-CN"/>
              </w:rPr>
              <w:t>2</w:t>
            </w:r>
            <w:r>
              <w:rPr>
                <w:rFonts w:hint="eastAsia" w:ascii="黑体" w:hAnsi="黑体" w:eastAsia="黑体"/>
                <w:sz w:val="18"/>
                <w:szCs w:val="18"/>
                <w:lang w:eastAsia="zh-CN"/>
              </w:rPr>
              <w:t>%</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5）超额业绩报酬：</w:t>
            </w:r>
          </w:p>
          <w:p>
            <w:pPr>
              <w:widowControl/>
              <w:spacing w:line="360" w:lineRule="auto"/>
              <w:jc w:val="left"/>
              <w:rPr>
                <w:rFonts w:hint="eastAsia" w:ascii="黑体" w:hAnsi="黑体" w:eastAsia="黑体" w:cs="黑体"/>
                <w:sz w:val="18"/>
                <w:szCs w:val="18"/>
              </w:rPr>
            </w:pPr>
            <w:r>
              <w:rPr>
                <w:rFonts w:hint="eastAsia" w:ascii="黑体" w:hAnsi="黑体" w:eastAsia="黑体" w:cs="黑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w:t>
            </w:r>
            <w:r>
              <w:rPr>
                <w:rFonts w:hint="eastAsia" w:ascii="黑体" w:hAnsi="黑体" w:eastAsia="黑体" w:cs="黑体"/>
                <w:sz w:val="18"/>
                <w:szCs w:val="18"/>
                <w:lang w:val="en-US" w:eastAsia="zh-CN"/>
              </w:rPr>
              <w:t>50%</w:t>
            </w:r>
            <w:r>
              <w:rPr>
                <w:rFonts w:hint="eastAsia" w:ascii="黑体" w:hAnsi="黑体" w:eastAsia="黑体" w:cs="黑体"/>
                <w:sz w:val="18"/>
                <w:szCs w:val="18"/>
              </w:rPr>
              <w:t>】作为超额业绩报酬。</w:t>
            </w:r>
          </w:p>
          <w:p>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pPr>
        <w:pStyle w:val="14"/>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73" w:name="_Toc176189755"/>
      <w:bookmarkStart w:id="74" w:name="_Toc79154666"/>
      <w:r>
        <w:rPr>
          <w:rFonts w:ascii="Times New Roman"/>
          <w:sz w:val="30"/>
        </w:rPr>
        <w:t>第</w:t>
      </w:r>
      <w:r>
        <w:rPr>
          <w:rFonts w:hint="eastAsia" w:ascii="Times New Roman"/>
          <w:sz w:val="30"/>
        </w:rPr>
        <w:t>三条</w:t>
      </w:r>
      <w:r>
        <w:rPr>
          <w:rFonts w:ascii="Times New Roman"/>
          <w:sz w:val="30"/>
        </w:rPr>
        <w:t xml:space="preserve">  </w:t>
      </w:r>
      <w:bookmarkStart w:id="75" w:name="_Toc79392573"/>
      <w:r>
        <w:rPr>
          <w:rFonts w:hint="eastAsia" w:ascii="Times New Roman"/>
          <w:sz w:val="30"/>
        </w:rPr>
        <w:t>理财产品的认购</w:t>
      </w:r>
      <w:bookmarkEnd w:id="73"/>
      <w:bookmarkEnd w:id="74"/>
    </w:p>
    <w:p>
      <w:pPr>
        <w:spacing w:line="360" w:lineRule="auto"/>
        <w:ind w:firstLine="361" w:firstLineChars="200"/>
        <w:rPr>
          <w:rFonts w:asciiTheme="minorEastAsia" w:hAnsiTheme="minorEastAsia"/>
          <w:b/>
          <w:bCs/>
          <w:sz w:val="18"/>
          <w:szCs w:val="18"/>
        </w:rPr>
      </w:pPr>
      <w:bookmarkStart w:id="76" w:name="_Hlt88031774"/>
      <w:bookmarkEnd w:id="76"/>
      <w:bookmarkStart w:id="77"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jc w:val="center"/>
        </w:trPr>
        <w:tc>
          <w:tcPr>
            <w:tcW w:w="1984" w:type="dxa"/>
            <w:vAlign w:val="center"/>
          </w:tcPr>
          <w:p>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认购期/募集期内资金产生的利息（如有），不计入本金份额。</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5"/>
    <w:bookmarkEnd w:id="77"/>
    <w:p>
      <w:pPr>
        <w:pStyle w:val="2"/>
        <w:spacing w:before="0" w:after="0" w:line="360" w:lineRule="auto"/>
        <w:jc w:val="center"/>
        <w:rPr>
          <w:rFonts w:ascii="Times New Roman"/>
          <w:sz w:val="30"/>
        </w:rPr>
      </w:pPr>
      <w:bookmarkStart w:id="78" w:name="_Toc4771"/>
      <w:bookmarkStart w:id="79" w:name="_Toc176189756"/>
      <w:bookmarkStart w:id="80" w:name="_Toc79154668"/>
      <w:bookmarkStart w:id="81" w:name="_Toc90742390"/>
      <w:bookmarkStart w:id="82" w:name="_Toc16265"/>
      <w:bookmarkStart w:id="83" w:name="_Toc29784"/>
      <w:bookmarkStart w:id="84" w:name="_Toc6714"/>
      <w:bookmarkStart w:id="85" w:name="_Toc15203"/>
      <w:bookmarkStart w:id="86" w:name="_Toc27189"/>
      <w:bookmarkStart w:id="87" w:name="_Toc74065741"/>
      <w:bookmarkStart w:id="88" w:name="_Toc7151"/>
      <w:bookmarkStart w:id="89" w:name="_Toc90742321"/>
      <w:bookmarkStart w:id="90" w:name="_Toc3266"/>
      <w:bookmarkStart w:id="91" w:name="_Toc27226"/>
      <w:bookmarkStart w:id="92" w:name="_Toc90742688"/>
      <w:bookmarkStart w:id="93" w:name="_Toc22074"/>
      <w:bookmarkStart w:id="94" w:name="_Toc29948"/>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8"/>
      <w:bookmarkEnd w:id="79"/>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95"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pPr>
        <w:pStyle w:val="14"/>
        <w:spacing w:line="360" w:lineRule="auto"/>
        <w:ind w:firstLine="360" w:firstLineChars="200"/>
        <w:rPr>
          <w:rFonts w:hint="eastAsia" w:asciiTheme="majorEastAsia" w:hAnsiTheme="majorEastAsia" w:eastAsiaTheme="majorEastAsia"/>
          <w:bCs/>
          <w:kern w:val="0"/>
          <w:sz w:val="18"/>
          <w:szCs w:val="18"/>
          <w:lang w:eastAsia="zh-CN"/>
        </w:rPr>
      </w:pPr>
      <w:r>
        <w:rPr>
          <w:rFonts w:hint="eastAsia" w:asciiTheme="majorEastAsia" w:hAnsiTheme="majorEastAsia" w:eastAsiaTheme="majorEastAsia"/>
          <w:bCs/>
          <w:kern w:val="0"/>
          <w:sz w:val="18"/>
          <w:szCs w:val="18"/>
          <w:lang w:eastAsia="zh-CN"/>
        </w:rPr>
        <w:t>（1）银行存款、债券逆回购、货币基金等货币市场工具及其它银行间和交易所资金融通工具；</w:t>
      </w:r>
    </w:p>
    <w:p>
      <w:pPr>
        <w:pStyle w:val="14"/>
        <w:spacing w:line="360" w:lineRule="auto"/>
        <w:ind w:firstLine="360" w:firstLineChars="200"/>
        <w:rPr>
          <w:rFonts w:hint="eastAsia" w:asciiTheme="majorEastAsia" w:hAnsiTheme="majorEastAsia" w:eastAsiaTheme="majorEastAsia"/>
          <w:bCs/>
          <w:kern w:val="0"/>
          <w:sz w:val="18"/>
          <w:szCs w:val="18"/>
          <w:lang w:eastAsia="zh-CN"/>
        </w:rPr>
      </w:pPr>
      <w:r>
        <w:rPr>
          <w:rFonts w:hint="eastAsia" w:asciiTheme="majorEastAsia" w:hAnsiTheme="majorEastAsia" w:eastAsiaTheme="majorEastAsia"/>
          <w:bCs/>
          <w:kern w:val="0"/>
          <w:sz w:val="18"/>
          <w:szCs w:val="18"/>
          <w:lang w:eastAsia="zh-CN"/>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pPr>
        <w:pStyle w:val="14"/>
        <w:spacing w:line="360" w:lineRule="auto"/>
        <w:ind w:firstLine="360" w:firstLineChars="200"/>
        <w:rPr>
          <w:rFonts w:hint="eastAsia" w:asciiTheme="majorEastAsia" w:hAnsiTheme="majorEastAsia" w:eastAsiaTheme="majorEastAsia"/>
          <w:bCs/>
          <w:kern w:val="0"/>
          <w:sz w:val="18"/>
          <w:szCs w:val="18"/>
          <w:lang w:eastAsia="zh-CN"/>
        </w:rPr>
      </w:pPr>
      <w:r>
        <w:rPr>
          <w:rFonts w:hint="eastAsia" w:asciiTheme="majorEastAsia" w:hAnsiTheme="majorEastAsia" w:eastAsiaTheme="majorEastAsia"/>
          <w:bCs/>
          <w:kern w:val="0"/>
          <w:sz w:val="18"/>
          <w:szCs w:val="18"/>
          <w:lang w:eastAsia="zh-CN"/>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kern w:val="0"/>
          <w:sz w:val="18"/>
          <w:szCs w:val="18"/>
          <w:lang w:eastAsia="zh-CN"/>
        </w:rPr>
        <w:t>（4）其他风险不高于前述资产的资产。</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lang w:eastAsia="zh-CN"/>
        </w:rPr>
      </w:pPr>
      <w:r>
        <w:rPr>
          <w:rFonts w:hint="eastAsia" w:asciiTheme="majorEastAsia" w:hAnsiTheme="majorEastAsia" w:eastAsiaTheme="majorEastAsia"/>
          <w:bCs/>
          <w:kern w:val="0"/>
          <w:sz w:val="18"/>
          <w:szCs w:val="18"/>
          <w:lang w:eastAsia="zh-CN"/>
        </w:rPr>
        <w:t>（1）本产品投资于债权类资产的比例不低于产品总资产的80%。</w:t>
      </w:r>
    </w:p>
    <w:p>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lang w:eastAsia="zh-CN"/>
        </w:rPr>
      </w:pPr>
      <w:r>
        <w:rPr>
          <w:rFonts w:hint="eastAsia" w:asciiTheme="majorEastAsia" w:hAnsiTheme="majorEastAsia" w:eastAsiaTheme="majorEastAsia"/>
          <w:bCs/>
          <w:kern w:val="0"/>
          <w:sz w:val="18"/>
          <w:szCs w:val="18"/>
          <w:lang w:eastAsia="zh-CN"/>
        </w:rPr>
        <w:t>（2）投资于同业存单及存款类资产的比例不低于产品净资产的50%。</w:t>
      </w:r>
    </w:p>
    <w:p>
      <w:pPr>
        <w:autoSpaceDE w:val="0"/>
        <w:autoSpaceDN w:val="0"/>
        <w:adjustRightInd w:val="0"/>
        <w:spacing w:line="360" w:lineRule="auto"/>
        <w:ind w:firstLine="420" w:firstLineChars="0"/>
        <w:jc w:val="left"/>
        <w:rPr>
          <w:rFonts w:hint="eastAsia" w:asciiTheme="majorEastAsia" w:hAnsiTheme="majorEastAsia" w:eastAsiaTheme="majorEastAsia"/>
          <w:b/>
          <w:bCs w:val="0"/>
          <w:kern w:val="0"/>
          <w:sz w:val="18"/>
          <w:szCs w:val="18"/>
        </w:rPr>
      </w:pPr>
      <w:r>
        <w:rPr>
          <w:rFonts w:hint="eastAsia" w:asciiTheme="majorEastAsia" w:hAnsiTheme="majorEastAsia" w:eastAsiaTheme="majorEastAsia"/>
          <w:b/>
          <w:bCs w:val="0"/>
          <w:kern w:val="0"/>
          <w:sz w:val="18"/>
          <w:szCs w:val="18"/>
        </w:rPr>
        <w:t>注：本产品可能投资不存在活跃交易市场，并且需要采用估值技术确定公允价值的资产，且投资上述资产的比例达到理财产品净资产50%以上。</w:t>
      </w:r>
    </w:p>
    <w:p>
      <w:pPr>
        <w:autoSpaceDE w:val="0"/>
        <w:autoSpaceDN w:val="0"/>
        <w:adjustRightInd w:val="0"/>
        <w:spacing w:line="360" w:lineRule="auto"/>
        <w:ind w:firstLine="420" w:firstLineChars="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（1）每只公募理财产品投资单只证券或者单只公募证券投资基金的市值不得超过该理财产品净资产的10%。</w:t>
      </w:r>
    </w:p>
    <w:p>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（3）全部理财产品持有单一上市公司发行的股票，不得超过该上市公司可流通股票的30%。</w:t>
      </w:r>
    </w:p>
    <w:p>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（6）本产品投资于信用债券、银行存款类资产融资人的信用评级均不得低于AA+。</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w:t>
      </w:r>
      <w:r>
        <w:rPr>
          <w:rFonts w:hint="eastAsia" w:asciiTheme="majorEastAsia" w:hAnsiTheme="majorEastAsia" w:eastAsiaTheme="majorEastAsia"/>
          <w:sz w:val="18"/>
          <w:szCs w:val="18"/>
          <w:lang w:eastAsia="zh-CN"/>
        </w:rPr>
        <w:t>产品采取绝对收益策略，追求资产长期稳定增值。</w:t>
      </w:r>
      <w:r>
        <w:rPr>
          <w:rFonts w:hint="eastAsia" w:asciiTheme="majorEastAsia" w:hAnsiTheme="majorEastAsia" w:eastAsiaTheme="majorEastAsia"/>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96" w:name="_Toc18329"/>
      <w:bookmarkStart w:id="97" w:name="_Toc14893"/>
      <w:bookmarkStart w:id="98" w:name="_Toc17912"/>
      <w:bookmarkStart w:id="99" w:name="_Toc79154669"/>
      <w:bookmarkStart w:id="100" w:name="_Toc176189758"/>
      <w:bookmarkStart w:id="101" w:name="_Toc1823"/>
      <w:bookmarkStart w:id="102" w:name="_Toc18526"/>
      <w:bookmarkStart w:id="103" w:name="_Toc7848"/>
      <w:bookmarkStart w:id="104" w:name="_Toc141703885"/>
      <w:bookmarkStart w:id="105" w:name="_Toc74065742"/>
      <w:bookmarkStart w:id="106" w:name="_Toc4741"/>
      <w:bookmarkStart w:id="107" w:name="_Toc139991735"/>
      <w:bookmarkStart w:id="108" w:name="_Toc21988"/>
      <w:bookmarkStart w:id="109" w:name="_Toc26986"/>
      <w:bookmarkStart w:id="110" w:name="_Toc18797"/>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pPr>
        <w:pStyle w:val="14"/>
        <w:spacing w:line="360" w:lineRule="auto"/>
        <w:ind w:firstLine="361" w:firstLineChars="200"/>
        <w:rPr>
          <w:rFonts w:asciiTheme="majorEastAsia" w:hAnsiTheme="majorEastAsia" w:eastAsiaTheme="majorEastAsia"/>
          <w:b/>
          <w:color w:val="auto"/>
          <w:sz w:val="18"/>
          <w:szCs w:val="18"/>
        </w:rPr>
      </w:pPr>
      <w:bookmarkStart w:id="111" w:name="_Hlk490214295"/>
      <w:r>
        <w:rPr>
          <w:rFonts w:hint="eastAsia" w:asciiTheme="majorEastAsia" w:hAnsiTheme="majorEastAsia" w:eastAsiaTheme="majorEastAsia"/>
          <w:b/>
          <w:color w:val="auto"/>
          <w:sz w:val="18"/>
          <w:szCs w:val="18"/>
        </w:rPr>
        <w:t>（一）理财产品的资产的保管和处分</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11"/>
    <w:p>
      <w:pPr>
        <w:pStyle w:val="2"/>
        <w:spacing w:before="0" w:after="0" w:line="360" w:lineRule="auto"/>
        <w:jc w:val="center"/>
        <w:rPr>
          <w:rFonts w:ascii="Times New Roman"/>
          <w:sz w:val="30"/>
        </w:rPr>
      </w:pPr>
      <w:bookmarkStart w:id="112" w:name="_Toc23261"/>
      <w:bookmarkStart w:id="113" w:name="_Toc7920"/>
      <w:bookmarkStart w:id="114" w:name="_Toc123112234"/>
      <w:bookmarkStart w:id="115" w:name="_Toc141703886"/>
      <w:bookmarkStart w:id="116" w:name="_Toc20733"/>
      <w:bookmarkStart w:id="117" w:name="_Toc123102453"/>
      <w:bookmarkStart w:id="118" w:name="_Toc123051452"/>
      <w:bookmarkStart w:id="119" w:name="_Toc17244"/>
      <w:bookmarkStart w:id="120" w:name="_Toc79154670"/>
      <w:bookmarkStart w:id="121" w:name="_Toc74065743"/>
      <w:bookmarkStart w:id="122" w:name="_Toc98560352"/>
      <w:bookmarkStart w:id="123" w:name="_Toc23822"/>
      <w:bookmarkStart w:id="124" w:name="_Toc139991736"/>
      <w:bookmarkStart w:id="125" w:name="_Toc48649707"/>
      <w:bookmarkStart w:id="126" w:name="_Toc1270"/>
      <w:bookmarkStart w:id="127" w:name="_Toc610"/>
      <w:bookmarkStart w:id="128" w:name="_Toc1427"/>
      <w:bookmarkStart w:id="129" w:name="_Toc176189759"/>
      <w:bookmarkStart w:id="130" w:name="_Toc4003"/>
      <w:bookmarkStart w:id="131" w:name="_Toc10463"/>
      <w:bookmarkStart w:id="132" w:name="_Toc79392606"/>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14"/>
        <w:spacing w:line="360" w:lineRule="auto"/>
        <w:ind w:firstLine="361" w:firstLineChars="200"/>
        <w:rPr>
          <w:rFonts w:hAnsi="宋体"/>
          <w:b/>
          <w:bCs/>
          <w:sz w:val="18"/>
          <w:szCs w:val="18"/>
        </w:rPr>
      </w:pPr>
      <w:r>
        <w:rPr>
          <w:rFonts w:hint="eastAsia" w:hAnsi="宋体"/>
          <w:b/>
          <w:bCs/>
          <w:sz w:val="18"/>
          <w:szCs w:val="18"/>
        </w:rPr>
        <w:t>（一）估值目的</w:t>
      </w:r>
    </w:p>
    <w:p>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pPr>
        <w:pStyle w:val="14"/>
        <w:spacing w:line="360" w:lineRule="auto"/>
        <w:ind w:firstLine="361" w:firstLineChars="200"/>
        <w:rPr>
          <w:rFonts w:hAnsi="宋体"/>
          <w:b/>
          <w:bCs/>
          <w:sz w:val="18"/>
          <w:szCs w:val="18"/>
        </w:rPr>
      </w:pPr>
      <w:r>
        <w:rPr>
          <w:rFonts w:hint="eastAsia" w:hAnsi="宋体"/>
          <w:b/>
          <w:bCs/>
          <w:sz w:val="18"/>
          <w:szCs w:val="18"/>
        </w:rPr>
        <w:t>（二）估值频率</w:t>
      </w:r>
    </w:p>
    <w:p>
      <w:pPr>
        <w:pStyle w:val="14"/>
        <w:spacing w:line="360" w:lineRule="auto"/>
        <w:ind w:firstLine="450" w:firstLineChars="250"/>
        <w:rPr>
          <w:sz w:val="18"/>
          <w:szCs w:val="18"/>
        </w:rPr>
      </w:pPr>
      <w:r>
        <w:rPr>
          <w:rFonts w:hint="eastAsia" w:hAnsi="宋体"/>
          <w:sz w:val="18"/>
          <w:szCs w:val="18"/>
        </w:rPr>
        <w:t>本产品存续期间，每【周】进行一次估值。如遇产品到期日、季度末、半年度末、年度末等时间节点管理人将增加估值日。</w:t>
      </w:r>
    </w:p>
    <w:p>
      <w:pPr>
        <w:pStyle w:val="14"/>
        <w:spacing w:line="360" w:lineRule="auto"/>
        <w:ind w:firstLine="452" w:firstLineChars="250"/>
        <w:rPr>
          <w:rFonts w:hAnsi="宋体"/>
          <w:b/>
          <w:bCs/>
          <w:sz w:val="18"/>
          <w:szCs w:val="18"/>
        </w:rPr>
      </w:pPr>
      <w:r>
        <w:rPr>
          <w:rFonts w:hint="eastAsia" w:hAnsi="宋体"/>
          <w:b/>
          <w:bCs/>
          <w:sz w:val="18"/>
          <w:szCs w:val="18"/>
        </w:rPr>
        <w:t>（三）估值对象</w:t>
      </w:r>
    </w:p>
    <w:p>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pPr>
        <w:pStyle w:val="14"/>
        <w:spacing w:line="360" w:lineRule="auto"/>
        <w:ind w:firstLine="452" w:firstLineChars="250"/>
        <w:rPr>
          <w:rFonts w:hAnsi="宋体"/>
          <w:b/>
          <w:bCs/>
          <w:sz w:val="18"/>
          <w:szCs w:val="18"/>
        </w:rPr>
      </w:pPr>
      <w:r>
        <w:rPr>
          <w:rFonts w:hint="eastAsia" w:hAnsi="宋体"/>
          <w:b/>
          <w:bCs/>
          <w:sz w:val="18"/>
          <w:szCs w:val="18"/>
        </w:rPr>
        <w:t>（四）估值方法</w:t>
      </w:r>
    </w:p>
    <w:p>
      <w:pPr>
        <w:pStyle w:val="14"/>
        <w:spacing w:line="360" w:lineRule="auto"/>
        <w:ind w:firstLine="360" w:firstLineChars="200"/>
        <w:rPr>
          <w:rFonts w:hAnsi="宋体"/>
          <w:bCs/>
          <w:sz w:val="18"/>
          <w:szCs w:val="18"/>
        </w:rPr>
      </w:pPr>
      <w:r>
        <w:rPr>
          <w:rFonts w:hAnsi="宋体"/>
          <w:bCs/>
          <w:sz w:val="18"/>
          <w:szCs w:val="18"/>
        </w:rPr>
        <w:t>1.标准化债权类资产估值</w:t>
      </w:r>
    </w:p>
    <w:p>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pPr>
        <w:pStyle w:val="14"/>
        <w:spacing w:line="360" w:lineRule="auto"/>
        <w:ind w:firstLine="360" w:firstLineChars="200"/>
        <w:rPr>
          <w:rFonts w:hAnsi="宋体"/>
          <w:sz w:val="18"/>
          <w:szCs w:val="18"/>
        </w:rPr>
      </w:pPr>
      <w:r>
        <w:rPr>
          <w:rFonts w:hAnsi="宋体"/>
          <w:bCs/>
          <w:sz w:val="18"/>
          <w:szCs w:val="18"/>
        </w:rPr>
        <w:t>3.非标准化债权类资产</w:t>
      </w:r>
    </w:p>
    <w:p>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pStyle w:val="14"/>
        <w:spacing w:line="360" w:lineRule="auto"/>
        <w:ind w:firstLine="360" w:firstLineChars="200"/>
        <w:rPr>
          <w:rFonts w:hAnsi="宋体"/>
          <w:bCs/>
          <w:sz w:val="18"/>
          <w:szCs w:val="18"/>
        </w:rPr>
      </w:pPr>
      <w:r>
        <w:rPr>
          <w:rFonts w:hAnsi="宋体"/>
          <w:bCs/>
          <w:sz w:val="18"/>
          <w:szCs w:val="18"/>
        </w:rPr>
        <w:t>4.上市公司股票估值</w:t>
      </w:r>
    </w:p>
    <w:p>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pPr>
        <w:pStyle w:val="14"/>
        <w:spacing w:line="360" w:lineRule="auto"/>
        <w:ind w:firstLine="360" w:firstLineChars="200"/>
        <w:rPr>
          <w:rFonts w:hAnsi="宋体"/>
          <w:bCs/>
          <w:sz w:val="18"/>
          <w:szCs w:val="18"/>
        </w:rPr>
      </w:pPr>
      <w:r>
        <w:rPr>
          <w:rFonts w:hAnsi="宋体"/>
          <w:bCs/>
          <w:sz w:val="18"/>
          <w:szCs w:val="18"/>
        </w:rPr>
        <w:t>5.未上市公司股权</w:t>
      </w:r>
    </w:p>
    <w:p>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pPr>
        <w:pStyle w:val="14"/>
        <w:spacing w:line="360" w:lineRule="auto"/>
        <w:ind w:firstLine="360" w:firstLineChars="200"/>
        <w:rPr>
          <w:rFonts w:hAnsi="宋体"/>
          <w:bCs/>
          <w:sz w:val="18"/>
          <w:szCs w:val="18"/>
        </w:rPr>
      </w:pPr>
      <w:r>
        <w:rPr>
          <w:rFonts w:hAnsi="宋体"/>
          <w:bCs/>
          <w:sz w:val="18"/>
          <w:szCs w:val="18"/>
        </w:rPr>
        <w:t>6.优先股</w:t>
      </w:r>
    </w:p>
    <w:p>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pPr>
        <w:pStyle w:val="14"/>
        <w:spacing w:line="360" w:lineRule="auto"/>
        <w:ind w:firstLine="360" w:firstLineChars="200"/>
        <w:rPr>
          <w:rFonts w:hAnsi="宋体"/>
          <w:bCs/>
          <w:sz w:val="18"/>
          <w:szCs w:val="18"/>
        </w:rPr>
      </w:pPr>
      <w:r>
        <w:rPr>
          <w:rFonts w:hAnsi="宋体"/>
          <w:bCs/>
          <w:sz w:val="18"/>
          <w:szCs w:val="18"/>
        </w:rPr>
        <w:t>7.证券投资基金估值</w:t>
      </w:r>
    </w:p>
    <w:p>
      <w:pPr>
        <w:pStyle w:val="14"/>
        <w:spacing w:line="360" w:lineRule="auto"/>
        <w:ind w:firstLine="360" w:firstLineChars="200"/>
        <w:rPr>
          <w:rFonts w:hAnsi="宋体"/>
          <w:sz w:val="18"/>
          <w:szCs w:val="18"/>
        </w:rPr>
      </w:pPr>
      <w:r>
        <w:rPr>
          <w:rFonts w:hint="eastAsia" w:hAnsi="宋体"/>
          <w:sz w:val="18"/>
          <w:szCs w:val="18"/>
        </w:rPr>
        <w:t>（1）非上市基金估值</w:t>
      </w:r>
    </w:p>
    <w:p>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pPr>
        <w:pStyle w:val="14"/>
        <w:spacing w:line="360" w:lineRule="auto"/>
        <w:ind w:firstLine="360" w:firstLineChars="200"/>
        <w:rPr>
          <w:rFonts w:hAnsi="宋体"/>
          <w:sz w:val="18"/>
          <w:szCs w:val="18"/>
        </w:rPr>
      </w:pPr>
      <w:r>
        <w:rPr>
          <w:rFonts w:hint="eastAsia" w:hAnsi="宋体"/>
          <w:sz w:val="18"/>
          <w:szCs w:val="18"/>
        </w:rPr>
        <w:t>（2）上市基金估值</w:t>
      </w:r>
    </w:p>
    <w:p>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pPr>
        <w:pStyle w:val="14"/>
        <w:spacing w:line="360" w:lineRule="auto"/>
        <w:ind w:firstLine="360" w:firstLineChars="200"/>
        <w:rPr>
          <w:rFonts w:hAnsi="宋体"/>
          <w:bCs/>
          <w:sz w:val="18"/>
          <w:szCs w:val="18"/>
        </w:rPr>
      </w:pPr>
      <w:r>
        <w:rPr>
          <w:rFonts w:hAnsi="宋体"/>
          <w:bCs/>
          <w:sz w:val="18"/>
          <w:szCs w:val="18"/>
        </w:rPr>
        <w:t>8.其他资产管理产品的估值</w:t>
      </w:r>
    </w:p>
    <w:p>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pStyle w:val="14"/>
        <w:spacing w:line="360" w:lineRule="auto"/>
        <w:ind w:firstLine="360" w:firstLineChars="200"/>
        <w:rPr>
          <w:rFonts w:hAnsi="宋体"/>
          <w:bCs/>
          <w:sz w:val="18"/>
          <w:szCs w:val="18"/>
        </w:rPr>
      </w:pPr>
      <w:r>
        <w:rPr>
          <w:rFonts w:hAnsi="宋体"/>
          <w:bCs/>
          <w:sz w:val="18"/>
          <w:szCs w:val="18"/>
        </w:rPr>
        <w:t>9.衍生金融工具估值</w:t>
      </w:r>
    </w:p>
    <w:p>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pPr>
        <w:pStyle w:val="14"/>
        <w:spacing w:line="360" w:lineRule="auto"/>
        <w:ind w:firstLine="361" w:firstLineChars="200"/>
        <w:rPr>
          <w:rFonts w:hAnsi="宋体"/>
          <w:b/>
          <w:bCs/>
          <w:sz w:val="18"/>
          <w:szCs w:val="18"/>
        </w:rPr>
      </w:pPr>
      <w:r>
        <w:rPr>
          <w:rFonts w:hint="eastAsia" w:hAnsi="宋体"/>
          <w:b/>
          <w:bCs/>
          <w:sz w:val="18"/>
          <w:szCs w:val="18"/>
        </w:rPr>
        <w:t>（五）估值程序</w:t>
      </w:r>
    </w:p>
    <w:p>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pStyle w:val="14"/>
        <w:spacing w:line="360" w:lineRule="auto"/>
        <w:ind w:firstLine="361" w:firstLineChars="200"/>
        <w:rPr>
          <w:rFonts w:hAnsi="宋体"/>
          <w:b/>
          <w:bCs/>
          <w:sz w:val="18"/>
          <w:szCs w:val="18"/>
        </w:rPr>
      </w:pPr>
      <w:r>
        <w:rPr>
          <w:rFonts w:hint="eastAsia" w:hAnsi="宋体"/>
          <w:b/>
          <w:bCs/>
          <w:sz w:val="18"/>
          <w:szCs w:val="18"/>
        </w:rPr>
        <w:t>（六）估值主体</w:t>
      </w:r>
    </w:p>
    <w:p>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widowControl/>
        <w:spacing w:line="360" w:lineRule="auto"/>
        <w:jc w:val="left"/>
        <w:rPr>
          <w:rFonts w:ascii="宋体" w:hAnsi="宋体"/>
          <w:kern w:val="0"/>
          <w:sz w:val="18"/>
          <w:szCs w:val="18"/>
        </w:rPr>
      </w:pPr>
      <w:r>
        <w:rPr>
          <w:rFonts w:hAnsi="宋体"/>
          <w:sz w:val="18"/>
          <w:szCs w:val="18"/>
        </w:rPr>
        <w:br w:type="page"/>
      </w:r>
    </w:p>
    <w:p>
      <w:pPr>
        <w:pStyle w:val="2"/>
        <w:spacing w:before="0" w:after="0" w:line="360" w:lineRule="auto"/>
        <w:ind w:left="60" w:firstLine="10"/>
        <w:jc w:val="center"/>
        <w:rPr>
          <w:rFonts w:ascii="Times New Roman"/>
          <w:sz w:val="30"/>
        </w:rPr>
      </w:pPr>
      <w:bookmarkStart w:id="133" w:name="_Hlt70481650"/>
      <w:bookmarkEnd w:id="133"/>
      <w:bookmarkStart w:id="134" w:name="_Toc123112235"/>
      <w:bookmarkStart w:id="135" w:name="_Toc74065744"/>
      <w:bookmarkStart w:id="136" w:name="_Toc15143"/>
      <w:bookmarkStart w:id="137" w:name="_Toc14835"/>
      <w:bookmarkStart w:id="138" w:name="_Toc29251"/>
      <w:bookmarkStart w:id="139" w:name="_Toc6405"/>
      <w:bookmarkStart w:id="140" w:name="_Toc79154671"/>
      <w:bookmarkStart w:id="141" w:name="_Toc3601"/>
      <w:bookmarkStart w:id="142" w:name="_Toc123102454"/>
      <w:bookmarkStart w:id="143" w:name="_Toc31644"/>
      <w:bookmarkStart w:id="144" w:name="_Toc123051453"/>
      <w:bookmarkStart w:id="145" w:name="_Toc98560353"/>
      <w:bookmarkStart w:id="146" w:name="_Toc12245"/>
      <w:bookmarkStart w:id="147" w:name="_Toc141703887"/>
      <w:bookmarkStart w:id="148" w:name="_Toc139991737"/>
      <w:bookmarkStart w:id="149" w:name="_Toc31235"/>
      <w:bookmarkStart w:id="150" w:name="_Toc176189760"/>
      <w:bookmarkStart w:id="151" w:name="_Toc31653"/>
      <w:bookmarkStart w:id="152" w:name="_Toc26207"/>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Start w:id="153" w:name="_Hlt55355235"/>
      <w:bookmarkEnd w:id="153"/>
      <w:bookmarkStart w:id="154" w:name="_Toc57530239"/>
      <w:bookmarkStart w:id="155" w:name="_Toc523711668"/>
      <w:bookmarkStart w:id="156" w:name="_Toc15118234"/>
      <w:bookmarkStart w:id="157" w:name="_Toc79392580"/>
    </w:p>
    <w:p>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pPr>
        <w:widowControl/>
        <w:spacing w:line="360" w:lineRule="auto"/>
        <w:jc w:val="left"/>
        <w:rPr>
          <w:rFonts w:ascii="宋体" w:hAnsi="宋体"/>
          <w:kern w:val="0"/>
          <w:sz w:val="18"/>
          <w:szCs w:val="18"/>
        </w:rPr>
      </w:pPr>
      <w:r>
        <w:rPr>
          <w:rFonts w:hAnsi="宋体"/>
          <w:sz w:val="18"/>
          <w:szCs w:val="18"/>
        </w:rPr>
        <w:br w:type="page"/>
      </w:r>
    </w:p>
    <w:bookmarkEnd w:id="154"/>
    <w:bookmarkEnd w:id="155"/>
    <w:bookmarkEnd w:id="156"/>
    <w:bookmarkEnd w:id="157"/>
    <w:p>
      <w:pPr>
        <w:pStyle w:val="2"/>
        <w:spacing w:before="0" w:after="0" w:line="360" w:lineRule="auto"/>
        <w:jc w:val="center"/>
        <w:rPr>
          <w:rFonts w:ascii="Times New Roman"/>
          <w:sz w:val="30"/>
        </w:rPr>
      </w:pPr>
      <w:bookmarkStart w:id="158" w:name="_Hlt88825574"/>
      <w:bookmarkEnd w:id="158"/>
      <w:bookmarkStart w:id="159" w:name="_Hlt88897298"/>
      <w:bookmarkEnd w:id="159"/>
      <w:bookmarkStart w:id="160" w:name="_Toc123102455"/>
      <w:bookmarkStart w:id="161" w:name="_Toc7058"/>
      <w:bookmarkStart w:id="162" w:name="_Toc98560354"/>
      <w:bookmarkStart w:id="163" w:name="_Toc3771"/>
      <w:bookmarkStart w:id="164" w:name="_Toc3321"/>
      <w:bookmarkStart w:id="165" w:name="_Toc123112236"/>
      <w:bookmarkStart w:id="166" w:name="_Toc139991738"/>
      <w:bookmarkStart w:id="167" w:name="_Toc176189761"/>
      <w:bookmarkStart w:id="168" w:name="_Toc123051454"/>
      <w:bookmarkStart w:id="169" w:name="_Toc25783"/>
      <w:bookmarkStart w:id="170" w:name="_Toc79392583"/>
      <w:bookmarkStart w:id="171" w:name="_Toc18567"/>
      <w:bookmarkStart w:id="172" w:name="_Toc10650"/>
      <w:bookmarkStart w:id="173" w:name="_Toc6447"/>
      <w:bookmarkStart w:id="174" w:name="_Toc79154672"/>
      <w:bookmarkStart w:id="175" w:name="_Toc74065745"/>
      <w:bookmarkStart w:id="176" w:name="_Toc4559"/>
      <w:bookmarkStart w:id="177" w:name="_Toc9706"/>
      <w:bookmarkStart w:id="178" w:name="_Toc11030"/>
      <w:bookmarkStart w:id="179" w:name="_Toc141703888"/>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p>
    <w:p>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本产品的销售服务费按前一日理财资产净值与销售服务费每日费率每日计提。销售服务费的计算方法如下：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H＝E×销售服务费年费率÷365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pStyle w:val="14"/>
        <w:spacing w:line="360" w:lineRule="auto"/>
        <w:ind w:firstLine="360" w:firstLineChars="200"/>
        <w:rPr>
          <w:rFonts w:hint="eastAsia" w:ascii="黑体" w:hAnsi="黑体" w:eastAsia="黑体" w:cs="黑体"/>
          <w:color w:val="auto"/>
          <w:kern w:val="2"/>
          <w:sz w:val="18"/>
          <w:szCs w:val="18"/>
        </w:rPr>
      </w:pPr>
      <w:r>
        <w:rPr>
          <w:rFonts w:hint="eastAsia" w:ascii="黑体" w:hAnsi="黑体" w:eastAsia="黑体" w:cs="黑体"/>
          <w:color w:val="auto"/>
          <w:sz w:val="18"/>
          <w:szCs w:val="18"/>
        </w:rPr>
        <w:t>销售服务费依照上述约定，从理财财产中支付。</w:t>
      </w:r>
      <w:r>
        <w:rPr>
          <w:rFonts w:hint="eastAsia" w:ascii="黑体" w:hAnsi="黑体" w:eastAsia="黑体" w:cs="黑体"/>
          <w:color w:val="auto"/>
          <w:kern w:val="2"/>
          <w:sz w:val="18"/>
          <w:szCs w:val="18"/>
        </w:rPr>
        <w:t>费率具体数值以</w:t>
      </w:r>
      <w:r>
        <w:rPr>
          <w:rFonts w:hint="eastAsia" w:ascii="黑体" w:hAnsi="黑体" w:eastAsia="黑体" w:cs="黑体"/>
          <w:color w:val="auto"/>
          <w:sz w:val="18"/>
          <w:szCs w:val="18"/>
        </w:rPr>
        <w:t>《产品说明书》“第二条 理财产品基本情况”</w:t>
      </w:r>
      <w:r>
        <w:rPr>
          <w:rFonts w:hint="eastAsia" w:ascii="黑体" w:hAnsi="黑体" w:eastAsia="黑体" w:cs="黑体"/>
          <w:color w:val="auto"/>
          <w:kern w:val="2"/>
          <w:sz w:val="18"/>
          <w:szCs w:val="18"/>
        </w:rPr>
        <w:t>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业绩报酬计提基准的设置、超额业绩报酬的具体比例数值以《</w:t>
      </w:r>
      <w:r>
        <w:rPr>
          <w:rFonts w:hint="eastAsia" w:ascii="黑体" w:hAnsi="黑体" w:eastAsia="黑体" w:cs="黑体"/>
          <w:bCs/>
          <w:sz w:val="18"/>
          <w:szCs w:val="18"/>
        </w:rPr>
        <w:t>产品说明</w:t>
      </w:r>
      <w:r>
        <w:rPr>
          <w:rFonts w:hint="eastAsia" w:ascii="黑体" w:hAnsi="黑体" w:eastAsia="黑体" w:cs="黑体"/>
          <w:sz w:val="18"/>
          <w:szCs w:val="18"/>
        </w:rPr>
        <w:t>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1）收取超额业绩报酬的原则：</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2）超额业绩报酬计提方法</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②超额业绩报酬计提日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每份产品份额超额业绩报酬每日计提，产品终止日结算。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③超额业绩报酬的计算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当R≤当前业绩报酬计提基准，超额业绩报酬=0；</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80" w:name="_Toc3963"/>
      <w:bookmarkStart w:id="181" w:name="_Toc1745"/>
      <w:r>
        <w:br w:type="page"/>
      </w:r>
      <w:bookmarkStart w:id="182" w:name="_Toc141703889"/>
      <w:bookmarkStart w:id="183" w:name="_Toc18206"/>
      <w:bookmarkStart w:id="184" w:name="_Toc3572"/>
      <w:bookmarkStart w:id="185" w:name="_Toc74065746"/>
      <w:bookmarkStart w:id="186" w:name="_Toc139991739"/>
      <w:bookmarkStart w:id="187" w:name="_Toc123051455"/>
      <w:bookmarkStart w:id="188" w:name="_Toc123112237"/>
      <w:bookmarkStart w:id="189" w:name="_Toc31821"/>
      <w:bookmarkStart w:id="190" w:name="_Toc79154673"/>
      <w:bookmarkStart w:id="191" w:name="_Toc21735"/>
      <w:bookmarkStart w:id="192" w:name="_Toc98560355"/>
      <w:bookmarkStart w:id="193" w:name="_Toc123102456"/>
      <w:bookmarkStart w:id="194" w:name="_Toc10398"/>
      <w:bookmarkStart w:id="195" w:name="_Toc176189762"/>
      <w:bookmarkStart w:id="196" w:name="_Toc16164"/>
      <w:bookmarkStart w:id="197" w:name="_Toc3080"/>
      <w:bookmarkStart w:id="198" w:name="_Toc725"/>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pPr>
        <w:spacing w:line="360" w:lineRule="auto"/>
        <w:ind w:firstLine="361" w:firstLineChars="200"/>
        <w:rPr>
          <w:rFonts w:asciiTheme="majorEastAsia" w:hAnsiTheme="majorEastAsia" w:eastAsiaTheme="majorEastAsia"/>
          <w:b/>
          <w:bCs/>
          <w:sz w:val="18"/>
          <w:szCs w:val="18"/>
        </w:rPr>
      </w:pPr>
      <w:bookmarkStart w:id="199" w:name="_Toc15118245"/>
      <w:bookmarkStart w:id="200" w:name="_Toc79392593"/>
      <w:bookmarkStart w:id="201" w:name="_Toc57530252"/>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9"/>
    <w:bookmarkEnd w:id="200"/>
    <w:bookmarkEnd w:id="201"/>
    <w:p>
      <w:pPr>
        <w:pStyle w:val="2"/>
        <w:spacing w:before="0" w:after="0" w:line="360" w:lineRule="auto"/>
        <w:jc w:val="center"/>
        <w:rPr>
          <w:rFonts w:ascii="Times New Roman"/>
          <w:sz w:val="30"/>
        </w:rPr>
      </w:pPr>
      <w:r>
        <w:rPr>
          <w:rFonts w:ascii="Times New Roman"/>
          <w:b w:val="0"/>
          <w:bCs w:val="0"/>
          <w:kern w:val="2"/>
        </w:rPr>
        <w:br w:type="page"/>
      </w:r>
      <w:bookmarkStart w:id="202" w:name="_Toc5170"/>
      <w:bookmarkStart w:id="203" w:name="_Toc79392622"/>
      <w:bookmarkStart w:id="204" w:name="_Toc123112238"/>
      <w:bookmarkStart w:id="205" w:name="_Toc739"/>
      <w:bookmarkStart w:id="206" w:name="_Toc21237"/>
      <w:bookmarkStart w:id="207" w:name="_Toc74065747"/>
      <w:bookmarkStart w:id="208" w:name="_Toc176189763"/>
      <w:bookmarkStart w:id="209" w:name="_Toc3329"/>
      <w:bookmarkStart w:id="210" w:name="_Toc123051456"/>
      <w:bookmarkStart w:id="211" w:name="_Toc48649708"/>
      <w:bookmarkStart w:id="212" w:name="_Toc29408"/>
      <w:bookmarkStart w:id="213" w:name="_Toc17920"/>
      <w:bookmarkStart w:id="214" w:name="_Toc141703890"/>
      <w:bookmarkStart w:id="215" w:name="_Toc139991740"/>
      <w:bookmarkStart w:id="216" w:name="_Toc32092"/>
      <w:bookmarkStart w:id="217" w:name="_Toc32584"/>
      <w:bookmarkStart w:id="218" w:name="_Toc98560356"/>
      <w:bookmarkStart w:id="219" w:name="_Toc123102457"/>
      <w:bookmarkStart w:id="220" w:name="_Toc8791"/>
      <w:bookmarkStart w:id="221" w:name="_Toc79154674"/>
      <w:bookmarkStart w:id="222" w:name="_Toc17198"/>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rPr>
          <w:rFonts w:ascii="宋体" w:hAnsi="宋体"/>
          <w:b/>
          <w:bCs/>
          <w:sz w:val="18"/>
          <w:szCs w:val="18"/>
        </w:rPr>
      </w:pPr>
      <w:r>
        <w:rPr>
          <w:rFonts w:hint="eastAsia" w:ascii="宋体" w:hAnsi="宋体"/>
          <w:b/>
          <w:bCs/>
          <w:sz w:val="18"/>
          <w:szCs w:val="18"/>
        </w:rPr>
        <w:t>（二）信息披露的渠道</w:t>
      </w:r>
    </w:p>
    <w:p>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pPr>
        <w:spacing w:line="360" w:lineRule="auto"/>
        <w:ind w:firstLine="361"/>
        <w:rPr>
          <w:rFonts w:ascii="宋体" w:hAnsi="宋体"/>
          <w:b/>
          <w:bCs/>
          <w:sz w:val="18"/>
          <w:szCs w:val="18"/>
        </w:rPr>
      </w:pPr>
      <w:r>
        <w:rPr>
          <w:rFonts w:hint="eastAsia" w:ascii="宋体" w:hAnsi="宋体"/>
          <w:b/>
          <w:bCs/>
          <w:sz w:val="18"/>
          <w:szCs w:val="18"/>
        </w:rPr>
        <w:t>（三）信息披露的内容</w:t>
      </w:r>
    </w:p>
    <w:p>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b/>
          <w:bCs/>
          <w:sz w:val="18"/>
          <w:szCs w:val="18"/>
        </w:rPr>
      </w:pPr>
      <w:r>
        <w:rPr>
          <w:rFonts w:hint="eastAsia" w:ascii="宋体" w:hAnsi="宋体"/>
          <w:b/>
          <w:bCs/>
          <w:sz w:val="18"/>
          <w:szCs w:val="18"/>
        </w:rPr>
        <w:t>（四）信息披露的频率和时间</w:t>
      </w:r>
    </w:p>
    <w:p>
      <w:pPr>
        <w:spacing w:line="360" w:lineRule="auto"/>
        <w:ind w:firstLine="360"/>
        <w:rPr>
          <w:rFonts w:ascii="宋体" w:hAnsi="宋体"/>
          <w:bCs/>
          <w:sz w:val="18"/>
          <w:szCs w:val="18"/>
        </w:rPr>
      </w:pPr>
      <w:r>
        <w:rPr>
          <w:rFonts w:ascii="宋体" w:hAnsi="宋体"/>
          <w:bCs/>
          <w:sz w:val="18"/>
          <w:szCs w:val="18"/>
        </w:rPr>
        <w:t>1.产品成立公告</w:t>
      </w:r>
    </w:p>
    <w:p>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rPr>
          <w:rFonts w:ascii="宋体" w:hAnsi="宋体"/>
          <w:bCs/>
          <w:sz w:val="18"/>
          <w:szCs w:val="18"/>
        </w:rPr>
      </w:pPr>
      <w:r>
        <w:rPr>
          <w:rFonts w:ascii="宋体" w:hAnsi="宋体"/>
          <w:bCs/>
          <w:sz w:val="18"/>
          <w:szCs w:val="18"/>
        </w:rPr>
        <w:t>3.定期报告</w:t>
      </w:r>
    </w:p>
    <w:p>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bCs/>
          <w:sz w:val="18"/>
          <w:szCs w:val="18"/>
        </w:rPr>
      </w:pPr>
      <w:r>
        <w:rPr>
          <w:rFonts w:ascii="宋体" w:hAnsi="宋体"/>
          <w:bCs/>
          <w:sz w:val="18"/>
          <w:szCs w:val="18"/>
        </w:rPr>
        <w:t>4.到期公告</w:t>
      </w:r>
    </w:p>
    <w:p>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pPr>
        <w:spacing w:line="360" w:lineRule="auto"/>
        <w:ind w:firstLine="360"/>
        <w:rPr>
          <w:rFonts w:ascii="宋体" w:hAnsi="宋体"/>
          <w:bCs/>
          <w:sz w:val="18"/>
          <w:szCs w:val="18"/>
        </w:rPr>
      </w:pPr>
      <w:r>
        <w:rPr>
          <w:rFonts w:ascii="宋体" w:hAnsi="宋体"/>
          <w:bCs/>
          <w:sz w:val="18"/>
          <w:szCs w:val="18"/>
        </w:rPr>
        <w:t>5.估值日公告</w:t>
      </w:r>
    </w:p>
    <w:p>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w:t>
      </w:r>
      <w:r>
        <w:rPr>
          <w:rFonts w:hint="eastAsia" w:hAnsi="宋体"/>
          <w:sz w:val="18"/>
          <w:szCs w:val="18"/>
        </w:rPr>
        <w:t>周</w:t>
      </w:r>
      <w:r>
        <w:rPr>
          <w:rFonts w:hint="eastAsia" w:ascii="宋体" w:hAnsi="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bCs/>
          <w:sz w:val="18"/>
          <w:szCs w:val="18"/>
        </w:rPr>
      </w:pPr>
      <w:r>
        <w:rPr>
          <w:rFonts w:ascii="宋体" w:hAnsi="宋体"/>
          <w:bCs/>
          <w:sz w:val="18"/>
          <w:szCs w:val="18"/>
        </w:rPr>
        <w:t>6.临时公告</w:t>
      </w:r>
    </w:p>
    <w:p>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pPr>
        <w:widowControl/>
        <w:spacing w:line="360" w:lineRule="auto"/>
        <w:jc w:val="left"/>
        <w:rPr>
          <w:bCs/>
          <w:sz w:val="24"/>
        </w:rPr>
      </w:pPr>
      <w:r>
        <w:rPr>
          <w:bCs/>
          <w:sz w:val="24"/>
        </w:rPr>
        <w:br w:type="page"/>
      </w:r>
    </w:p>
    <w:p>
      <w:pPr>
        <w:pStyle w:val="2"/>
        <w:spacing w:before="0" w:after="0" w:line="360" w:lineRule="auto"/>
        <w:jc w:val="center"/>
        <w:rPr>
          <w:rFonts w:ascii="Times New Roman"/>
          <w:b w:val="0"/>
          <w:sz w:val="30"/>
        </w:rPr>
      </w:pPr>
      <w:bookmarkStart w:id="223" w:name="_Toc176189764"/>
      <w:bookmarkStart w:id="224" w:name="_Toc79154675"/>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3"/>
      <w:bookmarkEnd w:id="224"/>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hint="eastAsia" w:ascii="宋体" w:hAnsi="宋体"/>
          <w:sz w:val="18"/>
          <w:szCs w:val="18"/>
          <w:lang w:eastAsia="zh-CN"/>
        </w:rPr>
      </w:pPr>
      <w:r>
        <w:rPr>
          <w:rFonts w:hint="eastAsia" w:ascii="宋体" w:hAnsi="宋体"/>
          <w:sz w:val="18"/>
          <w:szCs w:val="18"/>
        </w:rPr>
        <w:t>【</w:t>
      </w:r>
      <w:r>
        <w:rPr>
          <w:rFonts w:hint="eastAsia" w:ascii="宋体" w:hAnsi="宋体"/>
          <w:sz w:val="18"/>
          <w:szCs w:val="18"/>
          <w:lang w:eastAsia="zh-CN"/>
        </w:rPr>
        <w:t>1.拟投资市场和资产的风险：</w:t>
      </w:r>
    </w:p>
    <w:p>
      <w:pPr>
        <w:spacing w:line="360" w:lineRule="auto"/>
        <w:ind w:firstLine="360" w:firstLineChars="200"/>
        <w:rPr>
          <w:rFonts w:hint="eastAsia" w:ascii="宋体" w:hAnsi="宋体"/>
          <w:sz w:val="18"/>
          <w:szCs w:val="18"/>
          <w:lang w:eastAsia="zh-CN"/>
        </w:rPr>
      </w:pPr>
      <w:r>
        <w:rPr>
          <w:rFonts w:hint="eastAsia" w:ascii="宋体" w:hAnsi="宋体"/>
          <w:sz w:val="18"/>
          <w:szCs w:val="18"/>
          <w:lang w:eastAsia="zh-CN"/>
        </w:rPr>
        <w:t>（1）投资债权类资产的风险</w:t>
      </w:r>
    </w:p>
    <w:p>
      <w:pPr>
        <w:spacing w:line="360" w:lineRule="auto"/>
        <w:ind w:firstLine="360" w:firstLineChars="200"/>
        <w:rPr>
          <w:rFonts w:hint="eastAsia" w:ascii="宋体" w:hAnsi="宋体"/>
          <w:sz w:val="18"/>
          <w:szCs w:val="18"/>
          <w:lang w:eastAsia="zh-CN"/>
        </w:rPr>
      </w:pPr>
      <w:r>
        <w:rPr>
          <w:rFonts w:hint="eastAsia" w:ascii="宋体" w:hAnsi="宋体"/>
          <w:sz w:val="18"/>
          <w:szCs w:val="18"/>
          <w:lang w:eastAsia="zh-CN"/>
        </w:rPr>
        <w:t>1）投资标准化债权类资产的风险</w:t>
      </w:r>
    </w:p>
    <w:p>
      <w:pPr>
        <w:spacing w:line="360" w:lineRule="auto"/>
        <w:ind w:firstLine="360" w:firstLineChars="200"/>
        <w:rPr>
          <w:rFonts w:hint="eastAsia" w:ascii="宋体" w:hAnsi="宋体"/>
          <w:sz w:val="18"/>
          <w:szCs w:val="18"/>
          <w:lang w:eastAsia="zh-CN"/>
        </w:rPr>
      </w:pPr>
      <w:r>
        <w:rPr>
          <w:rFonts w:hint="eastAsia" w:ascii="宋体" w:hAnsi="宋体"/>
          <w:sz w:val="18"/>
          <w:szCs w:val="18"/>
          <w:lang w:eastAsia="zh-CN"/>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sz w:val="18"/>
          <w:szCs w:val="18"/>
        </w:rPr>
      </w:pPr>
      <w:r>
        <w:rPr>
          <w:rFonts w:hint="eastAsia" w:ascii="宋体" w:hAnsi="宋体"/>
          <w:sz w:val="18"/>
          <w:szCs w:val="18"/>
        </w:rPr>
        <w:t>】</w:t>
      </w:r>
    </w:p>
    <w:p>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b/>
                <w:sz w:val="18"/>
                <w:szCs w:val="18"/>
              </w:rPr>
            </w:pPr>
            <w:r>
              <w:rPr>
                <w:rFonts w:hint="eastAsia"/>
                <w:b/>
                <w:sz w:val="18"/>
                <w:szCs w:val="18"/>
              </w:rPr>
              <w:t>个人投资者适用</w:t>
            </w:r>
          </w:p>
        </w:tc>
        <w:tc>
          <w:tcPr>
            <w:tcW w:w="7371" w:type="dxa"/>
          </w:tcPr>
          <w:p>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pPr>
              <w:spacing w:line="360" w:lineRule="auto"/>
              <w:ind w:firstLine="361"/>
              <w:jc w:val="left"/>
              <w:rPr>
                <w:b/>
                <w:sz w:val="18"/>
                <w:szCs w:val="18"/>
              </w:rPr>
            </w:pPr>
          </w:p>
          <w:p>
            <w:pPr>
              <w:spacing w:line="360" w:lineRule="auto"/>
              <w:ind w:firstLine="360"/>
              <w:jc w:val="left"/>
              <w:rPr>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b/>
                <w:sz w:val="18"/>
                <w:szCs w:val="18"/>
              </w:rPr>
            </w:pPr>
            <w:r>
              <w:rPr>
                <w:rFonts w:hint="eastAsia"/>
                <w:b/>
                <w:sz w:val="18"/>
                <w:szCs w:val="18"/>
              </w:rPr>
              <w:t>机构投资者适用</w:t>
            </w:r>
          </w:p>
        </w:tc>
        <w:tc>
          <w:tcPr>
            <w:tcW w:w="7371" w:type="dxa"/>
          </w:tcPr>
          <w:p>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pPr>
              <w:tabs>
                <w:tab w:val="left" w:pos="5609"/>
              </w:tabs>
              <w:spacing w:line="360" w:lineRule="auto"/>
              <w:ind w:firstLine="360"/>
              <w:jc w:val="left"/>
              <w:rPr>
                <w:rFonts w:cs="Arial"/>
                <w:sz w:val="18"/>
                <w:szCs w:val="18"/>
              </w:rPr>
            </w:pPr>
            <w:r>
              <w:rPr>
                <w:rFonts w:cs="Arial"/>
                <w:sz w:val="18"/>
                <w:szCs w:val="18"/>
              </w:rPr>
              <w:tab/>
            </w:r>
          </w:p>
          <w:p>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pPr>
              <w:spacing w:line="360" w:lineRule="auto"/>
              <w:ind w:firstLine="360"/>
              <w:jc w:val="left"/>
              <w:rPr>
                <w:sz w:val="18"/>
                <w:szCs w:val="18"/>
              </w:rPr>
            </w:pPr>
            <w:r>
              <w:rPr>
                <w:rFonts w:hint="eastAsia"/>
                <w:sz w:val="18"/>
                <w:szCs w:val="18"/>
              </w:rPr>
              <w:t>日期：</w:t>
            </w:r>
          </w:p>
        </w:tc>
      </w:tr>
    </w:tbl>
    <w:p>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pPr>
        <w:pStyle w:val="14"/>
        <w:spacing w:line="360" w:lineRule="auto"/>
        <w:rPr>
          <w:rFonts w:hAnsi="宋体"/>
          <w:sz w:val="18"/>
          <w:szCs w:val="18"/>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b/>
          <w:sz w:val="28"/>
          <w:szCs w:val="28"/>
        </w:rPr>
      </w:pPr>
      <w:r>
        <w:rPr>
          <w:rFonts w:hint="eastAsia" w:ascii="黑体" w:hAnsi="黑体" w:eastAsia="黑体"/>
          <w:b/>
          <w:sz w:val="28"/>
          <w:szCs w:val="28"/>
        </w:rPr>
        <w:t>兴银理财【</w:t>
      </w:r>
      <w:r>
        <w:rPr>
          <w:rFonts w:hint="eastAsia" w:ascii="黑体" w:hAnsi="黑体" w:eastAsia="黑体"/>
          <w:b/>
          <w:sz w:val="28"/>
          <w:szCs w:val="28"/>
          <w:lang w:eastAsia="zh-CN"/>
        </w:rPr>
        <w:t>稳利安盈封闭式</w:t>
      </w:r>
      <w:r>
        <w:rPr>
          <w:rFonts w:hint="eastAsia" w:ascii="黑体" w:hAnsi="黑体" w:eastAsia="黑体"/>
          <w:b/>
          <w:sz w:val="28"/>
          <w:szCs w:val="28"/>
        </w:rPr>
        <w:t>】理财产品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4"/>
              <w:pBdr>
                <w:bottom w:val="none" w:color="auto" w:sz="0" w:space="0"/>
              </w:pBdr>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w:t>
            </w:r>
            <w:r>
              <w:rPr>
                <w:rFonts w:ascii="宋体" w:hAnsi="宋体"/>
                <w:sz w:val="18"/>
                <w:szCs w:val="18"/>
                <w:highlight w:val="yellow"/>
              </w:rPr>
              <w:t>沧州银行股份有限公司</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pPr>
              <w:pStyle w:val="14"/>
              <w:jc w:val="both"/>
            </w:pPr>
            <w:r>
              <w:rPr>
                <w:rFonts w:hint="eastAsia" w:asciiTheme="majorEastAsia" w:hAnsiTheme="majorEastAsia" w:eastAsiaTheme="majorEastAsia"/>
                <w:bCs/>
                <w:sz w:val="18"/>
                <w:szCs w:val="18"/>
              </w:rPr>
              <w:t>【</w:t>
            </w:r>
            <w:r>
              <w:rPr>
                <w:rFonts w:ascii="宋体" w:hAnsi="宋体"/>
                <w:sz w:val="18"/>
                <w:szCs w:val="18"/>
                <w:highlight w:val="yellow"/>
              </w:rPr>
              <w:t>沧州银行</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参照本条第（1）款非机构投资者要求执行；</w:t>
      </w:r>
    </w:p>
    <w:p>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b/>
                <w:kern w:val="0"/>
                <w:sz w:val="18"/>
                <w:szCs w:val="18"/>
              </w:rPr>
            </w:pPr>
            <w:r>
              <w:rPr>
                <w:rFonts w:hint="eastAsia"/>
                <w:b/>
                <w:kern w:val="0"/>
                <w:sz w:val="18"/>
                <w:szCs w:val="18"/>
              </w:rPr>
              <w:t>甲方签署栏</w:t>
            </w:r>
          </w:p>
        </w:tc>
        <w:tc>
          <w:tcPr>
            <w:tcW w:w="851" w:type="dxa"/>
          </w:tcPr>
          <w:p>
            <w:pPr>
              <w:spacing w:line="360" w:lineRule="auto"/>
              <w:rPr>
                <w:kern w:val="0"/>
                <w:sz w:val="18"/>
                <w:szCs w:val="18"/>
              </w:rPr>
            </w:pPr>
            <w:r>
              <w:rPr>
                <w:rFonts w:hint="eastAsia"/>
                <w:kern w:val="0"/>
                <w:sz w:val="18"/>
                <w:szCs w:val="18"/>
              </w:rPr>
              <w:t>个人投资者适用</w:t>
            </w:r>
          </w:p>
        </w:tc>
        <w:tc>
          <w:tcPr>
            <w:tcW w:w="6998" w:type="dxa"/>
          </w:tcPr>
          <w:p>
            <w:pPr>
              <w:spacing w:line="360" w:lineRule="auto"/>
              <w:rPr>
                <w:kern w:val="0"/>
                <w:sz w:val="18"/>
                <w:szCs w:val="18"/>
              </w:rPr>
            </w:pPr>
            <w:r>
              <w:rPr>
                <w:rFonts w:hint="eastAsia"/>
                <w:kern w:val="0"/>
                <w:sz w:val="18"/>
                <w:szCs w:val="18"/>
              </w:rPr>
              <w:t>甲方（签名/线上确认）：</w:t>
            </w:r>
          </w:p>
          <w:p>
            <w:pPr>
              <w:spacing w:line="360" w:lineRule="auto"/>
              <w:rPr>
                <w:b/>
                <w:kern w:val="0"/>
                <w:sz w:val="18"/>
                <w:szCs w:val="18"/>
              </w:rPr>
            </w:pPr>
          </w:p>
          <w:p>
            <w:pPr>
              <w:spacing w:line="360" w:lineRule="auto"/>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b/>
                <w:kern w:val="0"/>
                <w:sz w:val="18"/>
                <w:szCs w:val="18"/>
              </w:rPr>
            </w:pPr>
          </w:p>
        </w:tc>
        <w:tc>
          <w:tcPr>
            <w:tcW w:w="851" w:type="dxa"/>
          </w:tcPr>
          <w:p>
            <w:pPr>
              <w:spacing w:line="360" w:lineRule="auto"/>
              <w:rPr>
                <w:kern w:val="0"/>
                <w:sz w:val="18"/>
                <w:szCs w:val="18"/>
              </w:rPr>
            </w:pPr>
            <w:r>
              <w:rPr>
                <w:rFonts w:hint="eastAsia"/>
                <w:kern w:val="0"/>
                <w:sz w:val="18"/>
                <w:szCs w:val="18"/>
              </w:rPr>
              <w:t>机构投资者适用</w:t>
            </w:r>
          </w:p>
        </w:tc>
        <w:tc>
          <w:tcPr>
            <w:tcW w:w="6998" w:type="dxa"/>
          </w:tcPr>
          <w:p>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pPr>
              <w:spacing w:line="360" w:lineRule="auto"/>
              <w:rPr>
                <w:rFonts w:cs="Arial"/>
                <w:kern w:val="0"/>
                <w:sz w:val="18"/>
                <w:szCs w:val="18"/>
              </w:rPr>
            </w:pPr>
          </w:p>
          <w:p>
            <w:pPr>
              <w:spacing w:line="360" w:lineRule="auto"/>
              <w:rPr>
                <w:rFonts w:cs="Arial"/>
                <w:kern w:val="0"/>
                <w:sz w:val="18"/>
                <w:szCs w:val="18"/>
              </w:rPr>
            </w:pPr>
            <w:r>
              <w:rPr>
                <w:rFonts w:hint="eastAsia" w:cs="Arial"/>
                <w:kern w:val="0"/>
                <w:sz w:val="18"/>
                <w:szCs w:val="18"/>
              </w:rPr>
              <w:t>甲方法定代表人或授权代理人（签名/盖章/线上确认）：</w:t>
            </w:r>
          </w:p>
          <w:p>
            <w:pPr>
              <w:spacing w:line="360" w:lineRule="auto"/>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pPr>
              <w:spacing w:line="360" w:lineRule="auto"/>
              <w:rPr>
                <w:b/>
                <w:kern w:val="0"/>
                <w:sz w:val="18"/>
                <w:szCs w:val="18"/>
              </w:rPr>
            </w:pPr>
          </w:p>
          <w:p>
            <w:pPr>
              <w:spacing w:line="360" w:lineRule="auto"/>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兴银理财【稳利安盈封闭式】</w:t>
      </w:r>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【兴银理财稳利安盈封闭式2025年88期固收类理财产品</w:t>
      </w:r>
      <w:r>
        <w:rPr>
          <w:rFonts w:hint="eastAsia"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lang w:eastAsia="zh-CN"/>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cs="仿宋_GB2312"/>
          <w:kern w:val="0"/>
          <w:sz w:val="18"/>
          <w:szCs w:val="18"/>
          <w:lang w:eastAsia="zh-CN"/>
        </w:rPr>
        <w:t>【兴银稳利安盈25年88期B】（适用【B】类份额）</w:t>
      </w:r>
    </w:p>
    <w:p>
      <w:pPr>
        <w:ind w:firstLine="448" w:firstLineChars="249"/>
        <w:rPr>
          <w:rFonts w:hint="eastAsia" w:ascii="宋体" w:hAnsi="宋体" w:cs="仿宋_GB2312"/>
          <w:kern w:val="0"/>
          <w:sz w:val="18"/>
          <w:szCs w:val="18"/>
          <w:lang w:eastAsia="zh-CN"/>
        </w:rPr>
      </w:pPr>
      <w:r>
        <w:rPr>
          <w:rFonts w:hint="eastAsia" w:ascii="宋体" w:hAnsi="宋体" w:cs="仿宋_GB2312"/>
          <w:kern w:val="0"/>
          <w:sz w:val="18"/>
          <w:szCs w:val="18"/>
          <w:lang w:eastAsia="zh-CN"/>
        </w:rPr>
        <w:t>【兴银稳利安盈25年88期</w:t>
      </w:r>
      <w:r>
        <w:rPr>
          <w:rFonts w:hint="eastAsia" w:ascii="宋体" w:hAnsi="宋体" w:cs="仿宋_GB2312"/>
          <w:kern w:val="0"/>
          <w:sz w:val="18"/>
          <w:szCs w:val="18"/>
          <w:lang w:val="en-US" w:eastAsia="zh-CN"/>
        </w:rPr>
        <w:t>C</w:t>
      </w:r>
      <w:r>
        <w:rPr>
          <w:rFonts w:hint="eastAsia" w:ascii="宋体" w:hAnsi="宋体" w:cs="仿宋_GB2312"/>
          <w:kern w:val="0"/>
          <w:sz w:val="18"/>
          <w:szCs w:val="18"/>
          <w:lang w:eastAsia="zh-CN"/>
        </w:rPr>
        <w:t>】（适用【C】类份额）</w:t>
      </w:r>
    </w:p>
    <w:p>
      <w:pPr>
        <w:ind w:firstLine="448" w:firstLineChars="249"/>
        <w:rPr>
          <w:rFonts w:hint="eastAsia" w:ascii="宋体" w:hAnsi="宋体" w:cs="仿宋_GB2312"/>
          <w:kern w:val="0"/>
          <w:sz w:val="18"/>
          <w:szCs w:val="18"/>
          <w:lang w:eastAsia="zh-CN"/>
        </w:rPr>
      </w:pPr>
      <w:r>
        <w:rPr>
          <w:rFonts w:hint="eastAsia" w:ascii="宋体" w:hAnsi="宋体" w:cs="仿宋_GB2312"/>
          <w:kern w:val="0"/>
          <w:sz w:val="18"/>
          <w:szCs w:val="18"/>
          <w:lang w:eastAsia="zh-CN"/>
        </w:rPr>
        <w:t>【兴银稳利安盈25年88期</w:t>
      </w:r>
      <w:r>
        <w:rPr>
          <w:rFonts w:hint="eastAsia" w:ascii="宋体" w:hAnsi="宋体" w:cs="仿宋_GB2312"/>
          <w:kern w:val="0"/>
          <w:sz w:val="18"/>
          <w:szCs w:val="18"/>
          <w:lang w:val="en-US" w:eastAsia="zh-CN"/>
        </w:rPr>
        <w:t>D</w:t>
      </w:r>
      <w:r>
        <w:rPr>
          <w:rFonts w:hint="eastAsia" w:ascii="宋体" w:hAnsi="宋体" w:cs="仿宋_GB2312"/>
          <w:kern w:val="0"/>
          <w:sz w:val="18"/>
          <w:szCs w:val="18"/>
          <w:lang w:eastAsia="zh-CN"/>
        </w:rPr>
        <w:t>】（适用【D】类份额）</w:t>
      </w:r>
    </w:p>
    <w:p>
      <w:pPr>
        <w:ind w:firstLine="448" w:firstLineChars="249"/>
        <w:rPr>
          <w:rFonts w:hint="eastAsia" w:ascii="宋体" w:hAnsi="宋体" w:cs="仿宋_GB2312"/>
          <w:kern w:val="0"/>
          <w:sz w:val="18"/>
          <w:szCs w:val="18"/>
          <w:lang w:eastAsia="zh-CN"/>
        </w:rPr>
      </w:pPr>
      <w:r>
        <w:rPr>
          <w:rFonts w:hint="eastAsia" w:ascii="宋体" w:hAnsi="宋体" w:cs="仿宋_GB2312"/>
          <w:kern w:val="0"/>
          <w:sz w:val="18"/>
          <w:szCs w:val="18"/>
          <w:lang w:eastAsia="zh-CN"/>
        </w:rPr>
        <w:t>【兴银稳利安盈25年88期</w:t>
      </w:r>
      <w:r>
        <w:rPr>
          <w:rFonts w:hint="eastAsia" w:ascii="宋体" w:hAnsi="宋体" w:cs="仿宋_GB2312"/>
          <w:kern w:val="0"/>
          <w:sz w:val="18"/>
          <w:szCs w:val="18"/>
          <w:lang w:val="en-US" w:eastAsia="zh-CN"/>
        </w:rPr>
        <w:t>E</w:t>
      </w:r>
      <w:r>
        <w:rPr>
          <w:rFonts w:hint="eastAsia" w:ascii="宋体" w:hAnsi="宋体" w:cs="仿宋_GB2312"/>
          <w:kern w:val="0"/>
          <w:sz w:val="18"/>
          <w:szCs w:val="18"/>
          <w:lang w:eastAsia="zh-CN"/>
        </w:rPr>
        <w:t>】（适用【E】类份额）</w:t>
      </w:r>
    </w:p>
    <w:p>
      <w:pPr>
        <w:ind w:firstLine="448" w:firstLineChars="249"/>
        <w:rPr>
          <w:rFonts w:ascii="宋体" w:hAnsi="宋体" w:cs="仿宋_GB2312"/>
          <w:kern w:val="0"/>
          <w:sz w:val="18"/>
          <w:szCs w:val="18"/>
        </w:rPr>
      </w:pPr>
      <w:r>
        <w:rPr>
          <w:rFonts w:hint="eastAsia" w:ascii="宋体" w:hAnsi="宋体" w:cs="仿宋_GB2312"/>
          <w:kern w:val="0"/>
          <w:sz w:val="18"/>
          <w:szCs w:val="18"/>
          <w:lang w:eastAsia="zh-CN"/>
        </w:rPr>
        <w:t>【兴银稳利安盈25年88期</w:t>
      </w:r>
      <w:r>
        <w:rPr>
          <w:rFonts w:hint="eastAsia" w:ascii="宋体" w:hAnsi="宋体" w:cs="仿宋_GB2312"/>
          <w:kern w:val="0"/>
          <w:sz w:val="18"/>
          <w:szCs w:val="18"/>
          <w:lang w:val="en-US" w:eastAsia="zh-CN"/>
        </w:rPr>
        <w:t>F</w:t>
      </w:r>
      <w:r>
        <w:rPr>
          <w:rFonts w:hint="eastAsia" w:ascii="宋体" w:hAnsi="宋体" w:cs="仿宋_GB2312"/>
          <w:kern w:val="0"/>
          <w:sz w:val="18"/>
          <w:szCs w:val="18"/>
          <w:lang w:eastAsia="zh-CN"/>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F</w:t>
      </w:r>
      <w:r>
        <w:rPr>
          <w:rFonts w:hint="eastAsia" w:ascii="宋体" w:hAnsi="宋体" w:cs="仿宋_GB2312"/>
          <w:kern w:val="0"/>
          <w:sz w:val="18"/>
          <w:szCs w:val="18"/>
        </w:rPr>
        <w:t>】类份额）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Z7002025002257</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w:t>
      </w:r>
      <w:r>
        <w:rPr>
          <w:rFonts w:hint="eastAsia" w:ascii="宋体" w:hAnsi="宋体" w:cs="仿宋_GB2312"/>
          <w:kern w:val="0"/>
          <w:sz w:val="18"/>
          <w:szCs w:val="18"/>
          <w:lang w:val="en-US" w:eastAsia="zh-CN"/>
        </w:rPr>
        <w:t>170</w:t>
      </w:r>
      <w:r>
        <w:rPr>
          <w:rFonts w:hint="eastAsia" w:ascii="宋体" w:hAnsi="宋体" w:cs="仿宋_GB2312"/>
          <w:kern w:val="0"/>
          <w:sz w:val="18"/>
          <w:szCs w:val="18"/>
        </w:rPr>
        <w:t>天】</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w:t>
      </w:r>
      <w:r>
        <w:rPr>
          <w:rFonts w:hint="eastAsia" w:ascii="宋体" w:hAnsi="宋体" w:cs="仿宋_GB2312"/>
          <w:kern w:val="0"/>
          <w:sz w:val="18"/>
          <w:szCs w:val="18"/>
          <w:lang w:eastAsia="zh-CN"/>
        </w:rPr>
        <w:t>R1</w:t>
      </w:r>
      <w:r>
        <w:rPr>
          <w:rFonts w:hint="eastAsia" w:ascii="黑体" w:hAnsi="黑体" w:eastAsia="黑体" w:cs="黑体"/>
          <w:kern w:val="0"/>
          <w:sz w:val="18"/>
          <w:szCs w:val="18"/>
        </w:rPr>
        <w:t>】（产品管理人定义的产品风险评级为【</w:t>
      </w:r>
      <w:r>
        <w:rPr>
          <w:rFonts w:hint="eastAsia" w:ascii="宋体" w:hAnsi="宋体" w:cs="仿宋_GB2312"/>
          <w:kern w:val="0"/>
          <w:sz w:val="18"/>
          <w:szCs w:val="18"/>
          <w:lang w:eastAsia="zh-CN"/>
        </w:rPr>
        <w:t>R1</w:t>
      </w:r>
      <w:r>
        <w:rPr>
          <w:rFonts w:hint="eastAsia" w:ascii="黑体" w:hAnsi="黑体" w:eastAsia="黑体" w:cs="黑体"/>
          <w:kern w:val="0"/>
          <w:sz w:val="18"/>
          <w:szCs w:val="18"/>
        </w:rPr>
        <w:t>】；代理销售机构定义的产品风险评级为【</w:t>
      </w:r>
      <w:r>
        <w:rPr>
          <w:rFonts w:hint="eastAsia" w:ascii="宋体" w:hAnsi="宋体" w:cs="仿宋_GB2312"/>
          <w:kern w:val="0"/>
          <w:sz w:val="18"/>
          <w:szCs w:val="18"/>
          <w:lang w:eastAsia="zh-CN"/>
        </w:rPr>
        <w:t>R1</w:t>
      </w:r>
      <w:r>
        <w:rPr>
          <w:rFonts w:hint="eastAsia" w:ascii="黑体" w:hAnsi="黑体" w:eastAsia="黑体" w:cs="黑体"/>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lang w:eastAsia="zh-CN"/>
          <w14:textFill>
            <w14:solidFill>
              <w14:schemeClr w14:val="tx1"/>
            </w14:solidFill>
          </w14:textFill>
        </w:rPr>
        <w:t>■个人投资者：【■ C1、■ C2、■ C3、■ C4、■ C5、■ C6】。</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bookmarkStart w:id="225" w:name="ins_risk"/>
      <w:bookmarkEnd w:id="225"/>
      <w:r>
        <w:rPr>
          <w:rFonts w:hint="eastAsia" w:asciiTheme="majorEastAsia" w:hAnsiTheme="majorEastAsia" w:eastAsiaTheme="majorEastAsia"/>
          <w:bCs/>
          <w:color w:val="000000" w:themeColor="text1"/>
          <w:sz w:val="18"/>
          <w:szCs w:val="18"/>
          <w:lang w:eastAsia="zh-CN"/>
          <w14:textFill>
            <w14:solidFill>
              <w14:schemeClr w14:val="tx1"/>
            </w14:solidFill>
          </w14:textFill>
        </w:rPr>
        <w:t>■机构投资者：【■ C1、■ C2、■ C3、■ C4、■ C5】</w:t>
      </w:r>
      <w:r>
        <w:rPr>
          <w:rFonts w:hint="eastAsia"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ind w:firstLine="360" w:firstLineChars="200"/>
        <w:rPr>
          <w:rFonts w:hint="eastAsia" w:ascii="宋体" w:hAnsi="宋体"/>
          <w:sz w:val="18"/>
          <w:szCs w:val="18"/>
        </w:rPr>
      </w:pPr>
      <w:r>
        <w:rPr>
          <w:rFonts w:hint="eastAsia" w:ascii="宋体" w:hAnsi="宋体"/>
          <w:sz w:val="18"/>
          <w:szCs w:val="18"/>
        </w:rPr>
        <w:t>【1.拟投资市场和资产的风险：</w:t>
      </w:r>
    </w:p>
    <w:p>
      <w:pPr>
        <w:ind w:firstLine="360" w:firstLineChars="200"/>
        <w:rPr>
          <w:rFonts w:hint="eastAsia" w:ascii="宋体" w:hAnsi="宋体"/>
          <w:sz w:val="18"/>
          <w:szCs w:val="18"/>
        </w:rPr>
      </w:pPr>
      <w:r>
        <w:rPr>
          <w:rFonts w:hint="eastAsia" w:ascii="宋体" w:hAnsi="宋体"/>
          <w:sz w:val="18"/>
          <w:szCs w:val="18"/>
        </w:rPr>
        <w:t>（1）投资债权类资产的风险</w:t>
      </w:r>
    </w:p>
    <w:p>
      <w:pPr>
        <w:ind w:firstLine="360" w:firstLineChars="200"/>
        <w:rPr>
          <w:rFonts w:hint="eastAsia" w:ascii="宋体" w:hAnsi="宋体"/>
          <w:sz w:val="18"/>
          <w:szCs w:val="18"/>
        </w:rPr>
      </w:pPr>
      <w:r>
        <w:rPr>
          <w:rFonts w:hint="eastAsia" w:ascii="宋体" w:hAnsi="宋体"/>
          <w:sz w:val="18"/>
          <w:szCs w:val="18"/>
        </w:rPr>
        <w:t>1）投资标准化债权类资产的风险</w:t>
      </w:r>
    </w:p>
    <w:p>
      <w:pPr>
        <w:ind w:firstLine="360" w:firstLineChars="20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ordWrap w:val="0"/>
        <w:ind w:left="540"/>
        <w:jc w:val="right"/>
        <w:rPr>
          <w:rFonts w:ascii="宋体" w:hAnsi="宋体"/>
          <w:sz w:val="18"/>
          <w:szCs w:val="18"/>
        </w:rPr>
      </w:pPr>
      <w:r>
        <w:rPr>
          <w:rFonts w:hint="eastAsia" w:ascii="宋体" w:hAnsi="宋体"/>
          <w:sz w:val="18"/>
          <w:szCs w:val="18"/>
        </w:rPr>
        <w:t xml:space="preserve">销售机构（【 </w:t>
      </w:r>
      <w:r>
        <w:rPr>
          <w:rFonts w:ascii="宋体" w:hAnsi="宋体"/>
          <w:sz w:val="18"/>
          <w:szCs w:val="18"/>
          <w:highlight w:val="yellow"/>
        </w:rPr>
        <w:t>沧州银行股份有限公司</w:t>
      </w:r>
      <w:r>
        <w:rPr>
          <w:rFonts w:ascii="宋体" w:hAnsi="宋体"/>
          <w:sz w:val="18"/>
          <w:szCs w:val="18"/>
        </w:rPr>
        <w:t xml:space="preserve"> </w:t>
      </w:r>
      <w:r>
        <w:rPr>
          <w:rFonts w:hint="eastAsia" w:ascii="宋体" w:hAnsi="宋体"/>
          <w:sz w:val="18"/>
          <w:szCs w:val="18"/>
        </w:rPr>
        <w:t>】）</w:t>
      </w:r>
    </w:p>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lang w:val="en-US" w:eastAsia="zh-CN"/>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6" w:name="_GoBack"/>
      <w:bookmarkEnd w:id="226"/>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asciiTheme="majorEastAsia" w:hAnsiTheme="majorEastAsia" w:eastAsiaTheme="majorEastAsia"/>
          <w:bCs/>
          <w:sz w:val="18"/>
          <w:szCs w:val="18"/>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Theme="majorEastAsia" w:hAnsiTheme="majorEastAsia" w:eastAsiaTheme="majorEastAsia"/>
          <w:bCs/>
          <w:sz w:val="18"/>
          <w:szCs w:val="18"/>
        </w:rPr>
        <w:t>C5</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14"/>
        <w:gridCol w:w="28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安逸型（R1）</w:t>
            </w: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谨慎型（R2）</w:t>
            </w: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稳健型（R3）</w:t>
            </w: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增长型（R4）</w:t>
            </w: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outlineLvl w:val="2"/>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486944"/>
    <w:rsid w:val="2BBE5BA7"/>
    <w:rsid w:val="637F58C5"/>
    <w:rsid w:val="77A462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68</Pages>
  <Words>45054</Words>
  <Characters>45947</Characters>
  <Lines>0</Lines>
  <Paragraphs>0</Paragraphs>
  <TotalTime>0</TotalTime>
  <ScaleCrop>false</ScaleCrop>
  <LinksUpToDate>false</LinksUpToDate>
  <CharactersWithSpaces>46404</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2025-12-23T00:08:21Z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A62C6507FD96422C97DCF7B25A1FECBD</vt:lpwstr>
  </property>
</Properties>
</file>