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w:t>
      </w:r>
      <w:r>
        <w:rPr>
          <w:rStyle w:val="10"/>
          <w:rFonts w:hint="eastAsia" w:ascii="黑体" w:hAnsi="黑体" w:eastAsia="黑体"/>
          <w:sz w:val="44"/>
          <w:szCs w:val="44"/>
        </w:rPr>
        <w:t>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1726"/>
      <w:bookmarkStart w:id="1" w:name="_Toc123112263"/>
      <w:bookmarkStart w:id="2" w:name="_Toc139992301"/>
      <w:bookmarkStart w:id="3" w:name="_Toc123701383"/>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39992302"/>
      <w:bookmarkStart w:id="8" w:name="_Toc12311226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12</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23701386"/>
      <w:bookmarkStart w:id="13" w:name="_Toc139991729"/>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9</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15</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16</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6897"/>
      <w:bookmarkStart w:id="15" w:name="_Toc6306"/>
      <w:bookmarkStart w:id="16" w:name="_Toc123701389"/>
      <w:bookmarkStart w:id="17" w:name="_Toc15517"/>
      <w:bookmarkStart w:id="18" w:name="_Toc123112229"/>
      <w:bookmarkStart w:id="19" w:name="_Toc8727"/>
      <w:bookmarkStart w:id="20" w:name="_Toc29629"/>
      <w:bookmarkStart w:id="21" w:name="_Toc23386"/>
      <w:bookmarkStart w:id="22" w:name="_Toc123112268"/>
      <w:bookmarkStart w:id="23" w:name="_Toc30935"/>
      <w:bookmarkStart w:id="24" w:name="_Toc141703880"/>
      <w:bookmarkStart w:id="25" w:name="_Toc4867"/>
      <w:bookmarkStart w:id="26" w:name="_Toc4966"/>
      <w:bookmarkStart w:id="27" w:name="_Toc32639"/>
      <w:bookmarkStart w:id="28" w:name="_Toc13999173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3224"/>
      <w:bookmarkStart w:id="34" w:name="_Toc13020"/>
      <w:bookmarkStart w:id="35" w:name="_Toc19592"/>
      <w:bookmarkStart w:id="36" w:name="_Toc258829399"/>
      <w:bookmarkStart w:id="37" w:name="_Toc2465"/>
      <w:bookmarkStart w:id="38" w:name="_Toc22864"/>
      <w:bookmarkStart w:id="39" w:name="_Toc819"/>
      <w:bookmarkStart w:id="40" w:name="_Toc24860"/>
      <w:bookmarkStart w:id="41" w:name="_Toc21301"/>
      <w:bookmarkStart w:id="42" w:name="_Toc661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149"/>
      <w:bookmarkStart w:id="48" w:name="_Toc24571"/>
      <w:bookmarkStart w:id="49" w:name="_Toc74065740"/>
      <w:bookmarkStart w:id="50" w:name="_Toc545"/>
      <w:bookmarkStart w:id="51" w:name="_Toc20627"/>
      <w:bookmarkStart w:id="52" w:name="_Toc13288"/>
      <w:bookmarkStart w:id="53" w:name="_Toc733"/>
      <w:bookmarkStart w:id="54" w:name="_Toc20318"/>
      <w:bookmarkStart w:id="55" w:name="_Toc6683"/>
      <w:bookmarkStart w:id="56" w:name="_Toc22708"/>
      <w:bookmarkStart w:id="57" w:name="_Toc18631"/>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cols w:space="720" w:num="1"/>
          <w:docGrid w:type="lines" w:linePitch="312" w:charSpace="0"/>
        </w:sectPr>
      </w:pPr>
    </w:p>
    <w:p>
      <w:pPr>
        <w:pStyle w:val="14"/>
        <w:spacing w:line="360" w:lineRule="auto"/>
        <w:rPr>
          <w:rFonts w:hAnsi="宋体"/>
          <w:sz w:val="18"/>
          <w:szCs w:val="18"/>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兴银理财【稳利恒盈封闭式固收类】理财产品</w:t>
      </w: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bCs w:val="0"/>
          <w:sz w:val="28"/>
          <w:szCs w:val="28"/>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w:t>
      </w:r>
      <w:r>
        <w:rPr>
          <w:rStyle w:val="10"/>
          <w:rFonts w:hint="eastAsia" w:ascii="宋体" w:hAnsi="宋体" w:cs="Times New Roman"/>
          <w:sz w:val="32"/>
          <w:szCs w:val="32"/>
          <w:lang w:val="en-US" w:eastAsia="zh-CN"/>
        </w:rPr>
        <w:t>2025</w:t>
      </w:r>
      <w:r>
        <w:rPr>
          <w:rStyle w:val="10"/>
          <w:rFonts w:hint="eastAsia" w:ascii="宋体" w:hAnsi="宋体" w:cs="Times New Roman"/>
          <w:sz w:val="32"/>
          <w:szCs w:val="32"/>
        </w:rPr>
        <w:t>】年【</w:t>
      </w:r>
      <w:r>
        <w:rPr>
          <w:rStyle w:val="10"/>
          <w:rFonts w:hint="eastAsia" w:ascii="宋体" w:hAnsi="宋体" w:cs="Times New Roman"/>
          <w:sz w:val="32"/>
          <w:szCs w:val="32"/>
          <w:lang w:val="en-US" w:eastAsia="zh-CN"/>
        </w:rPr>
        <w:t>12</w:t>
      </w:r>
      <w:r>
        <w:rPr>
          <w:rStyle w:val="10"/>
          <w:rFonts w:hint="eastAsia" w:ascii="宋体" w:hAnsi="宋体" w:cs="Times New Roman"/>
          <w:sz w:val="32"/>
          <w:szCs w:val="32"/>
        </w:rPr>
        <w:t>】月</w:t>
      </w:r>
    </w:p>
    <w:p>
      <w:pPr>
        <w:adjustRightInd w:val="0"/>
        <w:spacing w:line="360" w:lineRule="auto"/>
        <w:jc w:val="center"/>
        <w:rPr>
          <w:rStyle w:val="10"/>
          <w:rFonts w:ascii="宋体" w:hAnsi="宋体"/>
          <w:sz w:val="32"/>
          <w:szCs w:val="32"/>
        </w:rPr>
      </w:pPr>
    </w:p>
    <w:p>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15"/>
            <w:spacing w:line="360" w:lineRule="auto"/>
            <w:jc w:val="center"/>
          </w:pPr>
          <w:bookmarkStart w:id="66" w:name="_Toc78276587"/>
          <w:r>
            <w:rPr>
              <w:lang w:val="zh-CN"/>
            </w:rPr>
            <w:t>目录</w:t>
          </w:r>
        </w:p>
        <w:p>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20</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31</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34</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37</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42</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46</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50</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：指产品管理人向投资者提供的，用于描述产品特征，约定权利义务的文件。具体指《兴银理财【稳利恒盈封闭式固收类】理财产品销售文件》，包括《投资协议书》《产品说明书》《（代理）销售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《投资协议书》：指管理人统一编制的《兴银理财【稳利恒盈封闭式固收类】理财产品投资协议书》，以及对该文件的有效修改或补充。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】理财产品产品说明书》，以及对该文件的有效修改或补充。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eastAsia="zh-CN"/>
        </w:rPr>
        <w:t>稳利恒盈封闭式固收类</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68" w:name="_Toc176189754"/>
      <w:bookmarkStart w:id="69" w:name="_Toc79154665"/>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bCs/>
                <w:kern w:val="0"/>
                <w:sz w:val="18"/>
                <w:szCs w:val="18"/>
              </w:rPr>
              <w:t>【兴银理财稳利恒盈封闭式2025年175期固收类理财产品】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tcPr>
          <w:p>
            <w:pPr>
              <w:widowControl/>
              <w:spacing w:line="360" w:lineRule="auto"/>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【兴银理财稳利恒盈2025年175期B】（适用【B】类份额）</w:t>
            </w:r>
          </w:p>
          <w:p>
            <w:pPr>
              <w:widowControl/>
              <w:spacing w:line="360" w:lineRule="auto"/>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【兴银理财稳利恒盈2025年175期C】（适用【C】类份额）</w:t>
            </w:r>
          </w:p>
          <w:p>
            <w:pPr>
              <w:widowControl/>
              <w:spacing w:line="360" w:lineRule="auto"/>
              <w:jc w:val="left"/>
              <w:rPr>
                <w:rFonts w:hint="eastAsia" w:hAnsi="宋体"/>
                <w:sz w:val="18"/>
                <w:szCs w:val="18"/>
              </w:rPr>
            </w:pPr>
            <w:r>
              <w:rPr>
                <w:rFonts w:hint="eastAsia" w:asciiTheme="majorEastAsia" w:hAnsiTheme="majorEastAsia" w:eastAsiaTheme="majorEastAsia"/>
                <w:bCs/>
                <w:kern w:val="0"/>
                <w:sz w:val="18"/>
                <w:szCs w:val="18"/>
              </w:rPr>
              <w:t>【兴银理财稳利恒盈2025年175期D】（适用【D】类份额）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【Z7002025001634】</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Theme="minorEastAsia" w:hAnsiTheme="minorEastAsia"/>
                <w:sz w:val="18"/>
                <w:szCs w:val="18"/>
              </w:rPr>
              <w:t>9N251750</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tcPr>
          <w:p>
            <w:pPr>
              <w:spacing w:line="360" w:lineRule="auto"/>
              <w:jc w:val="left"/>
              <w:rPr>
                <w:rFonts w:hint="eastAsia" w:hAnsi="宋体"/>
                <w:sz w:val="18"/>
                <w:szCs w:val="18"/>
              </w:rPr>
            </w:pPr>
            <w:r>
              <w:rPr>
                <w:rFonts w:hint="eastAsia" w:hAnsi="宋体"/>
                <w:sz w:val="18"/>
                <w:szCs w:val="18"/>
              </w:rPr>
              <w:t>【</w:t>
            </w:r>
            <w:r>
              <w:rPr>
                <w:rFonts w:hint="eastAsia" w:asciiTheme="minorEastAsia" w:hAnsiTheme="minorEastAsia"/>
                <w:sz w:val="18"/>
                <w:szCs w:val="18"/>
                <w:lang w:eastAsia="zh-CN"/>
              </w:rPr>
              <w:t>9N25175B</w:t>
            </w:r>
            <w:r>
              <w:rPr>
                <w:rFonts w:hint="eastAsia" w:hAnsi="宋体"/>
                <w:sz w:val="18"/>
                <w:szCs w:val="18"/>
              </w:rPr>
              <w:t>】（</w:t>
            </w:r>
            <w:r>
              <w:rPr>
                <w:rFonts w:hint="eastAsia" w:hAnsi="宋体"/>
                <w:sz w:val="18"/>
                <w:szCs w:val="18"/>
                <w:lang w:eastAsia="zh-CN"/>
              </w:rPr>
              <w:t>适用【</w:t>
            </w:r>
            <w:r>
              <w:rPr>
                <w:rFonts w:hint="eastAsia" w:hAnsi="宋体"/>
                <w:sz w:val="18"/>
                <w:szCs w:val="18"/>
                <w:lang w:val="en-US" w:eastAsia="zh-CN"/>
              </w:rPr>
              <w:t>B</w:t>
            </w:r>
            <w:r>
              <w:rPr>
                <w:rFonts w:hint="eastAsia" w:hAnsi="宋体"/>
                <w:sz w:val="18"/>
                <w:szCs w:val="18"/>
                <w:lang w:eastAsia="zh-CN"/>
              </w:rPr>
              <w:t>】类份额</w:t>
            </w:r>
            <w:r>
              <w:rPr>
                <w:rFonts w:hint="eastAsia" w:hAnsi="宋体"/>
                <w:sz w:val="18"/>
                <w:szCs w:val="18"/>
              </w:rPr>
              <w:t>）</w:t>
            </w:r>
          </w:p>
          <w:p>
            <w:pPr>
              <w:spacing w:line="360" w:lineRule="auto"/>
              <w:jc w:val="left"/>
              <w:rPr>
                <w:rFonts w:hint="eastAsia" w:hAnsi="宋体"/>
                <w:sz w:val="18"/>
                <w:szCs w:val="18"/>
              </w:rPr>
            </w:pPr>
            <w:r>
              <w:rPr>
                <w:rFonts w:hint="eastAsia" w:hAnsi="宋体"/>
                <w:sz w:val="18"/>
                <w:szCs w:val="18"/>
              </w:rPr>
              <w:t>【</w:t>
            </w:r>
            <w:r>
              <w:rPr>
                <w:rFonts w:hint="eastAsia" w:asciiTheme="minorEastAsia" w:hAnsiTheme="minorEastAsia"/>
                <w:sz w:val="18"/>
                <w:szCs w:val="18"/>
                <w:lang w:eastAsia="zh-CN"/>
              </w:rPr>
              <w:t>9N25175</w:t>
            </w:r>
            <w:r>
              <w:rPr>
                <w:rFonts w:hint="eastAsia" w:asciiTheme="minorEastAsia" w:hAnsiTheme="minorEastAsia"/>
                <w:sz w:val="18"/>
                <w:szCs w:val="18"/>
                <w:lang w:val="en-US" w:eastAsia="zh-CN"/>
              </w:rPr>
              <w:t>C</w:t>
            </w:r>
            <w:r>
              <w:rPr>
                <w:rFonts w:hint="eastAsia" w:hAnsi="宋体"/>
                <w:sz w:val="18"/>
                <w:szCs w:val="18"/>
              </w:rPr>
              <w:t>】（</w:t>
            </w:r>
            <w:r>
              <w:rPr>
                <w:rFonts w:hint="eastAsia" w:hAnsi="宋体"/>
                <w:sz w:val="18"/>
                <w:szCs w:val="18"/>
                <w:lang w:eastAsia="zh-CN"/>
              </w:rPr>
              <w:t>适用【</w:t>
            </w:r>
            <w:r>
              <w:rPr>
                <w:rFonts w:hint="eastAsia" w:hAnsi="宋体"/>
                <w:sz w:val="18"/>
                <w:szCs w:val="18"/>
                <w:lang w:val="en-US" w:eastAsia="zh-CN"/>
              </w:rPr>
              <w:t>C</w:t>
            </w:r>
            <w:r>
              <w:rPr>
                <w:rFonts w:hint="eastAsia" w:hAnsi="宋体"/>
                <w:sz w:val="18"/>
                <w:szCs w:val="18"/>
                <w:lang w:eastAsia="zh-CN"/>
              </w:rPr>
              <w:t>】类份额</w:t>
            </w:r>
            <w:r>
              <w:rPr>
                <w:rFonts w:hint="eastAsia" w:hAnsi="宋体"/>
                <w:sz w:val="18"/>
                <w:szCs w:val="18"/>
              </w:rPr>
              <w:t>）</w:t>
            </w:r>
          </w:p>
          <w:p>
            <w:pPr>
              <w:spacing w:line="360" w:lineRule="auto"/>
              <w:jc w:val="left"/>
              <w:rPr>
                <w:rFonts w:hint="eastAsia" w:hAnsi="宋体"/>
                <w:sz w:val="18"/>
                <w:szCs w:val="18"/>
              </w:rPr>
            </w:pPr>
            <w:r>
              <w:rPr>
                <w:rFonts w:hint="eastAsia" w:hAnsi="宋体"/>
                <w:sz w:val="18"/>
                <w:szCs w:val="18"/>
              </w:rPr>
              <w:t>【</w:t>
            </w:r>
            <w:r>
              <w:rPr>
                <w:rFonts w:hint="eastAsia" w:asciiTheme="minorEastAsia" w:hAnsiTheme="minorEastAsia"/>
                <w:sz w:val="18"/>
                <w:szCs w:val="18"/>
                <w:lang w:eastAsia="zh-CN"/>
              </w:rPr>
              <w:t>9N25175</w:t>
            </w:r>
            <w:r>
              <w:rPr>
                <w:rFonts w:hint="eastAsia" w:asciiTheme="minorEastAsia" w:hAnsiTheme="minorEastAsia"/>
                <w:sz w:val="18"/>
                <w:szCs w:val="18"/>
                <w:lang w:val="en-US" w:eastAsia="zh-CN"/>
              </w:rPr>
              <w:t>D</w:t>
            </w:r>
            <w:r>
              <w:rPr>
                <w:rFonts w:hint="eastAsia" w:hAnsi="宋体"/>
                <w:sz w:val="18"/>
                <w:szCs w:val="18"/>
              </w:rPr>
              <w:t>】（</w:t>
            </w:r>
            <w:r>
              <w:rPr>
                <w:rFonts w:hint="eastAsia" w:hAnsi="宋体"/>
                <w:sz w:val="18"/>
                <w:szCs w:val="18"/>
                <w:lang w:eastAsia="zh-CN"/>
              </w:rPr>
              <w:t>适用【</w:t>
            </w:r>
            <w:r>
              <w:rPr>
                <w:rFonts w:hint="eastAsia" w:hAnsi="宋体"/>
                <w:sz w:val="18"/>
                <w:szCs w:val="18"/>
                <w:lang w:val="en-US" w:eastAsia="zh-CN"/>
              </w:rPr>
              <w:t>D</w:t>
            </w:r>
            <w:r>
              <w:rPr>
                <w:rFonts w:hint="eastAsia" w:hAnsi="宋体"/>
                <w:sz w:val="18"/>
                <w:szCs w:val="18"/>
                <w:lang w:eastAsia="zh-CN"/>
              </w:rPr>
              <w:t>】类份额</w:t>
            </w:r>
            <w:r>
              <w:rPr>
                <w:rFonts w:hint="eastAsia"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pPr>
              <w:spacing w:line="360" w:lineRule="auto"/>
              <w:rPr>
                <w:rFonts w:ascii="宋体" w:hAnsi="宋体"/>
                <w:bCs/>
                <w:sz w:val="18"/>
                <w:szCs w:val="18"/>
              </w:rPr>
            </w:pPr>
            <w:r>
              <w:rPr>
                <w:rFonts w:hint="eastAsia" w:ascii="宋体" w:hAnsi="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val="en-US" w:eastAsia="zh-CN"/>
              </w:rPr>
              <w:t xml:space="preserve"> </w:t>
            </w:r>
            <w:r>
              <w:rPr>
                <w:rFonts w:hint="eastAsia" w:ascii="宋体" w:hAnsi="宋体"/>
                <w:sz w:val="18"/>
                <w:szCs w:val="18"/>
              </w:rPr>
              <w:t>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pPr>
              <w:spacing w:line="360" w:lineRule="auto"/>
              <w:rPr>
                <w:rFonts w:hint="eastAsia" w:asciiTheme="majorEastAsia" w:hAnsiTheme="majorEastAsia" w:eastAsiaTheme="majorEastAsia"/>
                <w:bCs/>
                <w:sz w:val="18"/>
                <w:szCs w:val="18"/>
                <w:lang w:eastAsia="zh-CN"/>
              </w:rPr>
            </w:pPr>
            <w:r>
              <w:rPr>
                <w:rFonts w:hint="eastAsia" w:asciiTheme="majorEastAsia" w:hAnsiTheme="majorEastAsia" w:eastAsiaTheme="majorEastAsia"/>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10</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r>
              <w:rPr>
                <w:rFonts w:hint="eastAsia" w:asciiTheme="majorEastAsia" w:hAnsiTheme="majorEastAsia" w:eastAsiaTheme="majorEastAsia"/>
                <w:bCs/>
                <w:sz w:val="18"/>
                <w:szCs w:val="18"/>
                <w:lang w:val="en-US" w:eastAsia="zh-CN"/>
              </w:rPr>
              <w:t>258天</w:t>
            </w:r>
            <w:r>
              <w:rPr>
                <w:rFonts w:hint="eastAsia" w:asciiTheme="majorEastAsia" w:hAnsiTheme="majorEastAsia" w:eastAsiaTheme="majorEastAsia"/>
                <w:bCs/>
                <w:sz w:val="18"/>
                <w:szCs w:val="18"/>
              </w:rPr>
              <w:t>】</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□无固定期限</w:t>
            </w:r>
          </w:p>
          <w:p>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pPr>
              <w:bidi w:val="0"/>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12</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25</w:t>
            </w:r>
            <w:r>
              <w:rPr>
                <w:rFonts w:hint="eastAsia" w:cs="Times New Roman" w:asciiTheme="minorEastAsia" w:hAnsiTheme="minorEastAsia"/>
                <w:sz w:val="18"/>
                <w:szCs w:val="18"/>
              </w:rPr>
              <w:t>】日【</w:t>
            </w:r>
            <w:r>
              <w:rPr>
                <w:rFonts w:hint="eastAsia" w:cs="Times New Roman" w:asciiTheme="minorEastAsia" w:hAnsiTheme="minorEastAsia"/>
                <w:sz w:val="18"/>
                <w:szCs w:val="18"/>
                <w:lang w:val="en-US" w:eastAsia="zh-CN"/>
              </w:rPr>
              <w:t>9:00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6</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val="en-US" w:eastAsia="zh-CN"/>
              </w:rPr>
              <w:t>17:00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p>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7</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2026</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9</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22</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B</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C</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D</w:t>
            </w:r>
            <w:r>
              <w:rPr>
                <w:rFonts w:hint="eastAsia" w:asciiTheme="majorEastAsia" w:hAnsiTheme="majorEastAsia" w:eastAsiaTheme="majorEastAsia"/>
                <w:bCs/>
                <w:color w:val="000000" w:themeColor="text1"/>
                <w:sz w:val="18"/>
                <w:szCs w:val="18"/>
                <w:lang w:eastAsia="zh-CN"/>
                <w14:textFill>
                  <w14:solidFill>
                    <w14:schemeClr w14:val="tx1"/>
                  </w14:solidFill>
                </w14:textFill>
              </w:rPr>
              <w:t>】类份额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pPr>
              <w:pStyle w:val="14"/>
              <w:spacing w:line="360" w:lineRule="auto"/>
              <w:rPr>
                <w:rFonts w:hAnsi="宋体"/>
                <w:bCs/>
                <w:sz w:val="18"/>
                <w:szCs w:val="18"/>
              </w:rPr>
            </w:pPr>
            <w:r>
              <w:rPr>
                <w:rFonts w:hint="eastAsia" w:hAnsi="宋体"/>
                <w:bCs/>
                <w:sz w:val="18"/>
                <w:szCs w:val="18"/>
              </w:rPr>
              <w:t>（</w:t>
            </w:r>
            <w:r>
              <w:rPr>
                <w:rFonts w:hint="eastAsia" w:hAnsi="宋体"/>
                <w:bCs/>
                <w:sz w:val="18"/>
                <w:szCs w:val="18"/>
                <w:lang w:eastAsia="zh-CN"/>
              </w:rPr>
              <w:t>适用【</w:t>
            </w:r>
            <w:r>
              <w:rPr>
                <w:rFonts w:hint="eastAsia" w:hAnsi="宋体"/>
                <w:bCs/>
                <w:sz w:val="18"/>
                <w:szCs w:val="18"/>
                <w:lang w:val="en-US" w:eastAsia="zh-CN"/>
              </w:rPr>
              <w:t>/</w:t>
            </w:r>
            <w:r>
              <w:rPr>
                <w:rFonts w:hint="eastAsia" w:hAnsi="宋体"/>
                <w:bCs/>
                <w:sz w:val="18"/>
                <w:szCs w:val="18"/>
                <w:lang w:eastAsia="zh-CN"/>
              </w:rPr>
              <w:t>】类份额</w:t>
            </w:r>
            <w:r>
              <w:rPr>
                <w:rFonts w:hint="eastAsia" w:hAnsi="宋体"/>
                <w:bCs/>
                <w:sz w:val="18"/>
                <w:szCs w:val="18"/>
              </w:rPr>
              <w:t>）</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认购的数量限制</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（1）单一投资者认购上限为【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】，符合产品管理人流动性管理的稳定资金除外。</w:t>
            </w:r>
          </w:p>
          <w:p>
            <w:pPr>
              <w:pStyle w:val="1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1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w:t>
            </w:r>
            <w:r>
              <w:rPr>
                <w:rFonts w:ascii="黑体" w:hAnsi="黑体" w:eastAsia="黑体"/>
                <w:color w:val="000000" w:themeColor="text1"/>
                <w:sz w:val="18"/>
                <w:szCs w:val="18"/>
                <w14:textFill>
                  <w14:solidFill>
                    <w14:schemeClr w14:val="tx1"/>
                  </w14:solidFill>
                </w14:textFill>
              </w:rPr>
              <w:t>50%。</w:t>
            </w:r>
          </w:p>
          <w:p>
            <w:pPr>
              <w:pStyle w:val="1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w:t>
            </w:r>
            <w:r>
              <w:rPr>
                <w:rFonts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spacing w:line="360" w:lineRule="auto"/>
              <w:rPr>
                <w:rFonts w:asciiTheme="minorEastAsia" w:hAnsiTheme="minorEastAsia" w:eastAsiaTheme="minorEastAsia"/>
                <w:sz w:val="18"/>
                <w:szCs w:val="18"/>
              </w:rPr>
            </w:pPr>
            <w:r>
              <w:rPr>
                <w:rFonts w:hint="eastAsia" w:ascii="黑体" w:hAnsi="黑体" w:eastAsia="黑体"/>
                <w:color w:val="000000" w:themeColor="text1"/>
                <w:sz w:val="18"/>
                <w:szCs w:val="18"/>
                <w14:textFill>
                  <w14:solidFill>
                    <w14:schemeClr w14:val="tx1"/>
                  </w14:solidFill>
                </w14:textFill>
              </w:rPr>
              <w:t>（</w:t>
            </w:r>
            <w:r>
              <w:rPr>
                <w:rFonts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pPr>
              <w:spacing w:line="360" w:lineRule="auto"/>
              <w:jc w:val="left"/>
              <w:rPr>
                <w:rFonts w:cs="Times New Roman" w:asciiTheme="minorEastAsia" w:hAnsiTheme="minorEastAsia"/>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hAnsi="宋体"/>
                <w:sz w:val="18"/>
                <w:szCs w:val="18"/>
              </w:rPr>
            </w:pPr>
            <w:r>
              <w:rPr>
                <w:rFonts w:hAnsi="宋体"/>
                <w:sz w:val="18"/>
                <w:szCs w:val="18"/>
              </w:rPr>
              <w:t>1.业绩比较基准的设置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val="en-US" w:eastAsia="zh-CN"/>
              </w:rPr>
              <w:t xml:space="preserve"> </w:t>
            </w:r>
            <w:r>
              <w:rPr>
                <w:rFonts w:hint="eastAsia" w:asciiTheme="majorEastAsia" w:hAnsiTheme="majorEastAsia" w:eastAsiaTheme="majorEastAsia"/>
                <w:kern w:val="0"/>
                <w:sz w:val="18"/>
                <w:szCs w:val="18"/>
              </w:rPr>
              <w:t>产品管理人设置业绩比较基准。</w:t>
            </w:r>
          </w:p>
          <w:p>
            <w:pPr>
              <w:spacing w:line="360" w:lineRule="auto"/>
              <w:jc w:val="left"/>
              <w:rPr>
                <w:rFonts w:asciiTheme="majorEastAsia" w:hAnsiTheme="majorEastAsia" w:eastAsiaTheme="majorEastAsia"/>
                <w:bCs/>
                <w:sz w:val="18"/>
                <w:szCs w:val="18"/>
              </w:rPr>
            </w:pPr>
            <w:r>
              <w:rPr>
                <w:rFonts w:hint="eastAsia" w:ascii="宋体" w:hAnsi="宋体"/>
                <w:bCs/>
                <w:sz w:val="18"/>
                <w:szCs w:val="18"/>
              </w:rPr>
              <w:t>（</w:t>
            </w:r>
            <w:r>
              <w:rPr>
                <w:rFonts w:ascii="宋体" w:hAnsi="宋体"/>
                <w:bCs/>
                <w:sz w:val="18"/>
                <w:szCs w:val="18"/>
              </w:rPr>
              <w:t>1）业绩比较基准的说明：</w:t>
            </w:r>
            <w:r>
              <w:rPr>
                <w:rFonts w:hint="eastAsia" w:ascii="宋体" w:hAnsi="宋体"/>
                <w:bCs/>
                <w:sz w:val="18"/>
                <w:szCs w:val="18"/>
              </w:rPr>
              <w:t>【以一年期定期存款利率为无风险利率，基于当前对未来市场的判断，根据拟投资债权类资产的信用利差、久期敞口以及流动性溢价，预判组合的波动幅度，设定业绩比较基准。</w:t>
            </w:r>
            <w:r>
              <w:rPr>
                <w:rFonts w:ascii="宋体" w:hAnsi="宋体"/>
                <w:bCs/>
                <w:sz w:val="18"/>
                <w:szCs w:val="18"/>
              </w:rPr>
              <w:t>】</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2）业绩比较基准的设定：</w:t>
            </w:r>
            <w:r>
              <w:rPr>
                <w:rFonts w:hint="eastAsia" w:asciiTheme="majorEastAsia" w:hAnsiTheme="majorEastAsia" w:eastAsiaTheme="majorEastAsia"/>
                <w:bCs/>
                <w:sz w:val="18"/>
                <w:szCs w:val="18"/>
              </w:rPr>
              <w:t>管理人对</w:t>
            </w:r>
            <w:r>
              <w:rPr>
                <w:rFonts w:asciiTheme="majorEastAsia" w:hAnsiTheme="majorEastAsia" w:eastAsiaTheme="majorEastAsia"/>
                <w:bCs/>
                <w:sz w:val="18"/>
                <w:szCs w:val="18"/>
              </w:rPr>
              <w:t>本产品设定</w:t>
            </w:r>
            <w:r>
              <w:rPr>
                <w:rFonts w:hint="eastAsia" w:asciiTheme="majorEastAsia" w:hAnsiTheme="majorEastAsia" w:eastAsiaTheme="majorEastAsia"/>
                <w:bCs/>
                <w:sz w:val="18"/>
                <w:szCs w:val="18"/>
              </w:rPr>
              <w:t>业绩比较基准：</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年化【</w:t>
            </w:r>
            <w:r>
              <w:rPr>
                <w:rFonts w:hint="eastAsia" w:asciiTheme="majorEastAsia" w:hAnsiTheme="majorEastAsia" w:eastAsiaTheme="majorEastAsia"/>
                <w:bCs/>
                <w:sz w:val="18"/>
                <w:szCs w:val="18"/>
                <w:lang w:val="en-US" w:eastAsia="zh-CN"/>
              </w:rPr>
              <w:t>2.25%-3.25</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B</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年化【</w:t>
            </w:r>
            <w:r>
              <w:rPr>
                <w:rFonts w:hint="eastAsia" w:asciiTheme="majorEastAsia" w:hAnsiTheme="majorEastAsia" w:eastAsiaTheme="majorEastAsia"/>
                <w:bCs/>
                <w:sz w:val="18"/>
                <w:szCs w:val="18"/>
                <w:lang w:val="en-US" w:eastAsia="zh-CN"/>
              </w:rPr>
              <w:t>2.20%-3.20</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C</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年化【</w:t>
            </w:r>
            <w:r>
              <w:rPr>
                <w:rFonts w:hint="eastAsia" w:asciiTheme="majorEastAsia" w:hAnsiTheme="majorEastAsia" w:eastAsiaTheme="majorEastAsia"/>
                <w:bCs/>
                <w:sz w:val="18"/>
                <w:szCs w:val="18"/>
                <w:lang w:val="en-US" w:eastAsia="zh-CN"/>
              </w:rPr>
              <w:t>2.10%-3.10</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D</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pPr>
              <w:spacing w:line="360" w:lineRule="auto"/>
              <w:jc w:val="left"/>
              <w:rPr>
                <w:rFonts w:asciiTheme="majorEastAsia" w:hAnsiTheme="majorEastAsia"/>
                <w:b/>
                <w:sz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pPr>
              <w:spacing w:line="360" w:lineRule="auto"/>
              <w:jc w:val="left"/>
              <w:rPr>
                <w:rFonts w:hAnsi="宋体"/>
                <w:bCs/>
                <w:sz w:val="18"/>
                <w:szCs w:val="18"/>
              </w:rPr>
            </w:pPr>
            <w:r>
              <w:rPr>
                <w:rFonts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产品管理人设置业绩报酬计提基准。</w:t>
            </w:r>
          </w:p>
          <w:p>
            <w:pPr>
              <w:spacing w:line="360" w:lineRule="auto"/>
              <w:jc w:val="left"/>
              <w:rPr>
                <w:rFonts w:hint="eastAsia" w:ascii="宋体" w:hAnsi="宋体"/>
                <w:bCs/>
                <w:sz w:val="18"/>
                <w:szCs w:val="18"/>
              </w:rPr>
            </w:pPr>
            <w:r>
              <w:rPr>
                <w:rFonts w:ascii="宋体" w:hAnsi="宋体"/>
                <w:bCs/>
                <w:sz w:val="18"/>
                <w:szCs w:val="18"/>
              </w:rPr>
              <w:t>业绩报酬计提基准的设定</w:t>
            </w:r>
            <w:r>
              <w:rPr>
                <w:rFonts w:hint="eastAsia" w:ascii="宋体" w:hAnsi="宋体"/>
                <w:bCs/>
                <w:sz w:val="18"/>
                <w:szCs w:val="18"/>
              </w:rPr>
              <w:t>：管理人</w:t>
            </w:r>
            <w:r>
              <w:rPr>
                <w:rFonts w:ascii="宋体" w:hAnsi="宋体"/>
                <w:bCs/>
                <w:sz w:val="18"/>
                <w:szCs w:val="18"/>
              </w:rPr>
              <w:t>对本产品设定</w:t>
            </w:r>
            <w:r>
              <w:rPr>
                <w:rFonts w:hint="eastAsia" w:ascii="宋体" w:hAnsi="宋体"/>
                <w:bCs/>
                <w:sz w:val="18"/>
                <w:szCs w:val="18"/>
              </w:rPr>
              <w:t>业绩报酬计提基准：</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年化【</w:t>
            </w:r>
            <w:r>
              <w:rPr>
                <w:rFonts w:hint="eastAsia" w:asciiTheme="majorEastAsia" w:hAnsiTheme="majorEastAsia" w:eastAsiaTheme="majorEastAsia"/>
                <w:bCs/>
                <w:sz w:val="18"/>
                <w:szCs w:val="18"/>
                <w:lang w:val="en-US" w:eastAsia="zh-CN"/>
              </w:rPr>
              <w:t>2.75</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B</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年化【</w:t>
            </w:r>
            <w:r>
              <w:rPr>
                <w:rFonts w:hint="eastAsia" w:asciiTheme="majorEastAsia" w:hAnsiTheme="majorEastAsia" w:eastAsiaTheme="majorEastAsia"/>
                <w:bCs/>
                <w:sz w:val="18"/>
                <w:szCs w:val="18"/>
                <w:lang w:val="en-US" w:eastAsia="zh-CN"/>
              </w:rPr>
              <w:t>2.70</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C</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p>
          <w:p>
            <w:pPr>
              <w:spacing w:line="360" w:lineRule="auto"/>
              <w:jc w:val="left"/>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年化【</w:t>
            </w:r>
            <w:r>
              <w:rPr>
                <w:rFonts w:hint="eastAsia" w:asciiTheme="majorEastAsia" w:hAnsiTheme="majorEastAsia" w:eastAsiaTheme="majorEastAsia"/>
                <w:bCs/>
                <w:sz w:val="18"/>
                <w:szCs w:val="18"/>
                <w:lang w:val="en-US" w:eastAsia="zh-CN"/>
              </w:rPr>
              <w:t>2.60</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D</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p>
          <w:p>
            <w:pPr>
              <w:spacing w:line="360" w:lineRule="auto"/>
              <w:jc w:val="left"/>
              <w:rPr>
                <w:rFonts w:ascii="宋体" w:hAnsi="宋体"/>
                <w:bCs/>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产品管理人不设置业绩报酬计提基准。</w:t>
            </w:r>
          </w:p>
          <w:p>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pPr>
              <w:spacing w:line="360" w:lineRule="auto"/>
              <w:rPr>
                <w:rFonts w:ascii="黑体" w:hAnsi="黑体" w:eastAsia="黑体"/>
                <w:bCs/>
                <w:color w:val="000000" w:themeColor="text1"/>
                <w:sz w:val="18"/>
                <w:szCs w:val="18"/>
                <w14:textFill>
                  <w14:solidFill>
                    <w14:schemeClr w14:val="tx1"/>
                  </w14:solidFill>
                </w14:textFill>
              </w:rPr>
            </w:pPr>
            <w:r>
              <w:rPr>
                <w:rFonts w:ascii="黑体" w:hAnsi="黑体" w:eastAsia="黑体"/>
                <w:bCs/>
                <w:color w:val="000000" w:themeColor="text1"/>
                <w:sz w:val="18"/>
                <w:szCs w:val="18"/>
                <w14:textFill>
                  <w14:solidFill>
                    <w14:schemeClr w14:val="tx1"/>
                  </w14:solidFill>
                </w14:textFill>
              </w:rPr>
              <w:t>1.理财产品的费率标准</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1）认购费：</w:t>
            </w:r>
            <w:r>
              <w:rPr>
                <w:rFonts w:hint="eastAsia"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hint="eastAsia"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2）销售服</w:t>
            </w:r>
            <w:r>
              <w:rPr>
                <w:rFonts w:hint="eastAsia" w:ascii="黑体" w:hAnsi="黑体" w:eastAsia="黑体"/>
                <w:bCs/>
                <w:color w:val="000000" w:themeColor="text1"/>
                <w:sz w:val="18"/>
                <w:szCs w:val="18"/>
                <w14:textFill>
                  <w14:solidFill>
                    <w14:schemeClr w14:val="tx1"/>
                  </w14:solidFill>
                </w14:textFill>
              </w:rPr>
              <w:t>务费：</w:t>
            </w:r>
          </w:p>
          <w:p>
            <w:pPr>
              <w:spacing w:line="360" w:lineRule="auto"/>
              <w:rPr>
                <w:rFonts w:hint="eastAsia" w:ascii="黑体" w:hAnsi="黑体" w:eastAsia="黑体"/>
                <w:bCs/>
                <w:sz w:val="18"/>
                <w:szCs w:val="18"/>
              </w:rPr>
            </w:pPr>
            <w:r>
              <w:rPr>
                <w:rFonts w:hint="eastAsia" w:ascii="黑体" w:hAnsi="黑体" w:eastAsia="黑体"/>
                <w:bCs/>
                <w:sz w:val="18"/>
                <w:szCs w:val="18"/>
              </w:rPr>
              <w:t>年化费率</w:t>
            </w:r>
            <w:r>
              <w:rPr>
                <w:rFonts w:hint="eastAsia" w:asciiTheme="majorEastAsia" w:hAnsiTheme="majorEastAsia" w:eastAsiaTheme="majorEastAsia"/>
                <w:bCs/>
                <w:sz w:val="18"/>
                <w:szCs w:val="18"/>
                <w:lang w:eastAsia="zh-CN"/>
              </w:rPr>
              <w:t>【0.</w:t>
            </w:r>
            <w:r>
              <w:rPr>
                <w:rFonts w:hint="eastAsia" w:asciiTheme="majorEastAsia" w:hAnsiTheme="majorEastAsia" w:eastAsiaTheme="majorEastAsia"/>
                <w:bCs/>
                <w:sz w:val="18"/>
                <w:szCs w:val="18"/>
                <w:lang w:val="en-US" w:eastAsia="zh-CN"/>
              </w:rPr>
              <w:t>05</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B</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r>
              <w:rPr>
                <w:rFonts w:hint="eastAsia" w:ascii="黑体" w:hAnsi="黑体" w:eastAsia="黑体"/>
                <w:bCs/>
                <w:sz w:val="18"/>
                <w:szCs w:val="18"/>
              </w:rPr>
              <w:t>。</w:t>
            </w:r>
          </w:p>
          <w:p>
            <w:pPr>
              <w:spacing w:line="360" w:lineRule="auto"/>
              <w:rPr>
                <w:rFonts w:hint="eastAsia" w:ascii="黑体" w:hAnsi="黑体" w:eastAsia="黑体"/>
                <w:bCs/>
                <w:sz w:val="18"/>
                <w:szCs w:val="18"/>
              </w:rPr>
            </w:pPr>
            <w:r>
              <w:rPr>
                <w:rFonts w:hint="eastAsia" w:ascii="黑体" w:hAnsi="黑体" w:eastAsia="黑体"/>
                <w:bCs/>
                <w:sz w:val="18"/>
                <w:szCs w:val="18"/>
              </w:rPr>
              <w:t>年化费率</w:t>
            </w:r>
            <w:r>
              <w:rPr>
                <w:rFonts w:hint="eastAsia" w:asciiTheme="majorEastAsia" w:hAnsiTheme="majorEastAsia" w:eastAsiaTheme="majorEastAsia"/>
                <w:bCs/>
                <w:sz w:val="18"/>
                <w:szCs w:val="18"/>
                <w:lang w:eastAsia="zh-CN"/>
              </w:rPr>
              <w:t>【0.</w:t>
            </w:r>
            <w:r>
              <w:rPr>
                <w:rFonts w:hint="eastAsia" w:asciiTheme="majorEastAsia" w:hAnsiTheme="majorEastAsia" w:eastAsiaTheme="majorEastAsia"/>
                <w:bCs/>
                <w:sz w:val="18"/>
                <w:szCs w:val="18"/>
                <w:lang w:val="en-US" w:eastAsia="zh-CN"/>
              </w:rPr>
              <w:t>10</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C</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r>
              <w:rPr>
                <w:rFonts w:hint="eastAsia" w:ascii="黑体" w:hAnsi="黑体" w:eastAsia="黑体"/>
                <w:bCs/>
                <w:sz w:val="18"/>
                <w:szCs w:val="18"/>
              </w:rPr>
              <w:t>。</w:t>
            </w:r>
          </w:p>
          <w:p>
            <w:pPr>
              <w:spacing w:line="360" w:lineRule="auto"/>
              <w:rPr>
                <w:rFonts w:hint="eastAsia" w:ascii="黑体" w:hAnsi="黑体" w:eastAsia="黑体"/>
                <w:bCs/>
                <w:sz w:val="18"/>
                <w:szCs w:val="18"/>
              </w:rPr>
            </w:pPr>
            <w:r>
              <w:rPr>
                <w:rFonts w:hint="eastAsia" w:ascii="黑体" w:hAnsi="黑体" w:eastAsia="黑体"/>
                <w:bCs/>
                <w:sz w:val="18"/>
                <w:szCs w:val="18"/>
              </w:rPr>
              <w:t>年化费率</w:t>
            </w:r>
            <w:r>
              <w:rPr>
                <w:rFonts w:hint="eastAsia" w:asciiTheme="majorEastAsia" w:hAnsiTheme="majorEastAsia" w:eastAsiaTheme="majorEastAsia"/>
                <w:bCs/>
                <w:sz w:val="18"/>
                <w:szCs w:val="18"/>
                <w:lang w:eastAsia="zh-CN"/>
              </w:rPr>
              <w:t>【0.</w:t>
            </w:r>
            <w:r>
              <w:rPr>
                <w:rFonts w:hint="eastAsia" w:asciiTheme="majorEastAsia" w:hAnsiTheme="majorEastAsia" w:eastAsiaTheme="majorEastAsia"/>
                <w:bCs/>
                <w:sz w:val="18"/>
                <w:szCs w:val="18"/>
                <w:lang w:val="en-US" w:eastAsia="zh-CN"/>
              </w:rPr>
              <w:t>20</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适用【</w:t>
            </w:r>
            <w:r>
              <w:rPr>
                <w:rFonts w:hint="eastAsia" w:asciiTheme="majorEastAsia" w:hAnsiTheme="majorEastAsia" w:eastAsiaTheme="majorEastAsia"/>
                <w:bCs/>
                <w:sz w:val="18"/>
                <w:szCs w:val="18"/>
                <w:lang w:val="en-US" w:eastAsia="zh-CN"/>
              </w:rPr>
              <w:t>D</w:t>
            </w:r>
            <w:r>
              <w:rPr>
                <w:rFonts w:hint="eastAsia" w:asciiTheme="majorEastAsia" w:hAnsiTheme="majorEastAsia" w:eastAsiaTheme="majorEastAsia"/>
                <w:bCs/>
                <w:sz w:val="18"/>
                <w:szCs w:val="18"/>
                <w:lang w:eastAsia="zh-CN"/>
              </w:rPr>
              <w:t>】类份额</w:t>
            </w:r>
            <w:r>
              <w:rPr>
                <w:rFonts w:hint="eastAsia" w:asciiTheme="majorEastAsia" w:hAnsiTheme="majorEastAsia" w:eastAsiaTheme="majorEastAsia"/>
                <w:bCs/>
                <w:sz w:val="18"/>
                <w:szCs w:val="18"/>
              </w:rPr>
              <w:t>）</w:t>
            </w:r>
            <w:r>
              <w:rPr>
                <w:rFonts w:hint="eastAsia" w:ascii="黑体" w:hAnsi="黑体" w:eastAsia="黑体"/>
                <w:bCs/>
                <w:sz w:val="18"/>
                <w:szCs w:val="18"/>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3）投资管理费：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0.10%</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4）产品托管费：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0.02%</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5）超额业绩报酬：</w:t>
            </w:r>
          </w:p>
          <w:p>
            <w:pPr>
              <w:widowControl/>
              <w:spacing w:line="360" w:lineRule="auto"/>
              <w:jc w:val="left"/>
              <w:rPr>
                <w:rFonts w:ascii="宋体" w:hAnsi="宋体"/>
                <w:sz w:val="18"/>
                <w:szCs w:val="18"/>
              </w:rPr>
            </w:pPr>
            <w:r>
              <w:rPr>
                <w:rFonts w:hint="eastAsia" w:ascii="宋体" w:hAnsi="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sz w:val="18"/>
                <w:szCs w:val="18"/>
                <w:lang w:val="en-US" w:eastAsia="zh-CN"/>
              </w:rPr>
              <w:t>50%</w:t>
            </w:r>
            <w:r>
              <w:rPr>
                <w:rFonts w:hint="eastAsia" w:ascii="宋体" w:hAnsi="宋体"/>
                <w:sz w:val="18"/>
                <w:szCs w:val="18"/>
              </w:rPr>
              <w:t>】作为超额业绩报酬。</w:t>
            </w:r>
          </w:p>
          <w:p>
            <w:pPr>
              <w:spacing w:line="360" w:lineRule="auto"/>
              <w:rPr>
                <w:rFonts w:ascii="黑体" w:hAnsi="黑体" w:eastAsia="黑体"/>
                <w:bCs/>
                <w:sz w:val="18"/>
                <w:szCs w:val="18"/>
              </w:rPr>
            </w:pPr>
            <w:r>
              <w:rPr>
                <w:rFonts w:ascii="宋体" w:hAnsi="宋体"/>
                <w:bCs/>
                <w:sz w:val="18"/>
                <w:szCs w:val="18"/>
              </w:rPr>
              <w:t>2</w:t>
            </w:r>
            <w:r>
              <w:rPr>
                <w:rFonts w:hint="eastAsia" w:asciiTheme="majorEastAsia" w:hAnsiTheme="majorEastAsia" w:eastAsiaTheme="majorEastAsia"/>
                <w:bCs/>
                <w:sz w:val="18"/>
                <w:szCs w:val="18"/>
              </w:rPr>
              <w:t>.</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pPr>
        <w:pStyle w:val="1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pPr>
        <w:pStyle w:val="2"/>
        <w:spacing w:before="0" w:after="0" w:line="360" w:lineRule="auto"/>
        <w:jc w:val="center"/>
        <w:rPr>
          <w:rFonts w:ascii="Times New Roman"/>
          <w:sz w:val="30"/>
        </w:rPr>
      </w:pPr>
      <w:bookmarkStart w:id="75" w:name="_Toc4771"/>
      <w:bookmarkStart w:id="76" w:name="_Toc176189756"/>
      <w:bookmarkStart w:id="77" w:name="_Toc6714"/>
      <w:bookmarkStart w:id="78" w:name="_Toc27189"/>
      <w:bookmarkStart w:id="79" w:name="_Toc74065741"/>
      <w:bookmarkStart w:id="80" w:name="_Toc16265"/>
      <w:bookmarkStart w:id="81" w:name="_Toc7151"/>
      <w:bookmarkStart w:id="82" w:name="_Toc79154668"/>
      <w:bookmarkStart w:id="83" w:name="_Toc90742321"/>
      <w:bookmarkStart w:id="84" w:name="_Toc90742390"/>
      <w:bookmarkStart w:id="85" w:name="_Toc3266"/>
      <w:bookmarkStart w:id="86" w:name="_Toc29948"/>
      <w:bookmarkStart w:id="87" w:name="_Toc15203"/>
      <w:bookmarkStart w:id="88" w:name="_Toc90742688"/>
      <w:bookmarkStart w:id="89" w:name="_Toc27226"/>
      <w:bookmarkStart w:id="90" w:name="_Toc29784"/>
      <w:bookmarkStart w:id="91" w:name="_Toc22074"/>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pStyle w:val="14"/>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（1）银行存款、债券逆回购、货币基金等货币市场工具及其它银行间和交易所资金融通工具；</w:t>
      </w:r>
    </w:p>
    <w:p>
      <w:pPr>
        <w:pStyle w:val="14"/>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pStyle w:val="14"/>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（3）以套期保值为目的的国债期货、利率互换、信用风险缓释工具、债券借贷。</w:t>
      </w:r>
    </w:p>
    <w:p>
      <w:pPr>
        <w:pStyle w:val="14"/>
        <w:spacing w:line="360" w:lineRule="auto"/>
        <w:ind w:firstLine="360" w:firstLineChars="20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（5）其他风险不高于前述资产的资产。</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540" w:firstLineChars="3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 xml:space="preserve">【（1）本产品投资于债权类资产的比例不低于产品总资产的80%。 </w:t>
      </w:r>
    </w:p>
    <w:p>
      <w:pPr>
        <w:autoSpaceDE w:val="0"/>
        <w:autoSpaceDN w:val="0"/>
        <w:adjustRightInd w:val="0"/>
        <w:spacing w:line="360" w:lineRule="auto"/>
        <w:ind w:firstLine="540" w:firstLineChars="3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（2）国债期货、利率互换、信用风险缓释工具等衍生品占产品总资产比例低于5%。</w:t>
      </w:r>
    </w:p>
    <w:p>
      <w:pPr>
        <w:autoSpaceDE w:val="0"/>
        <w:autoSpaceDN w:val="0"/>
        <w:adjustRightInd w:val="0"/>
        <w:spacing w:line="360" w:lineRule="auto"/>
        <w:ind w:firstLine="361"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
          <w:bCs/>
          <w:kern w:val="0"/>
          <w:sz w:val="18"/>
          <w:szCs w:val="18"/>
        </w:rPr>
        <w:t>注：本产品可能投资不存在活跃交易市场，并且需要采用估值技术确定公允价值的资产，且投资上述资产的比例达到理财产品净资产50%以上。</w:t>
      </w:r>
      <w:r>
        <w:rPr>
          <w:rFonts w:hint="eastAsia" w:asciiTheme="majorEastAsia" w:hAnsiTheme="majorEastAsia" w:eastAsiaTheme="majorEastAsia"/>
          <w:bCs/>
          <w:kern w:val="0"/>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（1）每只公募理财产品投资单只证券或者单只公募证券投资基金的市值不得超过该理财产品净资产的10%。</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（3）全部理财产品持有单一上市公司发行的股票，不得超过该上市公司可流通股票的30%。</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（5）本产品因为流动性需要可开展存单质押、债券正回购等融资业务，本产品总资产不超过净资产的200%。</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【通过对经济基本面、企业盈利、无风险利率水平、资金面等因素进行定性和定量分析，根据产品的业绩目标和回撤目标制定各个阶段产品资产投资比例。】</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3" w:name="_Toc26986"/>
      <w:bookmarkStart w:id="94" w:name="_Toc17912"/>
      <w:bookmarkStart w:id="95" w:name="_Toc18526"/>
      <w:bookmarkStart w:id="96" w:name="_Toc1823"/>
      <w:bookmarkStart w:id="97" w:name="_Toc139991735"/>
      <w:bookmarkStart w:id="98" w:name="_Toc176189758"/>
      <w:bookmarkStart w:id="99" w:name="_Toc74065742"/>
      <w:bookmarkStart w:id="100" w:name="_Toc18797"/>
      <w:bookmarkStart w:id="101" w:name="_Toc141703885"/>
      <w:bookmarkStart w:id="102" w:name="_Toc14893"/>
      <w:bookmarkStart w:id="103" w:name="_Toc4741"/>
      <w:bookmarkStart w:id="104" w:name="_Toc7848"/>
      <w:bookmarkStart w:id="105" w:name="_Toc79154669"/>
      <w:bookmarkStart w:id="106" w:name="_Toc21988"/>
      <w:bookmarkStart w:id="107" w:name="_Toc18329"/>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pPr>
        <w:pStyle w:val="2"/>
        <w:spacing w:before="0" w:after="0" w:line="360" w:lineRule="auto"/>
        <w:jc w:val="center"/>
        <w:rPr>
          <w:rFonts w:ascii="Times New Roman"/>
          <w:sz w:val="30"/>
        </w:rPr>
      </w:pPr>
      <w:bookmarkStart w:id="109" w:name="_Toc48649707"/>
      <w:bookmarkStart w:id="110" w:name="_Toc123102453"/>
      <w:bookmarkStart w:id="111" w:name="_Toc20733"/>
      <w:bookmarkStart w:id="112" w:name="_Toc176189759"/>
      <w:bookmarkStart w:id="113" w:name="_Toc98560352"/>
      <w:bookmarkStart w:id="114" w:name="_Toc1270"/>
      <w:bookmarkStart w:id="115" w:name="_Toc1427"/>
      <w:bookmarkStart w:id="116" w:name="_Toc74065743"/>
      <w:bookmarkStart w:id="117" w:name="_Toc7920"/>
      <w:bookmarkStart w:id="118" w:name="_Toc4003"/>
      <w:bookmarkStart w:id="119" w:name="_Toc79392606"/>
      <w:bookmarkStart w:id="120" w:name="_Toc123112234"/>
      <w:bookmarkStart w:id="121" w:name="_Toc123051452"/>
      <w:bookmarkStart w:id="122" w:name="_Toc610"/>
      <w:bookmarkStart w:id="123" w:name="_Toc17244"/>
      <w:bookmarkStart w:id="124" w:name="_Toc23261"/>
      <w:bookmarkStart w:id="125" w:name="_Toc23822"/>
      <w:bookmarkStart w:id="126" w:name="_Toc10463"/>
      <w:bookmarkStart w:id="127" w:name="_Toc141703886"/>
      <w:bookmarkStart w:id="128" w:name="_Toc79154670"/>
      <w:bookmarkStart w:id="129" w:name="_Toc139991736"/>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14"/>
        <w:spacing w:line="360" w:lineRule="auto"/>
        <w:ind w:firstLine="361" w:firstLineChars="200"/>
        <w:rPr>
          <w:rFonts w:hAnsi="宋体"/>
          <w:b/>
          <w:bCs/>
          <w:sz w:val="18"/>
          <w:szCs w:val="18"/>
        </w:rPr>
      </w:pPr>
      <w:r>
        <w:rPr>
          <w:rFonts w:hint="eastAsia" w:hAnsi="宋体"/>
          <w:b/>
          <w:bCs/>
          <w:sz w:val="18"/>
          <w:szCs w:val="18"/>
        </w:rPr>
        <w:t>（一）估值目的</w:t>
      </w:r>
    </w:p>
    <w:p>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pPr>
        <w:pStyle w:val="14"/>
        <w:spacing w:line="360" w:lineRule="auto"/>
        <w:ind w:firstLine="361" w:firstLineChars="200"/>
        <w:rPr>
          <w:rFonts w:hAnsi="宋体"/>
          <w:b/>
          <w:bCs/>
          <w:sz w:val="18"/>
          <w:szCs w:val="18"/>
        </w:rPr>
      </w:pPr>
      <w:r>
        <w:rPr>
          <w:rFonts w:hint="eastAsia" w:hAnsi="宋体"/>
          <w:b/>
          <w:bCs/>
          <w:sz w:val="18"/>
          <w:szCs w:val="18"/>
        </w:rPr>
        <w:t>（二）估值频率</w:t>
      </w:r>
    </w:p>
    <w:p>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pPr>
        <w:pStyle w:val="14"/>
        <w:spacing w:line="360" w:lineRule="auto"/>
        <w:ind w:firstLine="452" w:firstLineChars="250"/>
        <w:rPr>
          <w:rFonts w:hAnsi="宋体"/>
          <w:b/>
          <w:bCs/>
          <w:sz w:val="18"/>
          <w:szCs w:val="18"/>
        </w:rPr>
      </w:pPr>
      <w:r>
        <w:rPr>
          <w:rFonts w:hint="eastAsia" w:hAnsi="宋体"/>
          <w:b/>
          <w:bCs/>
          <w:sz w:val="18"/>
          <w:szCs w:val="18"/>
        </w:rPr>
        <w:t>（三）估值对象</w:t>
      </w:r>
    </w:p>
    <w:p>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pPr>
        <w:pStyle w:val="14"/>
        <w:spacing w:line="360" w:lineRule="auto"/>
        <w:ind w:firstLine="452" w:firstLineChars="250"/>
        <w:rPr>
          <w:rFonts w:hAnsi="宋体"/>
          <w:b/>
          <w:bCs/>
          <w:sz w:val="18"/>
          <w:szCs w:val="18"/>
        </w:rPr>
      </w:pPr>
      <w:r>
        <w:rPr>
          <w:rFonts w:hint="eastAsia" w:hAnsi="宋体"/>
          <w:b/>
          <w:bCs/>
          <w:sz w:val="18"/>
          <w:szCs w:val="18"/>
        </w:rPr>
        <w:t>（四）估值方法</w:t>
      </w:r>
    </w:p>
    <w:p>
      <w:pPr>
        <w:pStyle w:val="14"/>
        <w:spacing w:line="360" w:lineRule="auto"/>
        <w:ind w:firstLine="360" w:firstLineChars="200"/>
        <w:rPr>
          <w:rFonts w:hAnsi="宋体"/>
          <w:bCs/>
          <w:sz w:val="18"/>
          <w:szCs w:val="18"/>
        </w:rPr>
      </w:pPr>
      <w:r>
        <w:rPr>
          <w:rFonts w:hAnsi="宋体"/>
          <w:bCs/>
          <w:sz w:val="18"/>
          <w:szCs w:val="18"/>
        </w:rPr>
        <w:t>1.标准化债权类资产估值</w:t>
      </w:r>
    </w:p>
    <w:p>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14"/>
        <w:spacing w:line="360" w:lineRule="auto"/>
        <w:ind w:firstLine="360" w:firstLineChars="200"/>
        <w:rPr>
          <w:rFonts w:hAnsi="宋体"/>
          <w:sz w:val="18"/>
          <w:szCs w:val="18"/>
        </w:rPr>
      </w:pPr>
      <w:r>
        <w:rPr>
          <w:rFonts w:hAnsi="宋体"/>
          <w:bCs/>
          <w:sz w:val="18"/>
          <w:szCs w:val="18"/>
        </w:rPr>
        <w:t>3.非标准化债权类资产</w:t>
      </w:r>
    </w:p>
    <w:p>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pStyle w:val="14"/>
        <w:spacing w:line="360" w:lineRule="auto"/>
        <w:ind w:firstLine="360" w:firstLineChars="200"/>
        <w:rPr>
          <w:rFonts w:hAnsi="宋体"/>
          <w:bCs/>
          <w:sz w:val="18"/>
          <w:szCs w:val="18"/>
        </w:rPr>
      </w:pPr>
      <w:r>
        <w:rPr>
          <w:rFonts w:hAnsi="宋体"/>
          <w:bCs/>
          <w:sz w:val="18"/>
          <w:szCs w:val="18"/>
        </w:rPr>
        <w:t>4.上市公司股票估值</w:t>
      </w:r>
    </w:p>
    <w:p>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pPr>
        <w:pStyle w:val="14"/>
        <w:spacing w:line="360" w:lineRule="auto"/>
        <w:ind w:firstLine="360" w:firstLineChars="200"/>
        <w:rPr>
          <w:rFonts w:hAnsi="宋体"/>
          <w:bCs/>
          <w:sz w:val="18"/>
          <w:szCs w:val="18"/>
        </w:rPr>
      </w:pPr>
      <w:r>
        <w:rPr>
          <w:rFonts w:hAnsi="宋体"/>
          <w:bCs/>
          <w:sz w:val="18"/>
          <w:szCs w:val="18"/>
        </w:rPr>
        <w:t>5.未上市公司股权</w:t>
      </w:r>
    </w:p>
    <w:p>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pPr>
        <w:pStyle w:val="14"/>
        <w:spacing w:line="360" w:lineRule="auto"/>
        <w:ind w:firstLine="360" w:firstLineChars="200"/>
        <w:rPr>
          <w:rFonts w:hAnsi="宋体"/>
          <w:bCs/>
          <w:sz w:val="18"/>
          <w:szCs w:val="18"/>
        </w:rPr>
      </w:pPr>
      <w:r>
        <w:rPr>
          <w:rFonts w:hAnsi="宋体"/>
          <w:bCs/>
          <w:sz w:val="18"/>
          <w:szCs w:val="18"/>
        </w:rPr>
        <w:t>6.优先股</w:t>
      </w:r>
    </w:p>
    <w:p>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14"/>
        <w:spacing w:line="360" w:lineRule="auto"/>
        <w:ind w:firstLine="360" w:firstLineChars="200"/>
        <w:rPr>
          <w:rFonts w:hAnsi="宋体"/>
          <w:bCs/>
          <w:sz w:val="18"/>
          <w:szCs w:val="18"/>
        </w:rPr>
      </w:pPr>
      <w:r>
        <w:rPr>
          <w:rFonts w:hAnsi="宋体"/>
          <w:bCs/>
          <w:sz w:val="18"/>
          <w:szCs w:val="18"/>
        </w:rPr>
        <w:t>7.证券投资基金估值</w:t>
      </w:r>
    </w:p>
    <w:p>
      <w:pPr>
        <w:pStyle w:val="14"/>
        <w:spacing w:line="360" w:lineRule="auto"/>
        <w:ind w:firstLine="360" w:firstLineChars="200"/>
        <w:rPr>
          <w:rFonts w:hAnsi="宋体"/>
          <w:sz w:val="18"/>
          <w:szCs w:val="18"/>
        </w:rPr>
      </w:pPr>
      <w:r>
        <w:rPr>
          <w:rFonts w:hint="eastAsia" w:hAnsi="宋体"/>
          <w:sz w:val="18"/>
          <w:szCs w:val="18"/>
        </w:rPr>
        <w:t>（1）非上市基金估值</w:t>
      </w:r>
    </w:p>
    <w:p>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14"/>
        <w:spacing w:line="360" w:lineRule="auto"/>
        <w:ind w:firstLine="360" w:firstLineChars="200"/>
        <w:rPr>
          <w:rFonts w:hAnsi="宋体"/>
          <w:sz w:val="18"/>
          <w:szCs w:val="18"/>
        </w:rPr>
      </w:pPr>
      <w:r>
        <w:rPr>
          <w:rFonts w:hint="eastAsia" w:hAnsi="宋体"/>
          <w:sz w:val="18"/>
          <w:szCs w:val="18"/>
        </w:rPr>
        <w:t>（2）上市基金估值</w:t>
      </w:r>
    </w:p>
    <w:p>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14"/>
        <w:spacing w:line="360" w:lineRule="auto"/>
        <w:ind w:firstLine="360" w:firstLineChars="200"/>
        <w:rPr>
          <w:rFonts w:hAnsi="宋体"/>
          <w:bCs/>
          <w:sz w:val="18"/>
          <w:szCs w:val="18"/>
        </w:rPr>
      </w:pPr>
      <w:r>
        <w:rPr>
          <w:rFonts w:hAnsi="宋体"/>
          <w:bCs/>
          <w:sz w:val="18"/>
          <w:szCs w:val="18"/>
        </w:rPr>
        <w:t>8.其他资产管理产品的估值</w:t>
      </w:r>
    </w:p>
    <w:p>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pStyle w:val="14"/>
        <w:spacing w:line="360" w:lineRule="auto"/>
        <w:ind w:firstLine="360" w:firstLineChars="200"/>
        <w:rPr>
          <w:rFonts w:hAnsi="宋体"/>
          <w:bCs/>
          <w:sz w:val="18"/>
          <w:szCs w:val="18"/>
        </w:rPr>
      </w:pPr>
      <w:r>
        <w:rPr>
          <w:rFonts w:hAnsi="宋体"/>
          <w:bCs/>
          <w:sz w:val="18"/>
          <w:szCs w:val="18"/>
        </w:rPr>
        <w:t>9.衍生金融工具估值</w:t>
      </w:r>
    </w:p>
    <w:p>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pPr>
        <w:pStyle w:val="14"/>
        <w:spacing w:line="360" w:lineRule="auto"/>
        <w:ind w:firstLine="361" w:firstLineChars="200"/>
        <w:rPr>
          <w:rFonts w:hAnsi="宋体"/>
          <w:b/>
          <w:bCs/>
          <w:sz w:val="18"/>
          <w:szCs w:val="18"/>
        </w:rPr>
      </w:pPr>
      <w:r>
        <w:rPr>
          <w:rFonts w:hint="eastAsia" w:hAnsi="宋体"/>
          <w:b/>
          <w:bCs/>
          <w:sz w:val="18"/>
          <w:szCs w:val="18"/>
        </w:rPr>
        <w:t>（五）估值程序</w:t>
      </w:r>
    </w:p>
    <w:p>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1.产品份额净值是按照估值日产品资产净值除以当日产品总份额计算，四舍五入保留5位小数。国家另有规定的，从其规定。</w:t>
      </w:r>
    </w:p>
    <w:p>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pStyle w:val="14"/>
        <w:spacing w:line="360" w:lineRule="auto"/>
        <w:ind w:firstLine="361" w:firstLineChars="200"/>
        <w:rPr>
          <w:rFonts w:hAnsi="宋体"/>
          <w:b/>
          <w:bCs/>
          <w:sz w:val="18"/>
          <w:szCs w:val="18"/>
        </w:rPr>
      </w:pPr>
      <w:r>
        <w:rPr>
          <w:rFonts w:hint="eastAsia" w:hAnsi="宋体"/>
          <w:b/>
          <w:bCs/>
          <w:sz w:val="18"/>
          <w:szCs w:val="18"/>
        </w:rPr>
        <w:t>（六）估值主体</w:t>
      </w:r>
    </w:p>
    <w:p>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130" w:name="_Hlt70481650"/>
      <w:bookmarkEnd w:id="130"/>
      <w:bookmarkStart w:id="131" w:name="_Toc79154671"/>
      <w:bookmarkStart w:id="132" w:name="_Toc29251"/>
      <w:bookmarkStart w:id="133" w:name="_Toc123112235"/>
      <w:bookmarkStart w:id="134" w:name="_Toc123051453"/>
      <w:bookmarkStart w:id="135" w:name="_Toc123102454"/>
      <w:bookmarkStart w:id="136" w:name="_Toc74065744"/>
      <w:bookmarkStart w:id="137" w:name="_Toc15143"/>
      <w:bookmarkStart w:id="138" w:name="_Toc139991737"/>
      <w:bookmarkStart w:id="139" w:name="_Toc31644"/>
      <w:bookmarkStart w:id="140" w:name="_Toc176189760"/>
      <w:bookmarkStart w:id="141" w:name="_Toc98560353"/>
      <w:bookmarkStart w:id="142" w:name="_Toc14835"/>
      <w:bookmarkStart w:id="143" w:name="_Toc31653"/>
      <w:bookmarkStart w:id="144" w:name="_Toc141703887"/>
      <w:bookmarkStart w:id="145" w:name="_Toc3601"/>
      <w:bookmarkStart w:id="146" w:name="_Toc31235"/>
      <w:bookmarkStart w:id="147" w:name="_Toc6405"/>
      <w:bookmarkStart w:id="148" w:name="_Toc12245"/>
      <w:bookmarkStart w:id="149" w:name="_Toc26207"/>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7530239"/>
      <w:bookmarkStart w:id="153" w:name="_Toc79392580"/>
      <w:bookmarkStart w:id="154" w:name="_Toc523711668"/>
    </w:p>
    <w:p>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14"/>
        <w:spacing w:line="360" w:lineRule="auto"/>
        <w:ind w:firstLine="360" w:firstLineChars="200"/>
        <w:outlineLvl w:val="2"/>
        <w:rPr>
          <w:rFonts w:hAnsi="宋体"/>
          <w:color w:val="auto"/>
          <w:sz w:val="18"/>
          <w:szCs w:val="18"/>
        </w:rPr>
      </w:pPr>
      <w:r>
        <w:rPr>
          <w:rFonts w:hint="eastAsia" w:hAnsi="宋体"/>
          <w:color w:val="auto"/>
          <w:sz w:val="18"/>
          <w:szCs w:val="18"/>
        </w:rPr>
        <w:t>1.理财利益的分配日</w:t>
      </w:r>
    </w:p>
    <w:p>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14"/>
        <w:spacing w:line="360" w:lineRule="auto"/>
        <w:ind w:firstLine="360" w:firstLineChars="200"/>
        <w:outlineLvl w:val="2"/>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pPr>
        <w:pStyle w:val="2"/>
        <w:spacing w:before="0" w:after="0" w:line="360" w:lineRule="auto"/>
        <w:jc w:val="center"/>
        <w:rPr>
          <w:rFonts w:ascii="Times New Roman"/>
          <w:sz w:val="30"/>
        </w:rPr>
      </w:pPr>
      <w:bookmarkStart w:id="155" w:name="_Hlt88897298"/>
      <w:bookmarkEnd w:id="155"/>
      <w:bookmarkStart w:id="156" w:name="_Hlt88825574"/>
      <w:bookmarkEnd w:id="156"/>
      <w:bookmarkStart w:id="157" w:name="_Toc25783"/>
      <w:bookmarkStart w:id="158" w:name="_Toc139991738"/>
      <w:bookmarkStart w:id="159" w:name="_Toc79154672"/>
      <w:bookmarkStart w:id="160" w:name="_Toc3771"/>
      <w:bookmarkStart w:id="161" w:name="_Toc6447"/>
      <w:bookmarkStart w:id="162" w:name="_Toc74065745"/>
      <w:bookmarkStart w:id="163" w:name="_Toc176189761"/>
      <w:bookmarkStart w:id="164" w:name="_Toc98560354"/>
      <w:bookmarkStart w:id="165" w:name="_Toc123051454"/>
      <w:bookmarkStart w:id="166" w:name="_Toc10650"/>
      <w:bookmarkStart w:id="167" w:name="_Toc3321"/>
      <w:bookmarkStart w:id="168" w:name="_Toc4559"/>
      <w:bookmarkStart w:id="169" w:name="_Toc79392583"/>
      <w:bookmarkStart w:id="170" w:name="_Toc141703888"/>
      <w:bookmarkStart w:id="171" w:name="_Toc9706"/>
      <w:bookmarkStart w:id="172" w:name="_Toc123102455"/>
      <w:bookmarkStart w:id="173" w:name="_Toc7058"/>
      <w:bookmarkStart w:id="174" w:name="_Toc11030"/>
      <w:bookmarkStart w:id="175" w:name="_Toc123112236"/>
      <w:bookmarkStart w:id="176" w:name="_Toc18567"/>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w:t>
      </w:r>
    </w:p>
    <w:p>
      <w:pPr>
        <w:widowControl/>
        <w:spacing w:line="360" w:lineRule="auto"/>
        <w:ind w:firstLine="360" w:firstLineChars="200"/>
        <w:jc w:val="left"/>
        <w:rPr>
          <w:rFonts w:ascii="宋体" w:hAnsi="宋体"/>
          <w:sz w:val="18"/>
          <w:szCs w:val="18"/>
        </w:rPr>
      </w:pP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pStyle w:val="14"/>
        <w:spacing w:line="360" w:lineRule="auto"/>
        <w:ind w:firstLine="360" w:firstLineChars="200"/>
        <w:rPr>
          <w:rFonts w:hint="eastAsia" w:hAnsi="宋体"/>
          <w:sz w:val="18"/>
          <w:szCs w:val="18"/>
        </w:rPr>
      </w:pPr>
      <w:r>
        <w:rPr>
          <w:rFonts w:hint="eastAsia" w:hAnsi="宋体"/>
          <w:sz w:val="18"/>
          <w:szCs w:val="18"/>
        </w:rPr>
        <w:t>本产品的销售服务费按前一日理财资产净值与销售服务费每日费率每日计提。销售服务费的计算方法如下：</w:t>
      </w:r>
    </w:p>
    <w:p>
      <w:pPr>
        <w:pStyle w:val="14"/>
        <w:spacing w:line="360" w:lineRule="auto"/>
        <w:ind w:firstLine="360" w:firstLineChars="200"/>
        <w:rPr>
          <w:rFonts w:hint="eastAsia" w:hAnsi="宋体"/>
          <w:sz w:val="18"/>
          <w:szCs w:val="18"/>
        </w:rPr>
      </w:pPr>
      <w:r>
        <w:rPr>
          <w:rFonts w:hint="eastAsia" w:hAnsi="宋体"/>
          <w:sz w:val="18"/>
          <w:szCs w:val="18"/>
        </w:rPr>
        <w:t>H＝E×销售服务费年费率÷365</w:t>
      </w:r>
    </w:p>
    <w:p>
      <w:pPr>
        <w:pStyle w:val="14"/>
        <w:spacing w:line="360" w:lineRule="auto"/>
        <w:ind w:firstLine="360" w:firstLineChars="200"/>
        <w:rPr>
          <w:rFonts w:hint="eastAsia" w:hAnsi="宋体"/>
          <w:sz w:val="18"/>
          <w:szCs w:val="18"/>
        </w:rPr>
      </w:pPr>
      <w:r>
        <w:rPr>
          <w:rFonts w:hint="eastAsia" w:hAnsi="宋体"/>
          <w:sz w:val="18"/>
          <w:szCs w:val="18"/>
        </w:rPr>
        <w:t>H为每日应计提的销售服务费</w:t>
      </w:r>
    </w:p>
    <w:p>
      <w:pPr>
        <w:pStyle w:val="14"/>
        <w:spacing w:line="360" w:lineRule="auto"/>
        <w:ind w:firstLine="360" w:firstLineChars="200"/>
        <w:rPr>
          <w:rFonts w:hint="eastAsia" w:hAnsi="宋体"/>
          <w:sz w:val="18"/>
          <w:szCs w:val="18"/>
        </w:rPr>
      </w:pPr>
      <w:r>
        <w:rPr>
          <w:rFonts w:hint="eastAsia" w:hAnsi="宋体"/>
          <w:sz w:val="18"/>
          <w:szCs w:val="18"/>
        </w:rPr>
        <w:t>E为前一日的理财资产净值</w:t>
      </w:r>
    </w:p>
    <w:p>
      <w:pPr>
        <w:pStyle w:val="14"/>
        <w:spacing w:line="360" w:lineRule="auto"/>
        <w:ind w:firstLine="360" w:firstLineChars="200"/>
        <w:rPr>
          <w:rFonts w:hint="eastAsia" w:eastAsia="宋体" w:asciiTheme="majorEastAsia" w:hAnsiTheme="majorEastAsia"/>
          <w:color w:val="auto"/>
          <w:kern w:val="2"/>
          <w:sz w:val="18"/>
          <w:szCs w:val="18"/>
          <w:lang w:eastAsia="zh-CN"/>
        </w:rPr>
      </w:pPr>
      <w:r>
        <w:rPr>
          <w:rFonts w:hint="eastAsia" w:hAnsi="宋体"/>
          <w:sz w:val="18"/>
          <w:szCs w:val="18"/>
        </w:rPr>
        <w:t>销售服务费依照上述约定，从理财财产中支付。费率具体数值以《产品说明书》“第二条 理财产品基本情况”为准。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sz w:val="18"/>
          <w:szCs w:val="18"/>
        </w:rPr>
        <w:t>★</w:t>
      </w:r>
      <w:r>
        <w:rPr>
          <w:rFonts w:hint="eastAsia" w:asciiTheme="majorEastAsia" w:hAnsiTheme="majorEastAsia" w:eastAsiaTheme="majorEastAsia"/>
          <w:sz w:val="18"/>
          <w:szCs w:val="18"/>
        </w:rPr>
        <w:t>由此造成超额业绩报酬计提日产品份额净值调整的，以调整后的数值为准进行利益分配。</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业绩报酬计提基准的设置、超额业绩报酬的具体比例数值以《</w:t>
      </w:r>
      <w:r>
        <w:rPr>
          <w:rFonts w:hint="eastAsia" w:asciiTheme="majorEastAsia" w:hAnsiTheme="majorEastAsia" w:eastAsiaTheme="majorEastAsia"/>
          <w:bCs/>
          <w:sz w:val="18"/>
          <w:szCs w:val="18"/>
        </w:rPr>
        <w:t>产品说明</w:t>
      </w:r>
      <w:r>
        <w:rPr>
          <w:rFonts w:hint="eastAsia" w:asciiTheme="majorEastAsia" w:hAnsiTheme="majorEastAsia" w:eastAsiaTheme="majorEastAsia"/>
          <w:sz w:val="18"/>
          <w:szCs w:val="18"/>
        </w:rPr>
        <w:t>书》</w:t>
      </w:r>
      <w:r>
        <w:rPr>
          <w:rFonts w:hint="eastAsia" w:asciiTheme="minorEastAsia" w:hAnsiTheme="minorEastAsia" w:eastAsiaTheme="minorEastAsia"/>
          <w:sz w:val="18"/>
          <w:szCs w:val="18"/>
        </w:rPr>
        <w:t>“第二条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1）收取超额业绩报酬的原则：</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①按投资者每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产品份额分别计算年化收益率并计提超额业绩报酬；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③在产品终止日提取超额业绩报酬的，超额业绩报酬从清算资金中扣除；</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2）超额业绩报酬计提方法</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产品份额超额业绩报酬计提起始日为：募集期内认购的产品份额，以产品成立日为该</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②超额业绩报酬计提日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每份产品份额超额业绩报酬每日计提，产品终止日结算。</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③超额业绩报酬的计算</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产品管理人对每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当R≤当前业绩报酬计提基准，超额业绩报酬=0；</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1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14"/>
        <w:spacing w:line="360" w:lineRule="auto"/>
        <w:ind w:firstLine="360" w:firstLineChars="200"/>
        <w:rPr>
          <w:rFonts w:ascii="黑体" w:hAnsi="黑体" w:eastAsia="黑体"/>
          <w:b/>
          <w:color w:val="auto"/>
          <w:sz w:val="18"/>
        </w:rPr>
      </w:pPr>
      <w:r>
        <w:rPr>
          <w:rFonts w:hint="eastAsia" w:ascii="黑体" w:hAnsi="黑体" w:eastAsia="黑体"/>
          <w:color w:val="auto"/>
          <w:sz w:val="18"/>
        </w:rPr>
        <w:t>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77" w:name="_Toc1745"/>
      <w:bookmarkStart w:id="178" w:name="_Toc3963"/>
      <w:r>
        <w:br w:type="page"/>
      </w:r>
      <w:bookmarkStart w:id="179" w:name="_Toc79154673"/>
      <w:bookmarkStart w:id="180" w:name="_Toc74065746"/>
      <w:bookmarkStart w:id="181" w:name="_Toc31821"/>
      <w:bookmarkStart w:id="182" w:name="_Toc10398"/>
      <w:bookmarkStart w:id="183" w:name="_Toc3080"/>
      <w:bookmarkStart w:id="184" w:name="_Toc123112237"/>
      <w:bookmarkStart w:id="185" w:name="_Toc123102456"/>
      <w:bookmarkStart w:id="186" w:name="_Toc98560355"/>
      <w:bookmarkStart w:id="187" w:name="_Toc176189762"/>
      <w:bookmarkStart w:id="188" w:name="_Toc16164"/>
      <w:bookmarkStart w:id="189" w:name="_Toc123051455"/>
      <w:bookmarkStart w:id="190" w:name="_Toc3572"/>
      <w:bookmarkStart w:id="191" w:name="_Toc21735"/>
      <w:bookmarkStart w:id="192" w:name="_Toc139991739"/>
      <w:bookmarkStart w:id="193" w:name="_Toc141703889"/>
      <w:bookmarkStart w:id="194" w:name="_Toc725"/>
      <w:bookmarkStart w:id="195" w:name="_Toc18206"/>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Theme="majorEastAsia" w:hAnsiTheme="majorEastAsia" w:eastAsiaTheme="majorEastAsia"/>
          <w:b/>
          <w:bCs/>
          <w:sz w:val="18"/>
          <w:szCs w:val="18"/>
        </w:rPr>
      </w:pPr>
      <w:bookmarkStart w:id="196" w:name="_Toc79392593"/>
      <w:bookmarkStart w:id="197" w:name="_Toc15118245"/>
      <w:bookmarkStart w:id="198" w:name="_Toc57530252"/>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实际到账日之间，理财资金不计算</w:t>
      </w:r>
      <w:r>
        <w:rPr>
          <w:rFonts w:asciiTheme="majorEastAsia" w:hAnsiTheme="majorEastAsia" w:eastAsiaTheme="majorEastAsia"/>
          <w:bCs/>
          <w:sz w:val="18"/>
          <w:szCs w:val="18"/>
        </w:rPr>
        <w:t>收益</w:t>
      </w:r>
      <w:r>
        <w:rPr>
          <w:rFonts w:hint="eastAsia" w:asciiTheme="majorEastAsia" w:hAnsiTheme="majorEastAsia" w:eastAsiaTheme="majorEastAsia"/>
          <w:bCs/>
          <w:sz w:val="18"/>
          <w:szCs w:val="18"/>
        </w:rPr>
        <w:t>。</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pStyle w:val="2"/>
        <w:spacing w:before="0" w:after="0" w:line="360" w:lineRule="auto"/>
        <w:jc w:val="center"/>
        <w:rPr>
          <w:rFonts w:ascii="Times New Roman"/>
          <w:sz w:val="30"/>
        </w:rPr>
      </w:pPr>
      <w:r>
        <w:rPr>
          <w:rFonts w:ascii="Times New Roman"/>
          <w:b w:val="0"/>
          <w:bCs w:val="0"/>
          <w:kern w:val="2"/>
        </w:rPr>
        <w:br w:type="page"/>
      </w:r>
      <w:bookmarkStart w:id="199" w:name="_Toc17198"/>
      <w:bookmarkStart w:id="200" w:name="_Toc79154674"/>
      <w:bookmarkStart w:id="201" w:name="_Toc32092"/>
      <w:bookmarkStart w:id="202" w:name="_Toc123112238"/>
      <w:bookmarkStart w:id="203" w:name="_Toc21237"/>
      <w:bookmarkStart w:id="204" w:name="_Toc74065747"/>
      <w:bookmarkStart w:id="205" w:name="_Toc176189763"/>
      <w:bookmarkStart w:id="206" w:name="_Toc5170"/>
      <w:bookmarkStart w:id="207" w:name="_Toc123102457"/>
      <w:bookmarkStart w:id="208" w:name="_Toc123051456"/>
      <w:bookmarkStart w:id="209" w:name="_Toc17920"/>
      <w:bookmarkStart w:id="210" w:name="_Toc79392622"/>
      <w:bookmarkStart w:id="211" w:name="_Toc48649708"/>
      <w:bookmarkStart w:id="212" w:name="_Toc29408"/>
      <w:bookmarkStart w:id="213" w:name="_Toc141703890"/>
      <w:bookmarkStart w:id="214" w:name="_Toc98560356"/>
      <w:bookmarkStart w:id="215" w:name="_Toc8791"/>
      <w:bookmarkStart w:id="216" w:name="_Toc739"/>
      <w:bookmarkStart w:id="217" w:name="_Toc32584"/>
      <w:bookmarkStart w:id="218" w:name="_Toc3329"/>
      <w:bookmarkStart w:id="219" w:name="_Toc139991740"/>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rPr>
          <w:rFonts w:ascii="宋体" w:hAnsi="宋体"/>
          <w:b/>
          <w:bCs/>
          <w:sz w:val="18"/>
          <w:szCs w:val="18"/>
        </w:rPr>
      </w:pPr>
      <w:r>
        <w:rPr>
          <w:rFonts w:hint="eastAsia" w:ascii="宋体" w:hAnsi="宋体"/>
          <w:b/>
          <w:bCs/>
          <w:sz w:val="18"/>
          <w:szCs w:val="18"/>
        </w:rPr>
        <w:t>（二）信息披露的渠道</w:t>
      </w:r>
    </w:p>
    <w:p>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rPr>
          <w:rFonts w:ascii="宋体" w:hAnsi="宋体"/>
          <w:b/>
          <w:bCs/>
          <w:sz w:val="18"/>
          <w:szCs w:val="18"/>
        </w:rPr>
      </w:pPr>
      <w:r>
        <w:rPr>
          <w:rFonts w:hint="eastAsia" w:ascii="宋体" w:hAnsi="宋体"/>
          <w:b/>
          <w:bCs/>
          <w:sz w:val="18"/>
          <w:szCs w:val="18"/>
        </w:rPr>
        <w:t>（三）信息披露的内容</w:t>
      </w:r>
    </w:p>
    <w:p>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b/>
          <w:bCs/>
          <w:sz w:val="18"/>
          <w:szCs w:val="18"/>
        </w:rPr>
      </w:pPr>
      <w:r>
        <w:rPr>
          <w:rFonts w:hint="eastAsia" w:ascii="宋体" w:hAnsi="宋体"/>
          <w:b/>
          <w:bCs/>
          <w:sz w:val="18"/>
          <w:szCs w:val="18"/>
        </w:rPr>
        <w:t>（四）信息披露的频率和时间</w:t>
      </w:r>
    </w:p>
    <w:p>
      <w:pPr>
        <w:spacing w:line="360" w:lineRule="auto"/>
        <w:ind w:firstLine="360"/>
        <w:rPr>
          <w:rFonts w:ascii="宋体" w:hAnsi="宋体"/>
          <w:bCs/>
          <w:sz w:val="18"/>
          <w:szCs w:val="18"/>
        </w:rPr>
      </w:pPr>
      <w:r>
        <w:rPr>
          <w:rFonts w:ascii="宋体" w:hAnsi="宋体"/>
          <w:bCs/>
          <w:sz w:val="18"/>
          <w:szCs w:val="18"/>
        </w:rPr>
        <w:t>1.产品成立公告</w:t>
      </w:r>
    </w:p>
    <w:p>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rPr>
          <w:rFonts w:ascii="宋体" w:hAnsi="宋体"/>
          <w:bCs/>
          <w:sz w:val="18"/>
          <w:szCs w:val="18"/>
        </w:rPr>
      </w:pPr>
      <w:r>
        <w:rPr>
          <w:rFonts w:ascii="宋体" w:hAnsi="宋体"/>
          <w:bCs/>
          <w:sz w:val="18"/>
          <w:szCs w:val="18"/>
        </w:rPr>
        <w:t>3.定期报告</w:t>
      </w:r>
    </w:p>
    <w:p>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bCs/>
          <w:sz w:val="18"/>
          <w:szCs w:val="18"/>
        </w:rPr>
      </w:pPr>
      <w:r>
        <w:rPr>
          <w:rFonts w:ascii="宋体" w:hAnsi="宋体"/>
          <w:bCs/>
          <w:sz w:val="18"/>
          <w:szCs w:val="18"/>
        </w:rPr>
        <w:t>4.到期公告</w:t>
      </w:r>
    </w:p>
    <w:p>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rPr>
          <w:rFonts w:ascii="宋体" w:hAnsi="宋体"/>
          <w:bCs/>
          <w:sz w:val="18"/>
          <w:szCs w:val="18"/>
        </w:rPr>
      </w:pPr>
      <w:r>
        <w:rPr>
          <w:rFonts w:ascii="宋体" w:hAnsi="宋体"/>
          <w:bCs/>
          <w:sz w:val="18"/>
          <w:szCs w:val="18"/>
        </w:rPr>
        <w:t>5.估值日公告</w:t>
      </w:r>
    </w:p>
    <w:p>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bCs/>
          <w:sz w:val="18"/>
          <w:szCs w:val="18"/>
        </w:rPr>
      </w:pPr>
      <w:r>
        <w:rPr>
          <w:rFonts w:ascii="宋体" w:hAnsi="宋体"/>
          <w:bCs/>
          <w:sz w:val="18"/>
          <w:szCs w:val="18"/>
        </w:rPr>
        <w:t>6.临时公告</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220" w:name="_Toc79154675"/>
      <w:bookmarkStart w:id="221" w:name="_Toc176189764"/>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bCs/>
          <w:sz w:val="18"/>
          <w:szCs w:val="18"/>
        </w:rPr>
      </w:pPr>
      <w:r>
        <w:rPr>
          <w:rFonts w:hint="eastAsia" w:ascii="宋体" w:hAnsi="宋体"/>
          <w:sz w:val="18"/>
          <w:szCs w:val="18"/>
        </w:rPr>
        <w:t>【</w:t>
      </w:r>
      <w:r>
        <w:rPr>
          <w:rFonts w:hint="eastAsia" w:ascii="宋体" w:hAnsi="宋体"/>
          <w:bCs/>
          <w:sz w:val="18"/>
          <w:szCs w:val="18"/>
        </w:rPr>
        <w:t>1.拟投资市场和资产的风险：</w:t>
      </w:r>
    </w:p>
    <w:p>
      <w:pPr>
        <w:spacing w:line="360" w:lineRule="auto"/>
        <w:ind w:firstLine="360" w:firstLineChars="200"/>
        <w:outlineLvl w:val="1"/>
        <w:rPr>
          <w:rFonts w:ascii="宋体" w:hAnsi="宋体"/>
          <w:bCs/>
          <w:sz w:val="18"/>
          <w:szCs w:val="18"/>
        </w:rPr>
      </w:pPr>
      <w:r>
        <w:rPr>
          <w:rFonts w:hint="eastAsia" w:ascii="宋体" w:hAnsi="宋体"/>
          <w:bCs/>
          <w:sz w:val="18"/>
          <w:szCs w:val="18"/>
        </w:rPr>
        <w:t>（1）投资债权类资产的风险</w:t>
      </w:r>
    </w:p>
    <w:p>
      <w:pPr>
        <w:spacing w:line="360" w:lineRule="auto"/>
        <w:ind w:firstLine="360" w:firstLineChars="200"/>
        <w:outlineLvl w:val="2"/>
        <w:rPr>
          <w:rFonts w:ascii="宋体" w:hAnsi="宋体"/>
          <w:bCs/>
          <w:sz w:val="18"/>
          <w:szCs w:val="18"/>
        </w:rPr>
      </w:pPr>
      <w:r>
        <w:rPr>
          <w:rFonts w:hint="eastAsia" w:ascii="宋体" w:hAnsi="宋体"/>
          <w:bCs/>
          <w:sz w:val="18"/>
          <w:szCs w:val="18"/>
        </w:rPr>
        <w:t>1）投资标准化债权类资产的风险</w:t>
      </w:r>
    </w:p>
    <w:p>
      <w:pPr>
        <w:spacing w:line="360" w:lineRule="auto"/>
        <w:ind w:firstLine="360" w:firstLineChars="200"/>
        <w:rPr>
          <w:rFonts w:ascii="宋体" w:hAnsi="宋体"/>
          <w:bCs/>
          <w:sz w:val="18"/>
          <w:szCs w:val="18"/>
        </w:rPr>
      </w:pPr>
      <w:r>
        <w:rPr>
          <w:rFonts w:hint="eastAsia" w:ascii="宋体" w:hAnsi="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outlineLvl w:val="1"/>
        <w:rPr>
          <w:rFonts w:ascii="宋体" w:hAnsi="宋体"/>
          <w:bCs/>
          <w:sz w:val="18"/>
          <w:szCs w:val="18"/>
        </w:rPr>
      </w:pPr>
      <w:r>
        <w:rPr>
          <w:rFonts w:hint="eastAsia" w:ascii="宋体" w:hAnsi="宋体"/>
          <w:bCs/>
          <w:sz w:val="18"/>
          <w:szCs w:val="18"/>
        </w:rPr>
        <w:t xml:space="preserve">（2）投资商品和金融衍生品类资产的风险 </w:t>
      </w:r>
    </w:p>
    <w:p>
      <w:pPr>
        <w:spacing w:line="360" w:lineRule="auto"/>
        <w:ind w:firstLine="360" w:firstLineChars="200"/>
        <w:rPr>
          <w:rFonts w:hint="eastAsia" w:ascii="宋体" w:hAnsi="宋体"/>
          <w:bCs/>
          <w:sz w:val="18"/>
          <w:szCs w:val="18"/>
        </w:rPr>
      </w:pPr>
      <w:r>
        <w:rPr>
          <w:rFonts w:hint="eastAsia" w:ascii="宋体" w:hAnsi="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spacing w:line="360" w:lineRule="auto"/>
        <w:ind w:firstLine="360" w:firstLineChars="200"/>
        <w:rPr>
          <w:rFonts w:ascii="宋体" w:hAnsi="宋体"/>
          <w:sz w:val="18"/>
          <w:szCs w:val="18"/>
        </w:rPr>
      </w:pPr>
      <w:r>
        <w:rPr>
          <w:rFonts w:hint="eastAsia" w:ascii="宋体" w:hAnsi="宋体"/>
          <w:sz w:val="18"/>
          <w:szCs w:val="18"/>
        </w:rPr>
        <w:t>】</w:t>
      </w:r>
    </w:p>
    <w:p>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pPr>
              <w:tabs>
                <w:tab w:val="left" w:pos="5609"/>
              </w:tabs>
              <w:spacing w:line="360" w:lineRule="auto"/>
              <w:ind w:firstLine="360"/>
              <w:jc w:val="left"/>
              <w:rPr>
                <w:rFonts w:cs="Arial"/>
                <w:sz w:val="18"/>
                <w:szCs w:val="18"/>
              </w:rPr>
            </w:pPr>
            <w:r>
              <w:rPr>
                <w:rFonts w:cs="Arial"/>
                <w:sz w:val="18"/>
                <w:szCs w:val="18"/>
              </w:rPr>
              <w:tab/>
            </w:r>
          </w:p>
          <w:p>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pPr>
              <w:spacing w:line="360" w:lineRule="auto"/>
              <w:ind w:firstLine="360"/>
              <w:jc w:val="left"/>
              <w:rPr>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pPr>
        <w:pStyle w:val="14"/>
        <w:spacing w:line="360" w:lineRule="auto"/>
        <w:rPr>
          <w:rFonts w:hAnsi="宋体"/>
          <w:sz w:val="18"/>
          <w:szCs w:val="18"/>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b/>
          <w:sz w:val="28"/>
          <w:szCs w:val="28"/>
        </w:rPr>
      </w:pPr>
      <w:r>
        <w:rPr>
          <w:rFonts w:hint="eastAsia" w:ascii="黑体" w:hAnsi="黑体" w:eastAsia="黑体"/>
          <w:b/>
          <w:sz w:val="28"/>
          <w:szCs w:val="28"/>
        </w:rPr>
        <w:t>兴银理财【稳利恒盈封闭式固收类】理财产品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4"/>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w:t>
            </w:r>
            <w:r>
              <w:rPr>
                <w:rFonts w:ascii="宋体" w:hAnsi="宋体"/>
                <w:sz w:val="18"/>
                <w:szCs w:val="18"/>
                <w:highlight w:val="yellow"/>
              </w:rPr>
              <w:t>沧州银行股份有限公司</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4"/>
              <w:jc w:val="both"/>
            </w:pPr>
            <w:r>
              <w:rPr>
                <w:rFonts w:hint="eastAsia" w:asciiTheme="majorEastAsia" w:hAnsiTheme="majorEastAsia" w:eastAsiaTheme="majorEastAsia"/>
                <w:bCs/>
                <w:sz w:val="18"/>
                <w:szCs w:val="18"/>
              </w:rPr>
              <w:t>【</w:t>
            </w:r>
            <w:r>
              <w:rPr>
                <w:rFonts w:ascii="宋体" w:hAnsi="宋体"/>
                <w:sz w:val="18"/>
                <w:szCs w:val="18"/>
                <w:highlight w:val="yellow"/>
              </w:rPr>
              <w:t>沧州银行</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参照本条第（1）款非机构投资者要求执行；</w:t>
      </w:r>
    </w:p>
    <w:p>
      <w:pPr>
        <w:widowControl/>
        <w:spacing w:line="360" w:lineRule="auto"/>
        <w:jc w:val="left"/>
        <w:rPr>
          <w:rFonts w:asciiTheme="majorEastAsia" w:hAnsiTheme="majorEastAsia" w:eastAsiaTheme="majorEastAsia"/>
          <w:sz w:val="18"/>
          <w:szCs w:val="18"/>
        </w:rPr>
      </w:pPr>
      <w:r>
        <w:rPr>
          <w:rFonts w:hint="eastAsia" w:asciiTheme="majorEastAsia" w:hAnsiTheme="majorEastAsia" w:eastAsiaTheme="majorEastAsia"/>
          <w:sz w:val="18"/>
          <w:szCs w:val="18"/>
        </w:rPr>
        <w:sym w:font="Wingdings 2" w:char="00A3"/>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pPr>
              <w:spacing w:line="360" w:lineRule="auto"/>
              <w:rPr>
                <w:rFonts w:cs="Arial"/>
                <w:kern w:val="0"/>
                <w:sz w:val="18"/>
                <w:szCs w:val="18"/>
              </w:rPr>
            </w:pPr>
          </w:p>
          <w:p>
            <w:pPr>
              <w:spacing w:line="360" w:lineRule="auto"/>
              <w:rPr>
                <w:rFonts w:cs="Arial"/>
                <w:kern w:val="0"/>
                <w:sz w:val="18"/>
                <w:szCs w:val="18"/>
              </w:rPr>
            </w:pPr>
            <w:r>
              <w:rPr>
                <w:rFonts w:hint="eastAsia" w:cs="Arial"/>
                <w:kern w:val="0"/>
                <w:sz w:val="18"/>
                <w:szCs w:val="18"/>
              </w:rPr>
              <w:t>甲方法定代表人或授权代理人（签名/盖章/线上确认）：</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兴银理财【稳利恒盈封闭式固收类】</w:t>
      </w:r>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bookmarkStart w:id="222" w:name="pro_name"/>
      <w:bookmarkEnd w:id="222"/>
      <w:r>
        <w:rPr>
          <w:rFonts w:hint="eastAsia" w:ascii="宋体" w:hAnsi="宋体" w:cs="仿宋_GB2312"/>
          <w:kern w:val="0"/>
          <w:sz w:val="18"/>
          <w:szCs w:val="18"/>
        </w:rPr>
        <w:t>兴银理财稳利恒盈封闭式2025年175期固收类理财产品</w:t>
      </w:r>
      <w:r>
        <w:rPr>
          <w:rFonts w:hint="eastAsia" w:asciiTheme="majorEastAsia" w:hAnsiTheme="majorEastAsia" w:eastAsiaTheme="majorEastAsia"/>
          <w:bCs/>
          <w:kern w:val="0"/>
          <w:sz w:val="18"/>
          <w:szCs w:val="18"/>
        </w:rPr>
        <w:t>】</w:t>
      </w:r>
    </w:p>
    <w:p>
      <w:pPr>
        <w:ind w:firstLine="448" w:firstLineChars="249"/>
        <w:rPr>
          <w:rFonts w:hint="eastAsia" w:ascii="宋体" w:hAnsi="宋体" w:eastAsia="宋体" w:cs="仿宋_GB2312"/>
          <w:kern w:val="0"/>
          <w:sz w:val="18"/>
          <w:szCs w:val="18"/>
          <w:lang w:eastAsia="zh-CN"/>
        </w:rPr>
      </w:pPr>
      <w:r>
        <w:rPr>
          <w:rFonts w:hint="eastAsia" w:ascii="宋体" w:hAnsi="宋体" w:cs="仿宋_GB2312"/>
          <w:kern w:val="0"/>
          <w:sz w:val="18"/>
          <w:szCs w:val="18"/>
        </w:rPr>
        <w:t>销售</w:t>
      </w:r>
      <w:r>
        <w:rPr>
          <w:rFonts w:ascii="宋体" w:hAnsi="宋体" w:cs="仿宋_GB2312"/>
          <w:kern w:val="0"/>
          <w:sz w:val="18"/>
          <w:szCs w:val="18"/>
        </w:rPr>
        <w:t>名称：</w:t>
      </w:r>
      <w:bookmarkStart w:id="223" w:name="sale_name"/>
      <w:bookmarkEnd w:id="223"/>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兴银理财稳利恒盈2025年175期B</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B</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兴银理财稳利恒盈2025年175期C</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C</w:t>
      </w:r>
      <w:r>
        <w:rPr>
          <w:rFonts w:hint="eastAsia" w:ascii="宋体" w:hAnsi="宋体" w:cs="仿宋_GB2312"/>
          <w:kern w:val="0"/>
          <w:sz w:val="18"/>
          <w:szCs w:val="18"/>
        </w:rPr>
        <w:t>】类份额）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lang w:eastAsia="zh-CN"/>
        </w:rPr>
        <w:t>【</w:t>
      </w:r>
      <w:r>
        <w:rPr>
          <w:rFonts w:hint="eastAsia" w:ascii="宋体" w:hAnsi="宋体" w:cs="仿宋_GB2312"/>
          <w:kern w:val="0"/>
          <w:sz w:val="18"/>
          <w:szCs w:val="18"/>
        </w:rPr>
        <w:t>兴银理财稳利恒盈2025年175期D</w:t>
      </w:r>
      <w:r>
        <w:rPr>
          <w:rFonts w:hint="eastAsia" w:ascii="宋体" w:hAnsi="宋体" w:cs="仿宋_GB2312"/>
          <w:kern w:val="0"/>
          <w:sz w:val="18"/>
          <w:szCs w:val="18"/>
          <w:lang w:eastAsia="zh-CN"/>
        </w:rPr>
        <w:t>】</w:t>
      </w:r>
      <w:r>
        <w:rPr>
          <w:rFonts w:hint="eastAsia" w:ascii="宋体" w:hAnsi="宋体" w:cs="仿宋_GB2312"/>
          <w:kern w:val="0"/>
          <w:sz w:val="18"/>
          <w:szCs w:val="18"/>
        </w:rPr>
        <w:t>（适用【</w:t>
      </w:r>
      <w:r>
        <w:rPr>
          <w:rFonts w:hint="eastAsia" w:ascii="宋体" w:hAnsi="宋体" w:cs="仿宋_GB2312"/>
          <w:kern w:val="0"/>
          <w:sz w:val="18"/>
          <w:szCs w:val="18"/>
          <w:lang w:val="en-US" w:eastAsia="zh-CN"/>
        </w:rPr>
        <w:t>D</w:t>
      </w:r>
      <w:r>
        <w:rPr>
          <w:rFonts w:hint="eastAsia" w:ascii="宋体" w:hAnsi="宋体" w:cs="仿宋_GB2312"/>
          <w:kern w:val="0"/>
          <w:sz w:val="18"/>
          <w:szCs w:val="18"/>
        </w:rPr>
        <w:t>】类份额）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bookmarkStart w:id="224" w:name="regist_code"/>
      <w:bookmarkEnd w:id="224"/>
      <w:r>
        <w:rPr>
          <w:rFonts w:hint="eastAsia" w:ascii="宋体" w:hAnsi="宋体" w:cs="仿宋_GB2312"/>
          <w:kern w:val="0"/>
          <w:sz w:val="18"/>
          <w:szCs w:val="18"/>
        </w:rPr>
        <w:t>Z7002025001634</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bookmarkStart w:id="225" w:name="allday"/>
      <w:bookmarkEnd w:id="225"/>
      <w:r>
        <w:rPr>
          <w:rFonts w:hint="eastAsia" w:ascii="宋体" w:hAnsi="宋体" w:cs="仿宋_GB2312"/>
          <w:kern w:val="0"/>
          <w:sz w:val="18"/>
          <w:szCs w:val="18"/>
          <w:lang w:val="en-US" w:eastAsia="zh-CN"/>
        </w:rPr>
        <w:t>258</w:t>
      </w:r>
      <w:r>
        <w:rPr>
          <w:rFonts w:hint="eastAsia" w:ascii="宋体" w:hAnsi="宋体" w:cs="仿宋_GB2312"/>
          <w:kern w:val="0"/>
          <w:sz w:val="18"/>
          <w:szCs w:val="18"/>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bookmarkStart w:id="226" w:name="risk_level_1"/>
      <w:bookmarkEnd w:id="226"/>
      <w:r>
        <w:rPr>
          <w:rFonts w:hint="eastAsia" w:ascii="宋体" w:hAnsi="宋体" w:cs="仿宋_GB2312"/>
          <w:kern w:val="0"/>
          <w:sz w:val="18"/>
          <w:szCs w:val="18"/>
        </w:rPr>
        <w:t>R2</w:t>
      </w:r>
      <w:r>
        <w:rPr>
          <w:rFonts w:ascii="宋体" w:hAnsi="宋体" w:cs="仿宋_GB2312"/>
          <w:kern w:val="0"/>
          <w:sz w:val="18"/>
          <w:szCs w:val="18"/>
        </w:rPr>
        <w:t>】</w:t>
      </w:r>
      <w:r>
        <w:rPr>
          <w:rFonts w:hint="eastAsia" w:ascii="宋体" w:hAnsi="宋体" w:cs="仿宋_GB2312"/>
          <w:kern w:val="0"/>
          <w:sz w:val="18"/>
          <w:szCs w:val="18"/>
        </w:rPr>
        <w:t>（产品管理人定义的产品风险评级为【</w:t>
      </w:r>
      <w:bookmarkStart w:id="227" w:name="risk_level_2"/>
      <w:bookmarkEnd w:id="227"/>
      <w:r>
        <w:rPr>
          <w:rFonts w:hint="eastAsia" w:ascii="宋体" w:hAnsi="宋体" w:cs="仿宋_GB2312"/>
          <w:kern w:val="0"/>
          <w:sz w:val="18"/>
          <w:szCs w:val="18"/>
          <w:lang w:val="en-US" w:eastAsia="zh-CN"/>
        </w:rPr>
        <w:t>R2</w:t>
      </w:r>
      <w:r>
        <w:rPr>
          <w:rFonts w:hint="eastAsia" w:ascii="宋体" w:hAnsi="宋体" w:cs="仿宋_GB2312"/>
          <w:kern w:val="0"/>
          <w:sz w:val="18"/>
          <w:szCs w:val="18"/>
        </w:rPr>
        <w:t>】；代理销售机构定义的产品风险评级为【</w:t>
      </w:r>
      <w:bookmarkStart w:id="228" w:name="risk_level_3"/>
      <w:bookmarkEnd w:id="228"/>
      <w:r>
        <w:rPr>
          <w:rFonts w:hint="eastAsia" w:ascii="宋体" w:hAnsi="宋体" w:cs="仿宋_GB2312"/>
          <w:kern w:val="0"/>
          <w:sz w:val="18"/>
          <w:szCs w:val="18"/>
          <w:lang w:val="en-US" w:eastAsia="zh-CN"/>
        </w:rPr>
        <w:t>R2</w:t>
      </w:r>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bookmarkStart w:id="229" w:name="per_risk"/>
      <w:bookmarkEnd w:id="229"/>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6</w:t>
      </w:r>
      <w:r>
        <w:rPr>
          <w:rFonts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val="en-US" w:eastAsia="zh-CN"/>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w:t>
      </w:r>
      <w:bookmarkStart w:id="230" w:name="ins_risk"/>
      <w:bookmarkEnd w:id="230"/>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bCs/>
          <w:sz w:val="18"/>
          <w:szCs w:val="18"/>
        </w:rPr>
      </w:pPr>
      <w:r>
        <w:rPr>
          <w:rFonts w:hint="eastAsia" w:ascii="宋体" w:hAnsi="宋体"/>
          <w:sz w:val="18"/>
          <w:szCs w:val="18"/>
        </w:rPr>
        <w:t>【</w:t>
      </w:r>
      <w:bookmarkStart w:id="231" w:name="risk"/>
      <w:bookmarkEnd w:id="231"/>
      <w:r>
        <w:rPr>
          <w:rFonts w:hint="eastAsia" w:ascii="宋体" w:hAnsi="宋体"/>
          <w:bCs/>
          <w:sz w:val="18"/>
          <w:szCs w:val="18"/>
        </w:rPr>
        <w:t>1.拟投资市场和资产的风险：</w:t>
      </w:r>
    </w:p>
    <w:p>
      <w:pPr>
        <w:spacing w:line="360" w:lineRule="auto"/>
        <w:ind w:firstLine="360" w:firstLineChars="200"/>
        <w:rPr>
          <w:rFonts w:ascii="宋体" w:hAnsi="宋体"/>
          <w:bCs/>
          <w:sz w:val="18"/>
          <w:szCs w:val="18"/>
        </w:rPr>
      </w:pPr>
      <w:r>
        <w:rPr>
          <w:rFonts w:hint="eastAsia" w:ascii="宋体" w:hAnsi="宋体"/>
          <w:bCs/>
          <w:sz w:val="18"/>
          <w:szCs w:val="18"/>
        </w:rPr>
        <w:t>（1）投资债权类资产的风险</w:t>
      </w:r>
    </w:p>
    <w:p>
      <w:pPr>
        <w:spacing w:line="360" w:lineRule="auto"/>
        <w:ind w:firstLine="360" w:firstLineChars="200"/>
        <w:rPr>
          <w:rFonts w:ascii="宋体" w:hAnsi="宋体"/>
          <w:bCs/>
          <w:sz w:val="18"/>
          <w:szCs w:val="18"/>
        </w:rPr>
      </w:pPr>
      <w:r>
        <w:rPr>
          <w:rFonts w:hint="eastAsia" w:ascii="宋体" w:hAnsi="宋体"/>
          <w:bCs/>
          <w:sz w:val="18"/>
          <w:szCs w:val="18"/>
        </w:rPr>
        <w:t>1）投资标准化债权类资产的风险</w:t>
      </w:r>
    </w:p>
    <w:p>
      <w:pPr>
        <w:spacing w:line="360" w:lineRule="auto"/>
        <w:ind w:firstLine="360" w:firstLineChars="200"/>
        <w:rPr>
          <w:rFonts w:ascii="宋体" w:hAnsi="宋体"/>
          <w:bCs/>
          <w:sz w:val="18"/>
          <w:szCs w:val="18"/>
        </w:rPr>
      </w:pPr>
      <w:r>
        <w:rPr>
          <w:rFonts w:hint="eastAsia" w:ascii="宋体" w:hAnsi="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bCs/>
          <w:sz w:val="18"/>
          <w:szCs w:val="18"/>
        </w:rPr>
      </w:pPr>
      <w:r>
        <w:rPr>
          <w:rFonts w:hint="eastAsia" w:ascii="宋体" w:hAnsi="宋体"/>
          <w:bCs/>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ind w:firstLine="360" w:firstLineChars="200"/>
        <w:rPr>
          <w:rFonts w:ascii="宋体" w:hAnsi="宋体"/>
          <w:sz w:val="18"/>
          <w:szCs w:val="18"/>
        </w:rPr>
      </w:pPr>
      <w:r>
        <w:rPr>
          <w:rFonts w:hint="eastAsia" w:ascii="宋体" w:hAnsi="宋体"/>
          <w:sz w:val="18"/>
          <w:szCs w:val="18"/>
        </w:rPr>
        <w:t>】</w:t>
      </w:r>
    </w:p>
    <w:p>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2"/>
        <w:ind w:firstLineChars="0"/>
        <w:rPr>
          <w:rFonts w:ascii="宋体" w:hAnsi="宋体"/>
          <w:b/>
          <w:bCs/>
          <w:sz w:val="18"/>
          <w:szCs w:val="18"/>
        </w:rPr>
      </w:pPr>
      <w:r>
        <w:rPr>
          <w:rFonts w:hint="eastAsia" w:ascii="宋体" w:hAnsi="宋体"/>
          <w:b/>
          <w:bCs/>
          <w:sz w:val="18"/>
          <w:szCs w:val="18"/>
        </w:rPr>
        <w:t>17.关联交易风险</w:t>
      </w:r>
    </w:p>
    <w:p>
      <w:pPr>
        <w:pStyle w:val="12"/>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r>
        <w:rPr>
          <w:rFonts w:hint="eastAsia" w:ascii="宋体" w:hAnsi="宋体"/>
          <w:sz w:val="18"/>
          <w:szCs w:val="18"/>
        </w:rPr>
        <w:t>销售机构（【</w:t>
      </w:r>
      <w:r>
        <w:rPr>
          <w:rFonts w:ascii="宋体" w:hAnsi="宋体"/>
          <w:sz w:val="18"/>
          <w:szCs w:val="18"/>
          <w:highlight w:val="yellow"/>
        </w:rPr>
        <w:t>沧州银行股份有限公司</w:t>
      </w:r>
      <w:r>
        <w:rPr>
          <w:rFonts w:hint="eastAsia" w:ascii="宋体" w:hAnsi="宋体"/>
          <w:sz w:val="18"/>
          <w:szCs w:val="18"/>
        </w:rPr>
        <w:t>】）</w:t>
      </w:r>
    </w:p>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lang w:eastAsia="zh-CN"/>
        </w:rPr>
        <w:t>、</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lang w:val="en-US" w:eastAsia="zh-CN"/>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32" w:name="_GoBack"/>
      <w:bookmarkEnd w:id="23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8D5E6D"/>
    <w:rsid w:val="2BBE5BA7"/>
    <w:rsid w:val="4662199F"/>
    <w:rsid w:val="637F58C5"/>
    <w:rsid w:val="74EF0261"/>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44599</Words>
  <Characters>45407</Characters>
  <Lines>0</Lines>
  <Paragraphs>0</Paragraphs>
  <TotalTime>0</TotalTime>
  <ScaleCrop>false</ScaleCrop>
  <LinksUpToDate>false</LinksUpToDate>
  <CharactersWithSpaces>45862</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2025-12-23T08:54:54Z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7802ECC6A1C548CD81D31781BF9D4EDE</vt:lpwstr>
  </property>
</Properties>
</file>