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幸福99丰裕固收386天25230期理财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徽商银行股份有限公司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幸福99丰裕固收386天25230期理财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幸福99丰裕固收386天25230期理财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幸福99丰裕固收386天25230期理财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幸福99丰裕固收386天25230期理财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幸福99丰裕固收386天25230期理财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Z7002225000460</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徽商银行股份有限公司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幸福99丰裕固收386天25230期理财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幸福99丰裕固收386天25230期理财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幸福99丰裕固收386天25230期理财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幸福99丰裕固收386天25230期理财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幸福99丰裕固收386天25230期理财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幸福99丰裕固收386天25230期理财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幸福99丰裕固收386天25230期理财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丰裕固收25230期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FYG25230</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Z7002225000460</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A份额（销售代码〖FYG25230A〗）：普通个人投资者和机构客户。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B份额（销售代码〖FYG25230B〗）：普通个人投资者和机构客户。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C份额（销售代码〖FYG25230C〗）：普通个人投资者和机构客户。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D份额（销售代码〖FYG25230D〗）：普通个人投资者和机构客户。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E份额（销售代码〖FYG25230E〗）：普通个人投资者和机构客户。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F份额（销售代码〖FYG25230F〗）：普通个人投资者和机构客户。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G份额（汉口银行行庆专属）（销售代码〖FYG25230G〗）：普通个人投资者和机构客户。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H份额（北行专属）（销售代码〖FYG25230H〗）：普通个人投资者和机构客户。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I份额（爽盈优选）（销售代码〖FYG25230I〗）：普通个人投资者和机构客户。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J份额（销售代码〖FYG25230J〗）：普通个人投资者和机构客户。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K份额（鲲鹏优选）（销售代码〖FYG25230K〗）：普通个人投资者和机构客户。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L份额（东农专属）（销售代码〖FYG25230L〗）：普通个人投资者和机构客户。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M份额（天府·优选）（销售代码〖FYG25230M〗）：普通个人投资者和机构客户。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N份额惠享款（长长财富·专属）（销售代码〖FYG25230N〗）：普通个人投资者和机构客户。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O份额（销售代码〖FYG25230O〗）：普通个人投资者和机构客户。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P份额（芙蓉锦程·优选）（销售代码〖FYG25230P〗）：普通个人投资者和机构客户。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Q份额（兰州银行开门红专属）（销售代码〖FYG25230Q〗）：普通个人投资者和机构客户。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R份额惠享款（吉行十二号）（销售代码〖FYG25230R〗）：普通个人投资者和机构客户。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S份额惠享款（齐鲁-逢六有约）（销售代码〖FYG25230S〗）：普通个人投资者和机构客户。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U份额惠享款（销售代码〖FYG25230U〗）：普通个人投资者和机构客户。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V份额（金芙蓉专属）（销售代码〖FYG25230V〗）：普通个人投资者和机构客户。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W份额惠享款（销售代码〖FYG25230W〗）：普通个人投资者和机构客户。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X份额（销售代码〖FYG25230X〗）：普通个人投资者。</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Y份额惠享款（销售代码〖FYG25230Y〗）：普通个人投资者和机构客户。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Z份额惠享款（销售代码〖FYG25230Z〗）：普通个人投资者和机构客户。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23</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29</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30</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20</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〖K份额〗起点〖1〗元整，超过认购起点部分，应为〖1〗元的整数倍。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〖O份额〗起点〖1〗元整，超过认购起点部分，应为〖1〗元的整数倍。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〖S份额〗起点〖1〗元整，超过认购起点部分，应为〖1〗元的整数倍。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〖U份额〗起点〖10〗万元整，超过认购起点部分，应为〖1〗元的整数倍。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〖V份额〗起点〖100〗万元整，超过认购起点部分，应为〖1〗元的整数倍。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〖X份额〗起点〖1〗元整，超过认购起点部分，应为〖1〗元的整数倍。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本理财计划〖E份额〗业绩比较基准为〖2.35%-2.55%〗（年化）。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本理财计划〖G份额〗业绩比较基准为〖2.83%-3.03%〗（年化）。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本理财计划〖S份额〗业绩比较基准为〖2.66%-2.86%〗（年化）。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本理财计划〖U份额〗业绩比较基准为〖2.60%-2.80%〗（年化）。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本理财计划〖Z份额〗业绩比较基准为〖2.70%-2.90%〗（年化）。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〖F份额〗收取年化〖0.25%〗的销售服务费, 〖G份额〗收取年化〖0.01%〗的销售服务费, 〖H份额〗收取年化〖0.20%〗的销售服务费, 〖I份额〗收取年化〖0.30%〗的销售服务费, 〖J份额〗收取年化〖0.05%〗的销售服务费, 〖K份额〗收取年化〖0.30%〗的销售服务费, 〖L份额〗收取年化〖0.13%〗的销售服务费, 〖M份额〗收取年化〖0.15%〗的销售服务费, 〖N份额〗收取年化〖0.20%〗的销售服务费, 〖O份额〗收取年化〖0.20%〗的销售服务费, 〖P份额〗收取年化〖0.15%〗的销售服务费, 〖Q份额〗收取年化〖0.15%〗的销售服务费, 〖R份额〗收取年化〖0.10%〗的销售服务费, 〖S份额〗收取年化〖0.15%〗的销售服务费, 〖U份额〗收取年化〖0.20%〗的销售服务费, 〖V份额〗收取年化〖0.10%〗的销售服务费, 〖W份额〗收取年化〖0.30%〗的销售服务费, 〖X份额〗收取年化〖0.05%〗的销售服务费,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0.010</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〖E份额〗收取年化〖0.10%〗的固定管理费, 〖F份额〗收取年化〖0.05%〗的固定管理费, 〖G份额〗收取年化〖0.01%〗的固定管理费, 〖H份额〗收取年化〖0.05%〗的固定管理费, 〖I份额〗收取年化〖0.05%〗的固定管理费, 〖J份额〗收取年化〖0.05%〗的固定管理费, 〖K份额〗收取年化〖0.05%〗的固定管理费, 〖L份额〗收取年化〖0.02%〗的固定管理费, 〖M份额〗收取年化〖0.05%〗的固定管理费, 〖N份额〗收取年化〖0.05%〗的固定管理费, 〖O份额〗收取年化〖0.05%〗的固定管理费, 〖P份额〗收取年化〖0.05%〗的固定管理费, 〖Q份额〗收取年化〖0.05%〗的固定管理费, 〖R份额〗收取年化〖0.05%〗的固定管理费, 〖S份额〗收取年化〖0.04%〗的固定管理费, 〖U份额〗收取年化〖0.05%〗的固定管理费, 〖V份额〗收取年化〖0.05%〗的固定管理费, 〖W份额〗收取年化〖0.05%〗的固定管理费, 〖X份额〗收取年化〖0.05%〗的固定管理费, 〖Y份额〗收取年化〖0.05%〗的固定管理费,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折合年化收益率超过〖业绩比较基准上限〗的部分，管理人提取〖80%〗作为浮动管理费；〖O份额〗到期日（提前终止日）的折合年化收益率在〖业绩比较基准下限（含）至业绩比较基准中枢（含）〗的部分，管理人提取〖50%〗作为浮动管理费，在折合年化收益率超过〖业绩比较基准中枢〗的部分，管理人提取〖60%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bookmarkStart w:id="0" w:name="_GoBack"/>
      <w:bookmarkEnd w:id="0"/>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徽商银行股份有限公司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安徽省合肥市云谷路1699号徽银大厦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J份额〗、〖K份额〗、〖L份额〗、〖M份额〗、〖O份额〗、〖P份额〗、〖Q份额〗、〖V份额〗、〖X份额〗和销售服务费于产品成立日一次性收取的〖N份额〗、〖R份额〗、〖S份额〗、〖U份额〗、〖W份额〗、〖Y份额〗、〖Z份额〗。A份额的年化销售服务费率为〖0.30%〗, B份额的年化销售服务费率为〖0.20%〗, C份额的年化销售服务费率为〖0.10%〗, D份额的年化销售服务费率为〖0.15%〗, E份额的年化销售服务费率为〖0.40%〗, F份额的年化销售服务费率为〖0.25%〗, G份额的年化销售服务费率为〖0.01%〗, H份额的年化销售服务费率为〖0.20%〗, I份额的年化销售服务费率为〖0.30%〗, J份额的年化销售服务费率为〖0.05%〗, K份额的年化销售服务费率为〖0.30%〗, L份额的年化销售服务费率为〖0.13%〗, M份额的年化销售服务费率为〖0.15%〗, N份额的年化销售服务费率为〖0.20%〗, O份额的年化销售服务费率为〖0.20%〗, P份额的年化销售服务费率为〖0.15%〗, Q份额的年化销售服务费率为〖0.15%〗, R份额的年化销售服务费率为〖0.10%〗, S份额的年化销售服务费率为〖0.15%〗, U份额的年化销售服务费率为〖0.20%〗, V份额的年化销售服务费率为〖0.10%〗, W份额的年化销售服务费率为〖0.30%〗, X份额的年化销售服务费率为〖0.05%〗,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0.010</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A份额的年化固定管理费率为〖0.05%〗, B份额的年化固定管理费率为〖0.05%〗, C份额的年化固定管理费率为〖0.05%〗, D份额的年化固定管理费率为〖0.05%〗, E份额的年化固定管理费率为〖0.10%〗, F份额的年化固定管理费率为〖0.05%〗, G份额的年化固定管理费率为〖0.01%〗, H份额的年化固定管理费率为〖0.05%〗, I份额的年化固定管理费率为〖0.05%〗, J份额的年化固定管理费率为〖0.05%〗, K份额的年化固定管理费率为〖0.05%〗, L份额的年化固定管理费率为〖0.02%〗, M份额的年化固定管理费率为〖0.05%〗, N份额的年化固定管理费率为〖0.05%〗, O份额的年化固定管理费率为〖0.05%〗, P份额的年化固定管理费率为〖0.05%〗, Q份额的年化固定管理费率为〖0.05%〗, R份额的年化固定管理费率为〖0.05%〗, S份额的年化固定管理费率为〖0.04%〗, U份额的年化固定管理费率为〖0.05%〗, V份额的年化固定管理费率为〖0.05%〗, W份额的年化固定管理费率为〖0.05%〗, X份额的年化固定管理费率为〖0.05%〗, Y份额的年化固定管理费率为〖0.05%〗,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60E2590"/>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D570A11"/>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C9A3F"/>
    <w:rsid w:val="751974A1"/>
    <w:rsid w:val="754B7B14"/>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E7F7BE9"/>
    <w:rsid w:val="7F5F887D"/>
    <w:rsid w:val="7F9FC635"/>
    <w:rsid w:val="7FCC7D05"/>
    <w:rsid w:val="7FD78006"/>
    <w:rsid w:val="7FEF42B8"/>
    <w:rsid w:val="7FEFE414"/>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59</Pages>
  <Words>38640</Words>
  <Characters>41626</Characters>
  <Lines>1</Lines>
  <Paragraphs>1</Paragraphs>
  <TotalTime>2</TotalTime>
  <ScaleCrop>false</ScaleCrop>
  <LinksUpToDate>false</LinksUpToDate>
  <CharactersWithSpaces>42133</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Administrator</dc:creator>
  <cp:lastModifiedBy>hccb</cp:lastModifiedBy>
  <dcterms:modified xsi:type="dcterms:W3CDTF">2025-12-18T07:05:20Z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