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24"/>
      <w:bookmarkStart w:id="1" w:name="_Toc123112263"/>
      <w:bookmarkStart w:id="2" w:name="_Toc139992301"/>
      <w:bookmarkStart w:id="3" w:name="_Toc123701383"/>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64"/>
      <w:bookmarkStart w:id="6" w:name="_Toc123701384"/>
      <w:bookmarkStart w:id="7" w:name="_Toc139992302"/>
      <w:bookmarkStart w:id="8" w:name="_Toc123112225"/>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【2026】年【1】月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701386"/>
      <w:bookmarkStart w:id="12" w:name="_Toc123112227"/>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41703880"/>
      <w:bookmarkStart w:id="15" w:name="_Toc8727"/>
      <w:bookmarkStart w:id="16" w:name="_Toc123112229"/>
      <w:bookmarkStart w:id="17" w:name="_Toc15517"/>
      <w:bookmarkStart w:id="18" w:name="_Toc139991730"/>
      <w:bookmarkStart w:id="19" w:name="_Toc29629"/>
      <w:bookmarkStart w:id="20" w:name="_Toc6306"/>
      <w:bookmarkStart w:id="21" w:name="_Toc23386"/>
      <w:bookmarkStart w:id="22" w:name="_Toc26897"/>
      <w:bookmarkStart w:id="23" w:name="_Toc123112268"/>
      <w:bookmarkStart w:id="24" w:name="_Toc4867"/>
      <w:bookmarkStart w:id="25" w:name="_Toc32639"/>
      <w:bookmarkStart w:id="26" w:name="_Toc30935"/>
      <w:bookmarkStart w:id="27" w:name="_Toc123701389"/>
      <w:bookmarkStart w:id="28" w:name="_Toc496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9592"/>
      <w:bookmarkStart w:id="33" w:name="_Toc21301"/>
      <w:bookmarkStart w:id="34" w:name="_Toc258829399"/>
      <w:bookmarkStart w:id="35" w:name="_Toc24860"/>
      <w:bookmarkStart w:id="36" w:name="_Toc15067"/>
      <w:bookmarkStart w:id="37" w:name="_Toc13020"/>
      <w:bookmarkStart w:id="38" w:name="_Toc22864"/>
      <w:bookmarkStart w:id="39" w:name="_Toc2465"/>
      <w:bookmarkStart w:id="40" w:name="_Toc6617"/>
      <w:bookmarkStart w:id="41" w:name="_Toc819"/>
      <w:bookmarkStart w:id="42" w:name="_Toc3224"/>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733"/>
      <w:bookmarkStart w:id="48" w:name="_Toc6149"/>
      <w:bookmarkStart w:id="49" w:name="_Toc6683"/>
      <w:bookmarkStart w:id="50" w:name="_Toc22708"/>
      <w:bookmarkStart w:id="51" w:name="_Toc13288"/>
      <w:bookmarkStart w:id="52" w:name="_Toc18631"/>
      <w:bookmarkStart w:id="53" w:name="_Toc20318"/>
      <w:bookmarkStart w:id="54" w:name="_Toc20627"/>
      <w:bookmarkStart w:id="55" w:name="_Toc74065740"/>
      <w:bookmarkStart w:id="56" w:name="_Toc545"/>
      <w:bookmarkStart w:id="57" w:name="_Toc24571"/>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w:t>
      </w:r>
      <w:r>
        <w:rPr>
          <w:rFonts w:hint="eastAsia" w:ascii="黑体" w:hAnsi="黑体" w:eastAsia="黑体" w:cs="Times New Roman"/>
          <w:b/>
          <w:bCs/>
          <w:sz w:val="44"/>
          <w:szCs w:val="44"/>
          <w:lang w:val="en-US" w:eastAsia="zh-CN"/>
        </w:rPr>
        <w:t>稳利安盈封闭式固收类</w:t>
      </w:r>
      <w:r>
        <w:rPr>
          <w:rFonts w:hint="eastAsia" w:ascii="黑体" w:hAnsi="黑体" w:eastAsia="黑体" w:cs="Times New Roman"/>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【2026】年【1】月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【兴银理财稳利安盈封闭式2026年68期固收类理财产品】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eastAsia" w:ascii="宋体" w:hAnsi="宋体" w:eastAsia="宋体" w:cs="宋体"/>
                <w:bCs/>
                <w:kern w:val="2"/>
                <w:sz w:val="18"/>
                <w:szCs w:val="18"/>
                <w:lang w:val="en-US" w:eastAsia="zh-CN" w:bidi="ar"/>
              </w:rPr>
              <w:t>【兴银稳利安盈26年68期D】 (适用【D】类份额)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Z7002026000008</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【9A260680】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eastAsia" w:ascii="宋体" w:hAnsi="宋体" w:eastAsia="宋体" w:cs="宋体"/>
                <w:bCs/>
                <w:color w:val="000000"/>
                <w:kern w:val="2"/>
                <w:sz w:val="18"/>
                <w:szCs w:val="18"/>
                <w:lang w:val="en-US" w:eastAsia="zh-CN" w:bidi="ar"/>
              </w:rPr>
              <w:t>【9A26068D】 (适用【D】类份额)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r>
              <w:rPr>
                <w:rFonts w:hint="eastAsia" w:ascii="宋体" w:hAnsi="宋体" w:eastAsia="宋体" w:cs="宋体"/>
                <w:bCs/>
                <w:color w:val="000000"/>
                <w:kern w:val="2"/>
                <w:sz w:val="18"/>
                <w:szCs w:val="18"/>
                <w:lang w:val="en-US" w:eastAsia="zh-CN" w:bidi="ar"/>
              </w:rPr>
              <w:t>(适用【D】类份额)</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中国工商银行股份有限公司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15</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■有固定期限:【146天】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【2026年01月22日】【09:00】至【2026年01月28日】【17:00】。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【2026年01月29日】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【2026年06月24日】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eastAsia" w:ascii="宋体" w:hAnsi="宋体" w:eastAsia="宋体" w:cs="宋体"/>
                <w:sz w:val="18"/>
                <w:szCs w:val="18"/>
                <w:lang w:val="en-US" w:eastAsia="zh-CN"/>
              </w:rPr>
              <w:t>每笔购买起点金额为【1】元; 超出起点金额的部分以【0.01】元的整数倍递增。（适用【D】类份额)
</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（2）产品存续期间，单一投资者最高持有份额上限为【/】份，符合产品管理人流动性管理的稳定资金除外。（适用【D】类份额)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（2）业绩比较基准的设定：管理人对本产品设定业绩比较基准：年化【1.65%-2.65%】。（适用【D】类份额)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业绩报酬计提基准的设定：管理人对本产品设定业绩报酬计提基准：年化【2.15%】。（适用【D】类份额)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（1）认购费：【/】。（适用【D】类份额）</w:t>
            </w:r>
            <w:r>
              <w:rPr>
                <w:rFonts w:hint="default" w:ascii="黑体" w:hAnsi="黑体" w:eastAsia="黑体" w:cs="黑体"/>
                <w:sz w:val="18"/>
                <w:szCs w:val="22"/>
              </w:rPr>
              <w:br w:type="textWrapping"/>
            </w:r>
            <w:r>
              <w:rPr>
                <w:rFonts w:hint="default" w:ascii="黑体" w:hAnsi="黑体" w:eastAsia="黑体" w:cs="黑体"/>
                <w:sz w:val="18"/>
                <w:szCs w:val="22"/>
              </w:rPr>
              <w:t>（2）销售服务费：年化费率【0.2%】。（适用【D】类份额）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（4）产品托管费：年化费率【0.02%】</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27226"/>
      <w:bookmarkStart w:id="78" w:name="_Toc79154668"/>
      <w:bookmarkStart w:id="79" w:name="_Toc29948"/>
      <w:bookmarkStart w:id="80" w:name="_Toc3266"/>
      <w:bookmarkStart w:id="81" w:name="_Toc27189"/>
      <w:bookmarkStart w:id="82" w:name="_Toc7151"/>
      <w:bookmarkStart w:id="83" w:name="_Toc74065741"/>
      <w:bookmarkStart w:id="84" w:name="_Toc16265"/>
      <w:bookmarkStart w:id="85" w:name="_Toc29784"/>
      <w:bookmarkStart w:id="86" w:name="_Toc22074"/>
      <w:bookmarkStart w:id="87" w:name="_Toc15203"/>
      <w:bookmarkStart w:id="88" w:name="_Toc90742688"/>
      <w:bookmarkStart w:id="89" w:name="_Toc90742390"/>
      <w:bookmarkStart w:id="90" w:name="_Toc90742321"/>
      <w:bookmarkStart w:id="91" w:name="_Toc6714"/>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sz w:val="18"/>
          <w:szCs w:val="22"/>
        </w:rPr>
      </w:pPr>
      <w:r>
        <w:rPr>
          <w:rFonts w:ascii="宋体" w:hAnsi="宋体" w:eastAsia="宋体" w:cs="宋体"/>
          <w:sz w:val="18"/>
          <w:szCs w:val="22"/>
        </w:rPr>
        <w:t>【（1）银行存款、债券逆回购、货币基金等货币市场工具及其它银行间和交易所资金融通工具；</w:t>
      </w:r>
    </w:p>
    <w:p>
      <w:pPr>
        <w:autoSpaceDE w:val="0"/>
        <w:autoSpaceDN w:val="0"/>
        <w:adjustRightInd w:val="0"/>
        <w:spacing w:line="360" w:lineRule="auto"/>
        <w:ind w:firstLine="540" w:firstLineChars="300"/>
        <w:jc w:val="left"/>
        <w:rPr>
          <w:rFonts w:ascii="宋体" w:hAnsi="宋体" w:eastAsia="宋体" w:cs="宋体"/>
          <w:bCs/>
          <w:sz w:val="18"/>
          <w:szCs w:val="18"/>
        </w:rPr>
      </w:pPr>
      <w:r>
        <w:rPr>
          <w:rFonts w:ascii="宋体" w:hAnsi="宋体" w:eastAsia="宋体" w:cs="宋体"/>
          <w:sz w:val="18"/>
          <w:szCs w:val="22"/>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3）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（4）其他风险不高于前述资产的资产。】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left="537" w:leftChars="170" w:hanging="180" w:hangingChars="100"/>
        <w:jc w:val="left"/>
        <w:rPr>
          <w:rFonts w:hint="eastAsia" w:ascii="宋体" w:hAnsi="宋体" w:eastAsia="宋体" w:cs="宋体"/>
          <w:bCs/>
          <w:kern w:val="0"/>
          <w:sz w:val="18"/>
          <w:szCs w:val="18"/>
        </w:rPr>
      </w:pPr>
      <w:r>
        <w:rPr>
          <w:rFonts w:ascii="宋体" w:hAnsi="宋体" w:eastAsia="宋体" w:cs="宋体"/>
          <w:sz w:val="18"/>
          <w:szCs w:val="22"/>
        </w:rPr>
        <w:t>【（1）本产品投资于债权类资产的比例不低于产品总资产的80%。</w:t>
      </w:r>
      <w:r>
        <w:rPr>
          <w:rFonts w:ascii="宋体" w:hAnsi="宋体" w:eastAsia="宋体" w:cs="宋体"/>
          <w:sz w:val="18"/>
          <w:szCs w:val="22"/>
        </w:rPr>
        <w:br w:type="textWrapping"/>
      </w:r>
      <w:r>
        <w:rPr>
          <w:rFonts w:ascii="宋体" w:hAnsi="宋体" w:eastAsia="宋体" w:cs="宋体"/>
          <w:sz w:val="18"/>
          <w:szCs w:val="22"/>
        </w:rPr>
        <w:t>（2）投资于同业存单及存款类资产的比例不低于产品净资产的50%。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（1）每只公募理财产品投资单只证券或者单只公募证券投资基金的市值不得超过该理财产品净资产的10%。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（2）全部公募理财产品持有单只证券或单只公募证券投资基金的市值，不得超过该证券市值或该公募证券投资基金市值的30%。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（3）全部理财产品持有单一上市公司发行的股票，不得超过该上市公司可流通股票的30%。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 xml:space="preserve">（4）全部开放式公募理财产品投资单一上市公司发行的股票不得超过该上市公司可流通股票的15%。 </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（5）本产品因为流动性需要可开展存单质押、债券正回购等融资业务，本产品总资产不超过净资产的200%。</w:t>
      </w:r>
      <w:r>
        <w:rPr>
          <w:rFonts w:ascii="宋体" w:hAnsi="宋体" w:eastAsia="宋体" w:cs="宋体"/>
          <w:sz w:val="18"/>
          <w:szCs w:val="22"/>
        </w:rPr>
        <w:br w:type="textWrapping"/>
      </w:r>
      <w:r>
        <w:rPr>
          <w:rFonts w:hint="eastAsia" w:ascii="宋体" w:hAnsi="宋体" w:cs="宋体"/>
          <w:sz w:val="18"/>
          <w:szCs w:val="22"/>
          <w:lang w:val="en-US" w:eastAsia="zh-CN"/>
        </w:rPr>
        <w:t xml:space="preserve">    </w:t>
      </w:r>
      <w:r>
        <w:rPr>
          <w:rFonts w:ascii="宋体" w:hAnsi="宋体" w:eastAsia="宋体" w:cs="宋体"/>
          <w:sz w:val="18"/>
          <w:szCs w:val="22"/>
        </w:rPr>
        <w:t>（6）本产品投资于信用债券、银行存款的信用评级均不得低于AA+。</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产品采取绝对收益策略，追求资产长期稳定增值。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79154669"/>
      <w:bookmarkStart w:id="94" w:name="_Toc18797"/>
      <w:bookmarkStart w:id="95" w:name="_Toc17912"/>
      <w:bookmarkStart w:id="96" w:name="_Toc4741"/>
      <w:bookmarkStart w:id="97" w:name="_Toc18526"/>
      <w:bookmarkStart w:id="98" w:name="_Toc21988"/>
      <w:bookmarkStart w:id="99" w:name="_Toc74065742"/>
      <w:bookmarkStart w:id="100" w:name="_Toc176189758"/>
      <w:bookmarkStart w:id="101" w:name="_Toc7848"/>
      <w:bookmarkStart w:id="102" w:name="_Toc18329"/>
      <w:bookmarkStart w:id="103" w:name="_Toc1823"/>
      <w:bookmarkStart w:id="104" w:name="_Toc141703885"/>
      <w:bookmarkStart w:id="105" w:name="_Toc139991735"/>
      <w:bookmarkStart w:id="106" w:name="_Toc26986"/>
      <w:bookmarkStart w:id="107" w:name="_Toc14893"/>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98560352"/>
      <w:bookmarkStart w:id="110" w:name="_Toc139991736"/>
      <w:bookmarkStart w:id="111" w:name="_Toc48649707"/>
      <w:bookmarkStart w:id="112" w:name="_Toc4003"/>
      <w:bookmarkStart w:id="113" w:name="_Toc1427"/>
      <w:bookmarkStart w:id="114" w:name="_Toc17244"/>
      <w:bookmarkStart w:id="115" w:name="_Toc23822"/>
      <w:bookmarkStart w:id="116" w:name="_Toc176189759"/>
      <w:bookmarkStart w:id="117" w:name="_Toc23261"/>
      <w:bookmarkStart w:id="118" w:name="_Toc7920"/>
      <w:bookmarkStart w:id="119" w:name="_Toc123051452"/>
      <w:bookmarkStart w:id="120" w:name="_Toc74065743"/>
      <w:bookmarkStart w:id="121" w:name="_Toc123102453"/>
      <w:bookmarkStart w:id="122" w:name="_Toc20733"/>
      <w:bookmarkStart w:id="123" w:name="_Toc10463"/>
      <w:bookmarkStart w:id="124" w:name="_Toc610"/>
      <w:bookmarkStart w:id="125" w:name="_Toc141703886"/>
      <w:bookmarkStart w:id="126" w:name="_Toc79392606"/>
      <w:bookmarkStart w:id="127" w:name="_Toc79154670"/>
      <w:bookmarkStart w:id="128" w:name="_Toc123112234"/>
      <w:bookmarkStart w:id="129" w:name="_Toc12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23102454"/>
      <w:bookmarkStart w:id="132" w:name="_Toc15143"/>
      <w:bookmarkStart w:id="133" w:name="_Toc176189760"/>
      <w:bookmarkStart w:id="134" w:name="_Toc14835"/>
      <w:bookmarkStart w:id="135" w:name="_Toc74065744"/>
      <w:bookmarkStart w:id="136" w:name="_Toc3601"/>
      <w:bookmarkStart w:id="137" w:name="_Toc139991737"/>
      <w:bookmarkStart w:id="138" w:name="_Toc123051453"/>
      <w:bookmarkStart w:id="139" w:name="_Toc26207"/>
      <w:bookmarkStart w:id="140" w:name="_Toc123112235"/>
      <w:bookmarkStart w:id="141" w:name="_Toc98560353"/>
      <w:bookmarkStart w:id="142" w:name="_Toc31644"/>
      <w:bookmarkStart w:id="143" w:name="_Toc6405"/>
      <w:bookmarkStart w:id="144" w:name="_Toc31235"/>
      <w:bookmarkStart w:id="145" w:name="_Toc79154671"/>
      <w:bookmarkStart w:id="146" w:name="_Toc29251"/>
      <w:bookmarkStart w:id="147" w:name="_Toc141703887"/>
      <w:bookmarkStart w:id="148" w:name="_Toc12245"/>
      <w:bookmarkStart w:id="149" w:name="_Toc3165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523711668"/>
      <w:bookmarkStart w:id="153" w:name="_Toc15118234"/>
      <w:bookmarkStart w:id="154" w:name="_Toc79392580"/>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25783"/>
      <w:bookmarkStart w:id="158" w:name="_Toc79154672"/>
      <w:bookmarkStart w:id="159" w:name="_Toc139991738"/>
      <w:bookmarkStart w:id="160" w:name="_Toc98560354"/>
      <w:bookmarkStart w:id="161" w:name="_Toc6447"/>
      <w:bookmarkStart w:id="162" w:name="_Toc3771"/>
      <w:bookmarkStart w:id="163" w:name="_Toc123051454"/>
      <w:bookmarkStart w:id="164" w:name="_Toc10650"/>
      <w:bookmarkStart w:id="165" w:name="_Toc141703888"/>
      <w:bookmarkStart w:id="166" w:name="_Toc123112236"/>
      <w:bookmarkStart w:id="167" w:name="_Toc4559"/>
      <w:bookmarkStart w:id="168" w:name="_Toc18567"/>
      <w:bookmarkStart w:id="169" w:name="_Toc176189761"/>
      <w:bookmarkStart w:id="170" w:name="_Toc3321"/>
      <w:bookmarkStart w:id="171" w:name="_Toc123102455"/>
      <w:bookmarkStart w:id="172" w:name="_Toc7058"/>
      <w:bookmarkStart w:id="173" w:name="_Toc79392583"/>
      <w:bookmarkStart w:id="174" w:name="_Toc11030"/>
      <w:bookmarkStart w:id="175" w:name="_Toc9706"/>
      <w:bookmarkStart w:id="176" w:name="_Toc74065745"/>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23102456"/>
      <w:bookmarkStart w:id="180" w:name="_Toc139991739"/>
      <w:bookmarkStart w:id="181" w:name="_Toc3572"/>
      <w:bookmarkStart w:id="182" w:name="_Toc79154673"/>
      <w:bookmarkStart w:id="183" w:name="_Toc725"/>
      <w:bookmarkStart w:id="184" w:name="_Toc123112237"/>
      <w:bookmarkStart w:id="185" w:name="_Toc16164"/>
      <w:bookmarkStart w:id="186" w:name="_Toc141703889"/>
      <w:bookmarkStart w:id="187" w:name="_Toc18206"/>
      <w:bookmarkStart w:id="188" w:name="_Toc123051455"/>
      <w:bookmarkStart w:id="189" w:name="_Toc3080"/>
      <w:bookmarkStart w:id="190" w:name="_Toc10398"/>
      <w:bookmarkStart w:id="191" w:name="_Toc74065746"/>
      <w:bookmarkStart w:id="192" w:name="_Toc98560355"/>
      <w:bookmarkStart w:id="193" w:name="_Toc31821"/>
      <w:bookmarkStart w:id="194" w:name="_Toc21735"/>
      <w:bookmarkStart w:id="195" w:name="_Toc176189762"/>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79392593"/>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7920"/>
      <w:bookmarkStart w:id="200" w:name="_Toc176189763"/>
      <w:bookmarkStart w:id="201" w:name="_Toc739"/>
      <w:bookmarkStart w:id="202" w:name="_Toc98560356"/>
      <w:bookmarkStart w:id="203" w:name="_Toc8791"/>
      <w:bookmarkStart w:id="204" w:name="_Toc17198"/>
      <w:bookmarkStart w:id="205" w:name="_Toc123051456"/>
      <w:bookmarkStart w:id="206" w:name="_Toc79392622"/>
      <w:bookmarkStart w:id="207" w:name="_Toc141703890"/>
      <w:bookmarkStart w:id="208" w:name="_Toc5170"/>
      <w:bookmarkStart w:id="209" w:name="_Toc48649708"/>
      <w:bookmarkStart w:id="210" w:name="_Toc29408"/>
      <w:bookmarkStart w:id="211" w:name="_Toc3329"/>
      <w:bookmarkStart w:id="212" w:name="_Toc32092"/>
      <w:bookmarkStart w:id="213" w:name="_Toc79154674"/>
      <w:bookmarkStart w:id="214" w:name="_Toc21237"/>
      <w:bookmarkStart w:id="215" w:name="_Toc139991740"/>
      <w:bookmarkStart w:id="216" w:name="_Toc74065747"/>
      <w:bookmarkStart w:id="217" w:name="_Toc123112238"/>
      <w:bookmarkStart w:id="218" w:name="_Toc32584"/>
      <w:bookmarkStart w:id="219" w:name="_Toc123102457"/>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w:t>
      </w:r>
      <w:r>
        <w:rPr>
          <w:rFonts w:hint="eastAsia" w:ascii="黑体" w:hAnsi="黑体" w:eastAsia="黑体" w:cs="宋体"/>
          <w:b/>
          <w:sz w:val="28"/>
          <w:szCs w:val="28"/>
          <w:lang w:eastAsia="zh-CN"/>
        </w:rPr>
        <w:t>安盈</w:t>
      </w:r>
      <w:r>
        <w:rPr>
          <w:rFonts w:hint="eastAsia" w:ascii="黑体" w:hAnsi="黑体" w:eastAsia="黑体" w:cs="宋体"/>
          <w:b/>
          <w:sz w:val="28"/>
          <w:szCs w:val="28"/>
        </w:rPr>
        <w:t>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w:t>
      </w:r>
      <w:r>
        <w:rPr>
          <w:rFonts w:hint="eastAsia" w:ascii="黑体" w:hAnsi="黑体" w:eastAsia="黑体" w:cs="宋体"/>
          <w:b/>
          <w:bCs/>
          <w:sz w:val="28"/>
          <w:szCs w:val="28"/>
          <w:lang w:eastAsia="zh-CN"/>
        </w:rPr>
        <w:t>安盈</w:t>
      </w:r>
      <w:r>
        <w:rPr>
          <w:rFonts w:hint="eastAsia" w:ascii="黑体" w:hAnsi="黑体" w:eastAsia="黑体" w:cs="宋体"/>
          <w:b/>
          <w:bCs/>
          <w:sz w:val="28"/>
          <w:szCs w:val="28"/>
        </w:rPr>
        <w:t>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【兴银理财稳利安盈封闭式2026年68期固收类理财产品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cs="仿宋_GB2312"/>
          <w:kern w:val="0"/>
          <w:sz w:val="18"/>
          <w:szCs w:val="18"/>
        </w:rPr>
        <w:t>【兴银稳利安盈26年68期D】 (适用【D】类份额)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Z7002026000008</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■有固定期限:【146天】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】（产品管理人定义的产品风险评级为【R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】；代理销售机构定义的产品风险评级为【R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 xml:space="preserve">销售机构（【 </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eastAsia="zh-CN"/>
        </w:rPr>
        <w:t>安盈</w:t>
      </w:r>
      <w:r>
        <w:rPr>
          <w:rStyle w:val="10"/>
          <w:rFonts w:hint="eastAsia" w:ascii="黑体" w:hAnsi="黑体" w:eastAsia="黑体" w:cstheme="minorBidi"/>
          <w:sz w:val="28"/>
          <w:szCs w:val="28"/>
        </w:rPr>
        <w:t>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eastAsia="zh-CN"/>
        </w:rPr>
        <w:t>安盈</w:t>
      </w:r>
      <w:r>
        <w:rPr>
          <w:rStyle w:val="10"/>
          <w:rFonts w:hint="eastAsia" w:ascii="黑体" w:hAnsi="黑体" w:eastAsia="黑体" w:cstheme="minorBidi"/>
          <w:sz w:val="28"/>
          <w:szCs w:val="28"/>
        </w:rPr>
        <w:t>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9E2B62"/>
    <w:rsid w:val="1E6620E4"/>
    <w:rsid w:val="2BBE5BA7"/>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68</Pages>
  <Words>43905</Words>
  <Characters>44639</Characters>
  <Lines>0</Lines>
  <Paragraphs>0</Paragraphs>
  <TotalTime>0</TotalTime>
  <ScaleCrop>false</ScaleCrop>
  <LinksUpToDate>false</LinksUpToDate>
  <CharactersWithSpaces>45195</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2026-01-20T07:08:48Z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9C8E23B5CF01462197113AC28BBF296E</vt:lpwstr>
  </property>
</Properties>
</file>