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701383"/>
      <w:bookmarkStart w:id="1" w:name="_Toc123112224"/>
      <w:bookmarkStart w:id="2" w:name="_Toc139991726"/>
      <w:bookmarkStart w:id="3" w:name="_Toc123112263"/>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39992302"/>
      <w:bookmarkStart w:id="7" w:name="_Toc123112225"/>
      <w:bookmarkStart w:id="8" w:name="_Toc12370138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66"/>
      <w:bookmarkStart w:id="12" w:name="_Toc123112227"/>
      <w:bookmarkStart w:id="13" w:name="_Toc139991729"/>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【兴银理财稳利安盈封闭式2026年454期固收类理财产品】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【稳利安盈2026年454期A】 (适用【A】类份额)</w:t>
            </w:r>
            <w:r>
              <w:rPr>
                <w:rFonts w:ascii="宋体" w:hAnsi="宋体" w:eastAsia="宋体" w:cs="宋体"/>
                <w:sz w:val="18"/>
              </w:rPr>
              <w:br w:type="textWrapping"/>
            </w:r>
            <w:r>
              <w:rPr>
                <w:rFonts w:ascii="宋体" w:hAnsi="宋体" w:eastAsia="宋体" w:cs="宋体"/>
                <w:sz w:val="18"/>
              </w:rPr>
              <w:t>【稳利安盈2026年454期B】 (适用【B】类份额)</w:t>
            </w:r>
            <w:r>
              <w:rPr>
                <w:rFonts w:ascii="宋体" w:hAnsi="宋体" w:eastAsia="宋体" w:cs="宋体"/>
                <w:sz w:val="18"/>
              </w:rPr>
              <w:br w:type="textWrapping"/>
            </w:r>
            <w:r>
              <w:rPr>
                <w:rFonts w:ascii="宋体" w:hAnsi="宋体" w:eastAsia="宋体" w:cs="宋体"/>
                <w:sz w:val="18"/>
              </w:rPr>
              <w:t>【稳利安盈2026年454期C】 (适用【C】类份额)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Z7002025002017</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【9A264540】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【9A26454A】 (适用【A】类份额)</w:t>
            </w:r>
            <w:r>
              <w:rPr>
                <w:rFonts w:ascii="宋体" w:hAnsi="宋体" w:eastAsia="宋体" w:cs="宋体"/>
                <w:sz w:val="18"/>
              </w:rPr>
              <w:br w:type="textWrapping"/>
            </w:r>
            <w:r>
              <w:rPr>
                <w:rFonts w:ascii="宋体" w:hAnsi="宋体" w:eastAsia="宋体" w:cs="宋体"/>
                <w:sz w:val="18"/>
              </w:rPr>
              <w:t>【9A26454B】 (适用【B】类份额)</w:t>
            </w:r>
            <w:r>
              <w:rPr>
                <w:rFonts w:ascii="宋体" w:hAnsi="宋体" w:eastAsia="宋体" w:cs="宋体"/>
                <w:sz w:val="18"/>
              </w:rPr>
              <w:br w:type="textWrapping"/>
            </w:r>
            <w:r>
              <w:rPr>
                <w:rFonts w:ascii="宋体" w:hAnsi="宋体" w:eastAsia="宋体" w:cs="宋体"/>
                <w:sz w:val="18"/>
              </w:rPr>
              <w:t>【9A26454C】 (适用【C】类份额)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32639"/>
      <w:bookmarkStart w:id="15" w:name="_Toc15517"/>
      <w:bookmarkStart w:id="16" w:name="_Toc8727"/>
      <w:bookmarkStart w:id="17" w:name="_Toc4966"/>
      <w:bookmarkStart w:id="18" w:name="_Toc29629"/>
      <w:bookmarkStart w:id="19" w:name="_Toc4867"/>
      <w:bookmarkStart w:id="20" w:name="_Toc6306"/>
      <w:bookmarkStart w:id="21" w:name="_Toc23386"/>
      <w:bookmarkStart w:id="22" w:name="_Toc141703880"/>
      <w:bookmarkStart w:id="23" w:name="_Toc123112229"/>
      <w:bookmarkStart w:id="24" w:name="_Toc139991730"/>
      <w:bookmarkStart w:id="25" w:name="_Toc123112268"/>
      <w:bookmarkStart w:id="26" w:name="_Toc30935"/>
      <w:bookmarkStart w:id="27" w:name="_Toc26897"/>
      <w:bookmarkStart w:id="28" w:name="_Toc12370138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9592"/>
      <w:bookmarkStart w:id="33" w:name="_Toc6617"/>
      <w:bookmarkStart w:id="34" w:name="_Toc24860"/>
      <w:bookmarkStart w:id="35" w:name="_Toc15067"/>
      <w:bookmarkStart w:id="36" w:name="_Toc3224"/>
      <w:bookmarkStart w:id="37" w:name="_Toc2465"/>
      <w:bookmarkStart w:id="38" w:name="_Toc13020"/>
      <w:bookmarkStart w:id="39" w:name="_Toc258829399"/>
      <w:bookmarkStart w:id="40" w:name="_Toc22864"/>
      <w:bookmarkStart w:id="41" w:name="_Toc819"/>
      <w:bookmarkStart w:id="42" w:name="_Toc21301"/>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24571"/>
      <w:bookmarkStart w:id="49" w:name="_Toc22708"/>
      <w:bookmarkStart w:id="50" w:name="_Toc6149"/>
      <w:bookmarkStart w:id="51" w:name="_Toc20318"/>
      <w:bookmarkStart w:id="52" w:name="_Toc20627"/>
      <w:bookmarkStart w:id="53" w:name="_Toc545"/>
      <w:bookmarkStart w:id="54" w:name="_Toc733"/>
      <w:bookmarkStart w:id="55" w:name="_Toc74065740"/>
      <w:bookmarkStart w:id="56" w:name="_Toc13288"/>
      <w:bookmarkStart w:id="57" w:name="_Toc668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稳利安盈封闭式</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【兴银理财稳利安盈封闭式2026年454期固收类理财产品】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【稳利安盈2026年454期A】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【稳利安盈2026年454期B】 (适用【B】类份额)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【稳利安盈2026年454期C】 (适用【C】类份额)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Z7002025002017</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【9A264540】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【9A26454A】 (适用【A】类份额)</w:t>
            </w:r>
            <w:r>
              <w:rPr>
                <w:rFonts w:hint="default" w:ascii="宋体" w:hAnsi="宋体" w:eastAsia="宋体" w:cs="宋体"/>
                <w:sz w:val="18"/>
                <w:szCs w:val="22"/>
              </w:rPr>
              <w:br w:type="textWrapping"/>
            </w:r>
            <w:r>
              <w:rPr>
                <w:rFonts w:hint="default" w:ascii="宋体" w:hAnsi="宋体" w:eastAsia="宋体" w:cs="宋体"/>
                <w:sz w:val="18"/>
                <w:szCs w:val="22"/>
              </w:rPr>
              <w:t>【9A26454B】 (适用【B】类份额)</w:t>
            </w:r>
            <w:r>
              <w:rPr>
                <w:rFonts w:hint="default" w:ascii="宋体" w:hAnsi="宋体" w:eastAsia="宋体" w:cs="宋体"/>
                <w:sz w:val="18"/>
                <w:szCs w:val="22"/>
              </w:rPr>
              <w:br w:type="textWrapping"/>
            </w:r>
            <w:r>
              <w:rPr>
                <w:rFonts w:hint="default" w:ascii="宋体" w:hAnsi="宋体" w:eastAsia="宋体" w:cs="宋体"/>
                <w:sz w:val="18"/>
                <w:szCs w:val="22"/>
              </w:rPr>
              <w:t>【9A26454C】 (适用【C】类份额)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 R1、□ R2、□ R3、□ R4、□ R5</w:t>
            </w:r>
            <w:r>
              <w:rPr>
                <w:rFonts w:hint="eastAsia" w:ascii="黑体" w:hAnsi="黑体" w:eastAsia="黑体" w:cs="黑体"/>
                <w:bCs/>
                <w:sz w:val="18"/>
                <w:szCs w:val="18"/>
              </w:rPr>
              <w:t>】理财产品。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本产品适合以下类型投资者：(适用【A</w:t>
            </w:r>
            <w:r>
              <w:rPr>
                <w:rFonts w:hint="eastAsia" w:ascii="宋体" w:hAnsi="宋体" w:eastAsia="宋体" w:cs="宋体"/>
                <w:bCs/>
                <w:color w:val="000000"/>
                <w:sz w:val="18"/>
                <w:szCs w:val="18"/>
                <w:lang w:val="en-US" w:eastAsia="zh-CN"/>
              </w:rPr>
              <w:t>/B/C</w:t>
            </w:r>
            <w:r>
              <w:rPr>
                <w:rFonts w:hint="default" w:ascii="宋体" w:hAnsi="宋体" w:eastAsia="宋体" w:cs="宋体"/>
                <w:bCs/>
                <w:color w:val="000000"/>
                <w:sz w:val="18"/>
                <w:szCs w:val="18"/>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eastAsia" w:ascii="宋体" w:hAnsi="宋体" w:cs="宋体"/>
                <w:sz w:val="18"/>
                <w:szCs w:val="18"/>
              </w:rPr>
            </w:pPr>
            <w:r>
              <w:rPr>
                <w:rFonts w:hint="eastAsia" w:ascii="宋体" w:hAnsi="宋体" w:cs="宋体"/>
                <w:sz w:val="18"/>
                <w:szCs w:val="18"/>
              </w:rPr>
              <w:t>■</w:t>
            </w:r>
            <w:r>
              <w:rPr>
                <w:rFonts w:hint="eastAsia" w:ascii="宋体" w:hAnsi="宋体" w:cs="宋体"/>
                <w:sz w:val="18"/>
                <w:szCs w:val="18"/>
                <w:lang w:val="en-US" w:eastAsia="zh-CN"/>
              </w:rPr>
              <w:t xml:space="preserve"> </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rPr>
              <w:t>1.本产品计划初始募集规模为【</w:t>
            </w:r>
            <w:r>
              <w:rPr>
                <w:rFonts w:hint="eastAsia" w:ascii="宋体" w:hAnsi="宋体" w:eastAsia="宋体" w:cs="宋体"/>
                <w:bCs/>
                <w:sz w:val="18"/>
                <w:szCs w:val="18"/>
                <w:lang w:val="en-US" w:eastAsia="zh-CN"/>
              </w:rPr>
              <w:t>7</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■有固定期限:【118天】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lang w:val="en-US" w:eastAsia="zh-CN"/>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【2026年01月21日】【09:00】至【2026年01月28日】【17:00】。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【2026年01月29日】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【2026年05月27日】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年化【1.88%】。（适用【A】类份额)</w:t>
            </w:r>
            <w:r>
              <w:rPr>
                <w:rFonts w:hint="default" w:ascii="宋体" w:hAnsi="宋体" w:eastAsia="宋体" w:cs="宋体"/>
                <w:sz w:val="18"/>
                <w:szCs w:val="22"/>
              </w:rPr>
              <w:br w:type="textWrapping"/>
            </w:r>
            <w:r>
              <w:rPr>
                <w:rFonts w:hint="default" w:ascii="宋体" w:hAnsi="宋体" w:eastAsia="宋体" w:cs="宋体"/>
                <w:sz w:val="18"/>
                <w:szCs w:val="22"/>
              </w:rPr>
              <w:t>年化【1.88%】。（适用【B】类份额)</w:t>
            </w:r>
            <w:r>
              <w:rPr>
                <w:rFonts w:hint="default" w:ascii="宋体" w:hAnsi="宋体" w:eastAsia="宋体" w:cs="宋体"/>
                <w:sz w:val="18"/>
                <w:szCs w:val="22"/>
              </w:rPr>
              <w:br w:type="textWrapping"/>
            </w:r>
            <w:r>
              <w:rPr>
                <w:rFonts w:hint="default" w:ascii="宋体" w:hAnsi="宋体" w:eastAsia="宋体" w:cs="宋体"/>
                <w:sz w:val="18"/>
                <w:szCs w:val="22"/>
              </w:rPr>
              <w:t>年化【1.78%】。（适用【C】类份额)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年化【1.88%】。（适用【A】类份额)</w:t>
            </w:r>
            <w:r>
              <w:rPr>
                <w:rFonts w:hint="default" w:ascii="宋体" w:hAnsi="宋体" w:eastAsia="宋体" w:cs="宋体"/>
                <w:sz w:val="18"/>
                <w:szCs w:val="22"/>
              </w:rPr>
              <w:br w:type="textWrapping"/>
            </w:r>
            <w:r>
              <w:rPr>
                <w:rFonts w:hint="default" w:ascii="宋体" w:hAnsi="宋体" w:eastAsia="宋体" w:cs="宋体"/>
                <w:sz w:val="18"/>
                <w:szCs w:val="22"/>
              </w:rPr>
              <w:t>年化【1.88%】。（适用【B】类份额)</w:t>
            </w:r>
            <w:r>
              <w:rPr>
                <w:rFonts w:hint="default" w:ascii="宋体" w:hAnsi="宋体" w:eastAsia="宋体" w:cs="宋体"/>
                <w:sz w:val="18"/>
                <w:szCs w:val="22"/>
              </w:rPr>
              <w:br w:type="textWrapping"/>
            </w:r>
            <w:r>
              <w:rPr>
                <w:rFonts w:hint="default" w:ascii="宋体" w:hAnsi="宋体" w:eastAsia="宋体" w:cs="宋体"/>
                <w:sz w:val="18"/>
                <w:szCs w:val="22"/>
              </w:rPr>
              <w:t>年化【1.78%】。（适用【C】类份额)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黑体" w:hAnsi="黑体" w:eastAsia="黑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年化费率【0.15%】。（适用【C】类份额）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90742390"/>
      <w:bookmarkStart w:id="78" w:name="_Toc6714"/>
      <w:bookmarkStart w:id="79" w:name="_Toc22074"/>
      <w:bookmarkStart w:id="80" w:name="_Toc7151"/>
      <w:bookmarkStart w:id="81" w:name="_Toc29948"/>
      <w:bookmarkStart w:id="82" w:name="_Toc90742321"/>
      <w:bookmarkStart w:id="83" w:name="_Toc79154668"/>
      <w:bookmarkStart w:id="84" w:name="_Toc16265"/>
      <w:bookmarkStart w:id="85" w:name="_Toc90742688"/>
      <w:bookmarkStart w:id="86" w:name="_Toc74065741"/>
      <w:bookmarkStart w:id="87" w:name="_Toc29784"/>
      <w:bookmarkStart w:id="88" w:name="_Toc27226"/>
      <w:bookmarkStart w:id="89" w:name="_Toc15203"/>
      <w:bookmarkStart w:id="90" w:name="_Toc27189"/>
      <w:bookmarkStart w:id="91" w:name="_Toc32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（2）符合监管要求的非标准化债权类资产占产品净资产比例不高于50%。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（6）本产品投资于信用债券、银行存款、非标准化债权类资产融资人的信用评级均不得低于AA+。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848"/>
      <w:bookmarkStart w:id="94" w:name="_Toc4741"/>
      <w:bookmarkStart w:id="95" w:name="_Toc18329"/>
      <w:bookmarkStart w:id="96" w:name="_Toc14893"/>
      <w:bookmarkStart w:id="97" w:name="_Toc26986"/>
      <w:bookmarkStart w:id="98" w:name="_Toc176189758"/>
      <w:bookmarkStart w:id="99" w:name="_Toc74065742"/>
      <w:bookmarkStart w:id="100" w:name="_Toc79154669"/>
      <w:bookmarkStart w:id="101" w:name="_Toc141703885"/>
      <w:bookmarkStart w:id="102" w:name="_Toc18526"/>
      <w:bookmarkStart w:id="103" w:name="_Toc21988"/>
      <w:bookmarkStart w:id="104" w:name="_Toc18797"/>
      <w:bookmarkStart w:id="105" w:name="_Toc17912"/>
      <w:bookmarkStart w:id="106" w:name="_Toc1823"/>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39991736"/>
      <w:bookmarkStart w:id="110" w:name="_Toc1270"/>
      <w:bookmarkStart w:id="111" w:name="_Toc141703886"/>
      <w:bookmarkStart w:id="112" w:name="_Toc98560352"/>
      <w:bookmarkStart w:id="113" w:name="_Toc610"/>
      <w:bookmarkStart w:id="114" w:name="_Toc48649707"/>
      <w:bookmarkStart w:id="115" w:name="_Toc1427"/>
      <w:bookmarkStart w:id="116" w:name="_Toc176189759"/>
      <w:bookmarkStart w:id="117" w:name="_Toc10463"/>
      <w:bookmarkStart w:id="118" w:name="_Toc4003"/>
      <w:bookmarkStart w:id="119" w:name="_Toc123051452"/>
      <w:bookmarkStart w:id="120" w:name="_Toc20733"/>
      <w:bookmarkStart w:id="121" w:name="_Toc79154670"/>
      <w:bookmarkStart w:id="122" w:name="_Toc74065743"/>
      <w:bookmarkStart w:id="123" w:name="_Toc123102453"/>
      <w:bookmarkStart w:id="124" w:name="_Toc7920"/>
      <w:bookmarkStart w:id="125" w:name="_Toc23822"/>
      <w:bookmarkStart w:id="126" w:name="_Toc123112234"/>
      <w:bookmarkStart w:id="127" w:name="_Toc79392606"/>
      <w:bookmarkStart w:id="128" w:name="_Toc17244"/>
      <w:bookmarkStart w:id="129" w:name="_Toc23261"/>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835"/>
      <w:bookmarkStart w:id="132" w:name="_Toc29251"/>
      <w:bookmarkStart w:id="133" w:name="_Toc123112235"/>
      <w:bookmarkStart w:id="134" w:name="_Toc31653"/>
      <w:bookmarkStart w:id="135" w:name="_Toc15143"/>
      <w:bookmarkStart w:id="136" w:name="_Toc139991737"/>
      <w:bookmarkStart w:id="137" w:name="_Toc74065744"/>
      <w:bookmarkStart w:id="138" w:name="_Toc26207"/>
      <w:bookmarkStart w:id="139" w:name="_Toc79154671"/>
      <w:bookmarkStart w:id="140" w:name="_Toc6405"/>
      <w:bookmarkStart w:id="141" w:name="_Toc123051453"/>
      <w:bookmarkStart w:id="142" w:name="_Toc3601"/>
      <w:bookmarkStart w:id="143" w:name="_Toc12245"/>
      <w:bookmarkStart w:id="144" w:name="_Toc98560353"/>
      <w:bookmarkStart w:id="145" w:name="_Toc123102454"/>
      <w:bookmarkStart w:id="146" w:name="_Toc176189760"/>
      <w:bookmarkStart w:id="147" w:name="_Toc31235"/>
      <w:bookmarkStart w:id="148" w:name="_Toc31644"/>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79392580"/>
      <w:bookmarkStart w:id="153" w:name="_Toc523711668"/>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0650"/>
      <w:bookmarkStart w:id="158" w:name="_Toc18567"/>
      <w:bookmarkStart w:id="159" w:name="_Toc123112236"/>
      <w:bookmarkStart w:id="160" w:name="_Toc141703888"/>
      <w:bookmarkStart w:id="161" w:name="_Toc9706"/>
      <w:bookmarkStart w:id="162" w:name="_Toc6447"/>
      <w:bookmarkStart w:id="163" w:name="_Toc176189761"/>
      <w:bookmarkStart w:id="164" w:name="_Toc98560354"/>
      <w:bookmarkStart w:id="165" w:name="_Toc11030"/>
      <w:bookmarkStart w:id="166" w:name="_Toc79392583"/>
      <w:bookmarkStart w:id="167" w:name="_Toc7058"/>
      <w:bookmarkStart w:id="168" w:name="_Toc25783"/>
      <w:bookmarkStart w:id="169" w:name="_Toc139991738"/>
      <w:bookmarkStart w:id="170" w:name="_Toc123102455"/>
      <w:bookmarkStart w:id="171" w:name="_Toc3321"/>
      <w:bookmarkStart w:id="172" w:name="_Toc3771"/>
      <w:bookmarkStart w:id="173" w:name="_Toc123051454"/>
      <w:bookmarkStart w:id="174" w:name="_Toc79154672"/>
      <w:bookmarkStart w:id="175" w:name="_Toc4559"/>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  </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pPr>
        <w:widowControl w:val="0"/>
        <w:autoSpaceDE w:val="0"/>
        <w:autoSpaceDN w:val="0"/>
        <w:adjustRightInd w:val="0"/>
        <w:spacing w:line="360" w:lineRule="auto"/>
        <w:ind w:firstLine="361" w:firstLineChars="200"/>
        <w:rPr>
          <w:rFonts w:hint="eastAsia" w:ascii="黑体" w:hAnsi="黑体" w:eastAsia="黑体" w:cs="黑体"/>
          <w:b/>
          <w:bCs/>
          <w:color w:val="auto"/>
          <w:kern w:val="2"/>
          <w:sz w:val="18"/>
          <w:szCs w:val="18"/>
          <w:lang w:val="en-US" w:eastAsia="zh-CN" w:bidi="ar-SA"/>
        </w:rPr>
      </w:pP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pPr>
        <w:widowControl/>
        <w:spacing w:line="360" w:lineRule="auto"/>
        <w:ind w:firstLine="360" w:firstLineChars="200"/>
        <w:jc w:val="left"/>
        <w:rPr>
          <w:rFonts w:hint="eastAsia" w:ascii="黑体" w:hAnsi="黑体" w:eastAsia="黑体" w:cs="黑体"/>
          <w:sz w:val="18"/>
          <w:szCs w:val="18"/>
        </w:rPr>
      </w:pP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051455"/>
      <w:bookmarkStart w:id="180" w:name="_Toc31821"/>
      <w:bookmarkStart w:id="181" w:name="_Toc79154673"/>
      <w:bookmarkStart w:id="182" w:name="_Toc123102456"/>
      <w:bookmarkStart w:id="183" w:name="_Toc725"/>
      <w:bookmarkStart w:id="184" w:name="_Toc3572"/>
      <w:bookmarkStart w:id="185" w:name="_Toc98560355"/>
      <w:bookmarkStart w:id="186" w:name="_Toc123112237"/>
      <w:bookmarkStart w:id="187" w:name="_Toc141703889"/>
      <w:bookmarkStart w:id="188" w:name="_Toc10398"/>
      <w:bookmarkStart w:id="189" w:name="_Toc21735"/>
      <w:bookmarkStart w:id="190" w:name="_Toc3080"/>
      <w:bookmarkStart w:id="191" w:name="_Toc18206"/>
      <w:bookmarkStart w:id="192" w:name="_Toc16164"/>
      <w:bookmarkStart w:id="193" w:name="_Toc139991739"/>
      <w:bookmarkStart w:id="194" w:name="_Toc74065746"/>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8791"/>
      <w:bookmarkStart w:id="200" w:name="_Toc123051456"/>
      <w:bookmarkStart w:id="201" w:name="_Toc29408"/>
      <w:bookmarkStart w:id="202" w:name="_Toc123112238"/>
      <w:bookmarkStart w:id="203" w:name="_Toc17920"/>
      <w:bookmarkStart w:id="204" w:name="_Toc123102457"/>
      <w:bookmarkStart w:id="205" w:name="_Toc17198"/>
      <w:bookmarkStart w:id="206" w:name="_Toc48649708"/>
      <w:bookmarkStart w:id="207" w:name="_Toc141703890"/>
      <w:bookmarkStart w:id="208" w:name="_Toc739"/>
      <w:bookmarkStart w:id="209" w:name="_Toc74065747"/>
      <w:bookmarkStart w:id="210" w:name="_Toc79392622"/>
      <w:bookmarkStart w:id="211" w:name="_Toc5170"/>
      <w:bookmarkStart w:id="212" w:name="_Toc98560356"/>
      <w:bookmarkStart w:id="213" w:name="_Toc79154674"/>
      <w:bookmarkStart w:id="214" w:name="_Toc21237"/>
      <w:bookmarkStart w:id="215" w:name="_Toc3329"/>
      <w:bookmarkStart w:id="216" w:name="_Toc139991740"/>
      <w:bookmarkStart w:id="217" w:name="_Toc176189763"/>
      <w:bookmarkStart w:id="218" w:name="_Toc32092"/>
      <w:bookmarkStart w:id="219" w:name="_Toc3258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bookmarkStart w:id="222" w:name="_GoBack"/>
            <w:bookmarkEnd w:id="222"/>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【兴银理财稳利安盈封闭式2026年454期固收类理财产品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销售名称：【稳利安盈2026年454期A】 (适用【A】类份额)</w:t>
      </w:r>
      <w:r>
        <w:rPr>
          <w:rFonts w:ascii="宋体" w:hAnsi="宋体" w:eastAsia="宋体" w:cs="宋体"/>
          <w:sz w:val="18"/>
          <w:szCs w:val="22"/>
        </w:rPr>
        <w:br w:type="textWrapping"/>
      </w:r>
      <w:r>
        <w:rPr>
          <w:rFonts w:ascii="宋体" w:hAnsi="宋体" w:eastAsia="宋体" w:cs="宋体"/>
          <w:sz w:val="18"/>
          <w:szCs w:val="22"/>
        </w:rPr>
        <w:t xml:space="preserve">     【稳利安盈2026年454期B】 (适用【B】类份额)</w:t>
      </w:r>
      <w:r>
        <w:rPr>
          <w:rFonts w:ascii="宋体" w:hAnsi="宋体" w:eastAsia="宋体" w:cs="宋体"/>
          <w:sz w:val="18"/>
          <w:szCs w:val="22"/>
        </w:rPr>
        <w:br w:type="textWrapping"/>
      </w:r>
      <w:r>
        <w:rPr>
          <w:rFonts w:ascii="宋体" w:hAnsi="宋体" w:eastAsia="宋体" w:cs="宋体"/>
          <w:sz w:val="18"/>
          <w:szCs w:val="22"/>
        </w:rPr>
        <w:t xml:space="preserve">     【稳利安盈2026年454期C】 (适用【C】类份额)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Z7002025002017</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【■有固定期限:【118天】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lang w:eastAsia="zh-CN"/>
        </w:rPr>
        <w:t>。</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宋体" w:hAnsi="宋体"/>
          <w:sz w:val="18"/>
          <w:szCs w:val="18"/>
          <w:lang w:val="en-US" w:eastAsia="zh-CN"/>
        </w:rPr>
        <w:t xml:space="preserve"> </w:t>
      </w:r>
      <w:r>
        <w:rPr>
          <w:rFonts w:hint="eastAsia" w:ascii="宋体" w:hAnsi="宋体"/>
          <w:sz w:val="18"/>
          <w:szCs w:val="18"/>
        </w:rPr>
        <w:t>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 C1、□C2、□ C3、□ C4、□ C5】</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14"/>
        <w:gridCol w:w="28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R1</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产品结构简单，所投资资产综合风险很低，产品具有很高流动性。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R2</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产品结构简单，所投资资产综合风险较低。</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R3</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产品结构简单，所投资资产综合风险中等。</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R4</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产品结构较简单，所投资资产综合风险较高。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R5</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产品结构较复杂或所投资资产综合风险高。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C5及以上</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80216"/>
    <w:rsid w:val="2BBE5BA7"/>
    <w:rsid w:val="43875933"/>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45265</Words>
  <Characters>46165</Characters>
  <Lines>0</Lines>
  <Paragraphs>0</Paragraphs>
  <TotalTime>1</TotalTime>
  <ScaleCrop>false</ScaleCrop>
  <LinksUpToDate>false</LinksUpToDate>
  <CharactersWithSpaces>46680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2026-01-19T06:50:11Z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6837E8B45ED54282A4EEB87C4AA88FB4</vt:lpwstr>
  </property>
</Properties>
</file>