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2026GW037D</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lang w:val="en-US" w:eastAsia="zh-CN"/>
        </w:rPr>
        <w:t>93</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ascii="仿宋" w:hAnsi="仿宋" w:eastAsia="仿宋"/>
          <w:b/>
          <w:kern w:val="0"/>
          <w:sz w:val="32"/>
          <w:szCs w:val="32"/>
          <w:highlight w:val="none"/>
        </w:rPr>
      </w:pPr>
      <w:r>
        <w:rPr>
          <w:rFonts w:hint="eastAsia" w:ascii="仿宋" w:hAnsi="仿宋" w:eastAsia="仿宋"/>
          <w:b/>
          <w:kern w:val="0"/>
          <w:sz w:val="32"/>
          <w:szCs w:val="32"/>
          <w:highlight w:val="none"/>
          <w:lang w:val="en-US" w:eastAsia="zh-CN"/>
        </w:rPr>
        <w:t>2026年港湾财富37期</w:t>
      </w:r>
      <w:r>
        <w:rPr>
          <w:rFonts w:hint="eastAsia" w:ascii="仿宋" w:hAnsi="仿宋" w:eastAsia="仿宋"/>
          <w:b/>
          <w:kern w:val="0"/>
          <w:sz w:val="32"/>
          <w:szCs w:val="32"/>
          <w:highlight w:val="none"/>
        </w:rPr>
        <w:t>封闭式净值型理财</w:t>
      </w:r>
      <w:r>
        <w:rPr>
          <w:rFonts w:ascii="仿宋" w:hAnsi="仿宋" w:eastAsia="仿宋"/>
          <w:b/>
          <w:kern w:val="0"/>
          <w:sz w:val="32"/>
          <w:szCs w:val="32"/>
          <w:highlight w:val="none"/>
        </w:rPr>
        <w:t>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36"/>
        <w:gridCol w:w="49"/>
        <w:gridCol w:w="1454"/>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2026港湾财富37期-D</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2026GW037D</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C1080326000035</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8"/>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lang w:eastAsia="zh-CN"/>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元，天津银行有权根据实际情况进行调整，本产品最终发行规模以实际发行金额为准。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w:t>
            </w:r>
            <w:r>
              <w:rPr>
                <w:rFonts w:hint="eastAsia" w:ascii="仿宋_GB2312" w:hAnsi="仿宋_GB2312" w:eastAsia="仿宋_GB2312" w:cs="仿宋_GB2312"/>
                <w:bCs/>
                <w:sz w:val="21"/>
                <w:szCs w:val="21"/>
                <w:highlight w:val="none"/>
                <w:lang w:val="en-US" w:eastAsia="zh-CN"/>
              </w:rPr>
              <w:t>,</w:t>
            </w:r>
            <w:r>
              <w:rPr>
                <w:rFonts w:hint="eastAsia" w:ascii="仿宋_GB2312" w:hAnsi="仿宋_GB2312" w:eastAsia="仿宋_GB2312" w:cs="仿宋_GB2312"/>
                <w:bCs/>
                <w:sz w:val="21"/>
                <w:szCs w:val="21"/>
                <w:highlight w:val="none"/>
              </w:rPr>
              <w:t>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overflowPunct/>
              <w:topLinePunct w:val="0"/>
              <w:bidi w:val="0"/>
              <w:snapToGrid/>
              <w:spacing w:line="320" w:lineRule="exact"/>
              <w:textAlignment w:val="auto"/>
              <w:outlineLvl w:val="9"/>
              <w:rPr>
                <w:rFonts w:hint="eastAsia" w:ascii="仿宋" w:hAnsi="仿宋" w:eastAsia="仿宋"/>
                <w:bCs/>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7"/>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2026年2月3日起至2026年2月9日止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183"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2026年2月10日</w:t>
            </w:r>
          </w:p>
        </w:tc>
        <w:tc>
          <w:tcPr>
            <w:tcW w:w="1503"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172" w:type="dxa"/>
            <w:vAlign w:val="center"/>
          </w:tcPr>
          <w:p>
            <w:pPr>
              <w:keepNext w:val="0"/>
              <w:keepLines w:val="0"/>
              <w:pageBreakBefore w:val="0"/>
              <w:kinsoku/>
              <w:overflowPunct/>
              <w:topLinePunct w:val="0"/>
              <w:bidi w:val="0"/>
              <w:snapToGrid/>
              <w:spacing w:line="320" w:lineRule="exact"/>
              <w:ind w:firstLine="420" w:firstLineChars="0"/>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2026年5月14日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93</w:t>
            </w:r>
            <w:r>
              <w:rPr>
                <w:rFonts w:hint="eastAsia" w:ascii="仿宋_GB2312" w:hAnsi="仿宋_GB2312" w:eastAsia="仿宋_GB2312" w:cs="仿宋_GB2312"/>
                <w:sz w:val="21"/>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产品到期日或提前终止日至理财资金返还到账日之间，最迟不超过</w:t>
            </w:r>
            <w:r>
              <w:rPr>
                <w:rFonts w:hint="eastAsia" w:ascii="仿宋_GB2312" w:hAnsi="仿宋_GB2312" w:eastAsia="仿宋_GB2312" w:cs="仿宋_GB2312"/>
                <w:bCs/>
                <w:sz w:val="21"/>
                <w:szCs w:val="21"/>
                <w:highlight w:val="none"/>
                <w:lang w:val="en-US" w:eastAsia="zh-CN"/>
              </w:rPr>
              <w:t>两</w:t>
            </w:r>
            <w:r>
              <w:rPr>
                <w:rFonts w:hint="eastAsia" w:ascii="仿宋_GB2312" w:hAnsi="仿宋_GB2312" w:eastAsia="仿宋_GB2312" w:cs="仿宋_GB2312"/>
                <w:bCs/>
                <w:sz w:val="21"/>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8"/>
            <w:vAlign w:val="center"/>
          </w:tcPr>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8"/>
            <w:vAlign w:val="center"/>
          </w:tcPr>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投资比例：固定收益类资产、货币市场工具以及以前述资产为投资标的的金融产品占比80%-100%，权益类及其他资产占比0%-20%。本产品杠杆水平上限为200%。</w:t>
            </w:r>
          </w:p>
          <w:p>
            <w:pPr>
              <w:pStyle w:val="23"/>
              <w:keepNext w:val="0"/>
              <w:keepLines w:val="0"/>
              <w:pageBreakBefore w:val="0"/>
              <w:numPr>
                <w:ilvl w:val="0"/>
                <w:numId w:val="2"/>
              </w:numPr>
              <w:kinsoku/>
              <w:overflowPunct/>
              <w:topLinePunct w:val="0"/>
              <w:bidi w:val="0"/>
              <w:snapToGrid/>
              <w:spacing w:line="320" w:lineRule="exact"/>
              <w:ind w:left="0"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投资团队为：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1.99%-2.49%</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
                <w:bCs w:val="0"/>
                <w:color w:val="000000"/>
                <w:sz w:val="21"/>
                <w:szCs w:val="21"/>
                <w:highlight w:val="none"/>
                <w:lang w:val="en-US" w:eastAsia="zh-CN"/>
              </w:rPr>
              <w:t>年化</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w:t>
            </w:r>
            <w:r>
              <w:rPr>
                <w:rFonts w:hint="eastAsia" w:ascii="仿宋_GB2312" w:hAnsi="仿宋_GB2312" w:eastAsia="仿宋_GB2312" w:cs="仿宋_GB2312"/>
                <w:sz w:val="21"/>
                <w:szCs w:val="21"/>
                <w:highlight w:val="none"/>
              </w:rPr>
              <w:t xml:space="preserve">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1.005070</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1.005070</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/93</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1.99%</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1.005070</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50.70</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1.006344</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1.006344-</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93</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2.49%</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1.006344</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63.44（</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销售机构</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val="en-US" w:eastAsia="zh-CN"/>
              </w:rPr>
              <w:t>招商银行天津分行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天津市河西区广东路255号前进道9号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kern w:val="0"/>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eastAsia="zh-CN"/>
              </w:rPr>
              <w:t>一</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eastAsia="zh-CN"/>
              </w:rPr>
              <w:t>两</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val="0"/>
                <w:sz w:val="21"/>
                <w:szCs w:val="21"/>
                <w:highlight w:val="none"/>
              </w:rPr>
              <w:t>净值公告：产品成立后，我行将于每</w:t>
            </w:r>
            <w:r>
              <w:rPr>
                <w:rFonts w:hint="eastAsia" w:ascii="仿宋_GB2312" w:hAnsi="仿宋_GB2312" w:eastAsia="仿宋_GB2312" w:cs="仿宋_GB2312"/>
                <w:b/>
                <w:bCs w:val="0"/>
                <w:sz w:val="21"/>
                <w:szCs w:val="21"/>
                <w:highlight w:val="none"/>
                <w:lang w:eastAsia="zh-CN"/>
              </w:rPr>
              <w:t>周</w:t>
            </w:r>
            <w:r>
              <w:rPr>
                <w:rFonts w:hint="eastAsia" w:ascii="仿宋_GB2312" w:hAnsi="仿宋_GB2312" w:eastAsia="仿宋_GB2312" w:cs="仿宋_GB2312"/>
                <w:b/>
                <w:bCs w:val="0"/>
                <w:sz w:val="21"/>
                <w:szCs w:val="21"/>
                <w:highlight w:val="none"/>
              </w:rPr>
              <w:t>前</w:t>
            </w:r>
            <w:r>
              <w:rPr>
                <w:rFonts w:hint="eastAsia" w:ascii="仿宋_GB2312" w:hAnsi="仿宋_GB2312" w:eastAsia="仿宋_GB2312" w:cs="仿宋_GB2312"/>
                <w:b/>
                <w:bCs w:val="0"/>
                <w:sz w:val="21"/>
                <w:szCs w:val="21"/>
                <w:highlight w:val="none"/>
                <w:lang w:val="en-US" w:eastAsia="zh-CN"/>
              </w:rPr>
              <w:t>2</w:t>
            </w:r>
            <w:r>
              <w:rPr>
                <w:rFonts w:hint="eastAsia" w:ascii="仿宋_GB2312" w:hAnsi="仿宋_GB2312" w:eastAsia="仿宋_GB2312" w:cs="仿宋_GB2312"/>
                <w:b/>
                <w:bCs w:val="0"/>
                <w:sz w:val="21"/>
                <w:szCs w:val="21"/>
                <w:highlight w:val="none"/>
              </w:rPr>
              <w:t>个工作日内披露截至上周最后一个工作日的资产净值和份额净值。产品到期或提前终止后，在产品到期日或提前终止日（遇节假日顺延至下一工作日）后的</w:t>
            </w:r>
            <w:r>
              <w:rPr>
                <w:rFonts w:hint="eastAsia" w:ascii="仿宋_GB2312" w:hAnsi="仿宋_GB2312" w:eastAsia="仿宋_GB2312" w:cs="仿宋_GB2312"/>
                <w:b/>
                <w:bCs w:val="0"/>
                <w:sz w:val="21"/>
                <w:szCs w:val="21"/>
                <w:highlight w:val="none"/>
                <w:lang w:val="en-US" w:eastAsia="zh-CN"/>
              </w:rPr>
              <w:t>5</w:t>
            </w:r>
            <w:r>
              <w:rPr>
                <w:rFonts w:hint="eastAsia" w:ascii="仿宋_GB2312" w:hAnsi="仿宋_GB2312" w:eastAsia="仿宋_GB2312" w:cs="仿宋_GB2312"/>
                <w:b/>
                <w:bCs w:val="0"/>
                <w:sz w:val="21"/>
                <w:szCs w:val="21"/>
                <w:highlight w:val="none"/>
              </w:rPr>
              <w:t>个工作日内披露产品到期或提前终止的资产净值和份额净值。信息披露渠道包括我行官方网站、手机银行、网上银行。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4．天津银行将通过官方网站、网银、手机银行或其他天津银行认为适当的方式披露投资者持有的理财产品份额、认购金额、单位净值、累计净值、资产净值、收益情况、理财交易账户发生的交易明细等信息。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（1）理财产品所投资资产对投资者权益或投资收益等产生重大影响的突发事件；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（2）金融市场发生重大变化导致理财产品投资比例暂时超出浮动区间且可能对理财产品收益产生重大影响的。</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6．临时性信息披露，包括但不限于如下事件：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（1）如本产品需延期清算，将最迟于到期日后5个工作日内在官方网站或营业网点等渠道发布相关信息公告。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7．客户不得利用金融产品和服务从事违法活动。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sz w:val="21"/>
                <w:szCs w:val="21"/>
                <w:highlight w:val="none"/>
              </w:rPr>
              <w:t>8．客户如对本产品有任何建议、意见或投诉，请拨打我行24小时客户服务热线956056咨询。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bCs/>
                <w:sz w:val="24"/>
                <w:szCs w:val="24"/>
                <w:highlight w:val="none"/>
              </w:rPr>
            </w:pPr>
            <w:r>
              <w:rPr>
                <w:rFonts w:hint="eastAsia" w:ascii="仿宋" w:hAnsi="仿宋" w:eastAsia="仿宋"/>
                <w:b/>
                <w:bCs/>
                <w:sz w:val="24"/>
                <w:szCs w:val="24"/>
                <w:highlight w:val="none"/>
              </w:rPr>
              <w:t>特别提示</w:t>
            </w:r>
          </w:p>
        </w:tc>
        <w:tc>
          <w:tcPr>
            <w:tcW w:w="8457" w:type="dxa"/>
            <w:gridSpan w:val="8"/>
            <w:vAlign w:val="center"/>
          </w:tcPr>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sz w:val="21"/>
                <w:szCs w:val="21"/>
                <w:highlight w:val="none"/>
                <w:u w:val="singl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overflowPunct/>
        <w:topLinePunct w:val="0"/>
        <w:bidi w:val="0"/>
        <w:snapToGrid/>
        <w:spacing w:line="320" w:lineRule="exact"/>
        <w:textAlignment w:val="auto"/>
        <w:outlineLvl w:val="9"/>
        <w:rPr>
          <w:rFonts w:ascii="仿宋" w:hAnsi="仿宋" w:eastAsia="仿宋"/>
          <w:highlight w:val="none"/>
        </w:rPr>
      </w:pPr>
    </w:p>
    <w:p>
      <w:pPr>
        <w:keepNext w:val="0"/>
        <w:keepLines w:val="0"/>
        <w:pageBreakBefore w:val="0"/>
        <w:kinsoku/>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13B4A"/>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239305F"/>
    <w:rsid w:val="05CD556E"/>
    <w:rsid w:val="0B7324A8"/>
    <w:rsid w:val="0D23595D"/>
    <w:rsid w:val="0E063FDD"/>
    <w:rsid w:val="13A612A2"/>
    <w:rsid w:val="13CC5705"/>
    <w:rsid w:val="16143A7C"/>
    <w:rsid w:val="16180EE8"/>
    <w:rsid w:val="17090146"/>
    <w:rsid w:val="1C065959"/>
    <w:rsid w:val="1D660CF5"/>
    <w:rsid w:val="1D720133"/>
    <w:rsid w:val="1D8A6EDF"/>
    <w:rsid w:val="234575FE"/>
    <w:rsid w:val="25677144"/>
    <w:rsid w:val="25D41A73"/>
    <w:rsid w:val="25DF7AE3"/>
    <w:rsid w:val="264F10BC"/>
    <w:rsid w:val="2AA150E9"/>
    <w:rsid w:val="2BD47A9C"/>
    <w:rsid w:val="2C493E89"/>
    <w:rsid w:val="2D6A4F49"/>
    <w:rsid w:val="2F1C059E"/>
    <w:rsid w:val="2FE55345"/>
    <w:rsid w:val="31FD5A6D"/>
    <w:rsid w:val="32E42F36"/>
    <w:rsid w:val="335B7966"/>
    <w:rsid w:val="34952740"/>
    <w:rsid w:val="363C5475"/>
    <w:rsid w:val="370430CD"/>
    <w:rsid w:val="38352767"/>
    <w:rsid w:val="3B443D22"/>
    <w:rsid w:val="3C6B1A51"/>
    <w:rsid w:val="3DCF37C7"/>
    <w:rsid w:val="3DF46815"/>
    <w:rsid w:val="3E06115B"/>
    <w:rsid w:val="3E220C2F"/>
    <w:rsid w:val="3E3A53EA"/>
    <w:rsid w:val="3E961DBD"/>
    <w:rsid w:val="42F8423C"/>
    <w:rsid w:val="43716876"/>
    <w:rsid w:val="44372B77"/>
    <w:rsid w:val="456F1295"/>
    <w:rsid w:val="4887254E"/>
    <w:rsid w:val="48996B2B"/>
    <w:rsid w:val="48CB35CB"/>
    <w:rsid w:val="4A182CE1"/>
    <w:rsid w:val="4B6B501D"/>
    <w:rsid w:val="4C377B63"/>
    <w:rsid w:val="4CCA4904"/>
    <w:rsid w:val="4E2F15F1"/>
    <w:rsid w:val="4EF22B42"/>
    <w:rsid w:val="51A523CF"/>
    <w:rsid w:val="536551A7"/>
    <w:rsid w:val="57410D47"/>
    <w:rsid w:val="58B54FCF"/>
    <w:rsid w:val="5B20243F"/>
    <w:rsid w:val="5B475F5C"/>
    <w:rsid w:val="5DBE44C2"/>
    <w:rsid w:val="60A409DC"/>
    <w:rsid w:val="62E35D01"/>
    <w:rsid w:val="635A151D"/>
    <w:rsid w:val="64850FAB"/>
    <w:rsid w:val="65EB6DE1"/>
    <w:rsid w:val="66594A2E"/>
    <w:rsid w:val="665E5751"/>
    <w:rsid w:val="66D62CF0"/>
    <w:rsid w:val="68CF42F3"/>
    <w:rsid w:val="69753D04"/>
    <w:rsid w:val="698B7B63"/>
    <w:rsid w:val="6AEA0F88"/>
    <w:rsid w:val="6C060EF4"/>
    <w:rsid w:val="6CCA3926"/>
    <w:rsid w:val="6D3C49A5"/>
    <w:rsid w:val="6D3D061D"/>
    <w:rsid w:val="6D836499"/>
    <w:rsid w:val="702C5ED4"/>
    <w:rsid w:val="723C39B6"/>
    <w:rsid w:val="73277304"/>
    <w:rsid w:val="77F570B1"/>
    <w:rsid w:val="7B75497C"/>
    <w:rsid w:val="7DD9244C"/>
    <w:rsid w:val="7E197C88"/>
    <w:rsid w:val="7EED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17949</Words>
  <Characters>18441</Characters>
  <Lines>34</Lines>
  <Paragraphs>9</Paragraphs>
  <ScaleCrop>false</ScaleCrop>
  <LinksUpToDate>false</LinksUpToDate>
  <CharactersWithSpaces>18790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2026-02-02T07:49:29Z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