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2301"/>
      <w:bookmarkStart w:id="2" w:name="_Toc123112263"/>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23112264"/>
      <w:bookmarkStart w:id="8" w:name="_Toc139991727"/>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3386"/>
      <w:bookmarkStart w:id="15" w:name="_Toc139991730"/>
      <w:bookmarkStart w:id="16" w:name="_Toc29629"/>
      <w:bookmarkStart w:id="17" w:name="_Toc15517"/>
      <w:bookmarkStart w:id="18" w:name="_Toc32639"/>
      <w:bookmarkStart w:id="19" w:name="_Toc123701389"/>
      <w:bookmarkStart w:id="20" w:name="_Toc8727"/>
      <w:bookmarkStart w:id="21" w:name="_Toc30935"/>
      <w:bookmarkStart w:id="22" w:name="_Toc4966"/>
      <w:bookmarkStart w:id="23" w:name="_Toc6306"/>
      <w:bookmarkStart w:id="24" w:name="_Toc123112268"/>
      <w:bookmarkStart w:id="25" w:name="_Toc123112229"/>
      <w:bookmarkStart w:id="26" w:name="_Toc26897"/>
      <w:bookmarkStart w:id="27" w:name="_Toc141703880"/>
      <w:bookmarkStart w:id="28" w:name="_Toc486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24860"/>
      <w:bookmarkStart w:id="34" w:name="_Toc2465"/>
      <w:bookmarkStart w:id="35" w:name="_Toc22864"/>
      <w:bookmarkStart w:id="36" w:name="_Toc21301"/>
      <w:bookmarkStart w:id="37" w:name="_Toc19592"/>
      <w:bookmarkStart w:id="38" w:name="_Toc6617"/>
      <w:bookmarkStart w:id="39" w:name="_Toc258829399"/>
      <w:bookmarkStart w:id="40" w:name="_Toc3224"/>
      <w:bookmarkStart w:id="41" w:name="_Toc819"/>
      <w:bookmarkStart w:id="42" w:name="_Toc13020"/>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545"/>
      <w:bookmarkStart w:id="49" w:name="_Toc18631"/>
      <w:bookmarkStart w:id="50" w:name="_Toc6149"/>
      <w:bookmarkStart w:id="51" w:name="_Toc20627"/>
      <w:bookmarkStart w:id="52" w:name="_Toc20318"/>
      <w:bookmarkStart w:id="53" w:name="_Toc6683"/>
      <w:bookmarkStart w:id="54" w:name="_Toc733"/>
      <w:bookmarkStart w:id="55" w:name="_Toc74065740"/>
      <w:bookmarkStart w:id="56" w:name="_Toc24571"/>
      <w:bookmarkStart w:id="57" w:name="_Toc2270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稳利安盈封闭式固收类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【兴银理财稳利安盈封闭式2026年9期固收类理财产品】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【稳利安盈封闭式2026年9期A】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【稳利安盈封闭式2026年9期B】 (适用【B】类份额)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【稳利安盈封闭式2026年9期C】 (适用【C】类份额)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【稳利安盈封闭式2026年9期D】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Z7002025002211</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【9A260090】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【9A26009A】 (适用【A】类份额)</w:t>
            </w:r>
            <w:r>
              <w:rPr>
                <w:rFonts w:hint="default" w:ascii="宋体" w:hAnsi="宋体" w:eastAsia="宋体" w:cs="宋体"/>
                <w:sz w:val="18"/>
                <w:szCs w:val="22"/>
              </w:rPr>
              <w:br w:type="textWrapping"/>
            </w:r>
            <w:r>
              <w:rPr>
                <w:rFonts w:hint="default" w:ascii="宋体" w:hAnsi="宋体" w:eastAsia="宋体" w:cs="宋体"/>
                <w:sz w:val="18"/>
                <w:szCs w:val="22"/>
              </w:rPr>
              <w:t>【9A26009B】 (适用【B】类份额)</w:t>
            </w:r>
            <w:r>
              <w:rPr>
                <w:rFonts w:hint="default" w:ascii="宋体" w:hAnsi="宋体" w:eastAsia="宋体" w:cs="宋体"/>
                <w:sz w:val="18"/>
                <w:szCs w:val="22"/>
              </w:rPr>
              <w:br w:type="textWrapping"/>
            </w:r>
            <w:r>
              <w:rPr>
                <w:rFonts w:hint="default" w:ascii="宋体" w:hAnsi="宋体" w:eastAsia="宋体" w:cs="宋体"/>
                <w:sz w:val="18"/>
                <w:szCs w:val="22"/>
              </w:rPr>
              <w:t>【9A26009C】 (适用【C】类份额)</w:t>
            </w:r>
            <w:r>
              <w:rPr>
                <w:rFonts w:hint="default" w:ascii="宋体" w:hAnsi="宋体" w:eastAsia="宋体" w:cs="宋体"/>
                <w:sz w:val="18"/>
                <w:szCs w:val="22"/>
              </w:rPr>
              <w:br w:type="textWrapping"/>
            </w:r>
            <w:r>
              <w:rPr>
                <w:rFonts w:hint="default" w:ascii="宋体" w:hAnsi="宋体" w:eastAsia="宋体" w:cs="宋体"/>
                <w:sz w:val="18"/>
                <w:szCs w:val="22"/>
              </w:rPr>
              <w:t>【9A26009D】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10</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■有固定期限:【113天】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【2026年02月25日】【09:00】至【2026年03月04日】【17:00】。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【2026年03月05日】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【2026年06月26日】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年化【1.8%-2.1%】。（适用【A】类份额)</w:t>
            </w:r>
            <w:r>
              <w:rPr>
                <w:rFonts w:hint="default" w:ascii="宋体" w:hAnsi="宋体" w:eastAsia="宋体" w:cs="宋体"/>
                <w:sz w:val="18"/>
                <w:szCs w:val="22"/>
              </w:rPr>
              <w:br w:type="textWrapping"/>
            </w:r>
            <w:r>
              <w:rPr>
                <w:rFonts w:hint="default" w:ascii="宋体" w:hAnsi="宋体" w:eastAsia="宋体" w:cs="宋体"/>
                <w:sz w:val="18"/>
                <w:szCs w:val="22"/>
              </w:rPr>
              <w:t>年化【1.7%-2%】。（适用【B】类份额)</w:t>
            </w:r>
            <w:r>
              <w:rPr>
                <w:rFonts w:hint="default" w:ascii="宋体" w:hAnsi="宋体" w:eastAsia="宋体" w:cs="宋体"/>
                <w:sz w:val="18"/>
                <w:szCs w:val="22"/>
              </w:rPr>
              <w:br w:type="textWrapping"/>
            </w:r>
            <w:r>
              <w:rPr>
                <w:rFonts w:hint="default" w:ascii="宋体" w:hAnsi="宋体" w:eastAsia="宋体" w:cs="宋体"/>
                <w:sz w:val="18"/>
                <w:szCs w:val="22"/>
              </w:rPr>
              <w:t>年化【1.75%-2.05%】。（适用【C】类份额)</w:t>
            </w:r>
            <w:r>
              <w:rPr>
                <w:rFonts w:hint="default" w:ascii="宋体" w:hAnsi="宋体" w:eastAsia="宋体" w:cs="宋体"/>
                <w:sz w:val="18"/>
                <w:szCs w:val="22"/>
              </w:rPr>
              <w:br w:type="textWrapping"/>
            </w:r>
            <w:r>
              <w:rPr>
                <w:rFonts w:hint="default" w:ascii="宋体" w:hAnsi="宋体" w:eastAsia="宋体" w:cs="宋体"/>
                <w:sz w:val="18"/>
                <w:szCs w:val="22"/>
              </w:rPr>
              <w:t>年化【1.65%-1.95%】。（适用【D】类份额)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年化【1.95%】。（适用【A】类份额)</w:t>
            </w:r>
            <w:r>
              <w:rPr>
                <w:rFonts w:hint="default" w:ascii="宋体" w:hAnsi="宋体" w:eastAsia="宋体" w:cs="宋体"/>
                <w:sz w:val="18"/>
                <w:szCs w:val="22"/>
              </w:rPr>
              <w:br w:type="textWrapping"/>
            </w:r>
            <w:r>
              <w:rPr>
                <w:rFonts w:hint="default" w:ascii="宋体" w:hAnsi="宋体" w:eastAsia="宋体" w:cs="宋体"/>
                <w:sz w:val="18"/>
                <w:szCs w:val="22"/>
              </w:rPr>
              <w:t>年化【1.85%】。（适用【B】类份额)</w:t>
            </w:r>
            <w:r>
              <w:rPr>
                <w:rFonts w:hint="default" w:ascii="宋体" w:hAnsi="宋体" w:eastAsia="宋体" w:cs="宋体"/>
                <w:sz w:val="18"/>
                <w:szCs w:val="22"/>
              </w:rPr>
              <w:br w:type="textWrapping"/>
            </w:r>
            <w:r>
              <w:rPr>
                <w:rFonts w:hint="default" w:ascii="宋体" w:hAnsi="宋体" w:eastAsia="宋体" w:cs="宋体"/>
                <w:sz w:val="18"/>
                <w:szCs w:val="22"/>
              </w:rPr>
              <w:t>年化【1.9%】。（适用【C】类份额)</w:t>
            </w:r>
            <w:r>
              <w:rPr>
                <w:rFonts w:hint="default" w:ascii="宋体" w:hAnsi="宋体" w:eastAsia="宋体" w:cs="宋体"/>
                <w:sz w:val="18"/>
                <w:szCs w:val="22"/>
              </w:rPr>
              <w:br w:type="textWrapping"/>
            </w:r>
            <w:r>
              <w:rPr>
                <w:rFonts w:hint="default" w:ascii="宋体" w:hAnsi="宋体" w:eastAsia="宋体" w:cs="宋体"/>
                <w:sz w:val="18"/>
                <w:szCs w:val="22"/>
              </w:rPr>
              <w:t>年化【1.8%】。（适用【D】类份额)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年化费率【0.2%】。（适用【D】类份额）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27189"/>
      <w:bookmarkStart w:id="78" w:name="_Toc90742390"/>
      <w:bookmarkStart w:id="79" w:name="_Toc79154668"/>
      <w:bookmarkStart w:id="80" w:name="_Toc90742688"/>
      <w:bookmarkStart w:id="81" w:name="_Toc6714"/>
      <w:bookmarkStart w:id="82" w:name="_Toc22074"/>
      <w:bookmarkStart w:id="83" w:name="_Toc7151"/>
      <w:bookmarkStart w:id="84" w:name="_Toc74065741"/>
      <w:bookmarkStart w:id="85" w:name="_Toc15203"/>
      <w:bookmarkStart w:id="86" w:name="_Toc27226"/>
      <w:bookmarkStart w:id="87" w:name="_Toc29784"/>
      <w:bookmarkStart w:id="88" w:name="_Toc3266"/>
      <w:bookmarkStart w:id="89" w:name="_Toc29948"/>
      <w:bookmarkStart w:id="90" w:name="_Toc16265"/>
      <w:bookmarkStart w:id="91" w:name="_Toc9074232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（3）符合监管要求的债权类资产；</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（2）符合监管要求的非标准化债权类资产低于产品净资产的50%。</w:t>
      </w:r>
      <w:r>
        <w:rPr>
          <w:rFonts w:ascii="宋体" w:hAnsi="宋体" w:eastAsia="宋体" w:cs="宋体"/>
          <w:sz w:val="18"/>
          <w:szCs w:val="22"/>
        </w:rPr>
        <w:br w:type="textWrapping"/>
      </w:r>
      <w:r>
        <w:rPr>
          <w:rFonts w:ascii="宋体" w:hAnsi="宋体" w:eastAsia="宋体" w:cs="宋体"/>
          <w:sz w:val="18"/>
          <w:szCs w:val="22"/>
        </w:rPr>
        <w:t>（3）投资于同业存单及存款类资产的比例不低于产品净资产的50%。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（6）本产品投资于信用债券、银行存款、非标准化债权类资产融资人的信用评级均不得低于AA+。</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6986"/>
      <w:bookmarkStart w:id="94" w:name="_Toc17912"/>
      <w:bookmarkStart w:id="95" w:name="_Toc139991735"/>
      <w:bookmarkStart w:id="96" w:name="_Toc1823"/>
      <w:bookmarkStart w:id="97" w:name="_Toc176189758"/>
      <w:bookmarkStart w:id="98" w:name="_Toc21988"/>
      <w:bookmarkStart w:id="99" w:name="_Toc7848"/>
      <w:bookmarkStart w:id="100" w:name="_Toc4741"/>
      <w:bookmarkStart w:id="101" w:name="_Toc74065742"/>
      <w:bookmarkStart w:id="102" w:name="_Toc141703885"/>
      <w:bookmarkStart w:id="103" w:name="_Toc14893"/>
      <w:bookmarkStart w:id="104" w:name="_Toc18526"/>
      <w:bookmarkStart w:id="105" w:name="_Toc18329"/>
      <w:bookmarkStart w:id="106" w:name="_Toc79154669"/>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6189759"/>
      <w:bookmarkStart w:id="110" w:name="_Toc98560352"/>
      <w:bookmarkStart w:id="111" w:name="_Toc1427"/>
      <w:bookmarkStart w:id="112" w:name="_Toc4003"/>
      <w:bookmarkStart w:id="113" w:name="_Toc123051452"/>
      <w:bookmarkStart w:id="114" w:name="_Toc1270"/>
      <w:bookmarkStart w:id="115" w:name="_Toc141703886"/>
      <w:bookmarkStart w:id="116" w:name="_Toc123102453"/>
      <w:bookmarkStart w:id="117" w:name="_Toc10463"/>
      <w:bookmarkStart w:id="118" w:name="_Toc23822"/>
      <w:bookmarkStart w:id="119" w:name="_Toc610"/>
      <w:bookmarkStart w:id="120" w:name="_Toc23261"/>
      <w:bookmarkStart w:id="121" w:name="_Toc20733"/>
      <w:bookmarkStart w:id="122" w:name="_Toc74065743"/>
      <w:bookmarkStart w:id="123" w:name="_Toc123112234"/>
      <w:bookmarkStart w:id="124" w:name="_Toc7920"/>
      <w:bookmarkStart w:id="125" w:name="_Toc48649707"/>
      <w:bookmarkStart w:id="126" w:name="_Toc139991736"/>
      <w:bookmarkStart w:id="127" w:name="_Toc17244"/>
      <w:bookmarkStart w:id="128" w:name="_Toc79154670"/>
      <w:bookmarkStart w:id="129" w:name="_Toc79392606"/>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6405"/>
      <w:bookmarkStart w:id="132" w:name="_Toc123102454"/>
      <w:bookmarkStart w:id="133" w:name="_Toc31235"/>
      <w:bookmarkStart w:id="134" w:name="_Toc74065744"/>
      <w:bookmarkStart w:id="135" w:name="_Toc176189760"/>
      <w:bookmarkStart w:id="136" w:name="_Toc123051453"/>
      <w:bookmarkStart w:id="137" w:name="_Toc14835"/>
      <w:bookmarkStart w:id="138" w:name="_Toc31653"/>
      <w:bookmarkStart w:id="139" w:name="_Toc139991737"/>
      <w:bookmarkStart w:id="140" w:name="_Toc15143"/>
      <w:bookmarkStart w:id="141" w:name="_Toc98560353"/>
      <w:bookmarkStart w:id="142" w:name="_Toc123112235"/>
      <w:bookmarkStart w:id="143" w:name="_Toc79154671"/>
      <w:bookmarkStart w:id="144" w:name="_Toc3601"/>
      <w:bookmarkStart w:id="145" w:name="_Toc141703887"/>
      <w:bookmarkStart w:id="146" w:name="_Toc12245"/>
      <w:bookmarkStart w:id="147" w:name="_Toc31644"/>
      <w:bookmarkStart w:id="148" w:name="_Toc26207"/>
      <w:bookmarkStart w:id="149" w:name="_Toc2925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57530239"/>
      <w:bookmarkStart w:id="153" w:name="_Toc15118234"/>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6447"/>
      <w:bookmarkStart w:id="158" w:name="_Toc139991738"/>
      <w:bookmarkStart w:id="159" w:name="_Toc4559"/>
      <w:bookmarkStart w:id="160" w:name="_Toc7058"/>
      <w:bookmarkStart w:id="161" w:name="_Toc3771"/>
      <w:bookmarkStart w:id="162" w:name="_Toc176189761"/>
      <w:bookmarkStart w:id="163" w:name="_Toc98560354"/>
      <w:bookmarkStart w:id="164" w:name="_Toc123102455"/>
      <w:bookmarkStart w:id="165" w:name="_Toc141703888"/>
      <w:bookmarkStart w:id="166" w:name="_Toc25783"/>
      <w:bookmarkStart w:id="167" w:name="_Toc11030"/>
      <w:bookmarkStart w:id="168" w:name="_Toc123112236"/>
      <w:bookmarkStart w:id="169" w:name="_Toc123051454"/>
      <w:bookmarkStart w:id="170" w:name="_Toc79154672"/>
      <w:bookmarkStart w:id="171" w:name="_Toc9706"/>
      <w:bookmarkStart w:id="172" w:name="_Toc3321"/>
      <w:bookmarkStart w:id="173" w:name="_Toc18567"/>
      <w:bookmarkStart w:id="174" w:name="_Toc79392583"/>
      <w:bookmarkStart w:id="175" w:name="_Toc10650"/>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41703889"/>
      <w:bookmarkStart w:id="180" w:name="_Toc139991739"/>
      <w:bookmarkStart w:id="181" w:name="_Toc725"/>
      <w:bookmarkStart w:id="182" w:name="_Toc176189762"/>
      <w:bookmarkStart w:id="183" w:name="_Toc16164"/>
      <w:bookmarkStart w:id="184" w:name="_Toc123112237"/>
      <w:bookmarkStart w:id="185" w:name="_Toc98560355"/>
      <w:bookmarkStart w:id="186" w:name="_Toc74065746"/>
      <w:bookmarkStart w:id="187" w:name="_Toc123051455"/>
      <w:bookmarkStart w:id="188" w:name="_Toc18206"/>
      <w:bookmarkStart w:id="189" w:name="_Toc31821"/>
      <w:bookmarkStart w:id="190" w:name="_Toc79154673"/>
      <w:bookmarkStart w:id="191" w:name="_Toc123102456"/>
      <w:bookmarkStart w:id="192" w:name="_Toc21735"/>
      <w:bookmarkStart w:id="193" w:name="_Toc3572"/>
      <w:bookmarkStart w:id="194" w:name="_Toc10398"/>
      <w:bookmarkStart w:id="195" w:name="_Toc3080"/>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051456"/>
      <w:bookmarkStart w:id="200" w:name="_Toc8791"/>
      <w:bookmarkStart w:id="201" w:name="_Toc17920"/>
      <w:bookmarkStart w:id="202" w:name="_Toc123112238"/>
      <w:bookmarkStart w:id="203" w:name="_Toc3329"/>
      <w:bookmarkStart w:id="204" w:name="_Toc141703890"/>
      <w:bookmarkStart w:id="205" w:name="_Toc139991740"/>
      <w:bookmarkStart w:id="206" w:name="_Toc29408"/>
      <w:bookmarkStart w:id="207" w:name="_Toc17198"/>
      <w:bookmarkStart w:id="208" w:name="_Toc739"/>
      <w:bookmarkStart w:id="209" w:name="_Toc32092"/>
      <w:bookmarkStart w:id="210" w:name="_Toc74065747"/>
      <w:bookmarkStart w:id="211" w:name="_Toc176189763"/>
      <w:bookmarkStart w:id="212" w:name="_Toc79392622"/>
      <w:bookmarkStart w:id="213" w:name="_Toc32584"/>
      <w:bookmarkStart w:id="214" w:name="_Toc79154674"/>
      <w:bookmarkStart w:id="215" w:name="_Toc21237"/>
      <w:bookmarkStart w:id="216" w:name="_Toc123102457"/>
      <w:bookmarkStart w:id="217" w:name="_Toc5170"/>
      <w:bookmarkStart w:id="218" w:name="_Toc48649708"/>
      <w:bookmarkStart w:id="219" w:name="_Toc985603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w:t>
      </w:r>
      <w:r>
        <w:rPr>
          <w:rFonts w:hint="eastAsia" w:ascii="黑体" w:hAnsi="黑体" w:eastAsia="黑体" w:cs="宋体"/>
          <w:b/>
          <w:sz w:val="28"/>
          <w:szCs w:val="28"/>
          <w:lang w:eastAsia="zh-CN"/>
        </w:rPr>
        <w:t>安盈</w:t>
      </w:r>
      <w:r>
        <w:rPr>
          <w:rFonts w:hint="eastAsia" w:ascii="黑体" w:hAnsi="黑体" w:eastAsia="黑体" w:cs="宋体"/>
          <w:b/>
          <w:sz w:val="28"/>
          <w:szCs w:val="28"/>
        </w:rPr>
        <w:t>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w:t>
      </w:r>
      <w:r>
        <w:rPr>
          <w:rFonts w:hint="eastAsia" w:ascii="黑体" w:hAnsi="黑体" w:eastAsia="黑体" w:cs="宋体"/>
          <w:b/>
          <w:bCs/>
          <w:sz w:val="28"/>
          <w:szCs w:val="28"/>
          <w:lang w:eastAsia="zh-CN"/>
        </w:rPr>
        <w:t>安盈</w:t>
      </w:r>
      <w:r>
        <w:rPr>
          <w:rFonts w:hint="eastAsia" w:ascii="黑体" w:hAnsi="黑体" w:eastAsia="黑体" w:cs="宋体"/>
          <w:b/>
          <w:bCs/>
          <w:sz w:val="28"/>
          <w:szCs w:val="28"/>
        </w:rPr>
        <w:t>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【兴银理财稳利安盈封闭式2026年9期固收类理财产品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销售名称：【稳利安盈封闭式2026年9期A】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【稳利安盈封闭式2026年9期B】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【稳利安盈封闭式2026年9期C】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【稳利安盈封闭式2026年9期D】 (适用【D】类份额)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Z7002025002211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■有固定期限:【113天】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】（产品管理人定义的产品风险评级为【R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】；代理销售机构定义的产品风险评级为【R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bookmarkStart w:id="222" w:name="_GoBack"/>
      <w:bookmarkEnd w:id="222"/>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9770E9"/>
    <w:rsid w:val="2BBE5BA7"/>
    <w:rsid w:val="2C8066E3"/>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45099</Words>
  <Characters>45886</Characters>
  <Lines>0</Lines>
  <Paragraphs>0</Paragraphs>
  <TotalTime>0</TotalTime>
  <ScaleCrop>false</ScaleCrop>
  <LinksUpToDate>false</LinksUpToDate>
  <CharactersWithSpaces>46496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B7624D20264B4DE7A1027FB4948B301B</vt:lpwstr>
  </property>
</Properties>
</file>