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23701383"/>
      <w:bookmarkStart w:id="2" w:name="_Toc123112263"/>
      <w:bookmarkStart w:id="3" w:name="_Toc123112224"/>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2302"/>
      <w:bookmarkStart w:id="6" w:name="_Toc139991727"/>
      <w:bookmarkStart w:id="7" w:name="_Toc123112225"/>
      <w:bookmarkStart w:id="8" w:name="_Toc123112264"/>
      <w:bookmarkStart w:id="9" w:name="_Toc123701384"/>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27"/>
      <w:bookmarkStart w:id="12" w:name="_Toc139991729"/>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30935"/>
      <w:bookmarkStart w:id="15" w:name="_Toc32639"/>
      <w:bookmarkStart w:id="16" w:name="_Toc141703880"/>
      <w:bookmarkStart w:id="17" w:name="_Toc139991730"/>
      <w:bookmarkStart w:id="18" w:name="_Toc23386"/>
      <w:bookmarkStart w:id="19" w:name="_Toc123112229"/>
      <w:bookmarkStart w:id="20" w:name="_Toc8727"/>
      <w:bookmarkStart w:id="21" w:name="_Toc123112268"/>
      <w:bookmarkStart w:id="22" w:name="_Toc15517"/>
      <w:bookmarkStart w:id="23" w:name="_Toc29629"/>
      <w:bookmarkStart w:id="24" w:name="_Toc123701389"/>
      <w:bookmarkStart w:id="25" w:name="_Toc4966"/>
      <w:bookmarkStart w:id="26" w:name="_Toc26897"/>
      <w:bookmarkStart w:id="27" w:name="_Toc4867"/>
      <w:bookmarkStart w:id="28" w:name="_Toc630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4860"/>
      <w:bookmarkStart w:id="33" w:name="_Toc21301"/>
      <w:bookmarkStart w:id="34" w:name="_Toc19592"/>
      <w:bookmarkStart w:id="35" w:name="_Toc819"/>
      <w:bookmarkStart w:id="36" w:name="_Toc258829399"/>
      <w:bookmarkStart w:id="37" w:name="_Toc6617"/>
      <w:bookmarkStart w:id="38" w:name="_Toc2465"/>
      <w:bookmarkStart w:id="39" w:name="_Toc13020"/>
      <w:bookmarkStart w:id="40" w:name="_Toc15067"/>
      <w:bookmarkStart w:id="41" w:name="_Toc22864"/>
      <w:bookmarkStart w:id="42" w:name="_Toc3224"/>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733"/>
      <w:bookmarkStart w:id="48" w:name="_Toc20318"/>
      <w:bookmarkStart w:id="49" w:name="_Toc20627"/>
      <w:bookmarkStart w:id="50" w:name="_Toc6683"/>
      <w:bookmarkStart w:id="51" w:name="_Toc74065740"/>
      <w:bookmarkStart w:id="52" w:name="_Toc6149"/>
      <w:bookmarkStart w:id="53" w:name="_Toc22708"/>
      <w:bookmarkStart w:id="54" w:name="_Toc545"/>
      <w:bookmarkStart w:id="55" w:name="_Toc24571"/>
      <w:bookmarkStart w:id="56" w:name="_Toc13288"/>
      <w:bookmarkStart w:id="57" w:name="_Toc18631"/>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稳利安盈封闭式固收类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【兴银理财稳利安盈封闭式2026年74期固收类理财产品】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【稳利安盈封闭式2026年74期A】 (适用【A】类份额)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【稳利安盈封闭式2026年74期B】 (适用【B】类份额)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【稳利安盈封闭式2026年74期C】 (适用【C】类份额)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【稳利安盈封闭式2026年74期D】 (适用【D】类份额)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Z7002026000275</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【9A260740】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【9A26074A】 (适用【A】类份额)</w:t>
            </w:r>
            <w:r>
              <w:rPr>
                <w:rFonts w:hint="default" w:ascii="宋体" w:hAnsi="宋体" w:eastAsia="宋体" w:cs="宋体"/>
                <w:sz w:val="18"/>
                <w:szCs w:val="22"/>
              </w:rPr>
              <w:br w:type="textWrapping"/>
            </w:r>
            <w:r>
              <w:rPr>
                <w:rFonts w:hint="default" w:ascii="宋体" w:hAnsi="宋体" w:eastAsia="宋体" w:cs="宋体"/>
                <w:sz w:val="18"/>
                <w:szCs w:val="22"/>
              </w:rPr>
              <w:t>【9A26074B】 (适用【B】类份额)</w:t>
            </w:r>
            <w:r>
              <w:rPr>
                <w:rFonts w:hint="default" w:ascii="宋体" w:hAnsi="宋体" w:eastAsia="宋体" w:cs="宋体"/>
                <w:sz w:val="18"/>
                <w:szCs w:val="22"/>
              </w:rPr>
              <w:br w:type="textWrapping"/>
            </w:r>
            <w:r>
              <w:rPr>
                <w:rFonts w:hint="default" w:ascii="宋体" w:hAnsi="宋体" w:eastAsia="宋体" w:cs="宋体"/>
                <w:sz w:val="18"/>
                <w:szCs w:val="22"/>
              </w:rPr>
              <w:t>【9A26074C】 (适用【C】类份额)</w:t>
            </w:r>
            <w:r>
              <w:rPr>
                <w:rFonts w:hint="default" w:ascii="宋体" w:hAnsi="宋体" w:eastAsia="宋体" w:cs="宋体"/>
                <w:sz w:val="18"/>
                <w:szCs w:val="22"/>
              </w:rPr>
              <w:br w:type="textWrapping"/>
            </w:r>
            <w:r>
              <w:rPr>
                <w:rFonts w:hint="default" w:ascii="宋体" w:hAnsi="宋体" w:eastAsia="宋体" w:cs="宋体"/>
                <w:sz w:val="18"/>
                <w:szCs w:val="22"/>
              </w:rPr>
              <w:t>【9A26074D】 (适用【D】类份额)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r>
              <w:rPr>
                <w:rFonts w:hint="default" w:ascii="宋体" w:hAnsi="宋体" w:eastAsia="宋体" w:cs="宋体"/>
                <w:sz w:val="18"/>
                <w:szCs w:val="22"/>
              </w:rPr>
              <w:t>（适用【A</w:t>
            </w:r>
            <w:r>
              <w:rPr>
                <w:rFonts w:hint="eastAsia" w:ascii="宋体" w:hAnsi="宋体" w:cs="宋体"/>
                <w:sz w:val="18"/>
                <w:szCs w:val="22"/>
                <w:lang w:val="en-US" w:eastAsia="zh-CN"/>
              </w:rPr>
              <w:t>/B/C/D</w:t>
            </w:r>
            <w:r>
              <w:rPr>
                <w:rFonts w:hint="default" w:ascii="宋体" w:hAnsi="宋体" w:eastAsia="宋体" w:cs="宋体"/>
                <w:sz w:val="18"/>
                <w:szCs w:val="22"/>
              </w:rPr>
              <w:t>】类份额)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20</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■有固定期限:【141天】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【2026年02月26日】【09:00】至【2026年03月09日】【17:00】。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【2026年03月10日】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【2026年07月29日】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年化【1.8%-2.8%】。（适用【A】类份额)</w:t>
            </w:r>
            <w:r>
              <w:rPr>
                <w:rFonts w:hint="default" w:ascii="宋体" w:hAnsi="宋体" w:eastAsia="宋体" w:cs="宋体"/>
                <w:sz w:val="18"/>
                <w:szCs w:val="22"/>
              </w:rPr>
              <w:br w:type="textWrapping"/>
            </w:r>
            <w:r>
              <w:rPr>
                <w:rFonts w:hint="default" w:ascii="宋体" w:hAnsi="宋体" w:eastAsia="宋体" w:cs="宋体"/>
                <w:sz w:val="18"/>
                <w:szCs w:val="22"/>
              </w:rPr>
              <w:t>年化【1.75%-2.75%】。（适用【B】类份额)</w:t>
            </w:r>
            <w:r>
              <w:rPr>
                <w:rFonts w:hint="default" w:ascii="宋体" w:hAnsi="宋体" w:eastAsia="宋体" w:cs="宋体"/>
                <w:sz w:val="18"/>
                <w:szCs w:val="22"/>
              </w:rPr>
              <w:br w:type="textWrapping"/>
            </w:r>
            <w:r>
              <w:rPr>
                <w:rFonts w:hint="default" w:ascii="宋体" w:hAnsi="宋体" w:eastAsia="宋体" w:cs="宋体"/>
                <w:sz w:val="18"/>
                <w:szCs w:val="22"/>
              </w:rPr>
              <w:t>年化【1.65%-2.65%】。（适用【C】类份额)</w:t>
            </w:r>
            <w:r>
              <w:rPr>
                <w:rFonts w:hint="default" w:ascii="宋体" w:hAnsi="宋体" w:eastAsia="宋体" w:cs="宋体"/>
                <w:sz w:val="18"/>
                <w:szCs w:val="22"/>
              </w:rPr>
              <w:br w:type="textWrapping"/>
            </w:r>
            <w:r>
              <w:rPr>
                <w:rFonts w:hint="default" w:ascii="宋体" w:hAnsi="宋体" w:eastAsia="宋体" w:cs="宋体"/>
                <w:sz w:val="18"/>
                <w:szCs w:val="22"/>
              </w:rPr>
              <w:t>年化【1.55%-2.55%】。（适用【D】类份额)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年化【2.3%】。（适用【A】类份额)</w:t>
            </w:r>
            <w:r>
              <w:rPr>
                <w:rFonts w:hint="default" w:ascii="宋体" w:hAnsi="宋体" w:eastAsia="宋体" w:cs="宋体"/>
                <w:sz w:val="18"/>
                <w:szCs w:val="22"/>
              </w:rPr>
              <w:br w:type="textWrapping"/>
            </w:r>
            <w:r>
              <w:rPr>
                <w:rFonts w:hint="default" w:ascii="宋体" w:hAnsi="宋体" w:eastAsia="宋体" w:cs="宋体"/>
                <w:sz w:val="18"/>
                <w:szCs w:val="22"/>
              </w:rPr>
              <w:t>年化【2.25%】。（适用【B】类份额)</w:t>
            </w:r>
            <w:r>
              <w:rPr>
                <w:rFonts w:hint="default" w:ascii="宋体" w:hAnsi="宋体" w:eastAsia="宋体" w:cs="宋体"/>
                <w:sz w:val="18"/>
                <w:szCs w:val="22"/>
              </w:rPr>
              <w:br w:type="textWrapping"/>
            </w:r>
            <w:r>
              <w:rPr>
                <w:rFonts w:hint="default" w:ascii="宋体" w:hAnsi="宋体" w:eastAsia="宋体" w:cs="宋体"/>
                <w:sz w:val="18"/>
                <w:szCs w:val="22"/>
              </w:rPr>
              <w:t>年化【2.15%】。（适用【C】类份额)</w:t>
            </w:r>
            <w:r>
              <w:rPr>
                <w:rFonts w:hint="default" w:ascii="宋体" w:hAnsi="宋体" w:eastAsia="宋体" w:cs="宋体"/>
                <w:sz w:val="18"/>
                <w:szCs w:val="22"/>
              </w:rPr>
              <w:br w:type="textWrapping"/>
            </w:r>
            <w:r>
              <w:rPr>
                <w:rFonts w:hint="default" w:ascii="宋体" w:hAnsi="宋体" w:eastAsia="宋体" w:cs="宋体"/>
                <w:sz w:val="18"/>
                <w:szCs w:val="22"/>
              </w:rPr>
              <w:t>年化【2.05%】。（适用【D】类份额)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年化费率【0.3%】。（适用【D】类份额）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（4）产品托管费：年化费率【0.02%】</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29948"/>
      <w:bookmarkStart w:id="78" w:name="_Toc90742321"/>
      <w:bookmarkStart w:id="79" w:name="_Toc27226"/>
      <w:bookmarkStart w:id="80" w:name="_Toc90742390"/>
      <w:bookmarkStart w:id="81" w:name="_Toc79154668"/>
      <w:bookmarkStart w:id="82" w:name="_Toc90742688"/>
      <w:bookmarkStart w:id="83" w:name="_Toc74065741"/>
      <w:bookmarkStart w:id="84" w:name="_Toc15203"/>
      <w:bookmarkStart w:id="85" w:name="_Toc6714"/>
      <w:bookmarkStart w:id="86" w:name="_Toc7151"/>
      <w:bookmarkStart w:id="87" w:name="_Toc3266"/>
      <w:bookmarkStart w:id="88" w:name="_Toc22074"/>
      <w:bookmarkStart w:id="89" w:name="_Toc16265"/>
      <w:bookmarkStart w:id="90" w:name="_Toc29784"/>
      <w:bookmarkStart w:id="91" w:name="_Toc27189"/>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sz w:val="18"/>
          <w:szCs w:val="22"/>
        </w:rPr>
      </w:pPr>
      <w:r>
        <w:rPr>
          <w:rFonts w:ascii="宋体" w:hAnsi="宋体" w:eastAsia="宋体" w:cs="宋体"/>
          <w:sz w:val="18"/>
          <w:szCs w:val="22"/>
        </w:rPr>
        <w:t>【（1）银行存款、债券逆回购、货币基金等货币市场工具及其它银行间和交易所资金融通工具；</w:t>
      </w:r>
    </w:p>
    <w:p>
      <w:pPr>
        <w:autoSpaceDE w:val="0"/>
        <w:autoSpaceDN w:val="0"/>
        <w:adjustRightInd w:val="0"/>
        <w:spacing w:line="360" w:lineRule="auto"/>
        <w:ind w:firstLine="540" w:firstLineChars="300"/>
        <w:jc w:val="left"/>
        <w:rPr>
          <w:rFonts w:ascii="宋体" w:hAnsi="宋体" w:eastAsia="宋体" w:cs="宋体"/>
          <w:sz w:val="18"/>
          <w:szCs w:val="22"/>
        </w:rPr>
      </w:pPr>
      <w:r>
        <w:rPr>
          <w:rFonts w:ascii="宋体" w:hAnsi="宋体" w:eastAsia="宋体" w:cs="宋体"/>
          <w:sz w:val="18"/>
          <w:szCs w:val="22"/>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autoSpaceDE w:val="0"/>
        <w:autoSpaceDN w:val="0"/>
        <w:adjustRightInd w:val="0"/>
        <w:spacing w:line="360" w:lineRule="auto"/>
        <w:ind w:firstLine="540" w:firstLineChars="300"/>
        <w:jc w:val="left"/>
        <w:rPr>
          <w:rFonts w:ascii="宋体" w:hAnsi="宋体" w:eastAsia="宋体" w:cs="宋体"/>
          <w:sz w:val="18"/>
          <w:szCs w:val="22"/>
        </w:rPr>
      </w:pPr>
      <w:r>
        <w:rPr>
          <w:rFonts w:ascii="宋体" w:hAnsi="宋体" w:eastAsia="宋体" w:cs="宋体"/>
          <w:sz w:val="18"/>
          <w:szCs w:val="22"/>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autoSpaceDE w:val="0"/>
        <w:autoSpaceDN w:val="0"/>
        <w:adjustRightInd w:val="0"/>
        <w:spacing w:line="360" w:lineRule="auto"/>
        <w:ind w:firstLine="540" w:firstLineChars="300"/>
        <w:jc w:val="left"/>
        <w:rPr>
          <w:rFonts w:ascii="宋体" w:hAnsi="宋体" w:eastAsia="宋体" w:cs="宋体"/>
          <w:bCs/>
          <w:sz w:val="18"/>
          <w:szCs w:val="18"/>
        </w:rPr>
      </w:pPr>
      <w:r>
        <w:rPr>
          <w:rFonts w:ascii="宋体" w:hAnsi="宋体" w:eastAsia="宋体" w:cs="宋体"/>
          <w:sz w:val="18"/>
          <w:szCs w:val="22"/>
        </w:rPr>
        <w:t>（4）其他风险不高于前述资产的资产。】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left="537" w:leftChars="170" w:hanging="180" w:hangingChars="10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（2）投资于同业存单及存款类资产的比例不低于产品净资产的50%。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（3）全部理财产品持有单一上市公司发行的股票，不得超过该上市公司可流通股票的30%。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（6）本产品投资于信用债券、银行存款的信用评级均不得低于AA+。</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329"/>
      <w:bookmarkStart w:id="94" w:name="_Toc4741"/>
      <w:bookmarkStart w:id="95" w:name="_Toc18797"/>
      <w:bookmarkStart w:id="96" w:name="_Toc139991735"/>
      <w:bookmarkStart w:id="97" w:name="_Toc7848"/>
      <w:bookmarkStart w:id="98" w:name="_Toc1823"/>
      <w:bookmarkStart w:id="99" w:name="_Toc26986"/>
      <w:bookmarkStart w:id="100" w:name="_Toc21988"/>
      <w:bookmarkStart w:id="101" w:name="_Toc14893"/>
      <w:bookmarkStart w:id="102" w:name="_Toc18526"/>
      <w:bookmarkStart w:id="103" w:name="_Toc17912"/>
      <w:bookmarkStart w:id="104" w:name="_Toc141703885"/>
      <w:bookmarkStart w:id="105" w:name="_Toc79154669"/>
      <w:bookmarkStart w:id="106" w:name="_Toc74065742"/>
      <w:bookmarkStart w:id="107" w:name="_Toc176189758"/>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3822"/>
      <w:bookmarkStart w:id="110" w:name="_Toc17244"/>
      <w:bookmarkStart w:id="111" w:name="_Toc20733"/>
      <w:bookmarkStart w:id="112" w:name="_Toc176189759"/>
      <w:bookmarkStart w:id="113" w:name="_Toc98560352"/>
      <w:bookmarkStart w:id="114" w:name="_Toc123051452"/>
      <w:bookmarkStart w:id="115" w:name="_Toc123102453"/>
      <w:bookmarkStart w:id="116" w:name="_Toc79392606"/>
      <w:bookmarkStart w:id="117" w:name="_Toc139991736"/>
      <w:bookmarkStart w:id="118" w:name="_Toc23261"/>
      <w:bookmarkStart w:id="119" w:name="_Toc141703886"/>
      <w:bookmarkStart w:id="120" w:name="_Toc74065743"/>
      <w:bookmarkStart w:id="121" w:name="_Toc610"/>
      <w:bookmarkStart w:id="122" w:name="_Toc1427"/>
      <w:bookmarkStart w:id="123" w:name="_Toc123112234"/>
      <w:bookmarkStart w:id="124" w:name="_Toc7920"/>
      <w:bookmarkStart w:id="125" w:name="_Toc48649707"/>
      <w:bookmarkStart w:id="126" w:name="_Toc10463"/>
      <w:bookmarkStart w:id="127" w:name="_Toc1270"/>
      <w:bookmarkStart w:id="128" w:name="_Toc4003"/>
      <w:bookmarkStart w:id="129" w:name="_Toc791546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26207"/>
      <w:bookmarkStart w:id="132" w:name="_Toc79154671"/>
      <w:bookmarkStart w:id="133" w:name="_Toc139991737"/>
      <w:bookmarkStart w:id="134" w:name="_Toc98560353"/>
      <w:bookmarkStart w:id="135" w:name="_Toc12245"/>
      <w:bookmarkStart w:id="136" w:name="_Toc31235"/>
      <w:bookmarkStart w:id="137" w:name="_Toc31644"/>
      <w:bookmarkStart w:id="138" w:name="_Toc123051453"/>
      <w:bookmarkStart w:id="139" w:name="_Toc14835"/>
      <w:bookmarkStart w:id="140" w:name="_Toc74065744"/>
      <w:bookmarkStart w:id="141" w:name="_Toc6405"/>
      <w:bookmarkStart w:id="142" w:name="_Toc31653"/>
      <w:bookmarkStart w:id="143" w:name="_Toc176189760"/>
      <w:bookmarkStart w:id="144" w:name="_Toc123112235"/>
      <w:bookmarkStart w:id="145" w:name="_Toc123102454"/>
      <w:bookmarkStart w:id="146" w:name="_Toc3601"/>
      <w:bookmarkStart w:id="147" w:name="_Toc29251"/>
      <w:bookmarkStart w:id="148" w:name="_Toc141703887"/>
      <w:bookmarkStart w:id="149" w:name="_Toc1514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15118234"/>
      <w:bookmarkStart w:id="153" w:name="_Toc523711668"/>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4559"/>
      <w:bookmarkStart w:id="158" w:name="_Toc98560354"/>
      <w:bookmarkStart w:id="159" w:name="_Toc11030"/>
      <w:bookmarkStart w:id="160" w:name="_Toc176189761"/>
      <w:bookmarkStart w:id="161" w:name="_Toc74065745"/>
      <w:bookmarkStart w:id="162" w:name="_Toc3771"/>
      <w:bookmarkStart w:id="163" w:name="_Toc123051454"/>
      <w:bookmarkStart w:id="164" w:name="_Toc79392583"/>
      <w:bookmarkStart w:id="165" w:name="_Toc7058"/>
      <w:bookmarkStart w:id="166" w:name="_Toc6447"/>
      <w:bookmarkStart w:id="167" w:name="_Toc141703888"/>
      <w:bookmarkStart w:id="168" w:name="_Toc139991738"/>
      <w:bookmarkStart w:id="169" w:name="_Toc9706"/>
      <w:bookmarkStart w:id="170" w:name="_Toc3321"/>
      <w:bookmarkStart w:id="171" w:name="_Toc79154672"/>
      <w:bookmarkStart w:id="172" w:name="_Toc10650"/>
      <w:bookmarkStart w:id="173" w:name="_Toc123112236"/>
      <w:bookmarkStart w:id="174" w:name="_Toc25783"/>
      <w:bookmarkStart w:id="175" w:name="_Toc123102455"/>
      <w:bookmarkStart w:id="176" w:name="_Toc18567"/>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23112237"/>
      <w:bookmarkStart w:id="180" w:name="_Toc3080"/>
      <w:bookmarkStart w:id="181" w:name="_Toc123051455"/>
      <w:bookmarkStart w:id="182" w:name="_Toc74065746"/>
      <w:bookmarkStart w:id="183" w:name="_Toc16164"/>
      <w:bookmarkStart w:id="184" w:name="_Toc98560355"/>
      <w:bookmarkStart w:id="185" w:name="_Toc123102456"/>
      <w:bookmarkStart w:id="186" w:name="_Toc18206"/>
      <w:bookmarkStart w:id="187" w:name="_Toc725"/>
      <w:bookmarkStart w:id="188" w:name="_Toc3572"/>
      <w:bookmarkStart w:id="189" w:name="_Toc21735"/>
      <w:bookmarkStart w:id="190" w:name="_Toc139991739"/>
      <w:bookmarkStart w:id="191" w:name="_Toc10398"/>
      <w:bookmarkStart w:id="192" w:name="_Toc31821"/>
      <w:bookmarkStart w:id="193" w:name="_Toc141703889"/>
      <w:bookmarkStart w:id="194" w:name="_Toc176189762"/>
      <w:bookmarkStart w:id="195" w:name="_Toc79154673"/>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79392593"/>
      <w:bookmarkStart w:id="198" w:name="_Toc57530252"/>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7198"/>
      <w:bookmarkStart w:id="200" w:name="_Toc176189763"/>
      <w:bookmarkStart w:id="201" w:name="_Toc98560356"/>
      <w:bookmarkStart w:id="202" w:name="_Toc32092"/>
      <w:bookmarkStart w:id="203" w:name="_Toc139991740"/>
      <w:bookmarkStart w:id="204" w:name="_Toc74065747"/>
      <w:bookmarkStart w:id="205" w:name="_Toc32584"/>
      <w:bookmarkStart w:id="206" w:name="_Toc5170"/>
      <w:bookmarkStart w:id="207" w:name="_Toc79154674"/>
      <w:bookmarkStart w:id="208" w:name="_Toc48649708"/>
      <w:bookmarkStart w:id="209" w:name="_Toc8791"/>
      <w:bookmarkStart w:id="210" w:name="_Toc123051456"/>
      <w:bookmarkStart w:id="211" w:name="_Toc123112238"/>
      <w:bookmarkStart w:id="212" w:name="_Toc739"/>
      <w:bookmarkStart w:id="213" w:name="_Toc17920"/>
      <w:bookmarkStart w:id="214" w:name="_Toc21237"/>
      <w:bookmarkStart w:id="215" w:name="_Toc3329"/>
      <w:bookmarkStart w:id="216" w:name="_Toc79392622"/>
      <w:bookmarkStart w:id="217" w:name="_Toc141703890"/>
      <w:bookmarkStart w:id="218" w:name="_Toc29408"/>
      <w:bookmarkStart w:id="219" w:name="_Toc12310245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w:t>
      </w:r>
      <w:r>
        <w:rPr>
          <w:rFonts w:hint="eastAsia" w:ascii="黑体" w:hAnsi="黑体" w:eastAsia="黑体" w:cs="宋体"/>
          <w:b/>
          <w:sz w:val="28"/>
          <w:szCs w:val="28"/>
          <w:lang w:eastAsia="zh-CN"/>
        </w:rPr>
        <w:t>安盈</w:t>
      </w:r>
      <w:r>
        <w:rPr>
          <w:rFonts w:hint="eastAsia" w:ascii="黑体" w:hAnsi="黑体" w:eastAsia="黑体" w:cs="宋体"/>
          <w:b/>
          <w:sz w:val="28"/>
          <w:szCs w:val="28"/>
        </w:rPr>
        <w:t>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w:t>
      </w:r>
      <w:r>
        <w:rPr>
          <w:rFonts w:hint="eastAsia" w:ascii="黑体" w:hAnsi="黑体" w:eastAsia="黑体" w:cs="宋体"/>
          <w:b/>
          <w:bCs/>
          <w:sz w:val="28"/>
          <w:szCs w:val="28"/>
          <w:lang w:eastAsia="zh-CN"/>
        </w:rPr>
        <w:t>安盈</w:t>
      </w:r>
      <w:r>
        <w:rPr>
          <w:rFonts w:hint="eastAsia" w:ascii="黑体" w:hAnsi="黑体" w:eastAsia="黑体" w:cs="宋体"/>
          <w:b/>
          <w:bCs/>
          <w:sz w:val="28"/>
          <w:szCs w:val="28"/>
        </w:rPr>
        <w:t>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【兴银理财稳利安盈封闭式2026年74期固收类理财产品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销售名称：【稳利安盈封闭式2026年74期A】 (适用【A】类份额)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【稳利安盈封闭式2026年74期B】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【稳利安盈封闭式2026年74期C】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【稳利安盈封闭式2026年74期D】 (适用【D】类份额)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Z7002026000275</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■有固定期限:【141天】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】（产品管理人定义的产品风险评级为【R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】；代理销售机构定义的产品风险评级为【R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bookmarkStart w:id="222" w:name="_GoBack"/>
      <w:bookmarkEnd w:id="222"/>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44792BC0"/>
    <w:rsid w:val="46612498"/>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69</Pages>
  <Words>44519</Words>
  <Characters>45324</Characters>
  <Lines>0</Lines>
  <Paragraphs>0</Paragraphs>
  <TotalTime>0</TotalTime>
  <ScaleCrop>false</ScaleCrop>
  <LinksUpToDate>false</LinksUpToDate>
  <CharactersWithSpaces>45934</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2026-02-24T03:39:52Z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4FC83FBD85D441E6A34374162E319C35</vt:lpwstr>
  </property>
</Properties>
</file>