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稳利安盈封闭式固收类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稳利安盈封闭式固收类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稳利安盈封闭式固收类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24"/>
      <w:bookmarkStart w:id="1" w:name="_Toc139991726"/>
      <w:bookmarkStart w:id="2" w:name="_Toc123112263"/>
      <w:bookmarkStart w:id="3" w:name="_Toc139992301"/>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64"/>
      <w:bookmarkStart w:id="7" w:name="_Toc139992302"/>
      <w:bookmarkStart w:id="8" w:name="_Toc123112225"/>
      <w:bookmarkStart w:id="9" w:name="_Toc139991727"/>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39991729"/>
      <w:bookmarkStart w:id="12" w:name="_Toc123701386"/>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4867"/>
      <w:bookmarkStart w:id="15" w:name="_Toc141703880"/>
      <w:bookmarkStart w:id="16" w:name="_Toc32639"/>
      <w:bookmarkStart w:id="17" w:name="_Toc8727"/>
      <w:bookmarkStart w:id="18" w:name="_Toc29629"/>
      <w:bookmarkStart w:id="19" w:name="_Toc6306"/>
      <w:bookmarkStart w:id="20" w:name="_Toc30935"/>
      <w:bookmarkStart w:id="21" w:name="_Toc123112268"/>
      <w:bookmarkStart w:id="22" w:name="_Toc123701389"/>
      <w:bookmarkStart w:id="23" w:name="_Toc15517"/>
      <w:bookmarkStart w:id="24" w:name="_Toc26897"/>
      <w:bookmarkStart w:id="25" w:name="_Toc23386"/>
      <w:bookmarkStart w:id="26" w:name="_Toc4966"/>
      <w:bookmarkStart w:id="27" w:name="_Toc123112229"/>
      <w:bookmarkStart w:id="28" w:name="_Toc139991730"/>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2465"/>
      <w:bookmarkStart w:id="34" w:name="_Toc3224"/>
      <w:bookmarkStart w:id="35" w:name="_Toc6617"/>
      <w:bookmarkStart w:id="36" w:name="_Toc24860"/>
      <w:bookmarkStart w:id="37" w:name="_Toc13020"/>
      <w:bookmarkStart w:id="38" w:name="_Toc19592"/>
      <w:bookmarkStart w:id="39" w:name="_Toc21301"/>
      <w:bookmarkStart w:id="40" w:name="_Toc258829399"/>
      <w:bookmarkStart w:id="41" w:name="_Toc22864"/>
      <w:bookmarkStart w:id="42" w:name="_Toc15067"/>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0627"/>
      <w:bookmarkStart w:id="48" w:name="_Toc20318"/>
      <w:bookmarkStart w:id="49" w:name="_Toc18631"/>
      <w:bookmarkStart w:id="50" w:name="_Toc24571"/>
      <w:bookmarkStart w:id="51" w:name="_Toc74065740"/>
      <w:bookmarkStart w:id="52" w:name="_Toc545"/>
      <w:bookmarkStart w:id="53" w:name="_Toc6149"/>
      <w:bookmarkStart w:id="54" w:name="_Toc6683"/>
      <w:bookmarkStart w:id="55" w:name="_Toc22708"/>
      <w:bookmarkStart w:id="56" w:name="_Toc733"/>
      <w:bookmarkStart w:id="57" w:name="_Toc13288"/>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稳利安盈封闭式固收类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：指产品管理人向投资者提供的，用于描述产品特征，约定权利义务的文件。具体指《兴银理财【稳利安盈封闭式固收类】理财产品销售文件》，包括《投资协议书》《产品说明书》《（代理）销售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《投资协议书》：指管理人统一编制的《兴银理财【稳利安盈封闭式固收类】理财产品投资协议书》，以及对该文件的有效修改或补充。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）《产品说明书》：指管理人统一编制的《兴银理财【稳利安盈封闭式固收类】理财产品产品说明书》，以及对该文件的有效修改或补充。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（4）《（代理）销售协议书》：指管理人统一编制的《兴银理财【稳利安盈封闭式固收类】理财产品（代理）销售协议书》或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）《风险揭示书》：指管理人统一编制的《兴银理财【稳利安盈封闭式固收类】理财产品风险揭示书》或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的《兴银理财【稳利安盈封闭式固收类】理财产品风险揭示书》（文件名称以代理销售机构实际编制为准），以及对该文件的有效修改或补充。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）《投资者权益须知》：指管理人统一编制的《兴银理财【稳利安盈封闭式固收类】理财产品投资者权益须知》或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《兴银理财【稳利安盈封闭式固收类】理财产品投资者权益须知》（文件名称以代理销售机构实际编制为准），以及对该文件的有效修改或补充。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【兴银理财稳利安盈封闭式2026年77期固收类理财产品】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【稳利安盈封闭式2026年77期A】 (适用【A】类份额)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【稳利安盈封闭式2026年77期B】 (适用【B】类份额)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【稳利安盈封闭式2026年77期C】 (适用【C】类份额)</w:t>
            </w:r>
            <w:r>
              <w:rPr>
                <w:rFonts w:hint="default" w:ascii="宋体" w:hAnsi="宋体" w:eastAsia="宋体" w:cs="宋体"/>
                <w:sz w:val="18"/>
                <w:szCs w:val="22"/>
              </w:rPr>
              <w:br w:type="textWrapping"/>
            </w:r>
            <w:r>
              <w:rPr>
                <w:rFonts w:hint="default" w:ascii="宋体" w:hAnsi="宋体" w:eastAsia="宋体" w:cs="宋体"/>
                <w:sz w:val="18"/>
                <w:szCs w:val="22"/>
              </w:rPr>
              <w:t>【稳利安盈封闭式2026年77期D】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Z7002026000261</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【9A260770】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【9A26077A】 (适用【A】类份额)</w:t>
            </w:r>
            <w:r>
              <w:rPr>
                <w:rFonts w:hint="default" w:ascii="宋体" w:hAnsi="宋体" w:eastAsia="宋体" w:cs="宋体"/>
                <w:sz w:val="18"/>
                <w:szCs w:val="22"/>
              </w:rPr>
              <w:br w:type="textWrapping"/>
            </w:r>
            <w:r>
              <w:rPr>
                <w:rFonts w:hint="default" w:ascii="宋体" w:hAnsi="宋体" w:eastAsia="宋体" w:cs="宋体"/>
                <w:sz w:val="18"/>
                <w:szCs w:val="22"/>
              </w:rPr>
              <w:t>【9A26077B】 (适用【B】类份额)</w:t>
            </w:r>
            <w:r>
              <w:rPr>
                <w:rFonts w:hint="default" w:ascii="宋体" w:hAnsi="宋体" w:eastAsia="宋体" w:cs="宋体"/>
                <w:sz w:val="18"/>
                <w:szCs w:val="22"/>
              </w:rPr>
              <w:br w:type="textWrapping"/>
            </w:r>
            <w:r>
              <w:rPr>
                <w:rFonts w:hint="default" w:ascii="宋体" w:hAnsi="宋体" w:eastAsia="宋体" w:cs="宋体"/>
                <w:sz w:val="18"/>
                <w:szCs w:val="22"/>
              </w:rPr>
              <w:t>【9A26077C】 (适用【C】类份额)</w:t>
            </w:r>
            <w:r>
              <w:rPr>
                <w:rFonts w:hint="default" w:ascii="宋体" w:hAnsi="宋体" w:eastAsia="宋体" w:cs="宋体"/>
                <w:sz w:val="18"/>
                <w:szCs w:val="22"/>
              </w:rPr>
              <w:br w:type="textWrapping"/>
            </w:r>
            <w:r>
              <w:rPr>
                <w:rFonts w:hint="default" w:ascii="宋体" w:hAnsi="宋体" w:eastAsia="宋体" w:cs="宋体"/>
                <w:sz w:val="18"/>
                <w:szCs w:val="22"/>
              </w:rPr>
              <w:t>【9A26077D】 (适用【D】类份额)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r>
              <w:rPr>
                <w:rFonts w:hint="default" w:ascii="宋体" w:hAnsi="宋体" w:eastAsia="宋体" w:cs="宋体"/>
                <w:sz w:val="18"/>
                <w:szCs w:val="22"/>
              </w:rPr>
              <w:t>（适用【A</w:t>
            </w:r>
            <w:r>
              <w:rPr>
                <w:rFonts w:hint="eastAsia" w:ascii="宋体" w:hAnsi="宋体" w:cs="宋体"/>
                <w:sz w:val="18"/>
                <w:szCs w:val="22"/>
                <w:lang w:val="en-US" w:eastAsia="zh-CN"/>
              </w:rPr>
              <w:t>/B/C/D</w:t>
            </w:r>
            <w:r>
              <w:rPr>
                <w:rFonts w:hint="default" w:ascii="宋体" w:hAnsi="宋体" w:eastAsia="宋体" w:cs="宋体"/>
                <w:sz w:val="18"/>
                <w:szCs w:val="22"/>
              </w:rPr>
              <w:t>】类份额)</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中国工商银行股份有限公司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20</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■有固定期限:【203天】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【2026年02月26日】【09:00】至【2026年03月09日】【17:00】。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【2026年03月10日】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【2026年09月29日】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000000"/>
                <w:sz w:val="18"/>
                <w:szCs w:val="24"/>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（1）业绩比较基准的说明：【产品投资债权类资产不低于80%，根据当前市场环境下大类资产合理配置比例及大类资产收益情况，考虑杠杆和费率等因素，并结合产品投资策略，设定业绩比较基准】。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年化【1.8%-2.8%】。（适用【A】类份额)</w:t>
            </w:r>
            <w:r>
              <w:rPr>
                <w:rFonts w:hint="default" w:ascii="宋体" w:hAnsi="宋体" w:eastAsia="宋体" w:cs="宋体"/>
                <w:sz w:val="18"/>
                <w:szCs w:val="22"/>
              </w:rPr>
              <w:br w:type="textWrapping"/>
            </w:r>
            <w:r>
              <w:rPr>
                <w:rFonts w:hint="default" w:ascii="宋体" w:hAnsi="宋体" w:eastAsia="宋体" w:cs="宋体"/>
                <w:sz w:val="18"/>
                <w:szCs w:val="22"/>
              </w:rPr>
              <w:t>年化【1.75%-2.75%】。（适用【B】类份额)</w:t>
            </w:r>
            <w:r>
              <w:rPr>
                <w:rFonts w:hint="default" w:ascii="宋体" w:hAnsi="宋体" w:eastAsia="宋体" w:cs="宋体"/>
                <w:sz w:val="18"/>
                <w:szCs w:val="22"/>
              </w:rPr>
              <w:br w:type="textWrapping"/>
            </w:r>
            <w:r>
              <w:rPr>
                <w:rFonts w:hint="default" w:ascii="宋体" w:hAnsi="宋体" w:eastAsia="宋体" w:cs="宋体"/>
                <w:sz w:val="18"/>
                <w:szCs w:val="22"/>
              </w:rPr>
              <w:t>年化【1.65%-2.65%】。（适用【C】类份额)</w:t>
            </w:r>
            <w:r>
              <w:rPr>
                <w:rFonts w:hint="default" w:ascii="宋体" w:hAnsi="宋体" w:eastAsia="宋体" w:cs="宋体"/>
                <w:sz w:val="18"/>
                <w:szCs w:val="22"/>
              </w:rPr>
              <w:br w:type="textWrapping"/>
            </w:r>
            <w:r>
              <w:rPr>
                <w:rFonts w:hint="default" w:ascii="宋体" w:hAnsi="宋体" w:eastAsia="宋体" w:cs="宋体"/>
                <w:sz w:val="18"/>
                <w:szCs w:val="22"/>
              </w:rPr>
              <w:t>年化【1.55%-2.55%】。（适用【D】类份额)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年化【2.3%】。（适用【A】类份额)</w:t>
            </w:r>
            <w:r>
              <w:rPr>
                <w:rFonts w:hint="default" w:ascii="宋体" w:hAnsi="宋体" w:eastAsia="宋体" w:cs="宋体"/>
                <w:sz w:val="18"/>
                <w:szCs w:val="22"/>
              </w:rPr>
              <w:br w:type="textWrapping"/>
            </w:r>
            <w:r>
              <w:rPr>
                <w:rFonts w:hint="default" w:ascii="宋体" w:hAnsi="宋体" w:eastAsia="宋体" w:cs="宋体"/>
                <w:sz w:val="18"/>
                <w:szCs w:val="22"/>
              </w:rPr>
              <w:t>年化【2.25%】。（适用【B】类份额)</w:t>
            </w:r>
            <w:r>
              <w:rPr>
                <w:rFonts w:hint="default" w:ascii="宋体" w:hAnsi="宋体" w:eastAsia="宋体" w:cs="宋体"/>
                <w:sz w:val="18"/>
                <w:szCs w:val="22"/>
              </w:rPr>
              <w:br w:type="textWrapping"/>
            </w:r>
            <w:r>
              <w:rPr>
                <w:rFonts w:hint="default" w:ascii="宋体" w:hAnsi="宋体" w:eastAsia="宋体" w:cs="宋体"/>
                <w:sz w:val="18"/>
                <w:szCs w:val="22"/>
              </w:rPr>
              <w:t>年化【2.15%】。（适用【C】类份额)</w:t>
            </w:r>
            <w:r>
              <w:rPr>
                <w:rFonts w:hint="default" w:ascii="宋体" w:hAnsi="宋体" w:eastAsia="宋体" w:cs="宋体"/>
                <w:sz w:val="18"/>
                <w:szCs w:val="22"/>
              </w:rPr>
              <w:br w:type="textWrapping"/>
            </w:r>
            <w:r>
              <w:rPr>
                <w:rFonts w:hint="default" w:ascii="宋体" w:hAnsi="宋体" w:eastAsia="宋体" w:cs="宋体"/>
                <w:sz w:val="18"/>
                <w:szCs w:val="22"/>
              </w:rPr>
              <w:t>年化【2.05%】。（适用【D】类份额)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年化费率【0.3%】。（适用【D】类份额）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（4）产品托管费：年化费率【0.02%】</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7151"/>
      <w:bookmarkStart w:id="78" w:name="_Toc15203"/>
      <w:bookmarkStart w:id="79" w:name="_Toc27226"/>
      <w:bookmarkStart w:id="80" w:name="_Toc16265"/>
      <w:bookmarkStart w:id="81" w:name="_Toc27189"/>
      <w:bookmarkStart w:id="82" w:name="_Toc3266"/>
      <w:bookmarkStart w:id="83" w:name="_Toc90742390"/>
      <w:bookmarkStart w:id="84" w:name="_Toc6714"/>
      <w:bookmarkStart w:id="85" w:name="_Toc22074"/>
      <w:bookmarkStart w:id="86" w:name="_Toc79154668"/>
      <w:bookmarkStart w:id="87" w:name="_Toc90742321"/>
      <w:bookmarkStart w:id="88" w:name="_Toc29784"/>
      <w:bookmarkStart w:id="89" w:name="_Toc74065741"/>
      <w:bookmarkStart w:id="90" w:name="_Toc29948"/>
      <w:bookmarkStart w:id="91" w:name="_Toc9074268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sz w:val="18"/>
          <w:szCs w:val="22"/>
        </w:rPr>
      </w:pPr>
      <w:r>
        <w:rPr>
          <w:rFonts w:ascii="宋体" w:hAnsi="宋体" w:eastAsia="宋体" w:cs="宋体"/>
          <w:sz w:val="18"/>
          <w:szCs w:val="22"/>
        </w:rPr>
        <w:t>【（1）银行存款、债券逆回购、货币基金等货币市场工具及其它银行间和交易所资金融通工具；</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pPr>
        <w:autoSpaceDE w:val="0"/>
        <w:autoSpaceDN w:val="0"/>
        <w:adjustRightInd w:val="0"/>
        <w:spacing w:line="360" w:lineRule="auto"/>
        <w:ind w:firstLine="540" w:firstLineChars="300"/>
        <w:jc w:val="left"/>
        <w:rPr>
          <w:rFonts w:ascii="宋体" w:hAnsi="宋体" w:eastAsia="宋体" w:cs="宋体"/>
          <w:sz w:val="18"/>
          <w:szCs w:val="22"/>
        </w:rPr>
      </w:pPr>
      <w:r>
        <w:rPr>
          <w:rFonts w:ascii="宋体" w:hAnsi="宋体" w:eastAsia="宋体" w:cs="宋体"/>
          <w:sz w:val="18"/>
          <w:szCs w:val="22"/>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autoSpaceDE w:val="0"/>
        <w:autoSpaceDN w:val="0"/>
        <w:adjustRightInd w:val="0"/>
        <w:spacing w:line="360" w:lineRule="auto"/>
        <w:ind w:firstLine="540" w:firstLineChars="300"/>
        <w:jc w:val="left"/>
        <w:rPr>
          <w:rFonts w:ascii="宋体" w:hAnsi="宋体" w:eastAsia="宋体" w:cs="宋体"/>
          <w:bCs/>
          <w:sz w:val="18"/>
          <w:szCs w:val="18"/>
        </w:rPr>
      </w:pPr>
      <w:r>
        <w:rPr>
          <w:rFonts w:ascii="宋体" w:hAnsi="宋体" w:eastAsia="宋体" w:cs="宋体"/>
          <w:sz w:val="18"/>
          <w:szCs w:val="22"/>
        </w:rPr>
        <w:t>（4）其他风险不高于前述资产的资产。】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left="537" w:leftChars="170" w:hanging="180" w:hangingChars="100"/>
        <w:jc w:val="left"/>
        <w:rPr>
          <w:rFonts w:hint="eastAsia" w:ascii="宋体" w:hAnsi="宋体" w:eastAsia="宋体" w:cs="宋体"/>
          <w:bCs/>
          <w:kern w:val="0"/>
          <w:sz w:val="18"/>
          <w:szCs w:val="18"/>
        </w:rPr>
      </w:pPr>
      <w:r>
        <w:rPr>
          <w:rFonts w:ascii="宋体" w:hAnsi="宋体" w:eastAsia="宋体" w:cs="宋体"/>
          <w:sz w:val="18"/>
          <w:szCs w:val="22"/>
        </w:rPr>
        <w:t>【（1）本产品投资于债权类资产的比例不低于产品总资产的80%。</w:t>
      </w:r>
      <w:r>
        <w:rPr>
          <w:rFonts w:ascii="宋体" w:hAnsi="宋体" w:eastAsia="宋体" w:cs="宋体"/>
          <w:sz w:val="18"/>
          <w:szCs w:val="22"/>
        </w:rPr>
        <w:br w:type="textWrapping"/>
      </w:r>
      <w:r>
        <w:rPr>
          <w:rFonts w:ascii="宋体" w:hAnsi="宋体" w:eastAsia="宋体" w:cs="宋体"/>
          <w:sz w:val="18"/>
          <w:szCs w:val="22"/>
        </w:rPr>
        <w:t>（2）投资于同业存单及存款类资产的比例不低于产品净资产的50%。</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（3）全部理财产品持有单一上市公司发行的股票，不得超过该上市公司可流通股票的30%。</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sz w:val="18"/>
          <w:szCs w:val="22"/>
        </w:rPr>
      </w:pP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（6）本产品投资于信用债券、银行存款的信用评级均不得低于AA+。</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产品采取绝对收益策略，追求资产长期稳定增值。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7848"/>
      <w:bookmarkStart w:id="94" w:name="_Toc139991735"/>
      <w:bookmarkStart w:id="95" w:name="_Toc18797"/>
      <w:bookmarkStart w:id="96" w:name="_Toc176189758"/>
      <w:bookmarkStart w:id="97" w:name="_Toc141703885"/>
      <w:bookmarkStart w:id="98" w:name="_Toc18329"/>
      <w:bookmarkStart w:id="99" w:name="_Toc17912"/>
      <w:bookmarkStart w:id="100" w:name="_Toc21988"/>
      <w:bookmarkStart w:id="101" w:name="_Toc26986"/>
      <w:bookmarkStart w:id="102" w:name="_Toc1823"/>
      <w:bookmarkStart w:id="103" w:name="_Toc74065742"/>
      <w:bookmarkStart w:id="104" w:name="_Toc18526"/>
      <w:bookmarkStart w:id="105" w:name="_Toc14893"/>
      <w:bookmarkStart w:id="106" w:name="_Toc4741"/>
      <w:bookmarkStart w:id="107" w:name="_Toc7915466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23261"/>
      <w:bookmarkStart w:id="110" w:name="_Toc4003"/>
      <w:bookmarkStart w:id="111" w:name="_Toc20733"/>
      <w:bookmarkStart w:id="112" w:name="_Toc1270"/>
      <w:bookmarkStart w:id="113" w:name="_Toc123102453"/>
      <w:bookmarkStart w:id="114" w:name="_Toc1427"/>
      <w:bookmarkStart w:id="115" w:name="_Toc10463"/>
      <w:bookmarkStart w:id="116" w:name="_Toc48649707"/>
      <w:bookmarkStart w:id="117" w:name="_Toc79154670"/>
      <w:bookmarkStart w:id="118" w:name="_Toc123051452"/>
      <w:bookmarkStart w:id="119" w:name="_Toc17244"/>
      <w:bookmarkStart w:id="120" w:name="_Toc141703886"/>
      <w:bookmarkStart w:id="121" w:name="_Toc98560352"/>
      <w:bookmarkStart w:id="122" w:name="_Toc7920"/>
      <w:bookmarkStart w:id="123" w:name="_Toc74065743"/>
      <w:bookmarkStart w:id="124" w:name="_Toc610"/>
      <w:bookmarkStart w:id="125" w:name="_Toc139991736"/>
      <w:bookmarkStart w:id="126" w:name="_Toc79392606"/>
      <w:bookmarkStart w:id="127" w:name="_Toc176189759"/>
      <w:bookmarkStart w:id="128" w:name="_Toc23822"/>
      <w:bookmarkStart w:id="129" w:name="_Toc123112234"/>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9154671"/>
      <w:bookmarkStart w:id="132" w:name="_Toc31653"/>
      <w:bookmarkStart w:id="133" w:name="_Toc31644"/>
      <w:bookmarkStart w:id="134" w:name="_Toc15143"/>
      <w:bookmarkStart w:id="135" w:name="_Toc31235"/>
      <w:bookmarkStart w:id="136" w:name="_Toc141703887"/>
      <w:bookmarkStart w:id="137" w:name="_Toc176189760"/>
      <w:bookmarkStart w:id="138" w:name="_Toc14835"/>
      <w:bookmarkStart w:id="139" w:name="_Toc123112235"/>
      <w:bookmarkStart w:id="140" w:name="_Toc26207"/>
      <w:bookmarkStart w:id="141" w:name="_Toc6405"/>
      <w:bookmarkStart w:id="142" w:name="_Toc123102454"/>
      <w:bookmarkStart w:id="143" w:name="_Toc29251"/>
      <w:bookmarkStart w:id="144" w:name="_Toc3601"/>
      <w:bookmarkStart w:id="145" w:name="_Toc12245"/>
      <w:bookmarkStart w:id="146" w:name="_Toc123051453"/>
      <w:bookmarkStart w:id="147" w:name="_Toc139991737"/>
      <w:bookmarkStart w:id="148" w:name="_Toc74065744"/>
      <w:bookmarkStart w:id="149" w:name="_Toc98560353"/>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79392580"/>
      <w:bookmarkStart w:id="153" w:name="_Toc15118234"/>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7058"/>
      <w:bookmarkStart w:id="158" w:name="_Toc25783"/>
      <w:bookmarkStart w:id="159" w:name="_Toc123112236"/>
      <w:bookmarkStart w:id="160" w:name="_Toc11030"/>
      <w:bookmarkStart w:id="161" w:name="_Toc139991738"/>
      <w:bookmarkStart w:id="162" w:name="_Toc4559"/>
      <w:bookmarkStart w:id="163" w:name="_Toc79154672"/>
      <w:bookmarkStart w:id="164" w:name="_Toc18567"/>
      <w:bookmarkStart w:id="165" w:name="_Toc123051454"/>
      <w:bookmarkStart w:id="166" w:name="_Toc79392583"/>
      <w:bookmarkStart w:id="167" w:name="_Toc74065745"/>
      <w:bookmarkStart w:id="168" w:name="_Toc3771"/>
      <w:bookmarkStart w:id="169" w:name="_Toc141703888"/>
      <w:bookmarkStart w:id="170" w:name="_Toc9706"/>
      <w:bookmarkStart w:id="171" w:name="_Toc123102455"/>
      <w:bookmarkStart w:id="172" w:name="_Toc98560354"/>
      <w:bookmarkStart w:id="173" w:name="_Toc176189761"/>
      <w:bookmarkStart w:id="174" w:name="_Toc6447"/>
      <w:bookmarkStart w:id="175" w:name="_Toc3321"/>
      <w:bookmarkStart w:id="176" w:name="_Toc10650"/>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123112237"/>
      <w:bookmarkStart w:id="180" w:name="_Toc3080"/>
      <w:bookmarkStart w:id="181" w:name="_Toc16164"/>
      <w:bookmarkStart w:id="182" w:name="_Toc31821"/>
      <w:bookmarkStart w:id="183" w:name="_Toc3572"/>
      <w:bookmarkStart w:id="184" w:name="_Toc74065746"/>
      <w:bookmarkStart w:id="185" w:name="_Toc79154673"/>
      <w:bookmarkStart w:id="186" w:name="_Toc18206"/>
      <w:bookmarkStart w:id="187" w:name="_Toc123051455"/>
      <w:bookmarkStart w:id="188" w:name="_Toc139991739"/>
      <w:bookmarkStart w:id="189" w:name="_Toc98560355"/>
      <w:bookmarkStart w:id="190" w:name="_Toc21735"/>
      <w:bookmarkStart w:id="191" w:name="_Toc725"/>
      <w:bookmarkStart w:id="192" w:name="_Toc176189762"/>
      <w:bookmarkStart w:id="193" w:name="_Toc141703889"/>
      <w:bookmarkStart w:id="194" w:name="_Toc123102456"/>
      <w:bookmarkStart w:id="195" w:name="_Toc10398"/>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29408"/>
      <w:bookmarkStart w:id="200" w:name="_Toc32092"/>
      <w:bookmarkStart w:id="201" w:name="_Toc123112238"/>
      <w:bookmarkStart w:id="202" w:name="_Toc3329"/>
      <w:bookmarkStart w:id="203" w:name="_Toc176189763"/>
      <w:bookmarkStart w:id="204" w:name="_Toc5170"/>
      <w:bookmarkStart w:id="205" w:name="_Toc141703890"/>
      <w:bookmarkStart w:id="206" w:name="_Toc79154674"/>
      <w:bookmarkStart w:id="207" w:name="_Toc17920"/>
      <w:bookmarkStart w:id="208" w:name="_Toc98560356"/>
      <w:bookmarkStart w:id="209" w:name="_Toc74065747"/>
      <w:bookmarkStart w:id="210" w:name="_Toc123102457"/>
      <w:bookmarkStart w:id="211" w:name="_Toc139991740"/>
      <w:bookmarkStart w:id="212" w:name="_Toc48649708"/>
      <w:bookmarkStart w:id="213" w:name="_Toc21237"/>
      <w:bookmarkStart w:id="214" w:name="_Toc17198"/>
      <w:bookmarkStart w:id="215" w:name="_Toc32584"/>
      <w:bookmarkStart w:id="216" w:name="_Toc8791"/>
      <w:bookmarkStart w:id="217" w:name="_Toc739"/>
      <w:bookmarkStart w:id="218" w:name="_Toc79392622"/>
      <w:bookmarkStart w:id="219" w:name="_Toc123051456"/>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w:t>
      </w:r>
      <w:r>
        <w:rPr>
          <w:rFonts w:hint="eastAsia" w:ascii="黑体" w:hAnsi="黑体" w:eastAsia="黑体" w:cs="宋体"/>
          <w:b/>
          <w:sz w:val="28"/>
          <w:szCs w:val="28"/>
          <w:lang w:eastAsia="zh-CN"/>
        </w:rPr>
        <w:t>安盈</w:t>
      </w:r>
      <w:r>
        <w:rPr>
          <w:rFonts w:hint="eastAsia" w:ascii="黑体" w:hAnsi="黑体" w:eastAsia="黑体" w:cs="宋体"/>
          <w:b/>
          <w:sz w:val="28"/>
          <w:szCs w:val="28"/>
        </w:rPr>
        <w:t>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w:t>
      </w:r>
      <w:r>
        <w:rPr>
          <w:rFonts w:hint="eastAsia" w:ascii="黑体" w:hAnsi="黑体" w:eastAsia="黑体" w:cs="宋体"/>
          <w:b/>
          <w:bCs/>
          <w:sz w:val="28"/>
          <w:szCs w:val="28"/>
          <w:lang w:eastAsia="zh-CN"/>
        </w:rPr>
        <w:t>安盈</w:t>
      </w:r>
      <w:r>
        <w:rPr>
          <w:rFonts w:hint="eastAsia" w:ascii="黑体" w:hAnsi="黑体" w:eastAsia="黑体" w:cs="宋体"/>
          <w:b/>
          <w:bCs/>
          <w:sz w:val="28"/>
          <w:szCs w:val="28"/>
        </w:rPr>
        <w:t>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【兴银理财稳利安盈封闭式2026年77期固收类理财产品</w:t>
      </w:r>
      <w:r>
        <w:rPr>
          <w:rFonts w:hint="eastAsia" w:cs="宋体" w:asciiTheme="majorEastAsia" w:hAnsiTheme="majorEastAsia" w:eastAsiaTheme="majorEastAsia"/>
          <w:bCs/>
          <w:kern w:val="0"/>
          <w:sz w:val="18"/>
          <w:szCs w:val="18"/>
        </w:rPr>
        <w:t>】</w:t>
      </w:r>
    </w:p>
    <w:p>
      <w:pPr>
        <w:ind w:firstLine="448" w:firstLineChars="249"/>
        <w:rPr>
          <w:rFonts w:ascii="宋体" w:hAnsi="宋体" w:cs="仿宋_GB2312"/>
          <w:kern w:val="0"/>
          <w:sz w:val="18"/>
          <w:szCs w:val="18"/>
        </w:rPr>
      </w:pPr>
      <w:r>
        <w:rPr>
          <w:rFonts w:ascii="宋体" w:hAnsi="宋体" w:eastAsia="宋体" w:cs="宋体"/>
          <w:sz w:val="18"/>
          <w:szCs w:val="22"/>
        </w:rPr>
        <w:t>销售名称：【稳利安盈封闭式2026年77期A】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【稳利安盈封闭式2026年77期B】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【稳利安盈封闭式2026年77期C】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【稳利安盈封闭式2026年77期D】 (适用【D】类份额)</w:t>
      </w: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Z7002026000261</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■有固定期限:【203天】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】（产品管理人定义的产品风险评级为【R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】；代理销售机构定义的产品风险评级为【R</w:t>
      </w:r>
      <w:r>
        <w:rPr>
          <w:rFonts w:hint="eastAsia" w:ascii="黑体" w:hAnsi="黑体" w:eastAsia="黑体" w:cs="黑体"/>
          <w:kern w:val="0"/>
          <w:sz w:val="18"/>
          <w:szCs w:val="18"/>
          <w:lang w:val="en-US" w:eastAsia="zh-CN"/>
        </w:rPr>
        <w:t>1</w:t>
      </w:r>
      <w:r>
        <w:rPr>
          <w:rFonts w:hint="eastAsia" w:ascii="黑体" w:hAnsi="黑体" w:eastAsia="黑体" w:cs="黑体"/>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 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bookmarkStart w:id="222" w:name="_GoBack"/>
      <w:bookmarkEnd w:id="222"/>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w:t>
      </w:r>
      <w:r>
        <w:rPr>
          <w:rStyle w:val="10"/>
          <w:rFonts w:hint="eastAsia" w:ascii="黑体" w:hAnsi="黑体" w:eastAsia="黑体" w:cstheme="minorBidi"/>
          <w:sz w:val="28"/>
          <w:szCs w:val="28"/>
          <w:lang w:eastAsia="zh-CN"/>
        </w:rPr>
        <w:t>安盈</w:t>
      </w:r>
      <w:r>
        <w:rPr>
          <w:rStyle w:val="10"/>
          <w:rFonts w:hint="eastAsia" w:ascii="黑体" w:hAnsi="黑体" w:eastAsia="黑体" w:cstheme="minorBidi"/>
          <w:sz w:val="28"/>
          <w:szCs w:val="28"/>
        </w:rPr>
        <w:t>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5F3C35"/>
    <w:rsid w:val="1DB27336"/>
    <w:rsid w:val="2BBE5BA7"/>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69</Pages>
  <Words>44519</Words>
  <Characters>45324</Characters>
  <Lines>0</Lines>
  <Paragraphs>0</Paragraphs>
  <TotalTime>0</TotalTime>
  <ScaleCrop>false</ScaleCrop>
  <LinksUpToDate>false</LinksUpToDate>
  <CharactersWithSpaces>45934</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04142F143786437F831B5E79D57DE0C5</vt:lpwstr>
  </property>
</Properties>
</file>