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稳利安盈封闭式</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稳利安盈封闭式</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39991726"/>
      <w:bookmarkStart w:id="1" w:name="_Toc123112224"/>
      <w:bookmarkStart w:id="2" w:name="_Toc123112263"/>
      <w:bookmarkStart w:id="3" w:name="_Toc139992301"/>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701384"/>
      <w:bookmarkStart w:id="6" w:name="_Toc139991727"/>
      <w:bookmarkStart w:id="7" w:name="_Toc139992302"/>
      <w:bookmarkStart w:id="8" w:name="_Toc123112264"/>
      <w:bookmarkStart w:id="9" w:name="_Toc123112225"/>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【2026】年【2】月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112227"/>
      <w:bookmarkStart w:id="12" w:name="_Toc123701386"/>
      <w:bookmarkStart w:id="13" w:name="_Toc12311226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【兴银理财稳利安盈封闭式2026年407期固收类理财产品】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【稳利安盈2026年407期（迎春款）A】 (适用【A】类份额)</w:t>
            </w:r>
            <w:r>
              <w:rPr>
                <w:rFonts w:ascii="宋体" w:hAnsi="宋体" w:eastAsia="宋体" w:cs="宋体"/>
                <w:sz w:val="18"/>
              </w:rPr>
              <w:br w:type="textWrapping"/>
            </w:r>
            <w:r>
              <w:rPr>
                <w:rFonts w:ascii="宋体" w:hAnsi="宋体" w:eastAsia="宋体" w:cs="宋体"/>
                <w:sz w:val="18"/>
              </w:rPr>
              <w:t>【稳利安盈2026年407期（迎春款）C】 (适用【C】类份额)</w:t>
            </w:r>
            <w:r>
              <w:rPr>
                <w:rFonts w:ascii="宋体" w:hAnsi="宋体" w:eastAsia="宋体" w:cs="宋体"/>
                <w:sz w:val="18"/>
              </w:rPr>
              <w:br w:type="textWrapping"/>
            </w:r>
            <w:r>
              <w:rPr>
                <w:rFonts w:ascii="宋体" w:hAnsi="宋体" w:eastAsia="宋体" w:cs="宋体"/>
                <w:sz w:val="18"/>
              </w:rPr>
              <w:t>【稳利安盈2026年407期（迎春款）D】 (适用【D】类份额)</w:t>
            </w:r>
            <w:r>
              <w:rPr>
                <w:rFonts w:ascii="宋体" w:hAnsi="宋体" w:eastAsia="宋体" w:cs="宋体"/>
                <w:sz w:val="18"/>
              </w:rPr>
              <w:br w:type="textWrapping"/>
            </w:r>
            <w:r>
              <w:rPr>
                <w:rFonts w:ascii="宋体" w:hAnsi="宋体" w:eastAsia="宋体" w:cs="宋体"/>
                <w:sz w:val="18"/>
              </w:rPr>
              <w:t>【稳利安盈2026年407期（迎春款）E】 (适用【E】类份额)</w:t>
            </w:r>
            <w:r>
              <w:rPr>
                <w:rFonts w:ascii="宋体" w:hAnsi="宋体" w:eastAsia="宋体" w:cs="宋体"/>
                <w:sz w:val="18"/>
              </w:rPr>
              <w:br w:type="textWrapping"/>
            </w:r>
            <w:r>
              <w:rPr>
                <w:rFonts w:ascii="宋体" w:hAnsi="宋体" w:eastAsia="宋体" w:cs="宋体"/>
                <w:sz w:val="18"/>
              </w:rPr>
              <w:t>【稳利安盈2026年407期（迎春款）F】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Theme="majorEastAsia" w:hAnsiTheme="majorEastAsia" w:eastAsiaTheme="majorEastAsia"/>
                <w:color w:val="auto"/>
                <w:sz w:val="18"/>
                <w:szCs w:val="18"/>
                <w:highlight w:val="none"/>
              </w:rPr>
              <w:t>【</w:t>
            </w:r>
            <w:r>
              <w:rPr>
                <w:rFonts w:hint="eastAsia" w:asciiTheme="majorEastAsia" w:hAnsiTheme="majorEastAsia" w:eastAsiaTheme="majorEastAsia"/>
                <w:color w:val="auto"/>
                <w:sz w:val="18"/>
                <w:szCs w:val="18"/>
                <w:highlight w:val="none"/>
                <w:lang w:val="en-US" w:eastAsia="zh-CN"/>
              </w:rPr>
              <w:t>Z7002026000221</w:t>
            </w:r>
            <w:r>
              <w:rPr>
                <w:rFonts w:hint="eastAsia" w:asciiTheme="majorEastAsia" w:hAnsiTheme="majorEastAsia" w:eastAsiaTheme="majorEastAsia"/>
                <w:color w:val="auto"/>
                <w:sz w:val="18"/>
                <w:szCs w:val="18"/>
                <w:highlight w:val="none"/>
              </w:rPr>
              <w:t>】</w:t>
            </w:r>
            <w:r>
              <w:rPr>
                <w:rFonts w:hint="eastAsia" w:ascii="宋体" w:hAnsi="宋体"/>
                <w:bCs/>
                <w:sz w:val="18"/>
                <w:szCs w:val="18"/>
              </w:rPr>
              <w:t>注：投资者可依据理财产品登记编码在中国理财网查询产品信息</w:t>
            </w:r>
            <w:r>
              <w:rPr>
                <w:rFonts w:hint="default"/>
                <w:szCs w:val="20"/>
              </w:rPr>
              <w:fldChar w:fldCharType="begin"/>
            </w:r>
            <w:r>
              <w:rPr>
                <w:rFonts w:hint="default"/>
                <w:szCs w:val="20"/>
              </w:rPr>
              <w:instrText xml:space="preserve"> HYPERLINK "http://www.chinawealth.com.cn" </w:instrText>
            </w:r>
            <w:r>
              <w:rPr>
                <w:rFonts w:hint="default"/>
                <w:szCs w:val="20"/>
              </w:rPr>
              <w:fldChar w:fldCharType="separate"/>
            </w:r>
            <w:r>
              <w:rPr>
                <w:rFonts w:hint="default" w:ascii="宋体" w:hAnsi="宋体"/>
                <w:bCs/>
                <w:sz w:val="18"/>
                <w:szCs w:val="18"/>
              </w:rPr>
              <w:t>www.chinawealth.com.cn</w:t>
            </w:r>
            <w:r>
              <w:rPr>
                <w:rFonts w:hint="default" w:ascii="宋体" w:hAnsi="宋体"/>
                <w:bCs/>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【9A264070】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【9A26407A】 (适用【A】类份额)</w:t>
            </w:r>
            <w:r>
              <w:rPr>
                <w:rFonts w:ascii="宋体" w:hAnsi="宋体" w:eastAsia="宋体" w:cs="宋体"/>
                <w:sz w:val="18"/>
              </w:rPr>
              <w:br w:type="textWrapping"/>
            </w:r>
            <w:r>
              <w:rPr>
                <w:rFonts w:ascii="宋体" w:hAnsi="宋体" w:eastAsia="宋体" w:cs="宋体"/>
                <w:sz w:val="18"/>
              </w:rPr>
              <w:t>【9A26407C】 (适用【C】类份额)</w:t>
            </w:r>
            <w:r>
              <w:rPr>
                <w:rFonts w:ascii="宋体" w:hAnsi="宋体" w:eastAsia="宋体" w:cs="宋体"/>
                <w:sz w:val="18"/>
              </w:rPr>
              <w:br w:type="textWrapping"/>
            </w:r>
            <w:r>
              <w:rPr>
                <w:rFonts w:ascii="宋体" w:hAnsi="宋体" w:eastAsia="宋体" w:cs="宋体"/>
                <w:sz w:val="18"/>
              </w:rPr>
              <w:t>【9A26407D】 (适用【D】类份额)</w:t>
            </w:r>
            <w:r>
              <w:rPr>
                <w:rFonts w:ascii="宋体" w:hAnsi="宋体" w:eastAsia="宋体" w:cs="宋体"/>
                <w:sz w:val="18"/>
              </w:rPr>
              <w:br w:type="textWrapping"/>
            </w:r>
            <w:r>
              <w:rPr>
                <w:rFonts w:ascii="宋体" w:hAnsi="宋体" w:eastAsia="宋体" w:cs="宋体"/>
                <w:sz w:val="18"/>
              </w:rPr>
              <w:t>【9A26407E】 (适用【E】类份额)</w:t>
            </w:r>
            <w:r>
              <w:rPr>
                <w:rFonts w:ascii="宋体" w:hAnsi="宋体" w:eastAsia="宋体" w:cs="宋体"/>
                <w:sz w:val="18"/>
              </w:rPr>
              <w:br w:type="textWrapping"/>
            </w:r>
            <w:r>
              <w:rPr>
                <w:rFonts w:ascii="宋体" w:hAnsi="宋体" w:eastAsia="宋体" w:cs="宋体"/>
                <w:sz w:val="18"/>
              </w:rPr>
              <w:t>【9A26407F】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5517"/>
      <w:bookmarkStart w:id="15" w:name="_Toc141703880"/>
      <w:bookmarkStart w:id="16" w:name="_Toc6306"/>
      <w:bookmarkStart w:id="17" w:name="_Toc123112229"/>
      <w:bookmarkStart w:id="18" w:name="_Toc123701389"/>
      <w:bookmarkStart w:id="19" w:name="_Toc123112268"/>
      <w:bookmarkStart w:id="20" w:name="_Toc4867"/>
      <w:bookmarkStart w:id="21" w:name="_Toc23386"/>
      <w:bookmarkStart w:id="22" w:name="_Toc8727"/>
      <w:bookmarkStart w:id="23" w:name="_Toc30935"/>
      <w:bookmarkStart w:id="24" w:name="_Toc29629"/>
      <w:bookmarkStart w:id="25" w:name="_Toc32639"/>
      <w:bookmarkStart w:id="26" w:name="_Toc4966"/>
      <w:bookmarkStart w:id="27" w:name="_Toc26897"/>
      <w:bookmarkStart w:id="28" w:name="_Toc139991730"/>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2864"/>
      <w:bookmarkStart w:id="33" w:name="_Toc13020"/>
      <w:bookmarkStart w:id="34" w:name="_Toc258829399"/>
      <w:bookmarkStart w:id="35" w:name="_Toc19592"/>
      <w:bookmarkStart w:id="36" w:name="_Toc2465"/>
      <w:bookmarkStart w:id="37" w:name="_Toc21301"/>
      <w:bookmarkStart w:id="38" w:name="_Toc15067"/>
      <w:bookmarkStart w:id="39" w:name="_Toc819"/>
      <w:bookmarkStart w:id="40" w:name="_Toc24860"/>
      <w:bookmarkStart w:id="41" w:name="_Toc3224"/>
      <w:bookmarkStart w:id="42" w:name="_Toc6617"/>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6683"/>
      <w:bookmarkStart w:id="48" w:name="_Toc20627"/>
      <w:bookmarkStart w:id="49" w:name="_Toc13288"/>
      <w:bookmarkStart w:id="50" w:name="_Toc545"/>
      <w:bookmarkStart w:id="51" w:name="_Toc74065740"/>
      <w:bookmarkStart w:id="52" w:name="_Toc18631"/>
      <w:bookmarkStart w:id="53" w:name="_Toc733"/>
      <w:bookmarkStart w:id="54" w:name="_Toc6149"/>
      <w:bookmarkStart w:id="55" w:name="_Toc20318"/>
      <w:bookmarkStart w:id="56" w:name="_Toc24571"/>
      <w:bookmarkStart w:id="57" w:name="_Toc22708"/>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w:t>
      </w:r>
      <w:r>
        <w:rPr>
          <w:rFonts w:hint="eastAsia" w:ascii="黑体" w:hAnsi="黑体" w:eastAsia="黑体"/>
          <w:b/>
          <w:bCs/>
          <w:sz w:val="44"/>
          <w:szCs w:val="44"/>
          <w:lang w:val="en-US" w:eastAsia="zh-CN"/>
        </w:rPr>
        <w:t>稳利安盈封闭式</w:t>
      </w:r>
      <w:r>
        <w:rPr>
          <w:rFonts w:hint="eastAsia" w:ascii="黑体" w:hAnsi="黑体" w:eastAsia="黑体"/>
          <w:b/>
          <w:bCs/>
          <w:sz w:val="44"/>
          <w:szCs w:val="44"/>
        </w:rPr>
        <w:t>】理财产品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【2026】年【2】月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50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kern w:val="0"/>
                <w:sz w:val="18"/>
                <w:szCs w:val="18"/>
                <w:lang w:val="en-US" w:eastAsia="zh-CN" w:bidi="ar"/>
              </w:rPr>
              <w:t>【兴银理财稳利安盈封闭式2026年407期固收类理财产品】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cs="宋体"/>
                <w:kern w:val="0"/>
                <w:sz w:val="22"/>
                <w:szCs w:val="22"/>
              </w:rPr>
            </w:pPr>
            <w:r>
              <w:rPr>
                <w:rFonts w:hint="default" w:ascii="宋体" w:hAnsi="宋体" w:eastAsia="宋体" w:cs="宋体"/>
                <w:sz w:val="18"/>
                <w:szCs w:val="22"/>
              </w:rPr>
              <w:t>【稳利安盈2026年407期（迎春款）A】 (适用【A】类份额)</w:t>
            </w:r>
            <w:r>
              <w:rPr>
                <w:rFonts w:hint="default" w:ascii="宋体" w:hAnsi="宋体" w:eastAsia="宋体" w:cs="宋体"/>
                <w:sz w:val="18"/>
                <w:szCs w:val="22"/>
              </w:rPr>
              <w:br w:type="textWrapping"/>
            </w:r>
            <w:r>
              <w:rPr>
                <w:rFonts w:hint="default" w:ascii="宋体" w:hAnsi="宋体" w:eastAsia="宋体" w:cs="宋体"/>
                <w:sz w:val="18"/>
                <w:szCs w:val="22"/>
              </w:rPr>
              <w:t>【稳利安盈2026年407期（迎春款）C】 (适用【C】类份额)</w:t>
            </w:r>
            <w:r>
              <w:rPr>
                <w:rFonts w:hint="default" w:ascii="宋体" w:hAnsi="宋体" w:eastAsia="宋体" w:cs="宋体"/>
                <w:sz w:val="18"/>
                <w:szCs w:val="22"/>
              </w:rPr>
              <w:br w:type="textWrapping"/>
            </w:r>
            <w:r>
              <w:rPr>
                <w:rFonts w:hint="default" w:ascii="宋体" w:hAnsi="宋体" w:eastAsia="宋体" w:cs="宋体"/>
                <w:sz w:val="18"/>
                <w:szCs w:val="22"/>
              </w:rPr>
              <w:t>【稳利安盈2026年407期（迎春款）D】 (适用【D】类份额)</w:t>
            </w:r>
            <w:r>
              <w:rPr>
                <w:rFonts w:hint="default" w:ascii="宋体" w:hAnsi="宋体" w:eastAsia="宋体" w:cs="宋体"/>
                <w:sz w:val="18"/>
                <w:szCs w:val="22"/>
              </w:rPr>
              <w:br w:type="textWrapping"/>
            </w:r>
            <w:r>
              <w:rPr>
                <w:rFonts w:hint="default" w:ascii="宋体" w:hAnsi="宋体" w:eastAsia="宋体" w:cs="宋体"/>
                <w:sz w:val="18"/>
                <w:szCs w:val="22"/>
              </w:rPr>
              <w:t>【稳利安盈2026年407期（迎春款）E】 (适用【E】类份额)</w:t>
            </w:r>
            <w:r>
              <w:rPr>
                <w:rFonts w:hint="default" w:ascii="宋体" w:hAnsi="宋体" w:eastAsia="宋体" w:cs="宋体"/>
                <w:sz w:val="18"/>
                <w:szCs w:val="22"/>
              </w:rPr>
              <w:br w:type="textWrapping"/>
            </w:r>
            <w:r>
              <w:rPr>
                <w:rFonts w:hint="default" w:ascii="宋体" w:hAnsi="宋体" w:eastAsia="宋体" w:cs="宋体"/>
                <w:sz w:val="18"/>
                <w:szCs w:val="22"/>
              </w:rPr>
              <w:t>【稳利安盈2026年407期（迎春款）F】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sz w:val="18"/>
                <w:szCs w:val="18"/>
              </w:rPr>
              <w:t>【</w:t>
            </w:r>
            <w:r>
              <w:rPr>
                <w:rFonts w:hint="eastAsia" w:ascii="宋体" w:hAnsi="宋体" w:cs="宋体"/>
                <w:sz w:val="18"/>
                <w:szCs w:val="18"/>
                <w:lang w:val="en-US" w:eastAsia="zh-CN"/>
              </w:rPr>
              <w:t>Z7002026000221</w:t>
            </w:r>
            <w:r>
              <w:rPr>
                <w:rFonts w:hint="eastAsia" w:ascii="宋体" w:hAnsi="宋体" w:cs="宋体"/>
                <w:sz w:val="18"/>
                <w:szCs w:val="18"/>
              </w:rPr>
              <w:t>】</w:t>
            </w:r>
            <w:r>
              <w:rPr>
                <w:rFonts w:hint="eastAsia" w:ascii="宋体" w:hAnsi="宋体" w:eastAsia="宋体" w:cs="宋体"/>
                <w:sz w:val="18"/>
                <w:szCs w:val="18"/>
              </w:rPr>
              <w:t>投资者可依据理财产品登记编码在中国理财网</w:t>
            </w:r>
            <w:r>
              <w:rPr>
                <w:rFonts w:hint="default" w:ascii="宋体" w:hAnsi="宋体" w:eastAsia="宋体" w:cs="宋体"/>
                <w:sz w:val="18"/>
                <w:szCs w:val="18"/>
              </w:rPr>
              <w:t>(</w:t>
            </w:r>
            <w:r>
              <w:rPr>
                <w:rFonts w:hint="default" w:ascii="Calibri" w:hAnsi="Calibri" w:cs="宋体"/>
                <w:szCs w:val="22"/>
              </w:rPr>
              <w:fldChar w:fldCharType="begin"/>
            </w:r>
            <w:r>
              <w:rPr>
                <w:rFonts w:hint="default" w:ascii="Calibri" w:hAnsi="Calibri" w:cs="宋体"/>
                <w:szCs w:val="22"/>
              </w:rPr>
              <w:instrText xml:space="preserve"> HYPERLINK "http://www.chinawealth.com.cn" </w:instrText>
            </w:r>
            <w:r>
              <w:rPr>
                <w:rFonts w:hint="default" w:ascii="Calibri" w:hAnsi="Calibri" w:cs="宋体"/>
                <w:szCs w:val="22"/>
              </w:rPr>
              <w:fldChar w:fldCharType="separate"/>
            </w:r>
            <w:r>
              <w:rPr>
                <w:rFonts w:hint="default" w:ascii="宋体" w:hAnsi="宋体" w:eastAsia="宋体" w:cs="宋体"/>
                <w:sz w:val="18"/>
                <w:szCs w:val="18"/>
              </w:rPr>
              <w:t>www.chinawealth.com.cn</w:t>
            </w:r>
            <w:r>
              <w:rPr>
                <w:rFonts w:hint="default" w:ascii="宋体" w:hAnsi="宋体" w:eastAsia="宋体" w:cs="宋体"/>
                <w:sz w:val="18"/>
                <w:szCs w:val="18"/>
              </w:rPr>
              <w:fldChar w:fldCharType="end"/>
            </w:r>
            <w:r>
              <w:rPr>
                <w:rFonts w:hint="default" w:ascii="宋体" w:hAnsi="宋体" w:eastAsia="宋体" w:cs="宋体"/>
                <w:sz w:val="18"/>
                <w:szCs w:val="18"/>
              </w:rPr>
              <w:t>）</w:t>
            </w:r>
            <w:r>
              <w:rPr>
                <w:rFonts w:hint="eastAsia" w:ascii="宋体" w:hAnsi="宋体" w:eastAsia="宋体" w:cs="宋体"/>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color w:val="000000"/>
                <w:kern w:val="2"/>
                <w:sz w:val="18"/>
                <w:szCs w:val="18"/>
                <w:lang w:val="en-US" w:eastAsia="zh-CN" w:bidi="ar"/>
              </w:rPr>
              <w:t>【9A264070】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Calibri" w:hAnsi="宋体" w:cs="宋体"/>
                <w:sz w:val="18"/>
                <w:szCs w:val="18"/>
              </w:rPr>
            </w:pPr>
            <w:r>
              <w:rPr>
                <w:rFonts w:hint="default" w:ascii="宋体" w:hAnsi="宋体" w:eastAsia="宋体" w:cs="宋体"/>
                <w:sz w:val="18"/>
                <w:szCs w:val="22"/>
              </w:rPr>
              <w:t>【9A26407A】 (适用【A】类份额)</w:t>
            </w:r>
            <w:r>
              <w:rPr>
                <w:rFonts w:hint="default" w:ascii="宋体" w:hAnsi="宋体" w:eastAsia="宋体" w:cs="宋体"/>
                <w:sz w:val="18"/>
                <w:szCs w:val="22"/>
              </w:rPr>
              <w:br w:type="textWrapping"/>
            </w:r>
            <w:r>
              <w:rPr>
                <w:rFonts w:hint="default" w:ascii="宋体" w:hAnsi="宋体" w:eastAsia="宋体" w:cs="宋体"/>
                <w:sz w:val="18"/>
                <w:szCs w:val="22"/>
              </w:rPr>
              <w:t>【9A26407C】 (适用【C】类份额)</w:t>
            </w:r>
            <w:r>
              <w:rPr>
                <w:rFonts w:hint="default" w:ascii="宋体" w:hAnsi="宋体" w:eastAsia="宋体" w:cs="宋体"/>
                <w:sz w:val="18"/>
                <w:szCs w:val="22"/>
              </w:rPr>
              <w:br w:type="textWrapping"/>
            </w:r>
            <w:r>
              <w:rPr>
                <w:rFonts w:hint="default" w:ascii="宋体" w:hAnsi="宋体" w:eastAsia="宋体" w:cs="宋体"/>
                <w:sz w:val="18"/>
                <w:szCs w:val="22"/>
              </w:rPr>
              <w:t>【9A26407D】 (适用【D】类份额)</w:t>
            </w:r>
            <w:r>
              <w:rPr>
                <w:rFonts w:hint="default" w:ascii="宋体" w:hAnsi="宋体" w:eastAsia="宋体" w:cs="宋体"/>
                <w:sz w:val="18"/>
                <w:szCs w:val="22"/>
              </w:rPr>
              <w:br w:type="textWrapping"/>
            </w:r>
            <w:r>
              <w:rPr>
                <w:rFonts w:hint="default" w:ascii="宋体" w:hAnsi="宋体" w:eastAsia="宋体" w:cs="宋体"/>
                <w:sz w:val="18"/>
                <w:szCs w:val="22"/>
              </w:rPr>
              <w:t>【9A26407E】 (适用【E】类份额)</w:t>
            </w:r>
            <w:r>
              <w:rPr>
                <w:rFonts w:hint="default" w:ascii="宋体" w:hAnsi="宋体" w:eastAsia="宋体" w:cs="宋体"/>
                <w:sz w:val="18"/>
                <w:szCs w:val="22"/>
              </w:rPr>
              <w:br w:type="textWrapping"/>
            </w:r>
            <w:r>
              <w:rPr>
                <w:rFonts w:hint="default" w:ascii="宋体" w:hAnsi="宋体" w:eastAsia="宋体" w:cs="宋体"/>
                <w:sz w:val="18"/>
                <w:szCs w:val="22"/>
              </w:rPr>
              <w:t>【9A26407F】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w:t>
            </w:r>
            <w:r>
              <w:rPr>
                <w:rFonts w:hint="eastAsia" w:ascii="黑体" w:hAnsi="黑体" w:eastAsia="黑体" w:cs="黑体"/>
                <w:bCs/>
                <w:sz w:val="18"/>
                <w:szCs w:val="18"/>
                <w:lang w:val="en-US" w:eastAsia="zh-CN"/>
              </w:rPr>
              <w:t>■ R1、□ R2、□ R3、□ R4、□ R5</w:t>
            </w:r>
            <w:r>
              <w:rPr>
                <w:rFonts w:hint="eastAsia" w:ascii="黑体" w:hAnsi="黑体" w:eastAsia="黑体" w:cs="黑体"/>
                <w:bCs/>
                <w:sz w:val="18"/>
                <w:szCs w:val="18"/>
              </w:rPr>
              <w:t>】理财产品。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本产品适合以下类型投资者：(适用【A</w:t>
            </w:r>
            <w:r>
              <w:rPr>
                <w:rFonts w:hint="eastAsia" w:ascii="宋体" w:hAnsi="宋体" w:eastAsia="宋体" w:cs="宋体"/>
                <w:bCs/>
                <w:color w:val="000000"/>
                <w:sz w:val="18"/>
                <w:szCs w:val="18"/>
                <w:lang w:val="en-US" w:eastAsia="zh-CN"/>
              </w:rPr>
              <w:t>/C/D/E/F</w:t>
            </w:r>
            <w:r>
              <w:rPr>
                <w:rFonts w:hint="default" w:ascii="宋体" w:hAnsi="宋体" w:eastAsia="宋体" w:cs="宋体"/>
                <w:bCs/>
                <w:color w:val="000000"/>
                <w:sz w:val="18"/>
                <w:szCs w:val="18"/>
              </w:rPr>
              <w:t>】类份额)</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eastAsia" w:ascii="宋体" w:hAnsi="宋体" w:cs="宋体"/>
                <w:sz w:val="18"/>
                <w:szCs w:val="18"/>
              </w:rPr>
            </w:pPr>
            <w:r>
              <w:rPr>
                <w:rFonts w:hint="eastAsia" w:ascii="宋体" w:hAnsi="宋体" w:cs="宋体"/>
                <w:sz w:val="18"/>
                <w:szCs w:val="18"/>
              </w:rPr>
              <w:t>■</w:t>
            </w:r>
            <w:r>
              <w:rPr>
                <w:rFonts w:hint="eastAsia" w:ascii="宋体" w:hAnsi="宋体" w:cs="宋体"/>
                <w:sz w:val="18"/>
                <w:szCs w:val="18"/>
                <w:lang w:val="en-US" w:eastAsia="zh-CN"/>
              </w:rPr>
              <w:t xml:space="preserve"> </w:t>
            </w:r>
            <w:r>
              <w:rPr>
                <w:rFonts w:hint="eastAsia" w:ascii="宋体" w:hAnsi="宋体" w:cs="宋体"/>
                <w:sz w:val="18"/>
                <w:szCs w:val="18"/>
              </w:rPr>
              <w:t>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rPr>
              <w:t>1.本产品计划初始募集规模为【</w:t>
            </w:r>
            <w:r>
              <w:rPr>
                <w:rFonts w:hint="eastAsia" w:ascii="宋体" w:hAnsi="宋体" w:eastAsia="宋体" w:cs="宋体"/>
                <w:bCs/>
                <w:sz w:val="18"/>
                <w:szCs w:val="18"/>
                <w:lang w:val="en-US" w:eastAsia="zh-CN"/>
              </w:rPr>
              <w:t>6</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lang w:val="en-US" w:eastAsia="zh-CN"/>
              </w:rPr>
            </w:pPr>
            <w:r>
              <w:rPr>
                <w:rFonts w:hint="eastAsia" w:ascii="宋体" w:hAnsi="宋体" w:eastAsia="宋体" w:cs="宋体"/>
                <w:bCs/>
                <w:sz w:val="18"/>
                <w:szCs w:val="18"/>
                <w:lang w:val="en-US" w:eastAsia="zh-CN"/>
              </w:rPr>
              <w:t>■有固定期限:【428天】</w:t>
            </w:r>
          </w:p>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lang w:val="en-US" w:eastAsia="zh-CN"/>
              </w:rPr>
            </w:pPr>
            <w:r>
              <w:rPr>
                <w:rFonts w:hint="eastAsia" w:ascii="宋体" w:hAnsi="宋体" w:eastAsia="宋体" w:cs="宋体"/>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cs="Times New Roman"/>
                <w:sz w:val="18"/>
                <w:szCs w:val="18"/>
                <w:lang w:val="en-US" w:eastAsia="zh-CN"/>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【2026年02月26日】【09:00】至【2026年03月10日】【17:00】。</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lang w:val="en-US" w:eastAsia="zh-CN"/>
              </w:rPr>
              <w:t>【2026年03月11日】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lang w:val="en-US" w:eastAsia="zh-CN"/>
              </w:rPr>
              <w:t>【2027年05月13日】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rPr>
            </w:pPr>
            <w:r>
              <w:rPr>
                <w:rFonts w:hint="default" w:ascii="宋体" w:hAnsi="宋体" w:eastAsia="宋体" w:cs="宋体"/>
                <w:sz w:val="18"/>
                <w:szCs w:val="22"/>
              </w:rPr>
              <w:t>每笔购买起点金额为【1】元; 超出起点金额的部分以【0.01】元的整数倍递增。（适用【A】类份额)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超出起点金额的部分以【0.01】元的整数倍递增。（适用【D】类份额)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超出起点金额的部分以【0.01】元的整数倍递增。（适用【E】类份额)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超出起点金额的部分以【0.01】元的整数倍递增。（适用【F】类份额)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default" w:ascii="宋体" w:hAnsi="宋体" w:eastAsia="宋体" w:cs="宋体"/>
                <w:color w:val="000000"/>
                <w:sz w:val="18"/>
                <w:szCs w:val="24"/>
                <w:lang w:val="en-US" w:eastAsia="zh-CN" w:bidi="ar-SA"/>
              </w:rPr>
              <w:t>认购的数量限制</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（1）单一投资者认购上限为【/】元。（适用【A】类份额)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单一投资者认购上限为【/】元。（适用【E】类份额)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单一投资者认购上限为【/】元。（适用【F】类份额)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（2）产品存续期间，单一投资者最高持有份额上限为【/】份，符合产品管理人流动性管理的稳定资金除外。（适用【A】类份额)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产品存续期间，单一投资者最高持有份额上限为【/】份，符合产品管理人流动性管理的稳定资金除外。（适用【E】类份额)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产品存续期间，单一投资者最高持有份额上限为【/】份，符合产品管理人流动性管理的稳定资金除外。（适用【F】类份额)</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 xml:space="preserve">如需突破上限，请与产品管理人或销售机构客户经理联系。 </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注</w:t>
            </w:r>
            <w:r>
              <w:rPr>
                <w:rFonts w:hint="default" w:ascii="黑体" w:hAnsi="黑体" w:eastAsia="黑体" w:cs="宋体"/>
                <w:color w:val="000000"/>
                <w:sz w:val="18"/>
                <w:szCs w:val="18"/>
                <w:lang w:val="en-US" w:eastAsia="zh-CN" w:bidi="ar-SA"/>
              </w:rPr>
              <w:t>：</w:t>
            </w:r>
            <w:r>
              <w:rPr>
                <w:rFonts w:hint="eastAsia" w:ascii="黑体" w:hAnsi="黑体" w:eastAsia="黑体" w:cs="宋体"/>
                <w:color w:val="000000"/>
                <w:sz w:val="18"/>
                <w:szCs w:val="18"/>
                <w:lang w:val="en-US" w:eastAsia="zh-CN" w:bidi="ar-SA"/>
              </w:rPr>
              <w:t>本产品单一投资者持有份额不得超过产品总份额</w:t>
            </w:r>
            <w:r>
              <w:rPr>
                <w:rFonts w:hint="default" w:ascii="黑体" w:hAnsi="黑体" w:eastAsia="黑体" w:cs="宋体"/>
                <w:color w:val="000000"/>
                <w:sz w:val="18"/>
                <w:szCs w:val="18"/>
                <w:lang w:val="en-US" w:eastAsia="zh-CN" w:bidi="ar-SA"/>
              </w:rPr>
              <w:t>50%。</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w:t>
            </w:r>
            <w:r>
              <w:rPr>
                <w:rFonts w:hint="default" w:ascii="黑体" w:hAnsi="黑体" w:eastAsia="黑体" w:cs="宋体"/>
                <w:color w:val="000000"/>
                <w:sz w:val="18"/>
                <w:szCs w:val="18"/>
                <w:lang w:val="en-US" w:eastAsia="zh-CN" w:bidi="ar-SA"/>
              </w:rPr>
              <w:t>1）投资者认购或申购确认后可能导致其持有份额超过产品总份额50%的，管理人有权拒绝或暂停认购、申购。</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eastAsia" w:ascii="黑体" w:hAnsi="黑体" w:eastAsia="黑体" w:cs="宋体"/>
                <w:color w:val="000000"/>
                <w:sz w:val="18"/>
                <w:szCs w:val="18"/>
              </w:rPr>
              <w:t>（</w:t>
            </w:r>
            <w:r>
              <w:rPr>
                <w:rFonts w:hint="default" w:ascii="黑体" w:hAnsi="黑体" w:eastAsia="黑体" w:cs="宋体"/>
                <w:color w:val="000000"/>
                <w:sz w:val="18"/>
                <w:szCs w:val="18"/>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（1）业绩比较基准的说明：【产品投资债权类资产不低于80%，根据当前市场环境下大类资产合理配置比例及大类资产收益情况，考虑杠杆和费率等因素，并结合产品投资策略，设定业绩比较基准。】。</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年化【2.15%】。（适用【A】类份额)</w:t>
            </w:r>
            <w:r>
              <w:rPr>
                <w:rFonts w:hint="default" w:ascii="宋体" w:hAnsi="宋体" w:eastAsia="宋体" w:cs="宋体"/>
                <w:sz w:val="18"/>
                <w:szCs w:val="22"/>
              </w:rPr>
              <w:br w:type="textWrapping"/>
            </w:r>
            <w:r>
              <w:rPr>
                <w:rFonts w:hint="default" w:ascii="宋体" w:hAnsi="宋体" w:eastAsia="宋体" w:cs="宋体"/>
                <w:sz w:val="18"/>
                <w:szCs w:val="22"/>
              </w:rPr>
              <w:t>年化【2.16%】。（适用【C】类份额)</w:t>
            </w:r>
            <w:r>
              <w:rPr>
                <w:rFonts w:hint="default" w:ascii="宋体" w:hAnsi="宋体" w:eastAsia="宋体" w:cs="宋体"/>
                <w:sz w:val="18"/>
                <w:szCs w:val="22"/>
              </w:rPr>
              <w:br w:type="textWrapping"/>
            </w:r>
            <w:r>
              <w:rPr>
                <w:rFonts w:hint="default" w:ascii="宋体" w:hAnsi="宋体" w:eastAsia="宋体" w:cs="宋体"/>
                <w:sz w:val="18"/>
                <w:szCs w:val="22"/>
              </w:rPr>
              <w:t>年化【2.11%】。（适用【D】类份额)</w:t>
            </w:r>
            <w:r>
              <w:rPr>
                <w:rFonts w:hint="default" w:ascii="宋体" w:hAnsi="宋体" w:eastAsia="宋体" w:cs="宋体"/>
                <w:sz w:val="18"/>
                <w:szCs w:val="22"/>
              </w:rPr>
              <w:br w:type="textWrapping"/>
            </w:r>
            <w:r>
              <w:rPr>
                <w:rFonts w:hint="default" w:ascii="宋体" w:hAnsi="宋体" w:eastAsia="宋体" w:cs="宋体"/>
                <w:sz w:val="18"/>
                <w:szCs w:val="22"/>
              </w:rPr>
              <w:t>年化【2.06%】。（适用【E】类份额)</w:t>
            </w:r>
            <w:r>
              <w:rPr>
                <w:rFonts w:hint="default" w:ascii="宋体" w:hAnsi="宋体" w:eastAsia="宋体" w:cs="宋体"/>
                <w:sz w:val="18"/>
                <w:szCs w:val="22"/>
              </w:rPr>
              <w:br w:type="textWrapping"/>
            </w:r>
            <w:r>
              <w:rPr>
                <w:rFonts w:hint="default" w:ascii="宋体" w:hAnsi="宋体" w:eastAsia="宋体" w:cs="宋体"/>
                <w:sz w:val="18"/>
                <w:szCs w:val="22"/>
              </w:rPr>
              <w:t>年化【2.01%】。（适用【F】类份额)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bCs/>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年化【2.15%】。（适用【A】类份额)</w:t>
            </w:r>
            <w:r>
              <w:rPr>
                <w:rFonts w:hint="default" w:ascii="宋体" w:hAnsi="宋体" w:eastAsia="宋体" w:cs="宋体"/>
                <w:sz w:val="18"/>
                <w:szCs w:val="22"/>
              </w:rPr>
              <w:br w:type="textWrapping"/>
            </w:r>
            <w:r>
              <w:rPr>
                <w:rFonts w:hint="default" w:ascii="宋体" w:hAnsi="宋体" w:eastAsia="宋体" w:cs="宋体"/>
                <w:sz w:val="18"/>
                <w:szCs w:val="22"/>
              </w:rPr>
              <w:t>年化【2.16%】。（适用【C】类份额)</w:t>
            </w:r>
            <w:r>
              <w:rPr>
                <w:rFonts w:hint="default" w:ascii="宋体" w:hAnsi="宋体" w:eastAsia="宋体" w:cs="宋体"/>
                <w:sz w:val="18"/>
                <w:szCs w:val="22"/>
              </w:rPr>
              <w:br w:type="textWrapping"/>
            </w:r>
            <w:r>
              <w:rPr>
                <w:rFonts w:hint="default" w:ascii="宋体" w:hAnsi="宋体" w:eastAsia="宋体" w:cs="宋体"/>
                <w:sz w:val="18"/>
                <w:szCs w:val="22"/>
              </w:rPr>
              <w:t>年化【2.11%】。（适用【D】类份额)</w:t>
            </w:r>
            <w:r>
              <w:rPr>
                <w:rFonts w:hint="default" w:ascii="宋体" w:hAnsi="宋体" w:eastAsia="宋体" w:cs="宋体"/>
                <w:sz w:val="18"/>
                <w:szCs w:val="22"/>
              </w:rPr>
              <w:br w:type="textWrapping"/>
            </w:r>
            <w:r>
              <w:rPr>
                <w:rFonts w:hint="default" w:ascii="宋体" w:hAnsi="宋体" w:eastAsia="宋体" w:cs="宋体"/>
                <w:sz w:val="18"/>
                <w:szCs w:val="22"/>
              </w:rPr>
              <w:t>年化【2.06%】。（适用【E】类份额)</w:t>
            </w:r>
            <w:r>
              <w:rPr>
                <w:rFonts w:hint="default" w:ascii="宋体" w:hAnsi="宋体" w:eastAsia="宋体" w:cs="宋体"/>
                <w:sz w:val="18"/>
                <w:szCs w:val="22"/>
              </w:rPr>
              <w:br w:type="textWrapping"/>
            </w:r>
            <w:r>
              <w:rPr>
                <w:rFonts w:hint="default" w:ascii="宋体" w:hAnsi="宋体" w:eastAsia="宋体" w:cs="宋体"/>
                <w:sz w:val="18"/>
                <w:szCs w:val="22"/>
              </w:rPr>
              <w:t>年化【2.01%】。（适用【F】类份额)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黑体" w:hAnsi="黑体" w:eastAsia="黑体" w:cs="宋体"/>
                <w:bCs/>
                <w:color w:val="000000"/>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【/】。（适用【A】类份额）</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【/】。（适用【D】类份额）</w:t>
            </w:r>
            <w:r>
              <w:rPr>
                <w:rFonts w:hint="default" w:ascii="黑体" w:hAnsi="黑体" w:eastAsia="黑体" w:cs="黑体"/>
                <w:sz w:val="18"/>
                <w:szCs w:val="22"/>
              </w:rPr>
              <w:br w:type="textWrapping"/>
            </w:r>
            <w:r>
              <w:rPr>
                <w:rFonts w:hint="default" w:ascii="黑体" w:hAnsi="黑体" w:eastAsia="黑体" w:cs="黑体"/>
                <w:sz w:val="18"/>
                <w:szCs w:val="22"/>
              </w:rPr>
              <w:t>【/】。（适用【E】类份额）</w:t>
            </w:r>
            <w:r>
              <w:rPr>
                <w:rFonts w:hint="default" w:ascii="黑体" w:hAnsi="黑体" w:eastAsia="黑体" w:cs="黑体"/>
                <w:sz w:val="18"/>
                <w:szCs w:val="22"/>
              </w:rPr>
              <w:br w:type="textWrapping"/>
            </w:r>
            <w:r>
              <w:rPr>
                <w:rFonts w:hint="default" w:ascii="黑体" w:hAnsi="黑体" w:eastAsia="黑体" w:cs="黑体"/>
                <w:sz w:val="18"/>
                <w:szCs w:val="22"/>
              </w:rPr>
              <w:t>【/】。（适用【F】类份额）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年化费率【0.06%】。（适用【A】类份额）</w:t>
            </w:r>
            <w:r>
              <w:rPr>
                <w:rFonts w:hint="default" w:ascii="黑体" w:hAnsi="黑体" w:eastAsia="黑体" w:cs="黑体"/>
                <w:sz w:val="18"/>
                <w:szCs w:val="22"/>
              </w:rPr>
              <w:br w:type="textWrapping"/>
            </w:r>
            <w:r>
              <w:rPr>
                <w:rFonts w:hint="default" w:ascii="黑体" w:hAnsi="黑体" w:eastAsia="黑体" w:cs="黑体"/>
                <w:sz w:val="18"/>
                <w:szCs w:val="22"/>
              </w:rPr>
              <w:t>年化费率【0.05%】。（适用【C】类份额）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年化费率【0.1%】。（适用【D】类份额）</w:t>
            </w:r>
            <w:r>
              <w:rPr>
                <w:rFonts w:hint="default" w:ascii="黑体" w:hAnsi="黑体" w:eastAsia="黑体" w:cs="黑体"/>
                <w:sz w:val="18"/>
                <w:szCs w:val="22"/>
              </w:rPr>
              <w:br w:type="textWrapping"/>
            </w:r>
            <w:r>
              <w:rPr>
                <w:rFonts w:hint="default" w:ascii="黑体" w:hAnsi="黑体" w:eastAsia="黑体" w:cs="黑体"/>
                <w:sz w:val="18"/>
                <w:szCs w:val="22"/>
              </w:rPr>
              <w:t>年化费率【0.15%】。（适用【E】类份额）</w:t>
            </w:r>
            <w:r>
              <w:rPr>
                <w:rFonts w:hint="default" w:ascii="黑体" w:hAnsi="黑体" w:eastAsia="黑体" w:cs="黑体"/>
                <w:sz w:val="18"/>
                <w:szCs w:val="22"/>
              </w:rPr>
              <w:br w:type="textWrapping"/>
            </w:r>
            <w:r>
              <w:rPr>
                <w:rFonts w:hint="default" w:ascii="黑体" w:hAnsi="黑体" w:eastAsia="黑体" w:cs="黑体"/>
                <w:sz w:val="18"/>
                <w:szCs w:val="22"/>
              </w:rPr>
              <w:t>年化费率【0.2%】。（适用【F】类份额）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（3）投资管理费：年化费率【0.01%】</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（4）产品托管费：年化费率【0.01%】</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90742321"/>
      <w:bookmarkStart w:id="78" w:name="_Toc74065741"/>
      <w:bookmarkStart w:id="79" w:name="_Toc15203"/>
      <w:bookmarkStart w:id="80" w:name="_Toc3266"/>
      <w:bookmarkStart w:id="81" w:name="_Toc29784"/>
      <w:bookmarkStart w:id="82" w:name="_Toc29948"/>
      <w:bookmarkStart w:id="83" w:name="_Toc79154668"/>
      <w:bookmarkStart w:id="84" w:name="_Toc90742390"/>
      <w:bookmarkStart w:id="85" w:name="_Toc22074"/>
      <w:bookmarkStart w:id="86" w:name="_Toc27226"/>
      <w:bookmarkStart w:id="87" w:name="_Toc90742688"/>
      <w:bookmarkStart w:id="88" w:name="_Toc7151"/>
      <w:bookmarkStart w:id="89" w:name="_Toc16265"/>
      <w:bookmarkStart w:id="90" w:name="_Toc27189"/>
      <w:bookmarkStart w:id="91" w:name="_Toc6714"/>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（1）银行存款、债券逆回购、货币基金等货币市场工具及其它银行间和交易所资金融通工具；</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（3）符合监管要求的债权类资产。</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（4）投资于上述资产的资产管理产品，包括资金信托，证券公司、证券公司子公司、基金管理公</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司、基金管理子公司、期货公司、期货公司子公司、保险资产管理机构、金融资产投资公司发行的</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资产管理产品等（投资于上述资产的资产管理产品的管理人可以聘请符合法律法规规定的投资顾问</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（5）其他风险不高于前述资产的资产。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【（1）本产品投资于债权类资产的比例不低于产品总资产的80%。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（2）符合监管要求的非标准化债权类资产占产品净资产比例不高于50%。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hint="eastAsia" w:ascii="宋体" w:hAnsi="宋体" w:eastAsia="宋体" w:cs="宋体"/>
          <w:b/>
          <w:bCs w:val="0"/>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（6）本产品投资于信用债券、银行存款、非标准化债权类资产融资人的信用评级均不得低于AA+。</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【产品采取绝对收益策略，追求资产长期稳定增值。】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4741"/>
      <w:bookmarkStart w:id="94" w:name="_Toc176189758"/>
      <w:bookmarkStart w:id="95" w:name="_Toc1823"/>
      <w:bookmarkStart w:id="96" w:name="_Toc14893"/>
      <w:bookmarkStart w:id="97" w:name="_Toc7848"/>
      <w:bookmarkStart w:id="98" w:name="_Toc18797"/>
      <w:bookmarkStart w:id="99" w:name="_Toc26986"/>
      <w:bookmarkStart w:id="100" w:name="_Toc18526"/>
      <w:bookmarkStart w:id="101" w:name="_Toc17912"/>
      <w:bookmarkStart w:id="102" w:name="_Toc18329"/>
      <w:bookmarkStart w:id="103" w:name="_Toc141703885"/>
      <w:bookmarkStart w:id="104" w:name="_Toc79154669"/>
      <w:bookmarkStart w:id="105" w:name="_Toc139991735"/>
      <w:bookmarkStart w:id="106" w:name="_Toc21988"/>
      <w:bookmarkStart w:id="107" w:name="_Toc74065742"/>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23261"/>
      <w:bookmarkStart w:id="110" w:name="_Toc123102453"/>
      <w:bookmarkStart w:id="111" w:name="_Toc4003"/>
      <w:bookmarkStart w:id="112" w:name="_Toc48649707"/>
      <w:bookmarkStart w:id="113" w:name="_Toc98560352"/>
      <w:bookmarkStart w:id="114" w:name="_Toc123112234"/>
      <w:bookmarkStart w:id="115" w:name="_Toc79154670"/>
      <w:bookmarkStart w:id="116" w:name="_Toc10463"/>
      <w:bookmarkStart w:id="117" w:name="_Toc610"/>
      <w:bookmarkStart w:id="118" w:name="_Toc23822"/>
      <w:bookmarkStart w:id="119" w:name="_Toc176189759"/>
      <w:bookmarkStart w:id="120" w:name="_Toc123051452"/>
      <w:bookmarkStart w:id="121" w:name="_Toc74065743"/>
      <w:bookmarkStart w:id="122" w:name="_Toc1270"/>
      <w:bookmarkStart w:id="123" w:name="_Toc139991736"/>
      <w:bookmarkStart w:id="124" w:name="_Toc17244"/>
      <w:bookmarkStart w:id="125" w:name="_Toc7920"/>
      <w:bookmarkStart w:id="126" w:name="_Toc79392606"/>
      <w:bookmarkStart w:id="127" w:name="_Toc1427"/>
      <w:bookmarkStart w:id="128" w:name="_Toc141703886"/>
      <w:bookmarkStart w:id="129" w:name="_Toc20733"/>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98560353"/>
      <w:bookmarkStart w:id="132" w:name="_Toc123051453"/>
      <w:bookmarkStart w:id="133" w:name="_Toc74065744"/>
      <w:bookmarkStart w:id="134" w:name="_Toc31653"/>
      <w:bookmarkStart w:id="135" w:name="_Toc141703887"/>
      <w:bookmarkStart w:id="136" w:name="_Toc139991737"/>
      <w:bookmarkStart w:id="137" w:name="_Toc15143"/>
      <w:bookmarkStart w:id="138" w:name="_Toc29251"/>
      <w:bookmarkStart w:id="139" w:name="_Toc14835"/>
      <w:bookmarkStart w:id="140" w:name="_Toc31644"/>
      <w:bookmarkStart w:id="141" w:name="_Toc26207"/>
      <w:bookmarkStart w:id="142" w:name="_Toc12245"/>
      <w:bookmarkStart w:id="143" w:name="_Toc123112235"/>
      <w:bookmarkStart w:id="144" w:name="_Toc123102454"/>
      <w:bookmarkStart w:id="145" w:name="_Toc3601"/>
      <w:bookmarkStart w:id="146" w:name="_Toc176189760"/>
      <w:bookmarkStart w:id="147" w:name="_Toc79154671"/>
      <w:bookmarkStart w:id="148" w:name="_Toc6405"/>
      <w:bookmarkStart w:id="149" w:name="_Toc31235"/>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15118234"/>
      <w:bookmarkStart w:id="152" w:name="_Toc57530239"/>
      <w:bookmarkStart w:id="153" w:name="_Toc79392580"/>
      <w:bookmarkStart w:id="154" w:name="_Toc523711668"/>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7058"/>
      <w:bookmarkStart w:id="158" w:name="_Toc9706"/>
      <w:bookmarkStart w:id="159" w:name="_Toc98560354"/>
      <w:bookmarkStart w:id="160" w:name="_Toc3321"/>
      <w:bookmarkStart w:id="161" w:name="_Toc139991738"/>
      <w:bookmarkStart w:id="162" w:name="_Toc176189761"/>
      <w:bookmarkStart w:id="163" w:name="_Toc4559"/>
      <w:bookmarkStart w:id="164" w:name="_Toc11030"/>
      <w:bookmarkStart w:id="165" w:name="_Toc74065745"/>
      <w:bookmarkStart w:id="166" w:name="_Toc79154672"/>
      <w:bookmarkStart w:id="167" w:name="_Toc123102455"/>
      <w:bookmarkStart w:id="168" w:name="_Toc6447"/>
      <w:bookmarkStart w:id="169" w:name="_Toc3771"/>
      <w:bookmarkStart w:id="170" w:name="_Toc123112236"/>
      <w:bookmarkStart w:id="171" w:name="_Toc141703888"/>
      <w:bookmarkStart w:id="172" w:name="_Toc123051454"/>
      <w:bookmarkStart w:id="173" w:name="_Toc25783"/>
      <w:bookmarkStart w:id="174" w:name="_Toc10650"/>
      <w:bookmarkStart w:id="175" w:name="_Toc18567"/>
      <w:bookmarkStart w:id="176" w:name="_Toc79392583"/>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hint="eastAsia" w:ascii="黑体" w:hAnsi="黑体" w:eastAsia="黑体" w:cs="黑体"/>
          <w:color w:val="000000"/>
          <w:kern w:val="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b/>
          <w:bCs/>
          <w:color w:val="000000"/>
          <w:kern w:val="0"/>
          <w:sz w:val="18"/>
          <w:szCs w:val="18"/>
          <w:lang w:val="en-US" w:eastAsia="zh-CN" w:bidi="ar-SA"/>
        </w:rPr>
      </w:pPr>
      <w:r>
        <w:rPr>
          <w:rFonts w:ascii="宋体" w:hAnsi="宋体" w:eastAsia="宋体" w:cs="宋体"/>
          <w:color w:val="000000"/>
          <w:sz w:val="18"/>
          <w:szCs w:val="24"/>
          <w:lang w:val="en-US" w:eastAsia="zh-CN" w:bidi="ar-SA"/>
        </w:rPr>
        <w:t>本产品的销售服务费于产品成立日一次性计提，每日摊销。销售服务费的计算方法如下：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H＝E×销售服务费年费率×产品期限总天数÷365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H为应计提的产品销售服务费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E为产品成立日的产品总份额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w:t>
      </w:r>
      <w:r>
        <w:rPr>
          <w:rFonts w:ascii="宋体" w:hAnsi="宋体" w:eastAsia="宋体" w:cs="宋体"/>
          <w:b/>
          <w:bCs/>
          <w:color w:val="000000"/>
          <w:sz w:val="18"/>
          <w:szCs w:val="24"/>
          <w:lang w:val="en-US" w:eastAsia="zh-CN" w:bidi="ar-SA"/>
        </w:rPr>
        <w:t xml:space="preserve"> 注：</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1）H对应的销售服务主要集中于产品认购募集期间。</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2）如本产品发生提前终止，则产品管理人根据实际产品期限天数/实际份额计算销售服务费，多收取的销售服务费退还至理财产品资产。  </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p>
    <w:p>
      <w:pPr>
        <w:widowControl w:val="0"/>
        <w:autoSpaceDE w:val="0"/>
        <w:autoSpaceDN w:val="0"/>
        <w:adjustRightInd w:val="0"/>
        <w:spacing w:line="360" w:lineRule="auto"/>
        <w:ind w:firstLine="361" w:firstLineChars="200"/>
        <w:rPr>
          <w:rFonts w:hint="eastAsia" w:ascii="黑体" w:hAnsi="黑体" w:eastAsia="黑体" w:cs="黑体"/>
          <w:b/>
          <w:bCs/>
          <w:color w:val="auto"/>
          <w:kern w:val="2"/>
          <w:sz w:val="18"/>
          <w:szCs w:val="18"/>
          <w:lang w:val="en-US" w:eastAsia="zh-CN" w:bidi="ar-SA"/>
        </w:rPr>
      </w:pP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业绩报酬计提基准的设置、超额业绩报酬的具体比例数值以《产品说明书》“第二条 理财产品基本情况”为准。</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1）收取超额业绩报酬的原则：</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①按投资者每份产品份额分别计算年化收益率并计提超额业绩报酬；</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③在产品终止日提取超额业绩报酬的，超额业绩报酬从清算资金中扣除；</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2）超额业绩报酬计提方法</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①超额业绩报酬计提起始日</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每份产品份额超额业绩报酬计提起始日为：募集期内认购的产品份额，以产品成立日为该份产品份额超额业绩报酬计提起始日。</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②超额业绩报酬计提日</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每份产品份额超额业绩报酬每日计提，产品终止日（不含部分终止日）结算。</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③超额业绩报酬的计算</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产品管理人对每份份额当前年化收益率（R）超过当前业绩报酬计提基准的部分，按比例（N）以及产品份额持有天数（D）提取超额业绩报酬，计算方法如下：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当R≤当前业绩报酬计提基准，超额业绩报酬=0；</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当R＞当前业绩报酬计提基准，超额业绩报酬=产品终止（不含部分终止）时投资者持有的产品份额×产品成立日产品份额净值×（R-当前业绩报酬计提基准）×N×D/365。</w:t>
      </w:r>
    </w:p>
    <w:p>
      <w:pPr>
        <w:widowControl/>
        <w:spacing w:line="360" w:lineRule="auto"/>
        <w:ind w:firstLine="361" w:firstLineChars="200"/>
        <w:jc w:val="left"/>
        <w:rPr>
          <w:rFonts w:hint="eastAsia" w:ascii="黑体" w:hAnsi="黑体" w:eastAsia="黑体" w:cs="黑体"/>
          <w:b/>
          <w:bCs/>
          <w:sz w:val="18"/>
          <w:szCs w:val="18"/>
        </w:rPr>
      </w:pPr>
      <w:r>
        <w:rPr>
          <w:rFonts w:hint="eastAsia" w:ascii="黑体" w:hAnsi="黑体" w:eastAsia="黑体" w:cs="黑体"/>
          <w:b/>
          <w:bCs/>
          <w:kern w:val="0"/>
          <w:sz w:val="18"/>
          <w:szCs w:val="18"/>
        </w:rPr>
        <w:t>注：产品部分提前终止情况下，部分提前终止份额不收取超额业绩报酬</w:t>
      </w:r>
      <w:r>
        <w:rPr>
          <w:rFonts w:hint="eastAsia" w:ascii="黑体" w:hAnsi="黑体" w:eastAsia="黑体" w:cs="黑体"/>
          <w:b/>
          <w:bCs/>
          <w:sz w:val="18"/>
          <w:szCs w:val="18"/>
        </w:rPr>
        <w:t>。</w:t>
      </w:r>
    </w:p>
    <w:p>
      <w:pPr>
        <w:widowControl/>
        <w:spacing w:line="360" w:lineRule="auto"/>
        <w:ind w:firstLine="360" w:firstLineChars="200"/>
        <w:jc w:val="left"/>
        <w:rPr>
          <w:rFonts w:hint="eastAsia" w:ascii="黑体" w:hAnsi="黑体" w:eastAsia="黑体" w:cs="黑体"/>
          <w:sz w:val="18"/>
          <w:szCs w:val="18"/>
        </w:rPr>
      </w:pP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123051455"/>
      <w:bookmarkStart w:id="180" w:name="_Toc18206"/>
      <w:bookmarkStart w:id="181" w:name="_Toc79154673"/>
      <w:bookmarkStart w:id="182" w:name="_Toc123102456"/>
      <w:bookmarkStart w:id="183" w:name="_Toc141703889"/>
      <w:bookmarkStart w:id="184" w:name="_Toc3080"/>
      <w:bookmarkStart w:id="185" w:name="_Toc176189762"/>
      <w:bookmarkStart w:id="186" w:name="_Toc139991739"/>
      <w:bookmarkStart w:id="187" w:name="_Toc123112237"/>
      <w:bookmarkStart w:id="188" w:name="_Toc725"/>
      <w:bookmarkStart w:id="189" w:name="_Toc3572"/>
      <w:bookmarkStart w:id="190" w:name="_Toc10398"/>
      <w:bookmarkStart w:id="191" w:name="_Toc16164"/>
      <w:bookmarkStart w:id="192" w:name="_Toc21735"/>
      <w:bookmarkStart w:id="193" w:name="_Toc98560355"/>
      <w:bookmarkStart w:id="194" w:name="_Toc74065746"/>
      <w:bookmarkStart w:id="195" w:name="_Toc31821"/>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57530252"/>
      <w:bookmarkStart w:id="197" w:name="_Toc79392593"/>
      <w:bookmarkStart w:id="198" w:name="_Toc15118245"/>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5170"/>
      <w:bookmarkStart w:id="200" w:name="_Toc79392622"/>
      <w:bookmarkStart w:id="201" w:name="_Toc48649708"/>
      <w:bookmarkStart w:id="202" w:name="_Toc123102457"/>
      <w:bookmarkStart w:id="203" w:name="_Toc98560356"/>
      <w:bookmarkStart w:id="204" w:name="_Toc139991740"/>
      <w:bookmarkStart w:id="205" w:name="_Toc176189763"/>
      <w:bookmarkStart w:id="206" w:name="_Toc8791"/>
      <w:bookmarkStart w:id="207" w:name="_Toc32584"/>
      <w:bookmarkStart w:id="208" w:name="_Toc3329"/>
      <w:bookmarkStart w:id="209" w:name="_Toc739"/>
      <w:bookmarkStart w:id="210" w:name="_Toc141703890"/>
      <w:bookmarkStart w:id="211" w:name="_Toc123112238"/>
      <w:bookmarkStart w:id="212" w:name="_Toc74065747"/>
      <w:bookmarkStart w:id="213" w:name="_Toc17920"/>
      <w:bookmarkStart w:id="214" w:name="_Toc123051456"/>
      <w:bookmarkStart w:id="215" w:name="_Toc21237"/>
      <w:bookmarkStart w:id="216" w:name="_Toc32092"/>
      <w:bookmarkStart w:id="217" w:name="_Toc29408"/>
      <w:bookmarkStart w:id="218" w:name="_Toc79154674"/>
      <w:bookmarkStart w:id="219" w:name="_Toc17198"/>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spacing w:line="360" w:lineRule="auto"/>
        <w:ind w:firstLine="360" w:firstLineChars="200"/>
        <w:rPr>
          <w:rFonts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兴银理财【稳利安盈封闭式】理财产品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兴银理财【稳利安盈封闭式】</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【兴银理财稳利安盈封闭式2026年407期固收类理财产品</w:t>
      </w:r>
      <w:r>
        <w:rPr>
          <w:rFonts w:hint="eastAsia" w:cs="宋体" w:asciiTheme="majorEastAsia" w:hAnsiTheme="majorEastAsia" w:eastAsiaTheme="majorEastAsia"/>
          <w:bCs/>
          <w:kern w:val="0"/>
          <w:sz w:val="18"/>
          <w:szCs w:val="18"/>
        </w:rPr>
        <w:t>】</w:t>
      </w:r>
    </w:p>
    <w:p>
      <w:pPr>
        <w:ind w:firstLine="448" w:firstLineChars="249"/>
        <w:rPr>
          <w:rFonts w:ascii="宋体" w:hAnsi="宋体" w:cs="仿宋_GB2312"/>
          <w:kern w:val="0"/>
          <w:sz w:val="18"/>
          <w:szCs w:val="18"/>
        </w:rPr>
      </w:pPr>
      <w:r>
        <w:rPr>
          <w:rFonts w:ascii="宋体" w:hAnsi="宋体" w:eastAsia="宋体" w:cs="宋体"/>
          <w:sz w:val="18"/>
          <w:szCs w:val="22"/>
        </w:rPr>
        <w:t>销售名称：【稳利安盈2026年407期（迎春款）A】 (适用【A】类份额)</w:t>
      </w:r>
      <w:r>
        <w:rPr>
          <w:rFonts w:ascii="宋体" w:hAnsi="宋体" w:eastAsia="宋体" w:cs="宋体"/>
          <w:sz w:val="18"/>
          <w:szCs w:val="22"/>
        </w:rPr>
        <w:br w:type="textWrapping"/>
      </w:r>
      <w:r>
        <w:rPr>
          <w:rFonts w:ascii="宋体" w:hAnsi="宋体" w:eastAsia="宋体" w:cs="宋体"/>
          <w:sz w:val="18"/>
          <w:szCs w:val="22"/>
        </w:rPr>
        <w:t xml:space="preserve">     【稳利安盈2026年407期（迎春款）C】 (适用【C】类份额)</w:t>
      </w:r>
      <w:r>
        <w:rPr>
          <w:rFonts w:ascii="宋体" w:hAnsi="宋体" w:eastAsia="宋体" w:cs="宋体"/>
          <w:sz w:val="18"/>
          <w:szCs w:val="22"/>
        </w:rPr>
        <w:br w:type="textWrapping"/>
      </w:r>
      <w:r>
        <w:rPr>
          <w:rFonts w:ascii="宋体" w:hAnsi="宋体" w:eastAsia="宋体" w:cs="宋体"/>
          <w:sz w:val="18"/>
          <w:szCs w:val="22"/>
        </w:rPr>
        <w:t xml:space="preserve">     【稳利安盈2026年407期（迎春款）D】 (适用【D】类份额)</w:t>
      </w:r>
      <w:r>
        <w:rPr>
          <w:rFonts w:ascii="宋体" w:hAnsi="宋体" w:eastAsia="宋体" w:cs="宋体"/>
          <w:sz w:val="18"/>
          <w:szCs w:val="22"/>
        </w:rPr>
        <w:br w:type="textWrapping"/>
      </w:r>
      <w:r>
        <w:rPr>
          <w:rFonts w:ascii="宋体" w:hAnsi="宋体" w:eastAsia="宋体" w:cs="宋体"/>
          <w:sz w:val="18"/>
          <w:szCs w:val="22"/>
        </w:rPr>
        <w:t xml:space="preserve">     【稳利安盈2026年407期（迎春款）E】 (适用【E】类份额)</w:t>
      </w:r>
      <w:r>
        <w:rPr>
          <w:rFonts w:ascii="宋体" w:hAnsi="宋体" w:eastAsia="宋体" w:cs="宋体"/>
          <w:sz w:val="18"/>
          <w:szCs w:val="22"/>
        </w:rPr>
        <w:br w:type="textWrapping"/>
      </w:r>
      <w:r>
        <w:rPr>
          <w:rFonts w:ascii="宋体" w:hAnsi="宋体" w:eastAsia="宋体" w:cs="宋体"/>
          <w:sz w:val="18"/>
          <w:szCs w:val="22"/>
        </w:rPr>
        <w:t xml:space="preserve">     【稳利安盈2026年407期（迎春款）F】 (适用【F】类份额)</w:t>
      </w: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Z7002026000221</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【■有固定期限:【428天】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本理财产品风险评级最终定义为【R1】（产品管理人定义的产品风险评级为【R1】；代理销售机构定义的产品风险评级为【R1】）。</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 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 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ind w:firstLine="360" w:firstLineChars="200"/>
        <w:rPr>
          <w:rFonts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r>
        <w:rPr>
          <w:rFonts w:hint="eastAsia" w:ascii="宋体" w:hAnsi="宋体" w:cs="宋体"/>
          <w:sz w:val="18"/>
          <w:szCs w:val="18"/>
          <w:lang w:eastAsia="zh-CN"/>
        </w:rPr>
        <w:t>。</w:t>
      </w:r>
      <w:r>
        <w:rPr>
          <w:rFonts w:hint="eastAsia" w:ascii="宋体" w:hAnsi="宋体" w:cs="宋体"/>
          <w:sz w:val="18"/>
          <w:szCs w:val="18"/>
        </w:rPr>
        <w:t>】</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 xml:space="preserve">销售机构（【 </w:t>
      </w:r>
      <w:r>
        <w:rPr>
          <w:rFonts w:ascii="宋体" w:hAnsi="宋体"/>
          <w:sz w:val="18"/>
          <w:szCs w:val="18"/>
          <w:highlight w:val="yellow"/>
        </w:rPr>
        <w:t>沧州银行股份有限公司</w:t>
      </w:r>
      <w:r>
        <w:rPr>
          <w:rFonts w:ascii="宋体" w:hAnsi="宋体" w:cs="宋体"/>
          <w:sz w:val="18"/>
          <w:szCs w:val="18"/>
        </w:rPr>
        <w:t xml:space="preserve"> </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w:t>
      </w:r>
      <w:r>
        <w:rPr>
          <w:rFonts w:hint="eastAsia" w:ascii="宋体" w:hAnsi="宋体"/>
          <w:sz w:val="18"/>
          <w:szCs w:val="18"/>
          <w:lang w:val="en-US" w:eastAsia="zh-CN"/>
        </w:rPr>
        <w:t xml:space="preserve"> </w:t>
      </w:r>
      <w:r>
        <w:rPr>
          <w:rFonts w:hint="eastAsia" w:ascii="宋体" w:hAnsi="宋体"/>
          <w:sz w:val="18"/>
          <w:szCs w:val="18"/>
        </w:rPr>
        <w:t>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firstLine="360" w:firstLineChars="200"/>
              <w:rPr>
                <w:rFonts w:hint="default"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bookmarkStart w:id="222" w:name="_GoBack"/>
      <w:bookmarkEnd w:id="222"/>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highlight w:val="yellow"/>
        </w:rPr>
      </w:pPr>
      <w:r>
        <w:rPr>
          <w:rFonts w:hint="eastAsia" w:ascii="宋体" w:hAnsi="宋体"/>
          <w:sz w:val="18"/>
          <w:szCs w:val="18"/>
          <w:highlight w:val="yellow"/>
          <w:lang w:val="en-US" w:eastAsia="zh-CN"/>
        </w:rPr>
        <w:t>2.</w:t>
      </w:r>
      <w:r>
        <w:rPr>
          <w:rFonts w:hint="eastAsia" w:ascii="宋体" w:hAnsi="宋体"/>
          <w:sz w:val="18"/>
          <w:szCs w:val="18"/>
          <w:highlight w:val="yellow"/>
        </w:rPr>
        <w:t>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兴银理财【稳利安盈封闭式】理财产品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 C1、□C2、□ C3、□ C4、□ C5】</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14"/>
        <w:gridCol w:w="285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R1</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产品结构简单，所投资资产综合风险很低，产品具有很高流动性。</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R2</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产品结构简单，所投资资产综合风险较低。</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R3</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产品结构简单，所投资资产综合风险中等。</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R4</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产品结构较简单，所投资资产综合风险较高。</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R5</w:t>
            </w:r>
          </w:p>
        </w:tc>
        <w:tc>
          <w:tcPr>
            <w:tcW w:w="4840"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宋体"/>
                <w:kern w:val="2"/>
                <w:sz w:val="18"/>
                <w:szCs w:val="18"/>
                <w:lang w:val="en-US" w:eastAsia="zh-CN" w:bidi="ar"/>
              </w:rPr>
              <w:t>产品结构较复杂或所投资资产综合风险高。</w:t>
            </w:r>
          </w:p>
        </w:tc>
        <w:tc>
          <w:tcPr>
            <w:tcW w:w="2865" w:type="dxa"/>
            <w:tcBorders>
              <w:top w:val="single" w:color="auto" w:sz="12" w:space="0"/>
              <w:left w:val="single" w:color="auto" w:sz="12" w:space="0"/>
              <w:bottom w:val="single" w:color="auto" w:sz="12" w:space="0"/>
              <w:right w:val="single" w:color="auto" w:sz="12" w:space="0"/>
            </w:tcBorders>
            <w:vAlign w:val="center"/>
          </w:tcPr>
          <w:p>
            <w:pPr>
              <w:keepNext w:val="0"/>
              <w:keepLines w:val="0"/>
              <w:widowControl w:val="0"/>
              <w:suppressLineNumbers w:val="0"/>
              <w:spacing w:before="0" w:beforeAutospacing="0" w:after="0" w:afterAutospacing="0"/>
              <w:ind w:left="0" w:leftChars="0" w:right="0" w:rightChars="0" w:firstLine="360" w:firstLineChars="200"/>
              <w:jc w:val="both"/>
              <w:rPr>
                <w:rFonts w:hint="default" w:ascii="宋体" w:hAnsi="宋体"/>
                <w:sz w:val="18"/>
                <w:szCs w:val="18"/>
              </w:rPr>
            </w:pPr>
            <w:r>
              <w:rPr>
                <w:rFonts w:hint="eastAsia" w:ascii="宋体" w:hAnsi="宋体" w:eastAsia="宋体" w:cs="Times New Roman"/>
                <w:kern w:val="2"/>
                <w:sz w:val="18"/>
                <w:szCs w:val="18"/>
                <w:lang w:val="en-US" w:eastAsia="zh-CN" w:bidi="ar"/>
              </w:rPr>
              <w:t>C5及以上</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744839"/>
    <w:rsid w:val="2BBE5BA7"/>
    <w:rsid w:val="637F58C5"/>
    <w:rsid w:val="79C42A66"/>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45845</Words>
  <Characters>46796</Characters>
  <Lines>0</Lines>
  <Paragraphs>0</Paragraphs>
  <TotalTime>0</TotalTime>
  <ScaleCrop>false</ScaleCrop>
  <LinksUpToDate>false</LinksUpToDate>
  <CharactersWithSpaces>47359</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2026-02-24T03:46:07Z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B3927087037148579E7583020A3A866F</vt:lpwstr>
  </property>
</Properties>
</file>