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24"/>
      <w:bookmarkStart w:id="1" w:name="_Toc139991726"/>
      <w:bookmarkStart w:id="2" w:name="_Toc123112263"/>
      <w:bookmarkStart w:id="3" w:name="_Toc123701383"/>
      <w:bookmarkStart w:id="4" w:name="_Toc139992301"/>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1727"/>
      <w:bookmarkStart w:id="6" w:name="_Toc139992302"/>
      <w:bookmarkStart w:id="7" w:name="_Toc123112225"/>
      <w:bookmarkStart w:id="8" w:name="_Toc123112264"/>
      <w:bookmarkStart w:id="9" w:name="_Toc123701384"/>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39991729"/>
      <w:bookmarkStart w:id="12" w:name="_Toc12311226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【兴银理财稳利安盈封闭式2026年458期固收类理财产品】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【稳利安盈2026年458期（迎春款）A】 (适用【A】类份额)</w:t>
            </w:r>
            <w:r>
              <w:rPr>
                <w:rFonts w:ascii="宋体" w:hAnsi="宋体" w:eastAsia="宋体" w:cs="宋体"/>
                <w:sz w:val="18"/>
              </w:rPr>
              <w:br w:type="textWrapping"/>
            </w:r>
            <w:r>
              <w:rPr>
                <w:rFonts w:ascii="宋体" w:hAnsi="宋体" w:eastAsia="宋体" w:cs="宋体"/>
                <w:sz w:val="18"/>
              </w:rPr>
              <w:t>【稳利安盈2026年458期（迎春款）B】 (适用【B】类份额)</w:t>
            </w:r>
            <w:r>
              <w:rPr>
                <w:rFonts w:ascii="宋体" w:hAnsi="宋体" w:eastAsia="宋体" w:cs="宋体"/>
                <w:sz w:val="18"/>
              </w:rPr>
              <w:br w:type="textWrapping"/>
            </w:r>
            <w:r>
              <w:rPr>
                <w:rFonts w:ascii="宋体" w:hAnsi="宋体" w:eastAsia="宋体" w:cs="宋体"/>
                <w:sz w:val="18"/>
              </w:rPr>
              <w:t>【稳利安盈2026年458期（迎春款）C】 (适用【C】类份额)</w:t>
            </w:r>
            <w:r>
              <w:rPr>
                <w:rFonts w:ascii="宋体" w:hAnsi="宋体" w:eastAsia="宋体" w:cs="宋体"/>
                <w:sz w:val="18"/>
              </w:rPr>
              <w:br w:type="textWrapping"/>
            </w:r>
            <w:r>
              <w:rPr>
                <w:rFonts w:ascii="宋体" w:hAnsi="宋体" w:eastAsia="宋体" w:cs="宋体"/>
                <w:sz w:val="18"/>
              </w:rPr>
              <w:t>【稳利安盈2026年458期（迎春款）F】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Z7002025002009</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【9A264580】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【9A26458A】 (适用【A】类份额)</w:t>
            </w:r>
            <w:r>
              <w:rPr>
                <w:rFonts w:ascii="宋体" w:hAnsi="宋体" w:eastAsia="宋体" w:cs="宋体"/>
                <w:sz w:val="18"/>
              </w:rPr>
              <w:br w:type="textWrapping"/>
            </w:r>
            <w:r>
              <w:rPr>
                <w:rFonts w:ascii="宋体" w:hAnsi="宋体" w:eastAsia="宋体" w:cs="宋体"/>
                <w:sz w:val="18"/>
              </w:rPr>
              <w:t>【9A26458B】 (适用【B】类份额)</w:t>
            </w:r>
            <w:r>
              <w:rPr>
                <w:rFonts w:ascii="宋体" w:hAnsi="宋体" w:eastAsia="宋体" w:cs="宋体"/>
                <w:sz w:val="18"/>
              </w:rPr>
              <w:br w:type="textWrapping"/>
            </w:r>
            <w:r>
              <w:rPr>
                <w:rFonts w:ascii="宋体" w:hAnsi="宋体" w:eastAsia="宋体" w:cs="宋体"/>
                <w:sz w:val="18"/>
              </w:rPr>
              <w:t>【9A26458C】 (适用【C】类份额)</w:t>
            </w:r>
            <w:r>
              <w:rPr>
                <w:rFonts w:ascii="宋体" w:hAnsi="宋体" w:eastAsia="宋体" w:cs="宋体"/>
                <w:sz w:val="18"/>
              </w:rPr>
              <w:br w:type="textWrapping"/>
            </w:r>
            <w:r>
              <w:rPr>
                <w:rFonts w:ascii="宋体" w:hAnsi="宋体" w:eastAsia="宋体" w:cs="宋体"/>
                <w:sz w:val="18"/>
              </w:rPr>
              <w:t>【9A26458F】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5517"/>
      <w:bookmarkStart w:id="15" w:name="_Toc32639"/>
      <w:bookmarkStart w:id="16" w:name="_Toc8727"/>
      <w:bookmarkStart w:id="17" w:name="_Toc29629"/>
      <w:bookmarkStart w:id="18" w:name="_Toc141703880"/>
      <w:bookmarkStart w:id="19" w:name="_Toc139991730"/>
      <w:bookmarkStart w:id="20" w:name="_Toc4966"/>
      <w:bookmarkStart w:id="21" w:name="_Toc26897"/>
      <w:bookmarkStart w:id="22" w:name="_Toc123701389"/>
      <w:bookmarkStart w:id="23" w:name="_Toc30935"/>
      <w:bookmarkStart w:id="24" w:name="_Toc23386"/>
      <w:bookmarkStart w:id="25" w:name="_Toc4867"/>
      <w:bookmarkStart w:id="26" w:name="_Toc6306"/>
      <w:bookmarkStart w:id="27" w:name="_Toc123112229"/>
      <w:bookmarkStart w:id="28" w:name="_Toc123112268"/>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65"/>
      <w:bookmarkStart w:id="33" w:name="_Toc13020"/>
      <w:bookmarkStart w:id="34" w:name="_Toc24860"/>
      <w:bookmarkStart w:id="35" w:name="_Toc3224"/>
      <w:bookmarkStart w:id="36" w:name="_Toc819"/>
      <w:bookmarkStart w:id="37" w:name="_Toc21301"/>
      <w:bookmarkStart w:id="38" w:name="_Toc258829399"/>
      <w:bookmarkStart w:id="39" w:name="_Toc19592"/>
      <w:bookmarkStart w:id="40" w:name="_Toc6617"/>
      <w:bookmarkStart w:id="41" w:name="_Toc22864"/>
      <w:bookmarkStart w:id="42" w:name="_Toc15067"/>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6149"/>
      <w:bookmarkStart w:id="48" w:name="_Toc20318"/>
      <w:bookmarkStart w:id="49" w:name="_Toc18631"/>
      <w:bookmarkStart w:id="50" w:name="_Toc545"/>
      <w:bookmarkStart w:id="51" w:name="_Toc22708"/>
      <w:bookmarkStart w:id="52" w:name="_Toc6683"/>
      <w:bookmarkStart w:id="53" w:name="_Toc20627"/>
      <w:bookmarkStart w:id="54" w:name="_Toc13288"/>
      <w:bookmarkStart w:id="55" w:name="_Toc733"/>
      <w:bookmarkStart w:id="56" w:name="_Toc74065740"/>
      <w:bookmarkStart w:id="57" w:name="_Toc24571"/>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w:t>
      </w:r>
      <w:r>
        <w:rPr>
          <w:rFonts w:hint="eastAsia" w:ascii="黑体" w:hAnsi="黑体" w:eastAsia="黑体"/>
          <w:b/>
          <w:bCs/>
          <w:sz w:val="44"/>
          <w:szCs w:val="44"/>
          <w:lang w:val="en-US" w:eastAsia="zh-CN"/>
        </w:rPr>
        <w:t>稳利安盈封闭式</w:t>
      </w:r>
      <w:r>
        <w:rPr>
          <w:rFonts w:hint="eastAsia" w:ascii="黑体" w:hAnsi="黑体" w:eastAsia="黑体"/>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【2026】年【2】月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【兴银理财稳利安盈封闭式2026年458期固收类理财产品】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【稳利安盈2026年458期（迎春款）A】 (适用【A】类份额)</w:t>
            </w:r>
            <w:r>
              <w:rPr>
                <w:rFonts w:hint="default" w:ascii="宋体" w:hAnsi="宋体" w:eastAsia="宋体" w:cs="宋体"/>
                <w:sz w:val="18"/>
                <w:szCs w:val="22"/>
              </w:rPr>
              <w:br w:type="textWrapping"/>
            </w:r>
            <w:r>
              <w:rPr>
                <w:rFonts w:hint="default" w:ascii="宋体" w:hAnsi="宋体" w:eastAsia="宋体" w:cs="宋体"/>
                <w:sz w:val="18"/>
                <w:szCs w:val="22"/>
              </w:rPr>
              <w:t>【稳利安盈2026年458期（迎春款）B】 (适用【B】类份额)</w:t>
            </w:r>
            <w:r>
              <w:rPr>
                <w:rFonts w:hint="default" w:ascii="宋体" w:hAnsi="宋体" w:eastAsia="宋体" w:cs="宋体"/>
                <w:sz w:val="18"/>
                <w:szCs w:val="22"/>
              </w:rPr>
              <w:br w:type="textWrapping"/>
            </w:r>
            <w:r>
              <w:rPr>
                <w:rFonts w:hint="default" w:ascii="宋体" w:hAnsi="宋体" w:eastAsia="宋体" w:cs="宋体"/>
                <w:sz w:val="18"/>
                <w:szCs w:val="22"/>
              </w:rPr>
              <w:t>【稳利安盈2026年458期（迎春款）C】 (适用【C】类份额)</w:t>
            </w:r>
            <w:r>
              <w:rPr>
                <w:rFonts w:hint="default" w:ascii="宋体" w:hAnsi="宋体" w:eastAsia="宋体" w:cs="宋体"/>
                <w:sz w:val="18"/>
                <w:szCs w:val="22"/>
              </w:rPr>
              <w:br w:type="textWrapping"/>
            </w:r>
            <w:r>
              <w:rPr>
                <w:rFonts w:hint="default" w:ascii="宋体" w:hAnsi="宋体" w:eastAsia="宋体" w:cs="宋体"/>
                <w:sz w:val="18"/>
                <w:szCs w:val="22"/>
              </w:rPr>
              <w:t>【稳利安盈2026年458期（迎春款）F】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sz w:val="18"/>
                <w:szCs w:val="18"/>
              </w:rPr>
              <w:t>【</w:t>
            </w:r>
            <w:r>
              <w:rPr>
                <w:rFonts w:hint="eastAsia" w:ascii="宋体" w:hAnsi="宋体" w:cs="宋体"/>
                <w:sz w:val="18"/>
                <w:szCs w:val="18"/>
                <w:lang w:val="en-US" w:eastAsia="zh-CN"/>
              </w:rPr>
              <w:t>Z7002025002009</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【9A264580】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【9A26458A】 (适用【A】类份额)</w:t>
            </w:r>
            <w:r>
              <w:rPr>
                <w:rFonts w:hint="default" w:ascii="宋体" w:hAnsi="宋体" w:eastAsia="宋体" w:cs="宋体"/>
                <w:sz w:val="18"/>
                <w:szCs w:val="22"/>
              </w:rPr>
              <w:br w:type="textWrapping"/>
            </w:r>
            <w:r>
              <w:rPr>
                <w:rFonts w:hint="default" w:ascii="宋体" w:hAnsi="宋体" w:eastAsia="宋体" w:cs="宋体"/>
                <w:sz w:val="18"/>
                <w:szCs w:val="22"/>
              </w:rPr>
              <w:t>【9A26458B】 (适用【B】类份额)</w:t>
            </w:r>
            <w:r>
              <w:rPr>
                <w:rFonts w:hint="default" w:ascii="宋体" w:hAnsi="宋体" w:eastAsia="宋体" w:cs="宋体"/>
                <w:sz w:val="18"/>
                <w:szCs w:val="22"/>
              </w:rPr>
              <w:br w:type="textWrapping"/>
            </w:r>
            <w:r>
              <w:rPr>
                <w:rFonts w:hint="default" w:ascii="宋体" w:hAnsi="宋体" w:eastAsia="宋体" w:cs="宋体"/>
                <w:sz w:val="18"/>
                <w:szCs w:val="22"/>
              </w:rPr>
              <w:t>【9A26458C】 (适用【C】类份额)</w:t>
            </w:r>
            <w:r>
              <w:rPr>
                <w:rFonts w:hint="default" w:ascii="宋体" w:hAnsi="宋体" w:eastAsia="宋体" w:cs="宋体"/>
                <w:sz w:val="18"/>
                <w:szCs w:val="22"/>
              </w:rPr>
              <w:br w:type="textWrapping"/>
            </w:r>
            <w:r>
              <w:rPr>
                <w:rFonts w:hint="default" w:ascii="宋体" w:hAnsi="宋体" w:eastAsia="宋体" w:cs="宋体"/>
                <w:sz w:val="18"/>
                <w:szCs w:val="22"/>
              </w:rPr>
              <w:t>【9A26458F】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 R1、□ R2、□ R3、□ R4、□ R5</w:t>
            </w:r>
            <w:r>
              <w:rPr>
                <w:rFonts w:hint="eastAsia" w:ascii="黑体" w:hAnsi="黑体" w:eastAsia="黑体" w:cs="黑体"/>
                <w:bCs/>
                <w:sz w:val="18"/>
                <w:szCs w:val="18"/>
              </w:rPr>
              <w:t>】理财产品。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本产品适合以下类型投资者：(适用【A</w:t>
            </w:r>
            <w:r>
              <w:rPr>
                <w:rFonts w:hint="eastAsia" w:ascii="宋体" w:hAnsi="宋体" w:eastAsia="宋体" w:cs="宋体"/>
                <w:bCs/>
                <w:color w:val="000000"/>
                <w:sz w:val="18"/>
                <w:szCs w:val="18"/>
                <w:lang w:val="en-US" w:eastAsia="zh-CN"/>
              </w:rPr>
              <w:t>/B/C/F</w:t>
            </w:r>
            <w:r>
              <w:rPr>
                <w:rFonts w:hint="default" w:ascii="宋体" w:hAnsi="宋体" w:eastAsia="宋体" w:cs="宋体"/>
                <w:bCs/>
                <w:color w:val="000000"/>
                <w:sz w:val="18"/>
                <w:szCs w:val="18"/>
              </w:rPr>
              <w:t>】类份额)</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eastAsia" w:ascii="宋体" w:hAnsi="宋体" w:cs="宋体"/>
                <w:sz w:val="18"/>
                <w:szCs w:val="18"/>
              </w:rPr>
            </w:pPr>
            <w:r>
              <w:rPr>
                <w:rFonts w:hint="eastAsia" w:ascii="宋体" w:hAnsi="宋体" w:cs="宋体"/>
                <w:sz w:val="18"/>
                <w:szCs w:val="18"/>
              </w:rPr>
              <w:t>■</w:t>
            </w:r>
            <w:r>
              <w:rPr>
                <w:rFonts w:hint="eastAsia" w:ascii="宋体" w:hAnsi="宋体" w:cs="宋体"/>
                <w:sz w:val="18"/>
                <w:szCs w:val="18"/>
                <w:lang w:val="en-US" w:eastAsia="zh-CN"/>
              </w:rPr>
              <w:t xml:space="preserve"> </w:t>
            </w:r>
            <w:r>
              <w:rPr>
                <w:rFonts w:hint="eastAsia" w:ascii="宋体" w:hAnsi="宋体" w:cs="宋体"/>
                <w:sz w:val="18"/>
                <w:szCs w:val="18"/>
              </w:rPr>
              <w:t>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rPr>
              <w:t>1.本产品计划初始募集规模为【</w:t>
            </w:r>
            <w:r>
              <w:rPr>
                <w:rFonts w:hint="eastAsia" w:ascii="宋体" w:hAnsi="宋体" w:eastAsia="宋体" w:cs="宋体"/>
                <w:bCs/>
                <w:sz w:val="18"/>
                <w:szCs w:val="18"/>
                <w:lang w:val="en-US" w:eastAsia="zh-CN"/>
              </w:rPr>
              <w:t>10</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■有固定期限:【125天】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lang w:val="en-US" w:eastAsia="zh-CN"/>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【2026年02月26日】【09:00】至【2026年03月04日】【17:00】。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【2026年03月05日】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【2026年07月08日】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超出起点金额的部分以【0.01】元的整数倍递增。（适用【F】类份额)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单一投资者认购上限为【/】元。（适用【F】类份额)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产品存续期间，单一投资者最高持有份额上限为【/】份，符合产品管理人流动性管理的稳定资金除外。（适用【F】类份额)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 xml:space="preserve">如需突破上限，请与产品管理人或销售机构客户经理联系。 </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hint="default"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hint="default" w:ascii="黑体" w:hAnsi="黑体" w:eastAsia="黑体" w:cs="宋体"/>
                <w:color w:val="000000"/>
                <w:sz w:val="18"/>
                <w:szCs w:val="18"/>
                <w:lang w:val="en-US" w:eastAsia="zh-CN" w:bidi="ar-SA"/>
              </w:rPr>
              <w:t>50%。</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hint="default"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eastAsia" w:ascii="黑体" w:hAnsi="黑体" w:eastAsia="黑体" w:cs="宋体"/>
                <w:color w:val="000000"/>
                <w:sz w:val="18"/>
                <w:szCs w:val="18"/>
              </w:rPr>
              <w:t>（</w:t>
            </w:r>
            <w:r>
              <w:rPr>
                <w:rFonts w:hint="default"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年化【1.88%】。（适用【A】类份额)</w:t>
            </w:r>
            <w:r>
              <w:rPr>
                <w:rFonts w:hint="default" w:ascii="宋体" w:hAnsi="宋体" w:eastAsia="宋体" w:cs="宋体"/>
                <w:sz w:val="18"/>
                <w:szCs w:val="22"/>
              </w:rPr>
              <w:br w:type="textWrapping"/>
            </w:r>
            <w:r>
              <w:rPr>
                <w:rFonts w:hint="default" w:ascii="宋体" w:hAnsi="宋体" w:eastAsia="宋体" w:cs="宋体"/>
                <w:sz w:val="18"/>
                <w:szCs w:val="22"/>
              </w:rPr>
              <w:t>年化【1.63%】。（适用【B】类份额)</w:t>
            </w:r>
            <w:r>
              <w:rPr>
                <w:rFonts w:hint="default" w:ascii="宋体" w:hAnsi="宋体" w:eastAsia="宋体" w:cs="宋体"/>
                <w:sz w:val="18"/>
                <w:szCs w:val="22"/>
              </w:rPr>
              <w:br w:type="textWrapping"/>
            </w:r>
            <w:r>
              <w:rPr>
                <w:rFonts w:hint="default" w:ascii="宋体" w:hAnsi="宋体" w:eastAsia="宋体" w:cs="宋体"/>
                <w:sz w:val="18"/>
                <w:szCs w:val="22"/>
              </w:rPr>
              <w:t>年化【1.83%】。（适用【C】类份额)</w:t>
            </w:r>
            <w:r>
              <w:rPr>
                <w:rFonts w:hint="default" w:ascii="宋体" w:hAnsi="宋体" w:eastAsia="宋体" w:cs="宋体"/>
                <w:sz w:val="18"/>
                <w:szCs w:val="22"/>
              </w:rPr>
              <w:br w:type="textWrapping"/>
            </w:r>
            <w:r>
              <w:rPr>
                <w:rFonts w:hint="default" w:ascii="宋体" w:hAnsi="宋体" w:eastAsia="宋体" w:cs="宋体"/>
                <w:sz w:val="18"/>
                <w:szCs w:val="22"/>
              </w:rPr>
              <w:t>年化【1.73%】。（适用【F】类份额)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年化【1.88%】。（适用【A】类份额)</w:t>
            </w:r>
            <w:r>
              <w:rPr>
                <w:rFonts w:hint="default" w:ascii="宋体" w:hAnsi="宋体" w:eastAsia="宋体" w:cs="宋体"/>
                <w:sz w:val="18"/>
                <w:szCs w:val="22"/>
              </w:rPr>
              <w:br w:type="textWrapping"/>
            </w:r>
            <w:r>
              <w:rPr>
                <w:rFonts w:hint="default" w:ascii="宋体" w:hAnsi="宋体" w:eastAsia="宋体" w:cs="宋体"/>
                <w:sz w:val="18"/>
                <w:szCs w:val="22"/>
              </w:rPr>
              <w:t>年化【1.63%】。（适用【B】类份额)</w:t>
            </w:r>
            <w:r>
              <w:rPr>
                <w:rFonts w:hint="default" w:ascii="宋体" w:hAnsi="宋体" w:eastAsia="宋体" w:cs="宋体"/>
                <w:sz w:val="18"/>
                <w:szCs w:val="22"/>
              </w:rPr>
              <w:br w:type="textWrapping"/>
            </w:r>
            <w:r>
              <w:rPr>
                <w:rFonts w:hint="default" w:ascii="宋体" w:hAnsi="宋体" w:eastAsia="宋体" w:cs="宋体"/>
                <w:sz w:val="18"/>
                <w:szCs w:val="22"/>
              </w:rPr>
              <w:t>年化【1.83%】。（适用【C】类份额)</w:t>
            </w:r>
            <w:r>
              <w:rPr>
                <w:rFonts w:hint="default" w:ascii="宋体" w:hAnsi="宋体" w:eastAsia="宋体" w:cs="宋体"/>
                <w:sz w:val="18"/>
                <w:szCs w:val="22"/>
              </w:rPr>
              <w:br w:type="textWrapping"/>
            </w:r>
            <w:r>
              <w:rPr>
                <w:rFonts w:hint="default" w:ascii="宋体" w:hAnsi="宋体" w:eastAsia="宋体" w:cs="宋体"/>
                <w:sz w:val="18"/>
                <w:szCs w:val="22"/>
              </w:rPr>
              <w:t>年化【1.73%】。（适用【F】类份额)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黑体" w:hAnsi="黑体" w:eastAsia="黑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【/】。（适用【F】类份额）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年化费率【0.05%】。（适用【A】类份额）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年化费率【0.2%】。（适用【F】类份额）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（3）投资管理费：年化费率【0.01%】</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7151"/>
      <w:bookmarkStart w:id="78" w:name="_Toc16265"/>
      <w:bookmarkStart w:id="79" w:name="_Toc27189"/>
      <w:bookmarkStart w:id="80" w:name="_Toc22074"/>
      <w:bookmarkStart w:id="81" w:name="_Toc90742688"/>
      <w:bookmarkStart w:id="82" w:name="_Toc90742321"/>
      <w:bookmarkStart w:id="83" w:name="_Toc27226"/>
      <w:bookmarkStart w:id="84" w:name="_Toc15203"/>
      <w:bookmarkStart w:id="85" w:name="_Toc29784"/>
      <w:bookmarkStart w:id="86" w:name="_Toc90742390"/>
      <w:bookmarkStart w:id="87" w:name="_Toc6714"/>
      <w:bookmarkStart w:id="88" w:name="_Toc74065741"/>
      <w:bookmarkStart w:id="89" w:name="_Toc3266"/>
      <w:bookmarkStart w:id="90" w:name="_Toc29948"/>
      <w:bookmarkStart w:id="91" w:name="_Toc79154668"/>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（1）银行存款、债券逆回购、货币基金等货币市场工具及其它银行间和交易所资金融通工具；</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（3）符合监管要求的债权类资产。</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（4）投资于上述资产的资产管理产品，包括资金信托，证券公司、证券公司子公司、基金管理公</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司、基金管理子公司、期货公司、期货公司子公司、保险资产管理机构、金融资产投资公司发行的</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【（1）本产品投资于债权类资产的比例不低于产品总资产的80%。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（2）符合监管要求的非标准化债权类资产占产品净资产比例不高于50%。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hint="eastAsia" w:ascii="宋体" w:hAnsi="宋体" w:eastAsia="宋体" w:cs="宋体"/>
          <w:b/>
          <w:bCs w:val="0"/>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（6）本产品投资于信用债券、银行存款、非标准化债权类资产融资人的信用评级均不得低于AA+。</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【产品采取绝对收益策略，追求资产长期稳定增值。】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41703885"/>
      <w:bookmarkStart w:id="94" w:name="_Toc26986"/>
      <w:bookmarkStart w:id="95" w:name="_Toc17912"/>
      <w:bookmarkStart w:id="96" w:name="_Toc4741"/>
      <w:bookmarkStart w:id="97" w:name="_Toc18526"/>
      <w:bookmarkStart w:id="98" w:name="_Toc18797"/>
      <w:bookmarkStart w:id="99" w:name="_Toc176189758"/>
      <w:bookmarkStart w:id="100" w:name="_Toc18329"/>
      <w:bookmarkStart w:id="101" w:name="_Toc7848"/>
      <w:bookmarkStart w:id="102" w:name="_Toc14893"/>
      <w:bookmarkStart w:id="103" w:name="_Toc74065742"/>
      <w:bookmarkStart w:id="104" w:name="_Toc1823"/>
      <w:bookmarkStart w:id="105" w:name="_Toc21988"/>
      <w:bookmarkStart w:id="106" w:name="_Toc139991735"/>
      <w:bookmarkStart w:id="107" w:name="_Toc79154669"/>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23112234"/>
      <w:bookmarkStart w:id="110" w:name="_Toc139991736"/>
      <w:bookmarkStart w:id="111" w:name="_Toc48649707"/>
      <w:bookmarkStart w:id="112" w:name="_Toc74065743"/>
      <w:bookmarkStart w:id="113" w:name="_Toc23261"/>
      <w:bookmarkStart w:id="114" w:name="_Toc7920"/>
      <w:bookmarkStart w:id="115" w:name="_Toc123102453"/>
      <w:bookmarkStart w:id="116" w:name="_Toc23822"/>
      <w:bookmarkStart w:id="117" w:name="_Toc98560352"/>
      <w:bookmarkStart w:id="118" w:name="_Toc1427"/>
      <w:bookmarkStart w:id="119" w:name="_Toc123051452"/>
      <w:bookmarkStart w:id="120" w:name="_Toc79392606"/>
      <w:bookmarkStart w:id="121" w:name="_Toc10463"/>
      <w:bookmarkStart w:id="122" w:name="_Toc1270"/>
      <w:bookmarkStart w:id="123" w:name="_Toc20733"/>
      <w:bookmarkStart w:id="124" w:name="_Toc610"/>
      <w:bookmarkStart w:id="125" w:name="_Toc4003"/>
      <w:bookmarkStart w:id="126" w:name="_Toc141703886"/>
      <w:bookmarkStart w:id="127" w:name="_Toc79154670"/>
      <w:bookmarkStart w:id="128" w:name="_Toc176189759"/>
      <w:bookmarkStart w:id="129" w:name="_Toc17244"/>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39991737"/>
      <w:bookmarkStart w:id="132" w:name="_Toc12245"/>
      <w:bookmarkStart w:id="133" w:name="_Toc123102454"/>
      <w:bookmarkStart w:id="134" w:name="_Toc79154671"/>
      <w:bookmarkStart w:id="135" w:name="_Toc123112235"/>
      <w:bookmarkStart w:id="136" w:name="_Toc98560353"/>
      <w:bookmarkStart w:id="137" w:name="_Toc15143"/>
      <w:bookmarkStart w:id="138" w:name="_Toc26207"/>
      <w:bookmarkStart w:id="139" w:name="_Toc6405"/>
      <w:bookmarkStart w:id="140" w:name="_Toc3601"/>
      <w:bookmarkStart w:id="141" w:name="_Toc31644"/>
      <w:bookmarkStart w:id="142" w:name="_Toc31653"/>
      <w:bookmarkStart w:id="143" w:name="_Toc141703887"/>
      <w:bookmarkStart w:id="144" w:name="_Toc123051453"/>
      <w:bookmarkStart w:id="145" w:name="_Toc29251"/>
      <w:bookmarkStart w:id="146" w:name="_Toc31235"/>
      <w:bookmarkStart w:id="147" w:name="_Toc176189760"/>
      <w:bookmarkStart w:id="148" w:name="_Toc74065744"/>
      <w:bookmarkStart w:id="149" w:name="_Toc1483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79392580"/>
      <w:bookmarkStart w:id="153" w:name="_Toc523711668"/>
      <w:bookmarkStart w:id="154" w:name="_Toc57530239"/>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4559"/>
      <w:bookmarkStart w:id="158" w:name="_Toc10650"/>
      <w:bookmarkStart w:id="159" w:name="_Toc79154672"/>
      <w:bookmarkStart w:id="160" w:name="_Toc74065745"/>
      <w:bookmarkStart w:id="161" w:name="_Toc6447"/>
      <w:bookmarkStart w:id="162" w:name="_Toc176189761"/>
      <w:bookmarkStart w:id="163" w:name="_Toc9706"/>
      <w:bookmarkStart w:id="164" w:name="_Toc98560354"/>
      <w:bookmarkStart w:id="165" w:name="_Toc7058"/>
      <w:bookmarkStart w:id="166" w:name="_Toc18567"/>
      <w:bookmarkStart w:id="167" w:name="_Toc123112236"/>
      <w:bookmarkStart w:id="168" w:name="_Toc25783"/>
      <w:bookmarkStart w:id="169" w:name="_Toc141703888"/>
      <w:bookmarkStart w:id="170" w:name="_Toc79392583"/>
      <w:bookmarkStart w:id="171" w:name="_Toc123051454"/>
      <w:bookmarkStart w:id="172" w:name="_Toc11030"/>
      <w:bookmarkStart w:id="173" w:name="_Toc3771"/>
      <w:bookmarkStart w:id="174" w:name="_Toc3321"/>
      <w:bookmarkStart w:id="175" w:name="_Toc139991738"/>
      <w:bookmarkStart w:id="176" w:name="_Toc123102455"/>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  </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p>
    <w:p>
      <w:pPr>
        <w:widowControl w:val="0"/>
        <w:autoSpaceDE w:val="0"/>
        <w:autoSpaceDN w:val="0"/>
        <w:adjustRightInd w:val="0"/>
        <w:spacing w:line="360" w:lineRule="auto"/>
        <w:ind w:firstLine="361" w:firstLineChars="200"/>
        <w:rPr>
          <w:rFonts w:hint="eastAsia" w:ascii="黑体" w:hAnsi="黑体" w:eastAsia="黑体" w:cs="黑体"/>
          <w:b/>
          <w:bCs/>
          <w:color w:val="auto"/>
          <w:kern w:val="2"/>
          <w:sz w:val="18"/>
          <w:szCs w:val="18"/>
          <w:lang w:val="en-US" w:eastAsia="zh-CN" w:bidi="ar-SA"/>
        </w:rPr>
      </w:pP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每份产品份额超额业绩报酬每日计提，产品终止日（不含部分终止日）结算。</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当R＞当前业绩报酬计提基准，超额业绩报酬=产品终止（不含部分终止）时投资者持有的产品份额×产品成立日产品份额净值×（R-当前业绩报酬计提基准）×N×D/365。</w:t>
      </w:r>
    </w:p>
    <w:p>
      <w:pPr>
        <w:widowControl/>
        <w:spacing w:line="360" w:lineRule="auto"/>
        <w:ind w:firstLine="361" w:firstLineChars="200"/>
        <w:jc w:val="left"/>
        <w:rPr>
          <w:rFonts w:hint="eastAsia" w:ascii="黑体" w:hAnsi="黑体" w:eastAsia="黑体" w:cs="黑体"/>
          <w:b/>
          <w:bCs/>
          <w:sz w:val="18"/>
          <w:szCs w:val="18"/>
        </w:rPr>
      </w:pPr>
      <w:r>
        <w:rPr>
          <w:rFonts w:hint="eastAsia" w:ascii="黑体" w:hAnsi="黑体" w:eastAsia="黑体" w:cs="黑体"/>
          <w:b/>
          <w:bCs/>
          <w:kern w:val="0"/>
          <w:sz w:val="18"/>
          <w:szCs w:val="18"/>
        </w:rPr>
        <w:t>注：产品部分提前终止情况下，部分提前终止份额不收取超额业绩报酬</w:t>
      </w:r>
      <w:r>
        <w:rPr>
          <w:rFonts w:hint="eastAsia" w:ascii="黑体" w:hAnsi="黑体" w:eastAsia="黑体" w:cs="黑体"/>
          <w:b/>
          <w:bCs/>
          <w:sz w:val="18"/>
          <w:szCs w:val="18"/>
        </w:rPr>
        <w:t>。</w:t>
      </w:r>
    </w:p>
    <w:p>
      <w:pPr>
        <w:widowControl/>
        <w:spacing w:line="360" w:lineRule="auto"/>
        <w:ind w:firstLine="360" w:firstLineChars="200"/>
        <w:jc w:val="left"/>
        <w:rPr>
          <w:rFonts w:hint="eastAsia" w:ascii="黑体" w:hAnsi="黑体" w:eastAsia="黑体" w:cs="黑体"/>
          <w:sz w:val="18"/>
          <w:szCs w:val="18"/>
        </w:rPr>
      </w:pP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0398"/>
      <w:bookmarkStart w:id="180" w:name="_Toc31821"/>
      <w:bookmarkStart w:id="181" w:name="_Toc725"/>
      <w:bookmarkStart w:id="182" w:name="_Toc16164"/>
      <w:bookmarkStart w:id="183" w:name="_Toc141703889"/>
      <w:bookmarkStart w:id="184" w:name="_Toc123051455"/>
      <w:bookmarkStart w:id="185" w:name="_Toc74065746"/>
      <w:bookmarkStart w:id="186" w:name="_Toc3080"/>
      <w:bookmarkStart w:id="187" w:name="_Toc123112237"/>
      <w:bookmarkStart w:id="188" w:name="_Toc139991739"/>
      <w:bookmarkStart w:id="189" w:name="_Toc123102456"/>
      <w:bookmarkStart w:id="190" w:name="_Toc79154673"/>
      <w:bookmarkStart w:id="191" w:name="_Toc3572"/>
      <w:bookmarkStart w:id="192" w:name="_Toc176189762"/>
      <w:bookmarkStart w:id="193" w:name="_Toc98560355"/>
      <w:bookmarkStart w:id="194" w:name="_Toc18206"/>
      <w:bookmarkStart w:id="195" w:name="_Toc2173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79392593"/>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23102457"/>
      <w:bookmarkStart w:id="200" w:name="_Toc3329"/>
      <w:bookmarkStart w:id="201" w:name="_Toc141703890"/>
      <w:bookmarkStart w:id="202" w:name="_Toc8791"/>
      <w:bookmarkStart w:id="203" w:name="_Toc139991740"/>
      <w:bookmarkStart w:id="204" w:name="_Toc123112238"/>
      <w:bookmarkStart w:id="205" w:name="_Toc79154674"/>
      <w:bookmarkStart w:id="206" w:name="_Toc74065747"/>
      <w:bookmarkStart w:id="207" w:name="_Toc176189763"/>
      <w:bookmarkStart w:id="208" w:name="_Toc98560356"/>
      <w:bookmarkStart w:id="209" w:name="_Toc739"/>
      <w:bookmarkStart w:id="210" w:name="_Toc17920"/>
      <w:bookmarkStart w:id="211" w:name="_Toc21237"/>
      <w:bookmarkStart w:id="212" w:name="_Toc79392622"/>
      <w:bookmarkStart w:id="213" w:name="_Toc32584"/>
      <w:bookmarkStart w:id="214" w:name="_Toc29408"/>
      <w:bookmarkStart w:id="215" w:name="_Toc32092"/>
      <w:bookmarkStart w:id="216" w:name="_Toc17198"/>
      <w:bookmarkStart w:id="217" w:name="_Toc48649708"/>
      <w:bookmarkStart w:id="218" w:name="_Toc5170"/>
      <w:bookmarkStart w:id="219" w:name="_Toc123051456"/>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【兴银理财稳利安盈封闭式2026年458期固收类理财产品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ascii="宋体" w:hAnsi="宋体" w:eastAsia="宋体" w:cs="宋体"/>
          <w:sz w:val="18"/>
          <w:szCs w:val="22"/>
        </w:rPr>
        <w:t>销售名称：【稳利安盈2026年458期（迎春款）A】 (适用【A】类份额)</w:t>
      </w:r>
      <w:r>
        <w:rPr>
          <w:rFonts w:ascii="宋体" w:hAnsi="宋体" w:eastAsia="宋体" w:cs="宋体"/>
          <w:sz w:val="18"/>
          <w:szCs w:val="22"/>
        </w:rPr>
        <w:br w:type="textWrapping"/>
      </w:r>
      <w:r>
        <w:rPr>
          <w:rFonts w:ascii="宋体" w:hAnsi="宋体" w:eastAsia="宋体" w:cs="宋体"/>
          <w:sz w:val="18"/>
          <w:szCs w:val="22"/>
        </w:rPr>
        <w:t xml:space="preserve">     【稳利安盈2026年458期（迎春款）B】 (适用【B】类份额)</w:t>
      </w:r>
      <w:r>
        <w:rPr>
          <w:rFonts w:ascii="宋体" w:hAnsi="宋体" w:eastAsia="宋体" w:cs="宋体"/>
          <w:sz w:val="18"/>
          <w:szCs w:val="22"/>
        </w:rPr>
        <w:br w:type="textWrapping"/>
      </w:r>
      <w:r>
        <w:rPr>
          <w:rFonts w:ascii="宋体" w:hAnsi="宋体" w:eastAsia="宋体" w:cs="宋体"/>
          <w:sz w:val="18"/>
          <w:szCs w:val="22"/>
        </w:rPr>
        <w:t xml:space="preserve">     【稳利安盈2026年458期（迎春款）C】 (适用【C】类份额)</w:t>
      </w:r>
      <w:r>
        <w:rPr>
          <w:rFonts w:ascii="宋体" w:hAnsi="宋体" w:eastAsia="宋体" w:cs="宋体"/>
          <w:sz w:val="18"/>
          <w:szCs w:val="22"/>
        </w:rPr>
        <w:br w:type="textWrapping"/>
      </w:r>
      <w:r>
        <w:rPr>
          <w:rFonts w:ascii="宋体" w:hAnsi="宋体" w:eastAsia="宋体" w:cs="宋体"/>
          <w:sz w:val="18"/>
          <w:szCs w:val="22"/>
        </w:rPr>
        <w:t xml:space="preserve">     【稳利安盈2026年458期（迎春款）F】 (适用【F】类份额)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Z7002025002009</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【■有固定期限:【125天】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r>
        <w:rPr>
          <w:rFonts w:hint="eastAsia" w:ascii="宋体" w:hAnsi="宋体" w:cs="宋体"/>
          <w:sz w:val="18"/>
          <w:szCs w:val="18"/>
          <w:lang w:eastAsia="zh-CN"/>
        </w:rPr>
        <w:t>。</w:t>
      </w: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宋体" w:hAnsi="宋体"/>
          <w:sz w:val="18"/>
          <w:szCs w:val="18"/>
          <w:lang w:val="en-US" w:eastAsia="zh-CN"/>
        </w:rPr>
        <w:t xml:space="preserve"> </w:t>
      </w:r>
      <w:r>
        <w:rPr>
          <w:rFonts w:hint="eastAsia" w:ascii="宋体" w:hAnsi="宋体"/>
          <w:sz w:val="18"/>
          <w:szCs w:val="18"/>
        </w:rPr>
        <w:t>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highlight w:val="yellow"/>
        </w:rPr>
      </w:pPr>
      <w:r>
        <w:rPr>
          <w:rFonts w:hint="eastAsia" w:ascii="宋体" w:hAnsi="宋体"/>
          <w:sz w:val="18"/>
          <w:szCs w:val="18"/>
          <w:highlight w:val="yellow"/>
          <w:lang w:val="en-US" w:eastAsia="zh-CN"/>
        </w:rPr>
        <w:t>2.</w:t>
      </w:r>
      <w:r>
        <w:rPr>
          <w:rFonts w:hint="eastAsia" w:ascii="宋体" w:hAnsi="宋体"/>
          <w:sz w:val="18"/>
          <w:szCs w:val="18"/>
          <w:highlight w:val="yellow"/>
        </w:rPr>
        <w:t>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w:t>
      </w:r>
      <w:bookmarkStart w:id="222" w:name="_GoBack"/>
      <w:bookmarkEnd w:id="222"/>
      <w:r>
        <w:rPr>
          <w:rFonts w:hint="eastAsia" w:ascii="宋体" w:hAnsi="宋体"/>
          <w:sz w:val="18"/>
          <w:szCs w:val="18"/>
          <w:highlight w:val="yellow"/>
        </w:rPr>
        <w:t>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 C1、□C2、□ C3、□ C4、□ C5】</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14"/>
        <w:gridCol w:w="28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R1</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产品结构简单，所投资资产综合风险很低，产品具有很高流动性。</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R2</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产品结构简单，所投资资产综合风险较低。</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R3</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产品结构简单，所投资资产综合风险中等。</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R4</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产品结构较简单，所投资资产综合风险较高。</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R5</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产品结构较复杂或所投资资产综合风险高。</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C5及以上</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516D15B8"/>
    <w:rsid w:val="637F58C5"/>
    <w:rsid w:val="713875D1"/>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69</Pages>
  <Words>45463</Words>
  <Characters>46368</Characters>
  <Lines>0</Lines>
  <Paragraphs>0</Paragraphs>
  <TotalTime>1</TotalTime>
  <ScaleCrop>false</ScaleCrop>
  <LinksUpToDate>false</LinksUpToDate>
  <CharactersWithSpaces>46902</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2026-02-24T03:33:07Z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5EFBF58BCEE0424AB218AE3B14C00EA3</vt:lpwstr>
  </property>
</Properties>
</file>