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widowControl/>
        <w:spacing w:line="360" w:lineRule="auto"/>
        <w:jc w:val="center"/>
        <w:rPr>
          <w:rFonts w:ascii="黑体" w:hAnsi="黑体" w:eastAsia="黑体"/>
          <w:b/>
          <w:sz w:val="44"/>
          <w:szCs w:val="44"/>
        </w:rPr>
      </w:pPr>
      <w:r>
        <w:rPr>
          <w:rFonts w:hint="eastAsia" w:ascii="黑体" w:hAnsi="黑体" w:eastAsia="黑体"/>
          <w:b/>
          <w:sz w:val="44"/>
          <w:szCs w:val="44"/>
        </w:rPr>
        <w:t>兴银理财【</w:t>
      </w:r>
      <w:r>
        <w:rPr>
          <w:rFonts w:hint="eastAsia" w:ascii="黑体" w:hAnsi="黑体" w:eastAsia="黑体"/>
          <w:b/>
          <w:sz w:val="44"/>
          <w:szCs w:val="44"/>
          <w:lang w:val="en-US" w:eastAsia="zh-CN"/>
        </w:rPr>
        <w:t>稳利恒盈封闭式固收类</w:t>
      </w:r>
      <w:r>
        <w:rPr>
          <w:rFonts w:hint="eastAsia" w:ascii="黑体" w:hAnsi="黑体" w:eastAsia="黑体"/>
          <w:b/>
          <w:sz w:val="44"/>
          <w:szCs w:val="44"/>
        </w:rPr>
        <w:t>】理财产品</w:t>
      </w:r>
    </w:p>
    <w:p>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】理财产品投资协议书</w:t>
            </w:r>
            <w:r>
              <w:rPr>
                <w:rFonts w:ascii="宋体" w:hAnsi="宋体"/>
                <w:kern w:val="0"/>
                <w:sz w:val="20"/>
                <w:szCs w:val="21"/>
              </w:rPr>
              <w:t xml:space="preserve"> </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】理财产品产品说明书</w:t>
            </w:r>
          </w:p>
        </w:tc>
        <w:tc>
          <w:tcPr>
            <w:tcW w:w="2107" w:type="dxa"/>
          </w:tcPr>
          <w:p>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】理财产品（代理）销售协议书</w:t>
            </w:r>
          </w:p>
        </w:tc>
        <w:tc>
          <w:tcPr>
            <w:tcW w:w="2107" w:type="dxa"/>
          </w:tcPr>
          <w:p>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pPr>
              <w:widowControl/>
              <w:spacing w:line="360" w:lineRule="auto"/>
              <w:rPr>
                <w:rFonts w:ascii="宋体" w:hAnsi="宋体"/>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】理财产品风险揭示书</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风险揭示书</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pPr>
              <w:widowControl/>
              <w:spacing w:line="360" w:lineRule="auto"/>
              <w:rPr>
                <w:rFonts w:ascii="宋体" w:hAnsi="宋体"/>
                <w:kern w:val="0"/>
                <w:sz w:val="20"/>
                <w:szCs w:val="21"/>
              </w:rPr>
            </w:pPr>
            <w:r>
              <w:rPr>
                <w:rFonts w:hint="eastAsia" w:ascii="宋体" w:hAnsi="宋体"/>
                <w:kern w:val="0"/>
                <w:sz w:val="20"/>
                <w:szCs w:val="21"/>
              </w:rPr>
              <w:t>兴银理财【</w:t>
            </w:r>
            <w:r>
              <w:rPr>
                <w:rFonts w:hint="eastAsia" w:ascii="宋体" w:hAnsi="宋体"/>
                <w:kern w:val="0"/>
                <w:sz w:val="20"/>
                <w:szCs w:val="21"/>
                <w:lang w:val="en-US" w:eastAsia="zh-CN"/>
              </w:rPr>
              <w:t>稳利恒盈封闭式固收类</w:t>
            </w:r>
            <w:r>
              <w:rPr>
                <w:rFonts w:hint="eastAsia" w:ascii="宋体" w:hAnsi="宋体"/>
                <w:kern w:val="0"/>
                <w:sz w:val="20"/>
                <w:szCs w:val="21"/>
              </w:rPr>
              <w:t>】理财产品投资者权益须知</w:t>
            </w:r>
          </w:p>
        </w:tc>
        <w:tc>
          <w:tcPr>
            <w:tcW w:w="2107" w:type="dxa"/>
          </w:tcPr>
          <w:p>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pPr>
        <w:widowControl/>
        <w:spacing w:line="360" w:lineRule="auto"/>
        <w:jc w:val="left"/>
        <w:rPr>
          <w:rFonts w:ascii="黑体" w:hAnsi="黑体" w:eastAsia="黑体"/>
          <w:b/>
          <w:szCs w:val="21"/>
        </w:rPr>
      </w:pPr>
      <w:r>
        <w:rPr>
          <w:rFonts w:hint="eastAsia" w:ascii="黑体" w:hAnsi="黑体" w:eastAsia="黑体"/>
          <w:b/>
          <w:szCs w:val="21"/>
        </w:rPr>
        <w:t>郑重提示：</w:t>
      </w:r>
    </w:p>
    <w:p>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pPr>
        <w:tabs>
          <w:tab w:val="left" w:pos="6660"/>
        </w:tabs>
        <w:spacing w:line="360" w:lineRule="auto"/>
        <w:jc w:val="center"/>
        <w:rPr>
          <w:rFonts w:ascii="黑体" w:hAnsi="黑体" w:eastAsia="黑体"/>
          <w:kern w:val="0"/>
          <w:szCs w:val="21"/>
        </w:rPr>
      </w:pPr>
    </w:p>
    <w:p>
      <w:pPr>
        <w:tabs>
          <w:tab w:val="left" w:pos="6660"/>
        </w:tabs>
        <w:spacing w:line="360" w:lineRule="auto"/>
        <w:jc w:val="center"/>
        <w:rPr>
          <w:bCs/>
          <w:sz w:val="44"/>
        </w:rPr>
      </w:pPr>
    </w:p>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tabs>
          <w:tab w:val="left" w:pos="6660"/>
        </w:tabs>
        <w:spacing w:line="360" w:lineRule="auto"/>
        <w:jc w:val="center"/>
        <w:rPr>
          <w:bCs/>
          <w:sz w:val="44"/>
        </w:rPr>
      </w:pPr>
    </w:p>
    <w:p>
      <w:pPr>
        <w:spacing w:line="360" w:lineRule="auto"/>
        <w:jc w:val="center"/>
        <w:rPr>
          <w:b/>
          <w:sz w:val="52"/>
        </w:rPr>
      </w:pPr>
    </w:p>
    <w:p>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spacing w:line="360" w:lineRule="auto"/>
        <w:jc w:val="center"/>
        <w:rPr>
          <w:b/>
          <w:sz w:val="52"/>
        </w:rPr>
      </w:pP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兴银理财【</w:t>
      </w:r>
      <w:r>
        <w:rPr>
          <w:rStyle w:val="10"/>
          <w:rFonts w:hint="eastAsia" w:ascii="黑体" w:hAnsi="黑体" w:eastAsia="黑体" w:cs="宋体"/>
          <w:sz w:val="44"/>
          <w:szCs w:val="44"/>
          <w:lang w:val="en-US" w:eastAsia="zh-CN"/>
        </w:rPr>
        <w:t>稳利恒盈封闭式固收类</w:t>
      </w:r>
      <w:r>
        <w:rPr>
          <w:rStyle w:val="10"/>
          <w:rFonts w:hint="eastAsia" w:ascii="黑体" w:hAnsi="黑体" w:eastAsia="黑体" w:cs="宋体"/>
          <w:sz w:val="44"/>
          <w:szCs w:val="44"/>
        </w:rPr>
        <w:t>】理财产品</w:t>
      </w:r>
    </w:p>
    <w:p>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pPr>
        <w:spacing w:line="360" w:lineRule="auto"/>
        <w:jc w:val="center"/>
        <w:rPr>
          <w:b/>
          <w:sz w:val="28"/>
          <w:szCs w:val="28"/>
        </w:rPr>
      </w:pPr>
    </w:p>
    <w:p>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pPr>
        <w:spacing w:line="360" w:lineRule="auto"/>
        <w:jc w:val="center"/>
        <w:rPr>
          <w:b/>
          <w:sz w:val="28"/>
          <w:szCs w:val="28"/>
        </w:rPr>
      </w:pPr>
    </w:p>
    <w:p>
      <w:pPr>
        <w:spacing w:line="360" w:lineRule="auto"/>
        <w:jc w:val="center"/>
        <w:rPr>
          <w:b/>
          <w:sz w:val="28"/>
          <w:szCs w:val="28"/>
        </w:rPr>
      </w:pPr>
    </w:p>
    <w:p>
      <w:pPr>
        <w:adjustRightInd w:val="0"/>
        <w:spacing w:line="360" w:lineRule="auto"/>
        <w:jc w:val="center"/>
        <w:rPr>
          <w:rStyle w:val="10"/>
          <w:rFonts w:ascii="宋体" w:hAnsi="宋体"/>
          <w:sz w:val="28"/>
          <w:szCs w:val="28"/>
        </w:rPr>
      </w:pPr>
      <w:bookmarkStart w:id="0" w:name="_Toc123112263"/>
      <w:bookmarkStart w:id="1" w:name="_Toc123701383"/>
      <w:bookmarkStart w:id="2" w:name="_Toc123112224"/>
      <w:bookmarkStart w:id="3" w:name="_Toc139992301"/>
      <w:bookmarkStart w:id="4" w:name="_Toc139991726"/>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pPr>
        <w:adjustRightInd w:val="0"/>
        <w:spacing w:line="360" w:lineRule="auto"/>
        <w:jc w:val="center"/>
        <w:rPr>
          <w:rStyle w:val="10"/>
          <w:rFonts w:ascii="黑体" w:hAnsi="黑体" w:eastAsia="黑体" w:cs="宋体"/>
          <w:sz w:val="28"/>
          <w:szCs w:val="28"/>
        </w:rPr>
      </w:pPr>
      <w:bookmarkStart w:id="5" w:name="_Toc123701384"/>
      <w:bookmarkStart w:id="6" w:name="_Toc123112225"/>
      <w:bookmarkStart w:id="7" w:name="_Toc139991727"/>
      <w:bookmarkStart w:id="8" w:name="_Toc123112264"/>
      <w:bookmarkStart w:id="9" w:name="_Toc139992302"/>
    </w:p>
    <w:bookmarkEnd w:id="5"/>
    <w:bookmarkEnd w:id="6"/>
    <w:bookmarkEnd w:id="7"/>
    <w:bookmarkEnd w:id="8"/>
    <w:bookmarkEnd w:id="9"/>
    <w:p>
      <w:pPr>
        <w:adjustRightInd w:val="0"/>
        <w:spacing w:line="360" w:lineRule="auto"/>
        <w:jc w:val="center"/>
        <w:rPr>
          <w:rStyle w:val="10"/>
          <w:rFonts w:ascii="黑体" w:hAnsi="黑体" w:eastAsia="黑体" w:cs="宋体"/>
          <w:sz w:val="28"/>
          <w:szCs w:val="28"/>
        </w:rPr>
      </w:pPr>
    </w:p>
    <w:p>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【2026】年【2】月</w:t>
      </w:r>
    </w:p>
    <w:p>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pPr>
              <w:pStyle w:val="6"/>
              <w:snapToGrid w:val="0"/>
              <w:spacing w:before="0" w:beforeAutospacing="0" w:after="0" w:afterAutospacing="0" w:line="360" w:lineRule="auto"/>
              <w:jc w:val="both"/>
              <w:rPr>
                <w:rFonts w:ascii="黑体" w:hAnsi="黑体" w:eastAsia="黑体"/>
                <w:bCs/>
                <w:sz w:val="18"/>
                <w:szCs w:val="18"/>
              </w:rPr>
            </w:pP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pPr>
              <w:pStyle w:val="6"/>
              <w:snapToGrid w:val="0"/>
              <w:spacing w:before="0" w:beforeAutospacing="0" w:after="0" w:afterAutospacing="0" w:line="360" w:lineRule="auto"/>
              <w:jc w:val="both"/>
              <w:rPr>
                <w:rFonts w:ascii="黑体" w:hAnsi="黑体" w:eastAsia="黑体"/>
                <w:bCs/>
                <w:sz w:val="18"/>
                <w:szCs w:val="18"/>
              </w:rPr>
            </w:pPr>
          </w:p>
          <w:p>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pPr>
              <w:pStyle w:val="6"/>
              <w:snapToGrid w:val="0"/>
              <w:spacing w:before="0" w:beforeAutospacing="0" w:after="0" w:afterAutospacing="0"/>
              <w:jc w:val="both"/>
              <w:rPr>
                <w:rFonts w:ascii="黑体" w:hAnsi="黑体" w:eastAsia="黑体"/>
                <w:bCs/>
                <w:sz w:val="18"/>
                <w:szCs w:val="18"/>
              </w:rPr>
            </w:pPr>
          </w:p>
          <w:p>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23701386"/>
      <w:bookmarkStart w:id="11" w:name="_Toc123112227"/>
      <w:bookmarkStart w:id="12" w:name="_Toc139991729"/>
      <w:bookmarkStart w:id="13" w:name="_Toc123112266"/>
    </w:p>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pPr>
              <w:pStyle w:val="4"/>
              <w:spacing w:line="360" w:lineRule="auto"/>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pPr>
              <w:spacing w:line="360" w:lineRule="auto"/>
              <w:jc w:val="left"/>
              <w:rPr>
                <w:rFonts w:ascii="宋体" w:hAnsi="宋体"/>
                <w:bCs/>
                <w:sz w:val="18"/>
                <w:szCs w:val="18"/>
              </w:rPr>
            </w:pPr>
          </w:p>
        </w:tc>
        <w:tc>
          <w:tcPr>
            <w:tcW w:w="1417"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shd w:val="solid" w:color="FFFFFF" w:fill="FFFFFF"/>
            <w:vAlign w:val="center"/>
          </w:tcPr>
          <w:p>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pStyle w:val="4"/>
              <w:pBdr>
                <w:bottom w:val="none" w:color="auto" w:sz="0" w:space="0"/>
              </w:pBdr>
              <w:spacing w:line="360" w:lineRule="auto"/>
              <w:rPr>
                <w:rFonts w:ascii="宋体" w:hAnsi="宋体"/>
                <w:b/>
                <w:bCs/>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pPr>
              <w:spacing w:line="360" w:lineRule="auto"/>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pPr>
            <w:pStyle w:val="13"/>
            <w:spacing w:line="360" w:lineRule="auto"/>
            <w:jc w:val="center"/>
          </w:pPr>
          <w:r>
            <w:rPr>
              <w:rFonts w:hint="eastAsia"/>
              <w:lang w:val="zh-CN"/>
            </w:rPr>
            <w:t>目录</w:t>
          </w:r>
        </w:p>
        <w:p>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pPr>
            <w:spacing w:line="360" w:lineRule="auto"/>
          </w:pPr>
          <w:r>
            <w:rPr>
              <w:bCs/>
              <w:lang w:val="zh-CN"/>
            </w:rPr>
            <w:fldChar w:fldCharType="end"/>
          </w:r>
        </w:p>
      </w:sdtContent>
    </w:sdt>
    <w:p>
      <w:pPr>
        <w:widowControl/>
        <w:jc w:val="left"/>
        <w:rPr>
          <w:rFonts w:ascii="宋体" w:hAnsi="宋体" w:cs="仿宋_GB2312"/>
          <w:b/>
          <w:kern w:val="0"/>
          <w:sz w:val="18"/>
          <w:szCs w:val="18"/>
        </w:rPr>
      </w:pPr>
      <w:r>
        <w:rPr>
          <w:rFonts w:ascii="宋体" w:hAnsi="宋体" w:cs="仿宋_GB2312"/>
          <w:b/>
          <w:kern w:val="0"/>
          <w:sz w:val="18"/>
          <w:szCs w:val="18"/>
        </w:rPr>
        <w:br w:type="page"/>
      </w: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pPr>
        <w:spacing w:line="360" w:lineRule="auto"/>
      </w:pPr>
    </w:p>
    <w:bookmarkEnd w:id="10"/>
    <w:bookmarkEnd w:id="11"/>
    <w:bookmarkEnd w:id="12"/>
    <w:bookmarkEnd w:id="13"/>
    <w:p>
      <w:pPr>
        <w:pStyle w:val="2"/>
        <w:spacing w:before="0" w:after="0"/>
        <w:jc w:val="center"/>
        <w:rPr>
          <w:rFonts w:ascii="Times New Roman"/>
          <w:color w:val="auto"/>
          <w:sz w:val="30"/>
        </w:rPr>
      </w:pPr>
      <w:bookmarkStart w:id="14" w:name="_Toc23386"/>
      <w:bookmarkStart w:id="15" w:name="_Toc123112229"/>
      <w:bookmarkStart w:id="16" w:name="_Toc4966"/>
      <w:bookmarkStart w:id="17" w:name="_Toc8727"/>
      <w:bookmarkStart w:id="18" w:name="_Toc30935"/>
      <w:bookmarkStart w:id="19" w:name="_Toc141703880"/>
      <w:bookmarkStart w:id="20" w:name="_Toc123701389"/>
      <w:bookmarkStart w:id="21" w:name="_Toc139991730"/>
      <w:bookmarkStart w:id="22" w:name="_Toc123112268"/>
      <w:bookmarkStart w:id="23" w:name="_Toc26897"/>
      <w:bookmarkStart w:id="24" w:name="_Toc4867"/>
      <w:bookmarkStart w:id="25" w:name="_Toc15517"/>
      <w:bookmarkStart w:id="26" w:name="_Toc32639"/>
      <w:bookmarkStart w:id="27" w:name="_Toc29629"/>
      <w:bookmarkStart w:id="28" w:name="_Toc630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21301"/>
      <w:bookmarkStart w:id="33" w:name="_Toc22864"/>
      <w:bookmarkStart w:id="34" w:name="_Toc6617"/>
      <w:bookmarkStart w:id="35" w:name="_Toc258829399"/>
      <w:bookmarkStart w:id="36" w:name="_Toc3224"/>
      <w:bookmarkStart w:id="37" w:name="_Toc19592"/>
      <w:bookmarkStart w:id="38" w:name="_Toc13020"/>
      <w:bookmarkStart w:id="39" w:name="_Toc15067"/>
      <w:bookmarkStart w:id="40" w:name="_Toc819"/>
      <w:bookmarkStart w:id="41" w:name="_Toc24860"/>
      <w:bookmarkStart w:id="42" w:name="_Toc2465"/>
      <w:r>
        <w:rPr>
          <w:rFonts w:hint="eastAsia" w:ascii="Times New Roman"/>
          <w:color w:val="auto"/>
          <w:sz w:val="30"/>
        </w:rPr>
        <w:t>前言</w:t>
      </w:r>
      <w:bookmarkEnd w:id="29"/>
    </w:p>
    <w:p>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pPr>
        <w:widowControl/>
        <w:spacing w:line="360" w:lineRule="auto"/>
        <w:jc w:val="left"/>
      </w:pPr>
      <w:r>
        <w:br w:type="page"/>
      </w:r>
    </w:p>
    <w:p>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pPr>
        <w:pStyle w:val="2"/>
        <w:spacing w:before="0" w:after="0"/>
        <w:jc w:val="center"/>
        <w:rPr>
          <w:rFonts w:ascii="Times New Roman"/>
          <w:sz w:val="30"/>
        </w:rPr>
      </w:pPr>
      <w:bookmarkStart w:id="46" w:name="_Toc706"/>
      <w:bookmarkStart w:id="47" w:name="_Toc22708"/>
      <w:bookmarkStart w:id="48" w:name="_Toc13288"/>
      <w:bookmarkStart w:id="49" w:name="_Toc733"/>
      <w:bookmarkStart w:id="50" w:name="_Toc20627"/>
      <w:bookmarkStart w:id="51" w:name="_Toc545"/>
      <w:bookmarkStart w:id="52" w:name="_Toc6149"/>
      <w:bookmarkStart w:id="53" w:name="_Toc24571"/>
      <w:bookmarkStart w:id="54" w:name="_Toc18631"/>
      <w:bookmarkStart w:id="55" w:name="_Toc74065740"/>
      <w:bookmarkStart w:id="56" w:name="_Toc20318"/>
      <w:bookmarkStart w:id="57" w:name="_Toc6683"/>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pStyle w:val="2"/>
        <w:spacing w:before="0" w:after="0"/>
        <w:jc w:val="center"/>
        <w:rPr>
          <w:rFonts w:ascii="Times New Roman"/>
          <w:b w:val="0"/>
          <w:sz w:val="30"/>
        </w:rPr>
      </w:pPr>
      <w:bookmarkStart w:id="63" w:name="_Toc77953869"/>
      <w:bookmarkStart w:id="64" w:name="_Toc29352"/>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pPr>
              <w:spacing w:line="360" w:lineRule="auto"/>
              <w:jc w:val="center"/>
              <w:rPr>
                <w:b/>
                <w:sz w:val="18"/>
                <w:szCs w:val="18"/>
              </w:rPr>
            </w:pPr>
            <w:r>
              <w:rPr>
                <w:rFonts w:hint="eastAsia"/>
                <w:b/>
                <w:sz w:val="18"/>
                <w:szCs w:val="18"/>
              </w:rPr>
              <w:t>投资者签署栏</w:t>
            </w:r>
          </w:p>
        </w:tc>
        <w:tc>
          <w:tcPr>
            <w:tcW w:w="851" w:type="dxa"/>
            <w:gridSpan w:val="2"/>
          </w:tcPr>
          <w:p>
            <w:pPr>
              <w:spacing w:line="360" w:lineRule="auto"/>
              <w:rPr>
                <w:sz w:val="18"/>
                <w:szCs w:val="18"/>
              </w:rPr>
            </w:pPr>
            <w:r>
              <w:rPr>
                <w:rFonts w:hint="eastAsia"/>
                <w:sz w:val="18"/>
                <w:szCs w:val="18"/>
              </w:rPr>
              <w:t>个人投资者适用</w:t>
            </w:r>
          </w:p>
        </w:tc>
        <w:tc>
          <w:tcPr>
            <w:tcW w:w="6998" w:type="dxa"/>
            <w:gridSpan w:val="2"/>
          </w:tcPr>
          <w:p>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rPr>
                <w:b/>
                <w:sz w:val="18"/>
                <w:szCs w:val="18"/>
              </w:rPr>
            </w:pPr>
          </w:p>
          <w:p>
            <w:pPr>
              <w:spacing w:line="360" w:lineRule="auto"/>
              <w:rPr>
                <w:b/>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pPr>
              <w:spacing w:line="360" w:lineRule="auto"/>
              <w:rPr>
                <w:b/>
                <w:sz w:val="18"/>
                <w:szCs w:val="18"/>
              </w:rPr>
            </w:pPr>
          </w:p>
        </w:tc>
        <w:tc>
          <w:tcPr>
            <w:tcW w:w="851" w:type="dxa"/>
            <w:gridSpan w:val="2"/>
          </w:tcPr>
          <w:p>
            <w:pPr>
              <w:spacing w:line="360" w:lineRule="auto"/>
              <w:rPr>
                <w:sz w:val="18"/>
                <w:szCs w:val="18"/>
              </w:rPr>
            </w:pPr>
            <w:r>
              <w:rPr>
                <w:rFonts w:hint="eastAsia"/>
                <w:sz w:val="18"/>
                <w:szCs w:val="18"/>
              </w:rPr>
              <w:t>机构投资者适用</w:t>
            </w:r>
          </w:p>
        </w:tc>
        <w:tc>
          <w:tcPr>
            <w:tcW w:w="6998" w:type="dxa"/>
            <w:gridSpan w:val="2"/>
          </w:tcPr>
          <w:p>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rPr>
                <w:rFonts w:cs="Arial"/>
                <w:sz w:val="18"/>
                <w:szCs w:val="18"/>
              </w:rPr>
            </w:pPr>
          </w:p>
          <w:p>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pPr>
              <w:spacing w:line="360" w:lineRule="auto"/>
              <w:rPr>
                <w:sz w:val="18"/>
                <w:szCs w:val="18"/>
              </w:rPr>
            </w:pPr>
            <w:r>
              <w:rPr>
                <w:rFonts w:hint="eastAsia"/>
                <w:sz w:val="18"/>
                <w:szCs w:val="18"/>
              </w:rPr>
              <w:t>日期：</w:t>
            </w:r>
          </w:p>
        </w:tc>
      </w:tr>
    </w:tbl>
    <w:p>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pPr>
        <w:pStyle w:val="14"/>
        <w:spacing w:line="360" w:lineRule="auto"/>
        <w:rPr>
          <w:rFonts w:hAnsi="宋体"/>
          <w:sz w:val="18"/>
          <w:szCs w:val="18"/>
        </w:rPr>
      </w:pPr>
    </w:p>
    <w:p>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兴银理财【</w:t>
      </w:r>
      <w:r>
        <w:rPr>
          <w:rFonts w:hint="eastAsia" w:ascii="黑体" w:hAnsi="黑体" w:eastAsia="黑体" w:cs="Times New Roman"/>
          <w:b/>
          <w:bCs/>
          <w:sz w:val="44"/>
          <w:szCs w:val="44"/>
          <w:lang w:val="en-US" w:eastAsia="zh-CN"/>
        </w:rPr>
        <w:t>稳利恒盈封闭式固收类</w:t>
      </w:r>
      <w:r>
        <w:rPr>
          <w:rFonts w:hint="eastAsia" w:ascii="黑体" w:hAnsi="黑体" w:eastAsia="黑体" w:cs="Times New Roman"/>
          <w:b/>
          <w:bCs/>
          <w:sz w:val="44"/>
          <w:szCs w:val="44"/>
        </w:rPr>
        <w:t>】理财产品</w:t>
      </w:r>
    </w:p>
    <w:p>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pPr>
        <w:adjustRightInd w:val="0"/>
        <w:spacing w:line="360" w:lineRule="auto"/>
        <w:jc w:val="center"/>
        <w:rPr>
          <w:rFonts w:ascii="宋体" w:hAnsi="宋体" w:cs="宋体"/>
          <w:sz w:val="32"/>
          <w:szCs w:val="32"/>
        </w:rPr>
      </w:pPr>
    </w:p>
    <w:p>
      <w:pPr>
        <w:adjustRightInd w:val="0"/>
        <w:spacing w:line="360" w:lineRule="auto"/>
        <w:jc w:val="center"/>
        <w:rPr>
          <w:rFonts w:ascii="黑体" w:hAnsi="黑体" w:eastAsia="黑体" w:cs="宋体"/>
          <w:bCs w:val="0"/>
          <w:sz w:val="28"/>
          <w:szCs w:val="28"/>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宋体"/>
          <w:sz w:val="32"/>
          <w:szCs w:val="32"/>
        </w:rPr>
      </w:pPr>
    </w:p>
    <w:p>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【2026】年【2】月</w:t>
      </w:r>
    </w:p>
    <w:p>
      <w:pPr>
        <w:adjustRightInd w:val="0"/>
        <w:spacing w:line="360" w:lineRule="auto"/>
        <w:jc w:val="center"/>
        <w:rPr>
          <w:rFonts w:ascii="宋体" w:hAnsi="宋体" w:cs="宋体"/>
          <w:sz w:val="32"/>
          <w:szCs w:val="32"/>
        </w:rPr>
      </w:pPr>
    </w:p>
    <w:p>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pPr>
            <w:spacing w:line="360" w:lineRule="auto"/>
            <w:rPr>
              <w:rFonts w:ascii="Calibri" w:hAnsi="Calibri" w:cs="宋体"/>
              <w:szCs w:val="22"/>
            </w:rPr>
          </w:pPr>
          <w:r>
            <w:rPr>
              <w:rFonts w:ascii="Calibri" w:hAnsi="Calibri" w:cs="宋体"/>
              <w:szCs w:val="22"/>
            </w:rPr>
            <w:fldChar w:fldCharType="end"/>
          </w:r>
        </w:p>
      </w:sdtContent>
    </w:sdt>
    <w:p>
      <w:pPr>
        <w:rPr>
          <w:rFonts w:ascii="Times New Roman" w:hAnsi="Calibri" w:cs="宋体"/>
          <w:sz w:val="30"/>
          <w:szCs w:val="22"/>
        </w:rPr>
      </w:pPr>
      <w:r>
        <w:rPr>
          <w:rFonts w:ascii="Times New Roman" w:hAnsi="Calibri" w:cs="宋体"/>
          <w:sz w:val="30"/>
          <w:szCs w:val="22"/>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指兴业银行股份有限公司（以下简称“兴业银行”）。兴业银行成立于1988年，于2005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（6）全国银行业理财信息登记系统：指供商业银行及商业银行理财公司进行理财产品电子化报告和信息登记的电子信息系统。</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《投资协议书》：指管理人统一编制的《兴银理财【稳利恒盈封闭式固收类】理财产品投资协议书》，以及对该文件的有效修改或补充。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）《产品说明书》：指管理人统一编制的《兴银理财【稳利恒盈封闭式固收类】理财产品产品说明书》，以及对该文件的有效修改或补充。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的《兴银理财【稳利恒盈封闭式固收类】理财产品（代理）销售协议书》（文件名称以代理销售机构实际编制为准），以及对该文件的有效修改或补充。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的《兴银理财【稳利恒盈封闭式固收类】理财产品风险揭示书》（文件名称以代理销售机构实际编制为准），以及对该文件的有效修改或补充。</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《兴银理财【稳利恒盈封闭式固收类】理财产品投资者权益须知》（文件名称以代理销售机构实际编制为准），以及对该文件的有效修改或补充。</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kern w:val="0"/>
                <w:sz w:val="18"/>
                <w:szCs w:val="18"/>
                <w:lang w:val="en-US" w:eastAsia="zh-CN" w:bidi="ar"/>
              </w:rPr>
              <w:t>【兴银理财稳利恒盈封闭式2026年803期固收类理财产品】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vAlign w:val="top"/>
          </w:tcPr>
          <w:p>
            <w:pPr>
              <w:keepNext w:val="0"/>
              <w:keepLines w:val="0"/>
              <w:widowControl/>
              <w:suppressLineNumbers w:val="0"/>
              <w:spacing w:before="0" w:beforeAutospacing="0" w:after="0" w:afterAutospacing="0" w:line="360" w:lineRule="auto"/>
              <w:ind w:left="0" w:leftChars="0" w:right="0" w:rightChars="0"/>
              <w:jc w:val="left"/>
              <w:rPr>
                <w:rFonts w:hint="default" w:ascii="宋体" w:hAnsi="宋体" w:cs="宋体"/>
                <w:kern w:val="0"/>
                <w:sz w:val="22"/>
                <w:szCs w:val="22"/>
              </w:rPr>
            </w:pPr>
            <w:r>
              <w:rPr>
                <w:rFonts w:hint="default" w:ascii="宋体" w:hAnsi="宋体" w:eastAsia="宋体" w:cs="宋体"/>
                <w:sz w:val="18"/>
                <w:szCs w:val="22"/>
              </w:rPr>
              <w:t>【稳利恒盈封闭式2026年803期（兴嘉选）A】 (适用【A】类份额)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【稳利恒盈封闭式2026年803期（兴嘉选）B】 (适用【B】类份额)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【稳利恒盈封闭式2026年803期（兴嘉选）C】 (适用【C】类份额)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【稳利恒盈封闭式2026年803期（兴嘉选）D】 (适用【D】类份额)</w:t>
            </w:r>
            <w:r>
              <w:rPr>
                <w:rFonts w:hint="default" w:ascii="宋体" w:hAnsi="宋体" w:eastAsia="宋体" w:cs="宋体"/>
                <w:sz w:val="18"/>
                <w:szCs w:val="22"/>
              </w:rPr>
              <w:br w:type="textWrapping"/>
            </w:r>
            <w:r>
              <w:rPr>
                <w:rFonts w:hint="default" w:ascii="宋体" w:hAnsi="宋体" w:eastAsia="宋体" w:cs="宋体"/>
                <w:sz w:val="18"/>
                <w:szCs w:val="22"/>
              </w:rPr>
              <w:t>【稳利恒盈封闭式2026年803期（兴嘉选）E】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vAlign w:val="top"/>
          </w:tcPr>
          <w:p>
            <w:pPr>
              <w:keepNext w:val="0"/>
              <w:keepLines w:val="0"/>
              <w:suppressLineNumbers w:val="0"/>
              <w:spacing w:before="0" w:beforeAutospacing="0" w:after="0" w:afterAutospacing="0" w:line="360" w:lineRule="auto"/>
              <w:ind w:left="0" w:right="0"/>
              <w:jc w:val="left"/>
              <w:rPr>
                <w:rFonts w:hint="default" w:ascii="宋体" w:hAnsi="宋体" w:cs="宋体"/>
                <w:b/>
                <w:sz w:val="18"/>
                <w:szCs w:val="18"/>
              </w:rPr>
            </w:pPr>
            <w:r>
              <w:rPr>
                <w:rFonts w:hint="eastAsia" w:ascii="宋体" w:hAnsi="宋体" w:cs="宋体"/>
                <w:bCs/>
                <w:color w:val="auto"/>
                <w:sz w:val="18"/>
                <w:szCs w:val="18"/>
              </w:rPr>
              <w:t>【</w:t>
            </w:r>
            <w:r>
              <w:rPr>
                <w:rFonts w:hint="eastAsia" w:ascii="宋体" w:hAnsi="宋体" w:cs="宋体"/>
                <w:bCs/>
                <w:color w:val="auto"/>
                <w:sz w:val="18"/>
                <w:szCs w:val="18"/>
                <w:lang w:val="en-US" w:eastAsia="zh-CN"/>
              </w:rPr>
              <w:t>Z7002026000240</w:t>
            </w:r>
            <w:r>
              <w:rPr>
                <w:rFonts w:hint="eastAsia" w:ascii="宋体" w:hAnsi="宋体" w:cs="宋体"/>
                <w:bCs/>
                <w:color w:val="auto"/>
                <w:sz w:val="18"/>
                <w:szCs w:val="18"/>
              </w:rPr>
              <w:t>】投资者可依据理财产品登记编码在中国理财网(</w:t>
            </w:r>
            <w:r>
              <w:rPr>
                <w:rFonts w:hint="eastAsia" w:ascii="宋体" w:hAnsi="宋体" w:cs="宋体"/>
                <w:bCs/>
                <w:color w:val="auto"/>
                <w:sz w:val="18"/>
                <w:szCs w:val="18"/>
              </w:rPr>
              <w:fldChar w:fldCharType="begin"/>
            </w:r>
            <w:r>
              <w:rPr>
                <w:rFonts w:hint="eastAsia" w:ascii="宋体" w:hAnsi="宋体" w:cs="宋体"/>
                <w:bCs/>
                <w:color w:val="auto"/>
                <w:sz w:val="18"/>
                <w:szCs w:val="18"/>
              </w:rPr>
              <w:instrText xml:space="preserve"> HYPERLINK "http://www.chinawealth.com.cn" </w:instrText>
            </w:r>
            <w:r>
              <w:rPr>
                <w:rFonts w:hint="eastAsia" w:ascii="宋体" w:hAnsi="宋体" w:cs="宋体"/>
                <w:bCs/>
                <w:color w:val="auto"/>
                <w:sz w:val="18"/>
                <w:szCs w:val="18"/>
              </w:rPr>
              <w:fldChar w:fldCharType="separate"/>
            </w:r>
            <w:r>
              <w:rPr>
                <w:rFonts w:hint="eastAsia" w:ascii="宋体" w:hAnsi="宋体" w:cs="宋体"/>
                <w:bCs/>
                <w:color w:val="auto"/>
                <w:sz w:val="18"/>
                <w:szCs w:val="18"/>
              </w:rPr>
              <w:t>www.chinawealth.com.cn</w:t>
            </w:r>
            <w:r>
              <w:rPr>
                <w:rFonts w:hint="eastAsia" w:ascii="宋体" w:hAnsi="宋体" w:cs="宋体"/>
                <w:bCs/>
                <w:color w:val="auto"/>
                <w:sz w:val="18"/>
                <w:szCs w:val="18"/>
              </w:rPr>
              <w:fldChar w:fldCharType="end"/>
            </w:r>
            <w:r>
              <w:rPr>
                <w:rFonts w:hint="eastAsia" w:ascii="宋体" w:hAnsi="宋体" w:cs="宋体"/>
                <w:bCs/>
                <w:color w:val="auto"/>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pPr>
              <w:keepNext w:val="0"/>
              <w:keepLines w:val="0"/>
              <w:widowControl w:val="0"/>
              <w:suppressLineNumbers w:val="0"/>
              <w:spacing w:before="0" w:beforeAutospacing="0" w:after="0" w:afterAutospacing="0" w:line="360" w:lineRule="auto"/>
              <w:ind w:left="0" w:leftChars="0" w:right="0" w:rightChars="0"/>
              <w:jc w:val="left"/>
              <w:rPr>
                <w:rFonts w:hint="default" w:ascii="宋体" w:hAnsi="宋体" w:cs="宋体"/>
                <w:bCs/>
                <w:sz w:val="18"/>
                <w:szCs w:val="18"/>
              </w:rPr>
            </w:pPr>
            <w:r>
              <w:rPr>
                <w:rFonts w:hint="eastAsia" w:ascii="宋体" w:hAnsi="宋体" w:eastAsia="宋体" w:cs="宋体"/>
                <w:bCs/>
                <w:color w:val="000000"/>
                <w:kern w:val="2"/>
                <w:sz w:val="18"/>
                <w:szCs w:val="18"/>
                <w:lang w:val="en-US" w:eastAsia="zh-CN" w:bidi="ar"/>
              </w:rPr>
              <w:t>【9N268030】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tcPr>
          <w:p>
            <w:pPr>
              <w:keepNext w:val="0"/>
              <w:keepLines w:val="0"/>
              <w:suppressLineNumbers w:val="0"/>
              <w:spacing w:before="0" w:beforeAutospacing="0" w:after="0" w:afterAutospacing="0" w:line="360" w:lineRule="auto"/>
              <w:ind w:left="0" w:right="0"/>
              <w:jc w:val="left"/>
              <w:rPr>
                <w:rFonts w:hint="default" w:ascii="Calibri" w:hAnsi="宋体" w:cs="宋体"/>
                <w:b/>
                <w:sz w:val="18"/>
                <w:szCs w:val="18"/>
              </w:rPr>
            </w:pPr>
            <w:r>
              <w:rPr>
                <w:rFonts w:hint="eastAsia" w:ascii="Calibri" w:hAnsi="宋体" w:cs="宋体"/>
                <w:b/>
                <w:sz w:val="18"/>
                <w:szCs w:val="18"/>
              </w:rPr>
              <w:t>★销售代码</w:t>
            </w:r>
          </w:p>
        </w:tc>
        <w:tc>
          <w:tcPr>
            <w:tcW w:w="7674" w:type="dxa"/>
            <w:shd w:val="solid" w:color="FFFFFF" w:fill="FFFFFF"/>
            <w:vAlign w:val="top"/>
          </w:tcPr>
          <w:p>
            <w:pPr>
              <w:keepNext w:val="0"/>
              <w:keepLines w:val="0"/>
              <w:widowControl w:val="0"/>
              <w:suppressLineNumbers w:val="0"/>
              <w:spacing w:before="0" w:beforeAutospacing="0" w:after="0" w:afterAutospacing="0" w:line="360" w:lineRule="auto"/>
              <w:ind w:left="0" w:leftChars="0" w:right="0" w:rightChars="0"/>
              <w:jc w:val="left"/>
              <w:rPr>
                <w:rFonts w:hint="default" w:ascii="Calibri" w:hAnsi="宋体" w:cs="宋体"/>
                <w:sz w:val="18"/>
                <w:szCs w:val="18"/>
              </w:rPr>
            </w:pPr>
            <w:r>
              <w:rPr>
                <w:rFonts w:hint="default" w:ascii="宋体" w:hAnsi="宋体" w:eastAsia="宋体" w:cs="宋体"/>
                <w:sz w:val="18"/>
                <w:szCs w:val="22"/>
              </w:rPr>
              <w:t>【9N26803A】 (适用【A】类份额)</w:t>
            </w:r>
            <w:r>
              <w:rPr>
                <w:rFonts w:hint="default" w:ascii="宋体" w:hAnsi="宋体" w:eastAsia="宋体" w:cs="宋体"/>
                <w:sz w:val="18"/>
                <w:szCs w:val="22"/>
              </w:rPr>
              <w:br w:type="textWrapping"/>
            </w:r>
            <w:r>
              <w:rPr>
                <w:rFonts w:hint="default" w:ascii="宋体" w:hAnsi="宋体" w:eastAsia="宋体" w:cs="宋体"/>
                <w:sz w:val="18"/>
                <w:szCs w:val="22"/>
              </w:rPr>
              <w:t>【9N26803B】 (适用【B】类份额)</w:t>
            </w:r>
            <w:r>
              <w:rPr>
                <w:rFonts w:hint="default" w:ascii="宋体" w:hAnsi="宋体" w:eastAsia="宋体" w:cs="宋体"/>
                <w:sz w:val="18"/>
                <w:szCs w:val="22"/>
              </w:rPr>
              <w:br w:type="textWrapping"/>
            </w:r>
            <w:r>
              <w:rPr>
                <w:rFonts w:hint="default" w:ascii="宋体" w:hAnsi="宋体" w:eastAsia="宋体" w:cs="宋体"/>
                <w:sz w:val="18"/>
                <w:szCs w:val="22"/>
              </w:rPr>
              <w:t>【9N26803C】 (适用【C】类份额)</w:t>
            </w:r>
            <w:r>
              <w:rPr>
                <w:rFonts w:hint="default" w:ascii="宋体" w:hAnsi="宋体" w:eastAsia="宋体" w:cs="宋体"/>
                <w:sz w:val="18"/>
                <w:szCs w:val="22"/>
              </w:rPr>
              <w:br w:type="textWrapping"/>
            </w:r>
            <w:r>
              <w:rPr>
                <w:rFonts w:hint="default" w:ascii="宋体" w:hAnsi="宋体" w:eastAsia="宋体" w:cs="宋体"/>
                <w:sz w:val="18"/>
                <w:szCs w:val="22"/>
              </w:rPr>
              <w:t>【9N26803D】 (适用【D】类份额)</w:t>
            </w:r>
            <w:r>
              <w:rPr>
                <w:rFonts w:hint="default" w:ascii="宋体" w:hAnsi="宋体" w:eastAsia="宋体" w:cs="宋体"/>
                <w:sz w:val="18"/>
                <w:szCs w:val="22"/>
              </w:rPr>
              <w:br w:type="textWrapping"/>
            </w:r>
            <w:r>
              <w:rPr>
                <w:rFonts w:hint="default" w:ascii="宋体" w:hAnsi="宋体" w:eastAsia="宋体" w:cs="宋体"/>
                <w:sz w:val="18"/>
                <w:szCs w:val="22"/>
              </w:rPr>
              <w:t>【9N26803E】 (适用【E】类份额)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hint="default" w:ascii="Calibri" w:hAnsi="宋体" w:cs="宋体"/>
                <w:b/>
                <w:sz w:val="18"/>
                <w:szCs w:val="18"/>
              </w:rPr>
              <w:t>份额类别</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.本产品根据投资者购买理财产品的金额、</w:t>
            </w:r>
            <w:r>
              <w:rPr>
                <w:rFonts w:hint="default" w:ascii="宋体" w:hAnsi="宋体" w:cs="宋体"/>
                <w:bCs/>
                <w:sz w:val="18"/>
                <w:szCs w:val="18"/>
              </w:rPr>
              <w:t>投资者</w:t>
            </w:r>
            <w:r>
              <w:rPr>
                <w:rFonts w:hint="eastAsia" w:ascii="宋体" w:hAnsi="宋体" w:cs="宋体"/>
                <w:bCs/>
                <w:sz w:val="18"/>
                <w:szCs w:val="18"/>
              </w:rPr>
              <w:t>类型、</w:t>
            </w:r>
            <w:r>
              <w:rPr>
                <w:rFonts w:hint="default"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hint="default" w:ascii="宋体" w:hAnsi="宋体" w:cs="宋体"/>
                <w:bCs/>
                <w:sz w:val="18"/>
                <w:szCs w:val="18"/>
              </w:rPr>
              <w:t>可能</w:t>
            </w:r>
            <w:r>
              <w:rPr>
                <w:rFonts w:hint="eastAsia" w:ascii="宋体" w:hAnsi="宋体" w:cs="宋体"/>
                <w:bCs/>
                <w:sz w:val="18"/>
                <w:szCs w:val="18"/>
              </w:rPr>
              <w:t>单独设置：</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（1）销售名称</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（2）收费方式</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（3）销售服务费</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（4）销售代码</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（5）销售对象</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（6）销售起点金额（认购、申购的起点金额）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（7）投资者认购、申购和赎回的数量限制</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（8）投资者持有本产品的最高限额、最低限额</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（9）分别计算和公告产品份额净值</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3</w:t>
            </w:r>
            <w:r>
              <w:rPr>
                <w:rFonts w:hint="eastAsia" w:ascii="宋体" w:hAnsi="宋体" w:cs="宋体"/>
                <w:bCs/>
                <w:sz w:val="18"/>
                <w:szCs w:val="18"/>
              </w:rPr>
              <w:t>.投资者可根据实际情况自行选择认购的产品份额类别。</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cs="宋体"/>
                <w:bCs/>
                <w:sz w:val="18"/>
                <w:szCs w:val="18"/>
              </w:rPr>
              <w:t>封闭式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固定收益类</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sz w:val="18"/>
                <w:szCs w:val="18"/>
              </w:rPr>
              <w:t>固定</w:t>
            </w:r>
            <w:r>
              <w:rPr>
                <w:rFonts w:hint="default" w:ascii="黑体" w:hAnsi="黑体" w:eastAsia="黑体" w:cs="宋体"/>
                <w:sz w:val="18"/>
                <w:szCs w:val="18"/>
              </w:rPr>
              <w:t>收益</w:t>
            </w:r>
            <w:r>
              <w:rPr>
                <w:rFonts w:hint="eastAsia" w:ascii="黑体" w:hAnsi="黑体" w:eastAsia="黑体" w:cs="宋体"/>
                <w:sz w:val="18"/>
                <w:szCs w:val="18"/>
              </w:rPr>
              <w:t>类</w:t>
            </w:r>
            <w:r>
              <w:rPr>
                <w:rFonts w:hint="default" w:ascii="黑体" w:hAnsi="黑体" w:eastAsia="黑体" w:cs="宋体"/>
                <w:sz w:val="18"/>
                <w:szCs w:val="18"/>
              </w:rPr>
              <w:t>产品是指根据监管</w:t>
            </w:r>
            <w:r>
              <w:rPr>
                <w:rFonts w:hint="eastAsia" w:ascii="黑体" w:hAnsi="黑体" w:eastAsia="黑体" w:cs="宋体"/>
                <w:sz w:val="18"/>
                <w:szCs w:val="18"/>
              </w:rPr>
              <w:t>相关规定</w:t>
            </w:r>
            <w:r>
              <w:rPr>
                <w:rFonts w:hint="default" w:ascii="黑体" w:hAnsi="黑体" w:eastAsia="黑体" w:cs="宋体"/>
                <w:sz w:val="18"/>
                <w:szCs w:val="18"/>
              </w:rPr>
              <w:t>，投资于债权类资产的</w:t>
            </w:r>
            <w:r>
              <w:rPr>
                <w:rFonts w:hint="eastAsia" w:ascii="黑体" w:hAnsi="黑体" w:eastAsia="黑体" w:cs="宋体"/>
                <w:sz w:val="18"/>
                <w:szCs w:val="18"/>
              </w:rPr>
              <w:t>比例</w:t>
            </w:r>
            <w:r>
              <w:rPr>
                <w:rFonts w:hint="default" w:ascii="黑体" w:hAnsi="黑体" w:eastAsia="黑体" w:cs="宋体"/>
                <w:sz w:val="18"/>
                <w:szCs w:val="18"/>
              </w:rPr>
              <w:t>不低于80%的产品</w:t>
            </w:r>
            <w:r>
              <w:rPr>
                <w:rFonts w:hint="eastAsia" w:ascii="黑体" w:hAnsi="黑体" w:eastAsia="黑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hint="default" w:ascii="宋体" w:hAnsi="宋体" w:eastAsia="宋体" w:cs="宋体"/>
                <w:b/>
                <w:sz w:val="18"/>
                <w:szCs w:val="18"/>
              </w:rPr>
              <w:t>收益特征</w:t>
            </w:r>
          </w:p>
        </w:tc>
        <w:tc>
          <w:tcPr>
            <w:tcW w:w="7674" w:type="dxa"/>
            <w:shd w:val="solid" w:color="FFFFFF" w:fill="FFFFFF"/>
            <w:vAlign w:val="center"/>
          </w:tcPr>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非保本浮动收益</w:t>
            </w:r>
          </w:p>
          <w:p>
            <w:pPr>
              <w:keepNext w:val="0"/>
              <w:keepLines w:val="0"/>
              <w:suppressLineNumbers w:val="0"/>
              <w:adjustRightInd w:val="0"/>
              <w:snapToGrid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pPr>
              <w:keepNext w:val="0"/>
              <w:keepLines w:val="0"/>
              <w:suppressLineNumbers w:val="0"/>
              <w:adjustRightInd w:val="0"/>
              <w:snapToGrid w:val="0"/>
              <w:spacing w:before="0" w:beforeAutospacing="0" w:after="0" w:afterAutospacing="0" w:line="360" w:lineRule="auto"/>
              <w:ind w:left="0" w:right="0"/>
              <w:rPr>
                <w:rFonts w:hint="default"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eastAsia" w:ascii="宋体" w:hAnsi="宋体" w:eastAsia="宋体" w:cs="宋体"/>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pPr>
              <w:keepNext w:val="0"/>
              <w:keepLines w:val="0"/>
              <w:suppressLineNumbers w:val="0"/>
              <w:spacing w:before="0" w:beforeAutospacing="0" w:after="0" w:afterAutospacing="0" w:line="360" w:lineRule="auto"/>
              <w:ind w:left="0" w:right="0"/>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pPr>
              <w:keepNext w:val="0"/>
              <w:keepLines w:val="0"/>
              <w:suppressLineNumbers w:val="0"/>
              <w:spacing w:before="0" w:beforeAutospacing="0" w:after="0" w:afterAutospacing="0" w:line="360" w:lineRule="auto"/>
              <w:ind w:left="0" w:right="0"/>
              <w:rPr>
                <w:rFonts w:hint="default" w:ascii="黑体" w:hAnsi="黑体" w:eastAsia="黑体" w:cs="宋体"/>
                <w:sz w:val="18"/>
                <w:szCs w:val="18"/>
              </w:rPr>
            </w:pPr>
            <w:r>
              <w:rPr>
                <w:rFonts w:hint="eastAsia" w:ascii="黑体" w:hAnsi="黑体" w:eastAsia="黑体" w:cs="宋体"/>
                <w:sz w:val="18"/>
                <w:szCs w:val="18"/>
              </w:rPr>
              <w:t>本评级为理财产品管理人内部评级，仅供参考。</w:t>
            </w:r>
          </w:p>
          <w:p>
            <w:pPr>
              <w:keepNext w:val="0"/>
              <w:keepLines w:val="0"/>
              <w:suppressLineNumbers w:val="0"/>
              <w:spacing w:before="0" w:beforeAutospacing="0" w:after="0" w:afterAutospacing="0" w:line="360" w:lineRule="auto"/>
              <w:ind w:left="0" w:right="0"/>
              <w:rPr>
                <w:rFonts w:hint="default" w:ascii="宋体" w:hAnsi="宋体" w:cs="宋体"/>
                <w:b/>
                <w:bCs/>
                <w:sz w:val="18"/>
                <w:szCs w:val="18"/>
              </w:rPr>
            </w:pPr>
            <w:r>
              <w:rPr>
                <w:rFonts w:hint="eastAsia" w:ascii="黑体" w:hAnsi="黑体" w:eastAsia="黑体" w:cs="宋体"/>
                <w:bCs/>
                <w:sz w:val="18"/>
                <w:szCs w:val="18"/>
              </w:rPr>
              <w:t>注</w:t>
            </w:r>
            <w:r>
              <w:rPr>
                <w:rFonts w:hint="default" w:ascii="黑体" w:hAnsi="黑体" w:eastAsia="黑体" w:cs="宋体"/>
                <w:bCs/>
                <w:sz w:val="18"/>
                <w:szCs w:val="18"/>
              </w:rPr>
              <w:t>：</w:t>
            </w:r>
            <w:r>
              <w:rPr>
                <w:rFonts w:hint="eastAsia" w:ascii="黑体" w:hAnsi="黑体" w:eastAsia="黑体" w:cs="宋体"/>
                <w:bCs/>
                <w:sz w:val="18"/>
                <w:szCs w:val="18"/>
              </w:rPr>
              <w:t>若本</w:t>
            </w:r>
            <w:r>
              <w:rPr>
                <w:rFonts w:hint="default"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hint="default" w:ascii="黑体" w:hAnsi="黑体" w:eastAsia="黑体" w:cs="宋体"/>
                <w:bCs/>
                <w:sz w:val="18"/>
                <w:szCs w:val="18"/>
              </w:rPr>
              <w:t>评级</w:t>
            </w:r>
            <w:r>
              <w:rPr>
                <w:rFonts w:hint="eastAsia" w:ascii="黑体" w:hAnsi="黑体" w:eastAsia="黑体" w:cs="宋体"/>
                <w:bCs/>
                <w:sz w:val="18"/>
                <w:szCs w:val="18"/>
              </w:rPr>
              <w:t>以</w:t>
            </w:r>
            <w:r>
              <w:rPr>
                <w:rFonts w:hint="default" w:ascii="黑体" w:hAnsi="黑体" w:eastAsia="黑体" w:cs="宋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pPr>
              <w:keepNext w:val="0"/>
              <w:keepLines w:val="0"/>
              <w:suppressLineNumbers w:val="0"/>
              <w:spacing w:before="0" w:beforeAutospacing="0" w:after="0" w:afterAutospacing="0" w:line="360" w:lineRule="auto"/>
              <w:ind w:left="0" w:right="0"/>
              <w:rPr>
                <w:rFonts w:hint="default" w:ascii="宋体" w:hAnsi="宋体" w:eastAsia="宋体" w:cs="宋体"/>
                <w:bCs/>
                <w:color w:val="000000"/>
                <w:sz w:val="18"/>
                <w:szCs w:val="18"/>
              </w:rPr>
            </w:pPr>
            <w:r>
              <w:rPr>
                <w:rFonts w:hint="default" w:ascii="宋体" w:hAnsi="宋体" w:eastAsia="宋体" w:cs="宋体"/>
                <w:bCs/>
                <w:color w:val="000000"/>
                <w:sz w:val="18"/>
                <w:szCs w:val="18"/>
              </w:rPr>
              <w:t>本产品适合以下类型投资者：</w:t>
            </w:r>
          </w:p>
          <w:p>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lang w:val="en-US" w:eastAsia="zh-CN"/>
              </w:rPr>
              <w:t>■个人投资者</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color w:val="000000"/>
                <w:sz w:val="18"/>
                <w:szCs w:val="18"/>
                <w:lang w:val="en-US" w:eastAsia="zh-CN"/>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pPr>
              <w:keepNext w:val="0"/>
              <w:keepLines w:val="0"/>
              <w:suppressLineNumbers w:val="0"/>
              <w:spacing w:before="0" w:beforeAutospacing="0" w:after="0" w:afterAutospacing="0" w:line="360" w:lineRule="auto"/>
              <w:ind w:left="0" w:right="0"/>
              <w:rPr>
                <w:rFonts w:hint="default"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直销适用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本产品由产品管理人销售。</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 代销适用</w:t>
            </w:r>
          </w:p>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本产品由代理销售机构</w:t>
            </w:r>
            <w:r>
              <w:rPr>
                <w:rFonts w:hint="default" w:ascii="宋体" w:hAnsi="宋体" w:cs="宋体"/>
                <w:sz w:val="18"/>
                <w:szCs w:val="18"/>
              </w:rPr>
              <w:t>销售</w:t>
            </w:r>
            <w:r>
              <w:rPr>
                <w:rFonts w:hint="eastAsia" w:ascii="宋体" w:hAnsi="宋体" w:cs="宋体"/>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宋体"/>
                <w:sz w:val="18"/>
                <w:szCs w:val="18"/>
              </w:rPr>
              <w:t>代理销售</w:t>
            </w:r>
            <w:r>
              <w:rPr>
                <w:rFonts w:hint="default" w:ascii="宋体" w:hAnsi="宋体" w:cs="宋体"/>
                <w:sz w:val="18"/>
                <w:szCs w:val="18"/>
              </w:rPr>
              <w:t>机构</w:t>
            </w:r>
            <w:r>
              <w:rPr>
                <w:rFonts w:hint="eastAsia" w:ascii="宋体" w:hAnsi="宋体" w:cs="宋体"/>
                <w:sz w:val="18"/>
                <w:szCs w:val="18"/>
              </w:rPr>
              <w:t>合作业务</w:t>
            </w:r>
            <w:r>
              <w:rPr>
                <w:rFonts w:hint="default" w:ascii="宋体" w:hAnsi="宋体" w:cs="宋体"/>
                <w:sz w:val="18"/>
                <w:szCs w:val="18"/>
              </w:rPr>
              <w:t>情况</w:t>
            </w:r>
            <w:r>
              <w:rPr>
                <w:rFonts w:hint="eastAsia" w:ascii="宋体" w:hAnsi="宋体" w:cs="宋体"/>
                <w:sz w:val="18"/>
                <w:szCs w:val="18"/>
              </w:rPr>
              <w:t>以</w:t>
            </w:r>
            <w:r>
              <w:rPr>
                <w:rFonts w:hint="default" w:ascii="宋体" w:hAnsi="宋体" w:cs="宋体"/>
                <w:sz w:val="18"/>
                <w:szCs w:val="18"/>
              </w:rPr>
              <w:t>产品管理人</w:t>
            </w:r>
            <w:r>
              <w:rPr>
                <w:rFonts w:hint="eastAsia" w:ascii="宋体" w:hAnsi="宋体" w:cs="宋体"/>
                <w:sz w:val="18"/>
                <w:szCs w:val="18"/>
              </w:rPr>
              <w:t>公告为准，</w:t>
            </w:r>
            <w:r>
              <w:rPr>
                <w:rFonts w:hint="default" w:ascii="宋体" w:hAnsi="宋体" w:cs="宋体"/>
                <w:sz w:val="18"/>
                <w:szCs w:val="18"/>
              </w:rPr>
              <w:t>具体代理</w:t>
            </w:r>
            <w:r>
              <w:rPr>
                <w:rFonts w:hint="eastAsia" w:ascii="宋体" w:hAnsi="宋体" w:cs="宋体"/>
                <w:sz w:val="18"/>
                <w:szCs w:val="18"/>
              </w:rPr>
              <w:t>销售机构</w:t>
            </w:r>
            <w:r>
              <w:rPr>
                <w:rFonts w:hint="default" w:ascii="宋体" w:hAnsi="宋体" w:cs="宋体"/>
                <w:sz w:val="18"/>
                <w:szCs w:val="18"/>
              </w:rPr>
              <w:t>以《</w:t>
            </w:r>
            <w:r>
              <w:rPr>
                <w:rFonts w:hint="eastAsia" w:ascii="宋体" w:hAnsi="宋体" w:cs="宋体"/>
                <w:sz w:val="18"/>
                <w:szCs w:val="18"/>
              </w:rPr>
              <w:t>（代理）</w:t>
            </w:r>
            <w:r>
              <w:rPr>
                <w:rFonts w:hint="default" w:ascii="宋体" w:hAnsi="宋体" w:cs="宋体"/>
                <w:sz w:val="18"/>
                <w:szCs w:val="18"/>
              </w:rPr>
              <w:t>销售协议书》</w:t>
            </w:r>
            <w:r>
              <w:rPr>
                <w:rFonts w:hint="eastAsia" w:ascii="宋体" w:hAnsi="宋体" w:cs="宋体"/>
                <w:sz w:val="18"/>
                <w:szCs w:val="18"/>
              </w:rPr>
              <w:t>为准</w:t>
            </w:r>
            <w:r>
              <w:rPr>
                <w:rFonts w:hint="default" w:ascii="宋体" w:hAnsi="宋体" w:cs="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管理人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1.本产品计划初始</w:t>
            </w:r>
            <w:r>
              <w:rPr>
                <w:rFonts w:hint="default" w:ascii="宋体" w:hAnsi="宋体" w:eastAsia="宋体" w:cs="宋体"/>
                <w:bCs/>
                <w:sz w:val="18"/>
                <w:szCs w:val="18"/>
              </w:rPr>
              <w:t>募集</w:t>
            </w:r>
            <w:r>
              <w:rPr>
                <w:rFonts w:hint="eastAsia" w:ascii="宋体" w:hAnsi="宋体" w:eastAsia="宋体" w:cs="宋体"/>
                <w:bCs/>
                <w:sz w:val="18"/>
                <w:szCs w:val="18"/>
              </w:rPr>
              <w:t>规模为【</w:t>
            </w:r>
            <w:r>
              <w:rPr>
                <w:rFonts w:hint="eastAsia" w:ascii="宋体" w:hAnsi="宋体" w:eastAsia="宋体" w:cs="宋体"/>
                <w:bCs/>
                <w:sz w:val="18"/>
                <w:szCs w:val="18"/>
                <w:lang w:val="en-US" w:eastAsia="zh-CN"/>
              </w:rPr>
              <w:t>3</w:t>
            </w:r>
            <w:r>
              <w:rPr>
                <w:rFonts w:hint="eastAsia" w:ascii="宋体" w:hAnsi="宋体" w:eastAsia="宋体" w:cs="宋体"/>
                <w:bCs/>
                <w:sz w:val="18"/>
                <w:szCs w:val="18"/>
              </w:rPr>
              <w:t>】亿元，最小成立规模为【</w:t>
            </w:r>
            <w:r>
              <w:rPr>
                <w:rFonts w:hint="eastAsia" w:ascii="宋体" w:hAnsi="宋体" w:eastAsia="宋体" w:cs="宋体"/>
                <w:bCs/>
                <w:sz w:val="18"/>
                <w:szCs w:val="18"/>
                <w:lang w:val="en-US" w:eastAsia="zh-CN"/>
              </w:rPr>
              <w:t>/</w:t>
            </w:r>
            <w:r>
              <w:rPr>
                <w:rFonts w:hint="eastAsia" w:ascii="宋体" w:hAnsi="宋体" w:eastAsia="宋体" w:cs="宋体"/>
                <w:bCs/>
                <w:sz w:val="18"/>
                <w:szCs w:val="18"/>
              </w:rPr>
              <w:t>】亿元。</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2.产品管理人</w:t>
            </w:r>
            <w:r>
              <w:rPr>
                <w:rFonts w:hint="default"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hint="default" w:ascii="宋体" w:hAnsi="宋体" w:eastAsia="宋体" w:cs="宋体"/>
                <w:bCs/>
                <w:sz w:val="18"/>
                <w:szCs w:val="18"/>
              </w:rPr>
              <w:t>实际募集/管理的</w:t>
            </w:r>
            <w:r>
              <w:rPr>
                <w:rFonts w:hint="eastAsia" w:ascii="宋体" w:hAnsi="宋体" w:eastAsia="宋体" w:cs="宋体"/>
                <w:bCs/>
                <w:sz w:val="18"/>
                <w:szCs w:val="18"/>
              </w:rPr>
              <w:t>金</w:t>
            </w:r>
            <w:r>
              <w:rPr>
                <w:rFonts w:hint="default" w:ascii="宋体" w:hAnsi="宋体" w:eastAsia="宋体" w:cs="宋体"/>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■有固定期限:【384天】</w:t>
            </w:r>
          </w:p>
          <w:p>
            <w:pPr>
              <w:keepNext w:val="0"/>
              <w:keepLines w:val="0"/>
              <w:suppressLineNumbers w:val="0"/>
              <w:spacing w:before="0" w:beforeAutospacing="0" w:after="0" w:afterAutospacing="0" w:line="360" w:lineRule="auto"/>
              <w:ind w:left="0" w:right="0"/>
              <w:rPr>
                <w:rFonts w:hint="eastAsia" w:ascii="宋体" w:hAnsi="宋体" w:eastAsia="宋体" w:cs="宋体"/>
                <w:bCs/>
                <w:sz w:val="18"/>
                <w:szCs w:val="18"/>
              </w:rPr>
            </w:pPr>
            <w:r>
              <w:rPr>
                <w:rFonts w:hint="eastAsia" w:ascii="宋体" w:hAnsi="宋体" w:eastAsia="宋体" w:cs="宋体"/>
                <w:bCs/>
                <w:sz w:val="18"/>
                <w:szCs w:val="18"/>
                <w:lang w:val="en-US" w:eastAsia="zh-CN"/>
              </w:rPr>
              <w:t>□无固定期限</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cs="Times New Roman"/>
                <w:sz w:val="18"/>
                <w:szCs w:val="18"/>
              </w:rPr>
            </w:pPr>
            <w:r>
              <w:rPr>
                <w:rFonts w:hint="default" w:ascii="宋体" w:hAnsi="宋体" w:cs="宋体"/>
                <w:bCs/>
                <w:sz w:val="18"/>
                <w:szCs w:val="18"/>
              </w:rPr>
              <w:t>1</w:t>
            </w:r>
            <w:r>
              <w:rPr>
                <w:rFonts w:hint="eastAsia" w:ascii="宋体" w:hAnsi="宋体" w:cs="宋体"/>
                <w:bCs/>
                <w:sz w:val="18"/>
                <w:szCs w:val="18"/>
              </w:rPr>
              <w:t>.</w:t>
            </w:r>
            <w:r>
              <w:rPr>
                <w:rFonts w:hint="default" w:ascii="宋体" w:hAnsi="宋体" w:cs="宋体"/>
                <w:bCs/>
                <w:sz w:val="18"/>
                <w:szCs w:val="18"/>
              </w:rPr>
              <w:t>本产品认购期/募集期为</w:t>
            </w:r>
            <w:r>
              <w:rPr>
                <w:rFonts w:hint="eastAsia" w:ascii="宋体" w:hAnsi="宋体" w:cs="宋体"/>
                <w:bCs/>
                <w:sz w:val="18"/>
                <w:szCs w:val="18"/>
              </w:rPr>
              <w:t>：</w:t>
            </w:r>
            <w:r>
              <w:rPr>
                <w:rFonts w:hint="eastAsia" w:ascii="宋体" w:hAnsi="宋体" w:cs="Times New Roman"/>
                <w:sz w:val="18"/>
                <w:szCs w:val="18"/>
                <w:lang w:val="en-US" w:eastAsia="zh-CN"/>
              </w:rPr>
              <w:t>【2026年02月26日】【09:00】至【2026年03月04日】【17:00】。</w:t>
            </w:r>
          </w:p>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pPr>
              <w:keepNext w:val="0"/>
              <w:keepLines w:val="0"/>
              <w:suppressLineNumbers w:val="0"/>
              <w:spacing w:before="0" w:beforeAutospacing="0" w:after="0" w:afterAutospacing="0" w:line="360" w:lineRule="auto"/>
              <w:ind w:left="0" w:right="0"/>
              <w:rPr>
                <w:rFonts w:hint="default" w:ascii="宋体" w:hAnsi="宋体" w:cs="宋体"/>
                <w:sz w:val="18"/>
                <w:szCs w:val="22"/>
              </w:rPr>
            </w:pPr>
            <w:r>
              <w:rPr>
                <w:rFonts w:hint="default" w:ascii="宋体" w:hAnsi="宋体" w:cs="宋体"/>
                <w:bCs/>
                <w:sz w:val="18"/>
                <w:szCs w:val="18"/>
              </w:rPr>
              <w:t>3</w:t>
            </w:r>
            <w:r>
              <w:rPr>
                <w:rFonts w:hint="eastAsia" w:ascii="宋体" w:hAnsi="宋体" w:cs="宋体"/>
                <w:bCs/>
                <w:sz w:val="18"/>
                <w:szCs w:val="18"/>
              </w:rPr>
              <w:t>.认购期/募集期内资金产生的利息（如有）不计入本金份额</w:t>
            </w:r>
            <w:r>
              <w:rPr>
                <w:rFonts w:hint="eastAsia" w:ascii="宋体" w:hAnsi="宋体" w:cs="宋体"/>
                <w:sz w:val="18"/>
                <w:szCs w:val="22"/>
              </w:rPr>
              <w:t>。</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pPr>
              <w:keepNext w:val="0"/>
              <w:keepLines w:val="0"/>
              <w:suppressLineNumbers w:val="0"/>
              <w:spacing w:before="0" w:beforeAutospacing="0" w:after="0" w:afterAutospacing="0" w:line="360" w:lineRule="auto"/>
              <w:ind w:left="0" w:right="0"/>
              <w:rPr>
                <w:rFonts w:hint="default"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.本产品的计划成立日为</w:t>
            </w:r>
            <w:r>
              <w:rPr>
                <w:rFonts w:hint="default" w:ascii="宋体" w:hAnsi="宋体" w:cs="宋体"/>
                <w:bCs/>
                <w:sz w:val="18"/>
                <w:szCs w:val="18"/>
              </w:rPr>
              <w:t>：</w:t>
            </w:r>
            <w:r>
              <w:rPr>
                <w:rFonts w:hint="eastAsia" w:ascii="宋体" w:hAnsi="宋体" w:cs="Times New Roman"/>
                <w:sz w:val="18"/>
                <w:szCs w:val="18"/>
                <w:lang w:val="en-US" w:eastAsia="zh-CN"/>
              </w:rPr>
              <w:t>【2026年03月05日】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cs="宋体"/>
                <w:bCs/>
                <w:sz w:val="18"/>
                <w:szCs w:val="18"/>
              </w:rPr>
              <w:t>2</w:t>
            </w:r>
            <w:r>
              <w:rPr>
                <w:rFonts w:hint="eastAsia" w:ascii="宋体" w:hAnsi="宋体" w:cs="宋体"/>
                <w:bCs/>
                <w:sz w:val="18"/>
                <w:szCs w:val="18"/>
              </w:rPr>
              <w:t>.</w:t>
            </w:r>
            <w:r>
              <w:rPr>
                <w:rFonts w:hint="default"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hint="default" w:ascii="宋体" w:hAnsi="宋体" w:cs="宋体"/>
                <w:bCs/>
                <w:sz w:val="18"/>
                <w:szCs w:val="18"/>
              </w:rPr>
              <w:t>将依约</w:t>
            </w:r>
            <w:r>
              <w:rPr>
                <w:rFonts w:hint="eastAsia" w:ascii="宋体" w:hAnsi="宋体" w:cs="宋体"/>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sz w:val="18"/>
                <w:szCs w:val="18"/>
              </w:rPr>
            </w:pPr>
            <w:r>
              <w:rPr>
                <w:rFonts w:hint="default" w:ascii="宋体" w:hAnsi="宋体" w:cs="宋体"/>
                <w:bCs/>
                <w:sz w:val="18"/>
                <w:szCs w:val="18"/>
              </w:rPr>
              <w:t>1</w:t>
            </w:r>
            <w:r>
              <w:rPr>
                <w:rFonts w:hint="eastAsia" w:ascii="宋体" w:hAnsi="宋体" w:cs="宋体"/>
                <w:bCs/>
                <w:sz w:val="18"/>
                <w:szCs w:val="18"/>
              </w:rPr>
              <w:t>.本产品的计划终止日为</w:t>
            </w:r>
            <w:r>
              <w:rPr>
                <w:rFonts w:hint="default" w:ascii="宋体" w:hAnsi="宋体" w:cs="宋体"/>
                <w:bCs/>
                <w:sz w:val="18"/>
                <w:szCs w:val="18"/>
              </w:rPr>
              <w:t>：</w:t>
            </w:r>
            <w:r>
              <w:rPr>
                <w:rFonts w:hint="eastAsia" w:ascii="宋体" w:hAnsi="宋体" w:cs="Times New Roman"/>
                <w:sz w:val="18"/>
                <w:szCs w:val="18"/>
                <w:lang w:val="en-US" w:eastAsia="zh-CN"/>
              </w:rPr>
              <w:t>【2027年03月24日】</w:t>
            </w:r>
            <w:r>
              <w:rPr>
                <w:rFonts w:hint="eastAsia" w:ascii="宋体" w:hAnsi="宋体" w:cs="Times New Roman"/>
                <w:sz w:val="18"/>
                <w:szCs w:val="18"/>
              </w:rPr>
              <w:t>（遇节假日顺延）</w:t>
            </w:r>
            <w:r>
              <w:rPr>
                <w:rFonts w:hint="eastAsia" w:ascii="宋体" w:hAnsi="宋体" w:cs="宋体"/>
                <w:bCs/>
                <w:sz w:val="18"/>
                <w:szCs w:val="18"/>
              </w:rPr>
              <w:t>。</w:t>
            </w:r>
          </w:p>
          <w:p>
            <w:pPr>
              <w:keepNext w:val="0"/>
              <w:keepLines w:val="0"/>
              <w:suppressLineNumbers w:val="0"/>
              <w:spacing w:before="0" w:beforeAutospacing="0" w:after="0" w:afterAutospacing="0" w:line="360" w:lineRule="auto"/>
              <w:ind w:left="0" w:right="0"/>
              <w:rPr>
                <w:rFonts w:hint="default"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hint="default" w:ascii="宋体" w:hAnsi="宋体" w:eastAsia="宋体" w:cs="宋体"/>
                <w:b/>
                <w:bCs/>
                <w:sz w:val="18"/>
                <w:szCs w:val="18"/>
              </w:rPr>
              <w:t>递增金额</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eastAsia" w:ascii="宋体" w:hAnsi="宋体" w:eastAsia="宋体" w:cs="宋体"/>
                <w:sz w:val="18"/>
                <w:szCs w:val="18"/>
              </w:rPr>
            </w:pPr>
            <w:r>
              <w:rPr>
                <w:rFonts w:hint="default" w:ascii="宋体" w:hAnsi="宋体" w:eastAsia="宋体" w:cs="宋体"/>
                <w:sz w:val="18"/>
                <w:szCs w:val="22"/>
              </w:rPr>
              <w:t>每笔购买起点金额为【1】元; 超出起点金额的部分以【0.01】元的整数倍递增。（适用【A】类份额)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超出起点金额的部分以【0.01】元的整数倍递增。（适用【B】类份额)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超出起点金额的部分以【0.01】元的整数倍递增。（适用【C】类份额)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超出起点金额的部分以【0.01】元的整数倍递增。（适用【D】类份额)</w:t>
            </w:r>
            <w:r>
              <w:rPr>
                <w:rFonts w:hint="default" w:ascii="宋体" w:hAnsi="宋体" w:eastAsia="宋体" w:cs="宋体"/>
                <w:sz w:val="18"/>
                <w:szCs w:val="22"/>
              </w:rPr>
              <w:br w:type="textWrapping"/>
            </w:r>
            <w:r>
              <w:rPr>
                <w:rFonts w:hint="default" w:ascii="宋体" w:hAnsi="宋体" w:eastAsia="宋体" w:cs="宋体"/>
                <w:sz w:val="18"/>
                <w:szCs w:val="22"/>
              </w:rPr>
              <w:t>每笔购买起点金额为【1】元; 超出起点金额的部分以【0.01】元的整数倍递增。（适用【E】类份额)</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注</w:t>
            </w:r>
            <w:r>
              <w:rPr>
                <w:rFonts w:hint="default"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的提示</w:t>
            </w:r>
          </w:p>
          <w:p>
            <w:pPr>
              <w:keepNext w:val="0"/>
              <w:keepLines w:val="0"/>
              <w:suppressLineNumbers w:val="0"/>
              <w:spacing w:before="0" w:beforeAutospacing="0" w:after="0" w:afterAutospacing="0" w:line="360" w:lineRule="auto"/>
              <w:ind w:left="0" w:right="0"/>
              <w:rPr>
                <w:rFonts w:hint="default"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hint="default"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hint="default" w:ascii="黑体" w:hAnsi="黑体" w:eastAsia="黑体" w:cs="宋体"/>
                <w:color w:val="000000"/>
                <w:sz w:val="18"/>
                <w:szCs w:val="18"/>
              </w:rPr>
              <w:t>为准</w:t>
            </w:r>
            <w:r>
              <w:rPr>
                <w:rFonts w:hint="eastAsia" w:ascii="黑体" w:hAnsi="黑体" w:eastAsia="黑体" w:cs="宋体"/>
                <w:color w:val="000000"/>
                <w:sz w:val="18"/>
                <w:szCs w:val="18"/>
              </w:rPr>
              <w:t>。</w:t>
            </w:r>
          </w:p>
          <w:p>
            <w:pPr>
              <w:keepNext w:val="0"/>
              <w:keepLines w:val="0"/>
              <w:suppressLineNumbers w:val="0"/>
              <w:spacing w:before="0" w:beforeAutospacing="0" w:after="0" w:afterAutospacing="0" w:line="360" w:lineRule="auto"/>
              <w:ind w:left="0" w:right="0"/>
              <w:jc w:val="left"/>
              <w:rPr>
                <w:rFonts w:hint="default"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hint="default"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hint="default"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hint="default" w:ascii="黑体" w:hAnsi="黑体" w:eastAsia="黑体" w:cs="宋体"/>
                <w:color w:val="000000"/>
                <w:sz w:val="18"/>
                <w:szCs w:val="18"/>
              </w:rPr>
              <w:t>起点金额</w:t>
            </w:r>
            <w:r>
              <w:rPr>
                <w:rFonts w:hint="eastAsia" w:ascii="黑体" w:hAnsi="黑体" w:eastAsia="黑体" w:cs="宋体"/>
                <w:color w:val="000000"/>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pPr>
              <w:keepNext w:val="0"/>
              <w:keepLines w:val="0"/>
              <w:widowControl w:val="0"/>
              <w:suppressLineNumbers w:val="0"/>
              <w:autoSpaceDE w:val="0"/>
              <w:autoSpaceDN w:val="0"/>
              <w:adjustRightInd w:val="0"/>
              <w:spacing w:before="0" w:beforeAutospacing="0" w:after="0" w:afterAutospacing="0" w:line="360" w:lineRule="auto"/>
              <w:ind w:left="0" w:right="0"/>
              <w:rPr>
                <w:rFonts w:hint="eastAsia" w:ascii="宋体" w:hAnsi="宋体" w:eastAsia="宋体" w:cs="宋体"/>
                <w:bCs/>
                <w:color w:val="000000"/>
                <w:sz w:val="18"/>
                <w:szCs w:val="18"/>
                <w:lang w:val="en-US" w:eastAsia="zh-CN" w:bidi="ar-SA"/>
              </w:rPr>
            </w:pPr>
            <w:r>
              <w:rPr>
                <w:rFonts w:hint="default" w:ascii="宋体" w:hAnsi="宋体" w:eastAsia="宋体" w:cs="宋体"/>
                <w:color w:val="000000"/>
                <w:sz w:val="18"/>
                <w:szCs w:val="24"/>
                <w:lang w:val="en-US" w:eastAsia="zh-CN" w:bidi="ar-SA"/>
              </w:rPr>
              <w:t>认购的数量限制</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（1）单一投资者认购上限为【/】元。（适用【A】类份额)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单一投资者认购上限为【/】元。（适用【E】类份额)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（2）产品存续期间，单一投资者最高持有份额上限为【/】份，符合产品管理人流动性管理的稳定资金除外。（适用【A】类份额)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产品存续期间，单一投资者最高持有份额上限为【/】份，符合产品管理人流动性管理的稳定资金除外。（适用【B】类份额)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产品存续期间，单一投资者最高持有份额上限为【/】份，符合产品管理人流动性管理的稳定资金除外。（适用【C】类份额)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产品存续期间，单一投资者最高持有份额上限为【/】份，符合产品管理人流动性管理的稳定资金除外。（适用【D】类份额)</w:t>
            </w:r>
            <w:r>
              <w:rPr>
                <w:rFonts w:hint="default" w:ascii="宋体" w:hAnsi="宋体" w:eastAsia="宋体" w:cs="宋体"/>
                <w:color w:val="000000"/>
                <w:sz w:val="18"/>
                <w:szCs w:val="24"/>
                <w:lang w:val="en-US" w:eastAsia="zh-CN" w:bidi="ar-SA"/>
              </w:rPr>
              <w:br w:type="textWrapping"/>
            </w:r>
            <w:r>
              <w:rPr>
                <w:rFonts w:hint="default" w:ascii="宋体" w:hAnsi="宋体" w:eastAsia="宋体" w:cs="宋体"/>
                <w:color w:val="000000"/>
                <w:sz w:val="18"/>
                <w:szCs w:val="24"/>
                <w:lang w:val="en-US" w:eastAsia="zh-CN" w:bidi="ar-SA"/>
              </w:rPr>
              <w:t xml:space="preserve">     产品存续期间，单一投资者最高持有份额上限为【/】份，符合产品管理人流动性管理的稳定资金除外。（适用【E】类份额)</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黑体" w:hAnsi="黑体" w:eastAsia="黑体" w:cs="黑体"/>
                <w:sz w:val="18"/>
                <w:szCs w:val="22"/>
              </w:rPr>
              <w:t>注：本产品单一投资者持有份额不得超过产品总份额50%。</w:t>
            </w:r>
            <w:r>
              <w:rPr>
                <w:rFonts w:hint="default" w:ascii="黑体" w:hAnsi="黑体" w:eastAsia="黑体" w:cs="黑体"/>
                <w:sz w:val="18"/>
                <w:szCs w:val="22"/>
              </w:rPr>
              <w:br w:type="textWrapping"/>
            </w:r>
            <w:r>
              <w:rPr>
                <w:rFonts w:hint="default" w:ascii="黑体" w:hAnsi="黑体" w:eastAsia="黑体" w:cs="黑体"/>
                <w:sz w:val="18"/>
                <w:szCs w:val="22"/>
              </w:rPr>
              <w:t>（1）投资者认购或申购确认后可能导致其持有份额超过产品总份额50%的，管理人有权拒绝或暂停认购、申购。</w:t>
            </w:r>
            <w:r>
              <w:rPr>
                <w:rFonts w:hint="default" w:ascii="黑体" w:hAnsi="黑体" w:eastAsia="黑体" w:cs="黑体"/>
                <w:sz w:val="18"/>
                <w:szCs w:val="22"/>
              </w:rPr>
              <w:br w:type="textWrapping"/>
            </w:r>
            <w:r>
              <w:rPr>
                <w:rFonts w:hint="default"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eastAsia="宋体" w:cs="宋体"/>
                <w:b/>
                <w:bCs/>
                <w:sz w:val="18"/>
                <w:szCs w:val="18"/>
              </w:rPr>
              <w:t>理财产品</w:t>
            </w:r>
            <w:r>
              <w:rPr>
                <w:rFonts w:hint="default" w:ascii="宋体" w:hAnsi="宋体" w:eastAsia="宋体" w:cs="宋体"/>
                <w:b/>
                <w:bCs/>
                <w:sz w:val="18"/>
                <w:szCs w:val="18"/>
              </w:rPr>
              <w:t>份额发售面值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sz w:val="18"/>
                <w:szCs w:val="18"/>
              </w:rPr>
            </w:pPr>
            <w:r>
              <w:rPr>
                <w:rFonts w:hint="default" w:ascii="宋体" w:hAnsi="宋体" w:eastAsia="宋体" w:cs="仿宋_GB2312"/>
                <w:kern w:val="0"/>
                <w:sz w:val="18"/>
                <w:szCs w:val="18"/>
              </w:rPr>
              <w:t>1.00</w:t>
            </w:r>
            <w:r>
              <w:rPr>
                <w:rFonts w:hint="eastAsia" w:ascii="宋体" w:hAnsi="宋体" w:eastAsia="宋体" w:cs="仿宋_GB2312"/>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rPr>
              <w:t>1</w:t>
            </w:r>
            <w:r>
              <w:rPr>
                <w:rFonts w:hint="default" w:ascii="宋体" w:hAnsi="宋体" w:eastAsia="宋体" w:cs="宋体"/>
                <w:color w:val="000000"/>
                <w:sz w:val="18"/>
                <w:szCs w:val="18"/>
              </w:rPr>
              <w:t>.</w:t>
            </w:r>
            <w:r>
              <w:rPr>
                <w:rFonts w:hint="default"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hint="default" w:ascii="宋体" w:hAnsi="宋体" w:eastAsia="宋体" w:cs="宋体"/>
                <w:bCs/>
                <w:sz w:val="18"/>
                <w:szCs w:val="18"/>
              </w:rPr>
              <w:t>分配所得可能小于投资</w:t>
            </w:r>
            <w:r>
              <w:rPr>
                <w:rFonts w:hint="eastAsia" w:ascii="宋体" w:hAnsi="宋体" w:eastAsia="宋体" w:cs="宋体"/>
                <w:bCs/>
                <w:sz w:val="18"/>
                <w:szCs w:val="18"/>
              </w:rPr>
              <w:t>者</w:t>
            </w:r>
            <w:r>
              <w:rPr>
                <w:rFonts w:hint="default" w:ascii="宋体" w:hAnsi="宋体" w:eastAsia="宋体" w:cs="宋体"/>
                <w:bCs/>
                <w:sz w:val="18"/>
                <w:szCs w:val="18"/>
              </w:rPr>
              <w:t>初始投资资金。投资</w:t>
            </w:r>
            <w:r>
              <w:rPr>
                <w:rFonts w:hint="eastAsia" w:ascii="宋体" w:hAnsi="宋体" w:eastAsia="宋体" w:cs="宋体"/>
                <w:bCs/>
                <w:sz w:val="18"/>
                <w:szCs w:val="18"/>
              </w:rPr>
              <w:t>者</w:t>
            </w:r>
            <w:r>
              <w:rPr>
                <w:rFonts w:hint="default" w:ascii="宋体" w:hAnsi="宋体" w:eastAsia="宋体" w:cs="宋体"/>
                <w:bCs/>
                <w:sz w:val="18"/>
                <w:szCs w:val="18"/>
              </w:rPr>
              <w:t>分配所得以实际到账金额为准。</w:t>
            </w:r>
          </w:p>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default" w:ascii="宋体" w:hAnsi="宋体" w:eastAsia="宋体" w:cs="宋体"/>
                <w:bCs/>
                <w:sz w:val="18"/>
                <w:szCs w:val="18"/>
              </w:rPr>
              <w:t>2．产品实际</w:t>
            </w:r>
            <w:r>
              <w:rPr>
                <w:rFonts w:hint="eastAsia" w:ascii="宋体" w:hAnsi="宋体" w:eastAsia="宋体" w:cs="宋体"/>
                <w:bCs/>
                <w:sz w:val="18"/>
                <w:szCs w:val="18"/>
              </w:rPr>
              <w:t>终止</w:t>
            </w:r>
            <w:r>
              <w:rPr>
                <w:rFonts w:hint="default"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hint="default" w:ascii="宋体" w:hAnsi="宋体" w:eastAsia="宋体" w:cs="宋体"/>
                <w:bCs/>
                <w:sz w:val="18"/>
                <w:szCs w:val="18"/>
              </w:rPr>
              <w:t>的费用和税收。</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hint="default" w:ascii="宋体" w:hAnsi="宋体" w:eastAsia="宋体" w:cs="宋体"/>
                <w:bCs/>
                <w:sz w:val="18"/>
                <w:szCs w:val="18"/>
              </w:rPr>
              <w:t>以</w:t>
            </w:r>
            <w:r>
              <w:rPr>
                <w:rFonts w:hint="eastAsia" w:ascii="宋体" w:hAnsi="宋体" w:eastAsia="宋体" w:cs="宋体"/>
                <w:bCs/>
                <w:sz w:val="18"/>
                <w:szCs w:val="18"/>
              </w:rPr>
              <w:t>产品终止日</w:t>
            </w:r>
            <w:r>
              <w:rPr>
                <w:rFonts w:hint="default" w:ascii="宋体" w:hAnsi="宋体" w:eastAsia="宋体" w:cs="宋体"/>
                <w:bCs/>
                <w:sz w:val="18"/>
                <w:szCs w:val="18"/>
              </w:rPr>
              <w:t>产品份额净值为基础进行利益分配。</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sz w:val="18"/>
                <w:szCs w:val="18"/>
              </w:rPr>
            </w:pPr>
            <w:r>
              <w:rPr>
                <w:rFonts w:hint="default" w:ascii="宋体" w:hAnsi="宋体" w:eastAsia="宋体" w:cs="宋体"/>
                <w:sz w:val="18"/>
                <w:szCs w:val="22"/>
              </w:rPr>
              <w:t>1.业绩比较基准的设置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产品管理人设置业绩比较基准。</w:t>
            </w:r>
            <w:r>
              <w:rPr>
                <w:rFonts w:hint="default" w:ascii="宋体" w:hAnsi="宋体" w:eastAsia="宋体" w:cs="宋体"/>
                <w:sz w:val="18"/>
                <w:szCs w:val="22"/>
              </w:rPr>
              <w:br w:type="textWrapping"/>
            </w:r>
            <w:r>
              <w:rPr>
                <w:rFonts w:hint="default" w:ascii="宋体" w:hAnsi="宋体" w:eastAsia="宋体" w:cs="宋体"/>
                <w:sz w:val="18"/>
                <w:szCs w:val="22"/>
              </w:rPr>
              <w:t>（1）业绩比较基准的说明：【以一年期定期存款利率为无风险利率，基于当前对未来市场的判断，根据拟投资债权类资产的信用利差、久期敞口以及流动性溢价，预判组合的波动幅度，设定业绩比较基准】。</w:t>
            </w:r>
            <w:r>
              <w:rPr>
                <w:rFonts w:hint="default" w:ascii="宋体" w:hAnsi="宋体" w:eastAsia="宋体" w:cs="宋体"/>
                <w:sz w:val="18"/>
                <w:szCs w:val="22"/>
              </w:rPr>
              <w:br w:type="textWrapping"/>
            </w:r>
            <w:r>
              <w:rPr>
                <w:rFonts w:hint="default" w:ascii="宋体" w:hAnsi="宋体" w:eastAsia="宋体" w:cs="宋体"/>
                <w:sz w:val="18"/>
                <w:szCs w:val="22"/>
              </w:rPr>
              <w:t>（2）业绩比较基准的设定：管理人对本产品设定业绩比较基准：</w:t>
            </w:r>
            <w:r>
              <w:rPr>
                <w:rFonts w:hint="default" w:ascii="宋体" w:hAnsi="宋体" w:eastAsia="宋体" w:cs="宋体"/>
                <w:sz w:val="18"/>
                <w:szCs w:val="22"/>
              </w:rPr>
              <w:br w:type="textWrapping"/>
            </w:r>
            <w:r>
              <w:rPr>
                <w:rFonts w:hint="default" w:ascii="宋体" w:hAnsi="宋体" w:eastAsia="宋体" w:cs="宋体"/>
                <w:sz w:val="18"/>
                <w:szCs w:val="22"/>
              </w:rPr>
              <w:t>年化【2.45%-2.75%】。（适用【A】类份额)</w:t>
            </w:r>
            <w:r>
              <w:rPr>
                <w:rFonts w:hint="default" w:ascii="宋体" w:hAnsi="宋体" w:eastAsia="宋体" w:cs="宋体"/>
                <w:sz w:val="18"/>
                <w:szCs w:val="22"/>
              </w:rPr>
              <w:br w:type="textWrapping"/>
            </w:r>
            <w:r>
              <w:rPr>
                <w:rFonts w:hint="default" w:ascii="宋体" w:hAnsi="宋体" w:eastAsia="宋体" w:cs="宋体"/>
                <w:sz w:val="18"/>
                <w:szCs w:val="22"/>
              </w:rPr>
              <w:t>年化【2.4%-2.7%】。（适用【B】类份额)</w:t>
            </w:r>
            <w:r>
              <w:rPr>
                <w:rFonts w:hint="default" w:ascii="宋体" w:hAnsi="宋体" w:eastAsia="宋体" w:cs="宋体"/>
                <w:sz w:val="18"/>
                <w:szCs w:val="22"/>
              </w:rPr>
              <w:br w:type="textWrapping"/>
            </w:r>
            <w:r>
              <w:rPr>
                <w:rFonts w:hint="default" w:ascii="宋体" w:hAnsi="宋体" w:eastAsia="宋体" w:cs="宋体"/>
                <w:sz w:val="18"/>
                <w:szCs w:val="22"/>
              </w:rPr>
              <w:t>年化【2.35%-2.65%】。（适用【C】类份额)</w:t>
            </w:r>
            <w:r>
              <w:rPr>
                <w:rFonts w:hint="default" w:ascii="宋体" w:hAnsi="宋体" w:eastAsia="宋体" w:cs="宋体"/>
                <w:sz w:val="18"/>
                <w:szCs w:val="22"/>
              </w:rPr>
              <w:br w:type="textWrapping"/>
            </w:r>
            <w:r>
              <w:rPr>
                <w:rFonts w:hint="default" w:ascii="宋体" w:hAnsi="宋体" w:eastAsia="宋体" w:cs="宋体"/>
                <w:sz w:val="18"/>
                <w:szCs w:val="22"/>
              </w:rPr>
              <w:t>年化【2.3%-2.6%】。（适用【D】类份额)</w:t>
            </w:r>
            <w:r>
              <w:rPr>
                <w:rFonts w:hint="default" w:ascii="宋体" w:hAnsi="宋体" w:eastAsia="宋体" w:cs="宋体"/>
                <w:sz w:val="18"/>
                <w:szCs w:val="22"/>
              </w:rPr>
              <w:br w:type="textWrapping"/>
            </w:r>
            <w:r>
              <w:rPr>
                <w:rFonts w:hint="default" w:ascii="宋体" w:hAnsi="宋体" w:eastAsia="宋体" w:cs="宋体"/>
                <w:sz w:val="18"/>
                <w:szCs w:val="22"/>
              </w:rPr>
              <w:t>年化【2.2%-2.5%】。（适用【E】类份额)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产品管理人不设置业绩比较基准。</w:t>
            </w:r>
          </w:p>
          <w:p>
            <w:pPr>
              <w:keepNext w:val="0"/>
              <w:keepLines w:val="0"/>
              <w:suppressLineNumbers w:val="0"/>
              <w:spacing w:before="0" w:beforeAutospacing="0" w:after="0" w:afterAutospacing="0" w:line="360" w:lineRule="auto"/>
              <w:ind w:left="0" w:right="0"/>
              <w:jc w:val="left"/>
              <w:rPr>
                <w:rFonts w:hint="default" w:ascii="宋体" w:hAnsi="宋体" w:eastAsia="宋体" w:cs="宋体"/>
                <w:bCs/>
                <w:sz w:val="18"/>
                <w:szCs w:val="18"/>
              </w:rPr>
            </w:pPr>
            <w:r>
              <w:rPr>
                <w:rFonts w:hint="default" w:ascii="宋体" w:hAnsi="宋体" w:eastAsia="宋体" w:cs="宋体"/>
                <w:bCs/>
                <w:sz w:val="18"/>
                <w:szCs w:val="18"/>
              </w:rPr>
              <w:t>2.业绩比较基准的提示：</w:t>
            </w:r>
          </w:p>
          <w:p>
            <w:pPr>
              <w:keepNext w:val="0"/>
              <w:keepLines w:val="0"/>
              <w:suppressLineNumbers w:val="0"/>
              <w:spacing w:before="0" w:beforeAutospacing="0" w:after="0" w:afterAutospacing="0" w:line="360" w:lineRule="auto"/>
              <w:ind w:left="0" w:right="0"/>
              <w:jc w:val="left"/>
              <w:rPr>
                <w:rFonts w:hint="default"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hint="default" w:ascii="宋体" w:hAnsi="宋体" w:cs="宋体"/>
                <w:b/>
                <w:sz w:val="18"/>
                <w:szCs w:val="18"/>
              </w:rPr>
              <w:t>基准</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eastAsia" w:ascii="Calibri" w:hAnsi="宋体" w:cs="宋体"/>
                <w:bCs/>
                <w:sz w:val="18"/>
                <w:szCs w:val="18"/>
              </w:rPr>
            </w:pPr>
            <w:r>
              <w:rPr>
                <w:rFonts w:hint="default" w:ascii="宋体" w:hAnsi="宋体" w:eastAsia="宋体" w:cs="宋体"/>
                <w:sz w:val="18"/>
                <w:szCs w:val="22"/>
              </w:rPr>
              <w:t>1.业绩报酬计提基准的设置</w:t>
            </w:r>
            <w:r>
              <w:rPr>
                <w:rFonts w:hint="default" w:ascii="宋体" w:hAnsi="宋体" w:eastAsia="宋体" w:cs="宋体"/>
                <w:sz w:val="18"/>
                <w:szCs w:val="22"/>
              </w:rPr>
              <w:br w:type="textWrapping"/>
            </w:r>
            <w:r>
              <w:rPr>
                <w:rFonts w:hint="default" w:ascii="宋体" w:hAnsi="宋体" w:eastAsia="宋体" w:cs="宋体"/>
                <w:sz w:val="18"/>
                <w:szCs w:val="22"/>
              </w:rPr>
              <w:t>■ 产品管理人设置业绩报酬计提基准。</w:t>
            </w:r>
            <w:r>
              <w:rPr>
                <w:rFonts w:hint="default" w:ascii="宋体" w:hAnsi="宋体" w:eastAsia="宋体" w:cs="宋体"/>
                <w:sz w:val="18"/>
                <w:szCs w:val="22"/>
              </w:rPr>
              <w:br w:type="textWrapping"/>
            </w:r>
            <w:r>
              <w:rPr>
                <w:rFonts w:hint="default" w:ascii="宋体" w:hAnsi="宋体" w:eastAsia="宋体" w:cs="宋体"/>
                <w:sz w:val="18"/>
                <w:szCs w:val="22"/>
              </w:rPr>
              <w:t>业绩报酬计提基准的设定：管理人对本产品设定业绩报酬计提基准：</w:t>
            </w:r>
            <w:r>
              <w:rPr>
                <w:rFonts w:hint="default" w:ascii="宋体" w:hAnsi="宋体" w:eastAsia="宋体" w:cs="宋体"/>
                <w:sz w:val="18"/>
                <w:szCs w:val="22"/>
              </w:rPr>
              <w:br w:type="textWrapping"/>
            </w:r>
            <w:r>
              <w:rPr>
                <w:rFonts w:hint="default" w:ascii="宋体" w:hAnsi="宋体" w:eastAsia="宋体" w:cs="宋体"/>
                <w:sz w:val="18"/>
                <w:szCs w:val="22"/>
              </w:rPr>
              <w:t>年化【2.6%】。（适用【A】类份额)</w:t>
            </w:r>
            <w:r>
              <w:rPr>
                <w:rFonts w:hint="default" w:ascii="宋体" w:hAnsi="宋体" w:eastAsia="宋体" w:cs="宋体"/>
                <w:sz w:val="18"/>
                <w:szCs w:val="22"/>
              </w:rPr>
              <w:br w:type="textWrapping"/>
            </w:r>
            <w:r>
              <w:rPr>
                <w:rFonts w:hint="default" w:ascii="宋体" w:hAnsi="宋体" w:eastAsia="宋体" w:cs="宋体"/>
                <w:sz w:val="18"/>
                <w:szCs w:val="22"/>
              </w:rPr>
              <w:t>年化【2.55%】。（适用【B】类份额)</w:t>
            </w:r>
            <w:r>
              <w:rPr>
                <w:rFonts w:hint="default" w:ascii="宋体" w:hAnsi="宋体" w:eastAsia="宋体" w:cs="宋体"/>
                <w:sz w:val="18"/>
                <w:szCs w:val="22"/>
              </w:rPr>
              <w:br w:type="textWrapping"/>
            </w:r>
            <w:r>
              <w:rPr>
                <w:rFonts w:hint="default" w:ascii="宋体" w:hAnsi="宋体" w:eastAsia="宋体" w:cs="宋体"/>
                <w:sz w:val="18"/>
                <w:szCs w:val="22"/>
              </w:rPr>
              <w:t>年化【2.5%】。（适用【C】类份额)</w:t>
            </w:r>
            <w:r>
              <w:rPr>
                <w:rFonts w:hint="default" w:ascii="宋体" w:hAnsi="宋体" w:eastAsia="宋体" w:cs="宋体"/>
                <w:sz w:val="18"/>
                <w:szCs w:val="22"/>
              </w:rPr>
              <w:br w:type="textWrapping"/>
            </w:r>
            <w:r>
              <w:rPr>
                <w:rFonts w:hint="default" w:ascii="宋体" w:hAnsi="宋体" w:eastAsia="宋体" w:cs="宋体"/>
                <w:sz w:val="18"/>
                <w:szCs w:val="22"/>
              </w:rPr>
              <w:t>年化【2.45%】。（适用【D】类份额)</w:t>
            </w:r>
            <w:r>
              <w:rPr>
                <w:rFonts w:hint="default" w:ascii="宋体" w:hAnsi="宋体" w:eastAsia="宋体" w:cs="宋体"/>
                <w:sz w:val="18"/>
                <w:szCs w:val="22"/>
              </w:rPr>
              <w:br w:type="textWrapping"/>
            </w:r>
            <w:r>
              <w:rPr>
                <w:rFonts w:hint="default" w:ascii="宋体" w:hAnsi="宋体" w:eastAsia="宋体" w:cs="宋体"/>
                <w:sz w:val="18"/>
                <w:szCs w:val="22"/>
              </w:rPr>
              <w:t>年化【2.35%】。（适用【E】类份额)</w:t>
            </w:r>
            <w:r>
              <w:rPr>
                <w:rFonts w:hint="default" w:ascii="宋体" w:hAnsi="宋体" w:eastAsia="宋体" w:cs="宋体"/>
                <w:sz w:val="18"/>
                <w:szCs w:val="22"/>
              </w:rPr>
              <w:br w:type="textWrapping"/>
            </w:r>
            <w:r>
              <w:rPr>
                <w:rFonts w:hint="default" w:ascii="宋体" w:hAnsi="宋体" w:eastAsia="宋体" w:cs="宋体"/>
                <w:sz w:val="18"/>
                <w:szCs w:val="22"/>
              </w:rPr>
              <w:t>□ 产品管理人不设置业绩报酬计提基准。</w:t>
            </w:r>
          </w:p>
          <w:p>
            <w:pPr>
              <w:keepNext w:val="0"/>
              <w:keepLines w:val="0"/>
              <w:suppressLineNumbers w:val="0"/>
              <w:spacing w:before="0" w:beforeAutospacing="0" w:after="0" w:afterAutospacing="0" w:line="360" w:lineRule="auto"/>
              <w:ind w:left="0" w:right="0"/>
              <w:jc w:val="left"/>
              <w:rPr>
                <w:rFonts w:hint="default" w:ascii="宋体" w:hAnsi="宋体" w:cs="宋体"/>
                <w:bCs/>
                <w:sz w:val="18"/>
                <w:szCs w:val="18"/>
              </w:rPr>
            </w:pPr>
            <w:r>
              <w:rPr>
                <w:rFonts w:hint="default" w:ascii="宋体" w:hAnsi="宋体" w:cs="宋体"/>
                <w:bCs/>
                <w:sz w:val="18"/>
                <w:szCs w:val="18"/>
              </w:rPr>
              <w:t>2.业绩报酬计提基准的提示</w:t>
            </w:r>
            <w:r>
              <w:rPr>
                <w:rFonts w:hint="eastAsia" w:ascii="宋体" w:hAnsi="宋体" w:cs="宋体"/>
                <w:bCs/>
                <w:sz w:val="18"/>
                <w:szCs w:val="18"/>
              </w:rPr>
              <w:t>：</w:t>
            </w:r>
          </w:p>
          <w:p>
            <w:pPr>
              <w:keepNext w:val="0"/>
              <w:keepLines w:val="0"/>
              <w:suppressLineNumbers w:val="0"/>
              <w:autoSpaceDE w:val="0"/>
              <w:autoSpaceDN w:val="0"/>
              <w:adjustRightInd w:val="0"/>
              <w:spacing w:before="0" w:beforeAutospacing="0" w:after="0" w:afterAutospacing="0" w:line="360" w:lineRule="auto"/>
              <w:ind w:left="0" w:right="0"/>
              <w:jc w:val="left"/>
              <w:rPr>
                <w:rFonts w:hint="default" w:ascii="黑体" w:hAnsi="黑体" w:eastAsia="黑体" w:cs="宋体"/>
                <w:sz w:val="18"/>
                <w:szCs w:val="22"/>
              </w:rPr>
            </w:pPr>
            <w:r>
              <w:rPr>
                <w:rFonts w:hint="eastAsia" w:ascii="黑体" w:hAnsi="黑体" w:eastAsia="黑体" w:cs="宋体"/>
                <w:sz w:val="18"/>
                <w:szCs w:val="22"/>
              </w:rPr>
              <w:t>（</w:t>
            </w:r>
            <w:r>
              <w:rPr>
                <w:rFonts w:hint="default"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pPr>
              <w:keepNext w:val="0"/>
              <w:keepLines w:val="0"/>
              <w:suppressLineNumbers w:val="0"/>
              <w:spacing w:before="0" w:beforeAutospacing="0" w:after="0" w:afterAutospacing="0" w:line="360" w:lineRule="auto"/>
              <w:ind w:left="0" w:right="0"/>
              <w:jc w:val="left"/>
              <w:rPr>
                <w:rFonts w:hint="default" w:ascii="宋体" w:hAnsi="宋体" w:cs="宋体"/>
                <w:b/>
                <w:bCs/>
                <w:sz w:val="18"/>
                <w:szCs w:val="18"/>
              </w:rPr>
            </w:pPr>
            <w:r>
              <w:rPr>
                <w:rFonts w:hint="eastAsia" w:ascii="宋体" w:hAnsi="宋体" w:cs="宋体"/>
                <w:bCs/>
                <w:sz w:val="18"/>
                <w:szCs w:val="18"/>
              </w:rPr>
              <w:t>（</w:t>
            </w:r>
            <w:r>
              <w:rPr>
                <w:rFonts w:hint="default"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1</w:t>
            </w:r>
            <w:r>
              <w:rPr>
                <w:rFonts w:hint="default"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pPr>
              <w:keepNext w:val="0"/>
              <w:keepLines w:val="0"/>
              <w:suppressLineNumbers w:val="0"/>
              <w:spacing w:before="0" w:beforeAutospacing="0" w:after="0" w:afterAutospacing="0" w:line="360" w:lineRule="auto"/>
              <w:ind w:left="0" w:right="0"/>
              <w:jc w:val="left"/>
              <w:rPr>
                <w:rFonts w:hint="default" w:ascii="Calibri" w:hAnsi="宋体" w:cs="宋体"/>
                <w:bCs/>
                <w:sz w:val="18"/>
                <w:szCs w:val="18"/>
              </w:rPr>
            </w:pPr>
            <w:r>
              <w:rPr>
                <w:rFonts w:hint="eastAsia" w:ascii="Calibri" w:hAnsi="宋体" w:cs="宋体"/>
                <w:bCs/>
                <w:sz w:val="18"/>
                <w:szCs w:val="18"/>
              </w:rPr>
              <w:t>2</w:t>
            </w:r>
            <w:r>
              <w:rPr>
                <w:rFonts w:hint="default"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bCs/>
                <w:color w:val="000000"/>
                <w:sz w:val="18"/>
                <w:szCs w:val="18"/>
              </w:rPr>
            </w:pPr>
            <w:r>
              <w:rPr>
                <w:rFonts w:hint="default" w:ascii="黑体" w:hAnsi="黑体" w:eastAsia="黑体" w:cs="黑体"/>
                <w:sz w:val="18"/>
                <w:szCs w:val="22"/>
              </w:rPr>
              <w:t>1.理财产品的费率标准</w:t>
            </w:r>
            <w:r>
              <w:rPr>
                <w:rFonts w:hint="default" w:ascii="黑体" w:hAnsi="黑体" w:eastAsia="黑体" w:cs="黑体"/>
                <w:sz w:val="18"/>
                <w:szCs w:val="22"/>
              </w:rPr>
              <w:br w:type="textWrapping"/>
            </w:r>
            <w:r>
              <w:rPr>
                <w:rFonts w:hint="default" w:ascii="黑体" w:hAnsi="黑体" w:eastAsia="黑体" w:cs="黑体"/>
                <w:sz w:val="18"/>
                <w:szCs w:val="22"/>
              </w:rPr>
              <w:t>（1）认购费：</w:t>
            </w:r>
            <w:r>
              <w:rPr>
                <w:rFonts w:hint="default" w:ascii="黑体" w:hAnsi="黑体" w:eastAsia="黑体" w:cs="黑体"/>
                <w:sz w:val="18"/>
                <w:szCs w:val="22"/>
              </w:rPr>
              <w:br w:type="textWrapping"/>
            </w:r>
            <w:r>
              <w:rPr>
                <w:rFonts w:hint="default" w:ascii="黑体" w:hAnsi="黑体" w:eastAsia="黑体" w:cs="黑体"/>
                <w:sz w:val="18"/>
                <w:szCs w:val="22"/>
              </w:rPr>
              <w:t>【/】。（适用【A】类份额）</w:t>
            </w:r>
            <w:r>
              <w:rPr>
                <w:rFonts w:hint="default" w:ascii="黑体" w:hAnsi="黑体" w:eastAsia="黑体" w:cs="黑体"/>
                <w:sz w:val="18"/>
                <w:szCs w:val="22"/>
              </w:rPr>
              <w:br w:type="textWrapping"/>
            </w:r>
            <w:r>
              <w:rPr>
                <w:rFonts w:hint="default" w:ascii="黑体" w:hAnsi="黑体" w:eastAsia="黑体" w:cs="黑体"/>
                <w:sz w:val="18"/>
                <w:szCs w:val="22"/>
              </w:rPr>
              <w:t>【/】。（适用【B】类份额）</w:t>
            </w:r>
            <w:r>
              <w:rPr>
                <w:rFonts w:hint="default" w:ascii="黑体" w:hAnsi="黑体" w:eastAsia="黑体" w:cs="黑体"/>
                <w:sz w:val="18"/>
                <w:szCs w:val="22"/>
              </w:rPr>
              <w:br w:type="textWrapping"/>
            </w:r>
            <w:r>
              <w:rPr>
                <w:rFonts w:hint="default" w:ascii="黑体" w:hAnsi="黑体" w:eastAsia="黑体" w:cs="黑体"/>
                <w:sz w:val="18"/>
                <w:szCs w:val="22"/>
              </w:rPr>
              <w:t>【/】。（适用【C】类份额）</w:t>
            </w:r>
            <w:r>
              <w:rPr>
                <w:rFonts w:hint="default" w:ascii="黑体" w:hAnsi="黑体" w:eastAsia="黑体" w:cs="黑体"/>
                <w:sz w:val="18"/>
                <w:szCs w:val="22"/>
              </w:rPr>
              <w:br w:type="textWrapping"/>
            </w:r>
            <w:r>
              <w:rPr>
                <w:rFonts w:hint="default" w:ascii="黑体" w:hAnsi="黑体" w:eastAsia="黑体" w:cs="黑体"/>
                <w:sz w:val="18"/>
                <w:szCs w:val="22"/>
              </w:rPr>
              <w:t>【/】。（适用【D】类份额）</w:t>
            </w:r>
            <w:r>
              <w:rPr>
                <w:rFonts w:hint="default" w:ascii="黑体" w:hAnsi="黑体" w:eastAsia="黑体" w:cs="黑体"/>
                <w:sz w:val="18"/>
                <w:szCs w:val="22"/>
              </w:rPr>
              <w:br w:type="textWrapping"/>
            </w:r>
            <w:r>
              <w:rPr>
                <w:rFonts w:hint="default" w:ascii="黑体" w:hAnsi="黑体" w:eastAsia="黑体" w:cs="黑体"/>
                <w:sz w:val="18"/>
                <w:szCs w:val="22"/>
              </w:rPr>
              <w:t>【/】。（适用【E】类份额）</w:t>
            </w:r>
            <w:r>
              <w:rPr>
                <w:rFonts w:hint="default" w:ascii="黑体" w:hAnsi="黑体" w:eastAsia="黑体" w:cs="黑体"/>
                <w:sz w:val="18"/>
                <w:szCs w:val="22"/>
              </w:rPr>
              <w:br w:type="textWrapping"/>
            </w:r>
            <w:r>
              <w:rPr>
                <w:rFonts w:hint="default" w:ascii="黑体" w:hAnsi="黑体" w:eastAsia="黑体" w:cs="黑体"/>
                <w:sz w:val="18"/>
                <w:szCs w:val="22"/>
              </w:rPr>
              <w:t>（2）销售服务费：</w:t>
            </w:r>
            <w:r>
              <w:rPr>
                <w:rFonts w:hint="default" w:ascii="黑体" w:hAnsi="黑体" w:eastAsia="黑体" w:cs="黑体"/>
                <w:sz w:val="18"/>
                <w:szCs w:val="22"/>
              </w:rPr>
              <w:br w:type="textWrapping"/>
            </w:r>
            <w:r>
              <w:rPr>
                <w:rFonts w:hint="default" w:ascii="黑体" w:hAnsi="黑体" w:eastAsia="黑体" w:cs="黑体"/>
                <w:sz w:val="18"/>
                <w:szCs w:val="22"/>
              </w:rPr>
              <w:t>年化费率【0.05%】。（适用【A】类份额）</w:t>
            </w:r>
            <w:r>
              <w:rPr>
                <w:rFonts w:hint="default" w:ascii="黑体" w:hAnsi="黑体" w:eastAsia="黑体" w:cs="黑体"/>
                <w:sz w:val="18"/>
                <w:szCs w:val="22"/>
              </w:rPr>
              <w:br w:type="textWrapping"/>
            </w:r>
            <w:r>
              <w:rPr>
                <w:rFonts w:hint="default" w:ascii="黑体" w:hAnsi="黑体" w:eastAsia="黑体" w:cs="黑体"/>
                <w:sz w:val="18"/>
                <w:szCs w:val="22"/>
              </w:rPr>
              <w:t>年化费率【0.1%】。（适用【B】类份额）</w:t>
            </w:r>
            <w:r>
              <w:rPr>
                <w:rFonts w:hint="default" w:ascii="黑体" w:hAnsi="黑体" w:eastAsia="黑体" w:cs="黑体"/>
                <w:sz w:val="18"/>
                <w:szCs w:val="22"/>
              </w:rPr>
              <w:br w:type="textWrapping"/>
            </w:r>
            <w:r>
              <w:rPr>
                <w:rFonts w:hint="default" w:ascii="黑体" w:hAnsi="黑体" w:eastAsia="黑体" w:cs="黑体"/>
                <w:sz w:val="18"/>
                <w:szCs w:val="22"/>
              </w:rPr>
              <w:t>年化费率【0.15%】。（适用【C】类份额）</w:t>
            </w:r>
            <w:r>
              <w:rPr>
                <w:rFonts w:hint="default" w:ascii="黑体" w:hAnsi="黑体" w:eastAsia="黑体" w:cs="黑体"/>
                <w:sz w:val="18"/>
                <w:szCs w:val="22"/>
              </w:rPr>
              <w:br w:type="textWrapping"/>
            </w:r>
            <w:r>
              <w:rPr>
                <w:rFonts w:hint="default" w:ascii="黑体" w:hAnsi="黑体" w:eastAsia="黑体" w:cs="黑体"/>
                <w:sz w:val="18"/>
                <w:szCs w:val="22"/>
              </w:rPr>
              <w:t>年化费率【0.2%】。（适用【D】类份额）</w:t>
            </w:r>
            <w:r>
              <w:rPr>
                <w:rFonts w:hint="default" w:ascii="黑体" w:hAnsi="黑体" w:eastAsia="黑体" w:cs="黑体"/>
                <w:sz w:val="18"/>
                <w:szCs w:val="22"/>
              </w:rPr>
              <w:br w:type="textWrapping"/>
            </w:r>
            <w:r>
              <w:rPr>
                <w:rFonts w:hint="default" w:ascii="黑体" w:hAnsi="黑体" w:eastAsia="黑体" w:cs="黑体"/>
                <w:sz w:val="18"/>
                <w:szCs w:val="22"/>
              </w:rPr>
              <w:t>年化费率【0.3%】。（适用【E】类份额）</w:t>
            </w:r>
            <w:r>
              <w:rPr>
                <w:rFonts w:hint="default" w:ascii="黑体" w:hAnsi="黑体" w:eastAsia="黑体" w:cs="黑体"/>
                <w:sz w:val="18"/>
                <w:szCs w:val="22"/>
              </w:rPr>
              <w:br w:type="textWrapping"/>
            </w:r>
            <w:r>
              <w:rPr>
                <w:rFonts w:hint="default" w:ascii="黑体" w:hAnsi="黑体" w:eastAsia="黑体" w:cs="黑体"/>
                <w:sz w:val="18"/>
                <w:szCs w:val="22"/>
              </w:rPr>
              <w:t>（3）投资管理费：年化费率【0.05%】</w:t>
            </w:r>
            <w:r>
              <w:rPr>
                <w:rFonts w:hint="default" w:ascii="黑体" w:hAnsi="黑体" w:eastAsia="黑体" w:cs="黑体"/>
                <w:sz w:val="18"/>
                <w:szCs w:val="22"/>
              </w:rPr>
              <w:br w:type="textWrapping"/>
            </w:r>
            <w:r>
              <w:rPr>
                <w:rFonts w:hint="default" w:ascii="黑体" w:hAnsi="黑体" w:eastAsia="黑体" w:cs="黑体"/>
                <w:sz w:val="18"/>
                <w:szCs w:val="22"/>
              </w:rPr>
              <w:t>（4）产品托管费：年化费率【0.01%】</w:t>
            </w:r>
            <w:r>
              <w:rPr>
                <w:rFonts w:hint="default" w:ascii="黑体" w:hAnsi="黑体" w:eastAsia="黑体" w:cs="黑体"/>
                <w:sz w:val="18"/>
                <w:szCs w:val="22"/>
              </w:rPr>
              <w:br w:type="textWrapping"/>
            </w:r>
            <w:r>
              <w:rPr>
                <w:rFonts w:hint="default" w:ascii="黑体" w:hAnsi="黑体" w:eastAsia="黑体" w:cs="黑体"/>
                <w:sz w:val="18"/>
                <w:szCs w:val="22"/>
              </w:rPr>
              <w:t>（5）超额业绩报酬：</w:t>
            </w:r>
            <w:r>
              <w:rPr>
                <w:rFonts w:hint="default" w:ascii="黑体" w:hAnsi="黑体" w:eastAsia="黑体" w:cs="黑体"/>
                <w:sz w:val="18"/>
                <w:szCs w:val="22"/>
              </w:rPr>
              <w:br w:type="textWrapping"/>
            </w:r>
            <w:r>
              <w:rPr>
                <w:rFonts w:hint="default"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pPr>
              <w:keepNext w:val="0"/>
              <w:keepLines w:val="0"/>
              <w:suppressLineNumbers w:val="0"/>
              <w:spacing w:before="0" w:beforeAutospacing="0" w:after="0" w:afterAutospacing="0" w:line="360" w:lineRule="auto"/>
              <w:ind w:left="0" w:right="0"/>
              <w:rPr>
                <w:rFonts w:hint="default"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rPr>
                <w:rFonts w:hint="default"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pPr>
              <w:keepNext w:val="0"/>
              <w:keepLines w:val="0"/>
              <w:suppressLineNumbers w:val="0"/>
              <w:spacing w:before="0" w:beforeAutospacing="0" w:after="0" w:afterAutospacing="0" w:line="360" w:lineRule="auto"/>
              <w:ind w:left="0" w:right="0"/>
              <w:jc w:val="left"/>
              <w:rPr>
                <w:rFonts w:hint="default"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79154666"/>
      <w:bookmarkStart w:id="71" w:name="_Toc176189755"/>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firstLine="361" w:firstLineChars="200"/>
              <w:rPr>
                <w:rFonts w:hint="default"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pPr>
              <w:keepNext w:val="0"/>
              <w:keepLines w:val="0"/>
              <w:suppressLineNumbers w:val="0"/>
              <w:spacing w:before="0" w:beforeAutospacing="0" w:after="0" w:afterAutospacing="0" w:line="360" w:lineRule="auto"/>
              <w:ind w:left="0" w:right="0" w:firstLine="361" w:firstLineChars="200"/>
              <w:jc w:val="center"/>
              <w:rPr>
                <w:rFonts w:hint="default"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
                <w:bCs/>
                <w:sz w:val="18"/>
                <w:szCs w:val="18"/>
              </w:rPr>
            </w:pPr>
            <w:r>
              <w:rPr>
                <w:rFonts w:hint="eastAsia" w:ascii="宋体" w:hAnsi="宋体" w:cs="Times New Roman"/>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keepNext w:val="0"/>
              <w:keepLines w:val="0"/>
              <w:suppressLineNumbers w:val="0"/>
              <w:spacing w:before="0" w:beforeAutospacing="0" w:after="0" w:afterAutospacing="0" w:line="360" w:lineRule="auto"/>
              <w:ind w:left="0" w:right="0"/>
              <w:jc w:val="left"/>
              <w:rPr>
                <w:rFonts w:hint="default"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hint="default" w:ascii="宋体" w:hAnsi="宋体" w:eastAsia="宋体" w:cs="Times New Roman"/>
                <w:bCs/>
                <w:kern w:val="0"/>
                <w:sz w:val="18"/>
                <w:szCs w:val="18"/>
              </w:rPr>
              <w:t>至募集期终止日</w:t>
            </w:r>
          </w:p>
        </w:tc>
        <w:tc>
          <w:tcPr>
            <w:tcW w:w="4267"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hint="eastAsia" w:ascii="宋体" w:hAnsi="宋体" w:cs="Times New Roman"/>
                <w:bCs/>
                <w:kern w:val="0"/>
                <w:sz w:val="18"/>
                <w:szCs w:val="18"/>
              </w:rPr>
              <w:t>产品成立日</w:t>
            </w:r>
          </w:p>
        </w:tc>
      </w:tr>
    </w:tbl>
    <w:p>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认购期/募集期内资金产生的利息（如有），不计入本金份额。</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90742321"/>
      <w:bookmarkStart w:id="78" w:name="_Toc15203"/>
      <w:bookmarkStart w:id="79" w:name="_Toc27226"/>
      <w:bookmarkStart w:id="80" w:name="_Toc29948"/>
      <w:bookmarkStart w:id="81" w:name="_Toc27189"/>
      <w:bookmarkStart w:id="82" w:name="_Toc90742688"/>
      <w:bookmarkStart w:id="83" w:name="_Toc22074"/>
      <w:bookmarkStart w:id="84" w:name="_Toc7151"/>
      <w:bookmarkStart w:id="85" w:name="_Toc6714"/>
      <w:bookmarkStart w:id="86" w:name="_Toc79154668"/>
      <w:bookmarkStart w:id="87" w:name="_Toc16265"/>
      <w:bookmarkStart w:id="88" w:name="_Toc3266"/>
      <w:bookmarkStart w:id="89" w:name="_Toc29784"/>
      <w:bookmarkStart w:id="90" w:name="_Toc90742390"/>
      <w:bookmarkStart w:id="91" w:name="_Toc74065741"/>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sz w:val="18"/>
          <w:szCs w:val="22"/>
        </w:rPr>
        <w:t>【（1）银行存款、债券逆回购、货币基金等货币市场工具及其它银行间和交易所资金融通工具；</w:t>
      </w:r>
      <w:r>
        <w:rPr>
          <w:rFonts w:ascii="宋体" w:hAnsi="宋体" w:eastAsia="宋体" w:cs="宋体"/>
          <w:sz w:val="18"/>
          <w:szCs w:val="22"/>
        </w:rPr>
        <w:br w:type="textWrapping"/>
      </w:r>
      <w:r>
        <w:rPr>
          <w:rFonts w:ascii="宋体" w:hAnsi="宋体" w:eastAsia="宋体" w:cs="宋体"/>
          <w:sz w:val="18"/>
          <w:szCs w:val="22"/>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r>
        <w:rPr>
          <w:rFonts w:ascii="宋体" w:hAnsi="宋体" w:eastAsia="宋体" w:cs="宋体"/>
          <w:sz w:val="18"/>
          <w:szCs w:val="22"/>
        </w:rPr>
        <w:br w:type="textWrapping"/>
      </w:r>
      <w:r>
        <w:rPr>
          <w:rFonts w:ascii="宋体" w:hAnsi="宋体" w:eastAsia="宋体" w:cs="宋体"/>
          <w:sz w:val="18"/>
          <w:szCs w:val="22"/>
        </w:rPr>
        <w:t>（3）以套期保值为目的的国债期货、利率互换、信用风险缓释工具、债券借贷。</w:t>
      </w:r>
      <w:r>
        <w:rPr>
          <w:rFonts w:ascii="宋体" w:hAnsi="宋体" w:eastAsia="宋体" w:cs="宋体"/>
          <w:sz w:val="18"/>
          <w:szCs w:val="22"/>
        </w:rPr>
        <w:br w:type="textWrapping"/>
      </w:r>
      <w:r>
        <w:rPr>
          <w:rFonts w:ascii="宋体" w:hAnsi="宋体" w:eastAsia="宋体" w:cs="宋体"/>
          <w:sz w:val="18"/>
          <w:szCs w:val="22"/>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r>
        <w:rPr>
          <w:rFonts w:ascii="宋体" w:hAnsi="宋体" w:eastAsia="宋体" w:cs="宋体"/>
          <w:sz w:val="18"/>
          <w:szCs w:val="22"/>
        </w:rPr>
        <w:br w:type="textWrapping"/>
      </w:r>
      <w:r>
        <w:rPr>
          <w:rFonts w:ascii="宋体" w:hAnsi="宋体" w:eastAsia="宋体" w:cs="宋体"/>
          <w:sz w:val="18"/>
          <w:szCs w:val="22"/>
        </w:rPr>
        <w:t>（5）其他风险不高于前述资产的资产。】</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ascii="宋体" w:hAnsi="宋体" w:eastAsia="宋体" w:cs="宋体"/>
          <w:sz w:val="18"/>
          <w:szCs w:val="22"/>
        </w:rPr>
        <w:t xml:space="preserve">【（1）本产品投资于债权类资产的比例不低于产品总资产的80%。 </w:t>
      </w:r>
      <w:r>
        <w:rPr>
          <w:rFonts w:ascii="宋体" w:hAnsi="宋体" w:eastAsia="宋体" w:cs="宋体"/>
          <w:sz w:val="18"/>
          <w:szCs w:val="22"/>
        </w:rPr>
        <w:br w:type="textWrapping"/>
      </w:r>
      <w:r>
        <w:rPr>
          <w:rFonts w:ascii="宋体" w:hAnsi="宋体" w:eastAsia="宋体" w:cs="宋体"/>
          <w:sz w:val="18"/>
          <w:szCs w:val="22"/>
        </w:rPr>
        <w:t>（2）国债期货、利率互换、信用风险缓释工具等衍生品占产品总资产比例低于5%。</w:t>
      </w:r>
    </w:p>
    <w:p>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val="0"/>
          <w:kern w:val="0"/>
          <w:sz w:val="18"/>
          <w:szCs w:val="18"/>
        </w:rPr>
        <w:t>注：本产品可能投资不存在活跃交易市场，并且需要采用估值技术确定公允价值的资产，且投资上述资产的比例达到理财产品净资产50%以上。</w:t>
      </w:r>
      <w:r>
        <w:rPr>
          <w:rFonts w:hint="eastAsia" w:ascii="宋体" w:hAnsi="宋体" w:eastAsia="宋体" w:cs="宋体"/>
          <w:bCs/>
          <w:kern w:val="0"/>
          <w:sz w:val="18"/>
          <w:szCs w:val="18"/>
        </w:rPr>
        <w:t>】</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pPr>
        <w:spacing w:line="360" w:lineRule="auto"/>
        <w:ind w:firstLine="360" w:firstLineChars="200"/>
        <w:rPr>
          <w:rFonts w:ascii="宋体" w:hAnsi="宋体" w:eastAsia="宋体" w:cs="宋体"/>
          <w:bCs/>
          <w:sz w:val="18"/>
          <w:szCs w:val="18"/>
        </w:rPr>
      </w:pPr>
      <w:r>
        <w:rPr>
          <w:rFonts w:ascii="宋体" w:hAnsi="宋体" w:eastAsia="宋体" w:cs="宋体"/>
          <w:sz w:val="18"/>
          <w:szCs w:val="22"/>
        </w:rPr>
        <w:t>（1）本产品投资单只证券或者单只公募证券投资基金的市值不得超过该理财产品净资产的10%。</w:t>
      </w:r>
      <w:r>
        <w:rPr>
          <w:rFonts w:ascii="宋体" w:hAnsi="宋体" w:eastAsia="宋体" w:cs="宋体"/>
          <w:sz w:val="18"/>
          <w:szCs w:val="22"/>
        </w:rPr>
        <w:br w:type="textWrapping"/>
      </w:r>
      <w:r>
        <w:rPr>
          <w:rFonts w:ascii="宋体" w:hAnsi="宋体" w:eastAsia="宋体" w:cs="宋体"/>
          <w:sz w:val="18"/>
          <w:szCs w:val="22"/>
        </w:rPr>
        <w:t>（2）本产品管理人全部公募理财产品持有单只证券或单只公募证券投资基金的市值，不得超过该证券市值或该公募证券投资基金市值的30%。</w:t>
      </w:r>
      <w:r>
        <w:rPr>
          <w:rFonts w:ascii="宋体" w:hAnsi="宋体" w:eastAsia="宋体" w:cs="宋体"/>
          <w:sz w:val="18"/>
          <w:szCs w:val="22"/>
        </w:rPr>
        <w:br w:type="textWrapping"/>
      </w:r>
      <w:r>
        <w:rPr>
          <w:rFonts w:ascii="宋体" w:hAnsi="宋体" w:eastAsia="宋体" w:cs="宋体"/>
          <w:sz w:val="18"/>
          <w:szCs w:val="22"/>
        </w:rPr>
        <w:t>（3）本产品管理人全部理财产品持有单一上市公司发行的股票，不得超过该上市公司可流通股票的30%。</w:t>
      </w:r>
      <w:r>
        <w:rPr>
          <w:rFonts w:ascii="宋体" w:hAnsi="宋体" w:eastAsia="宋体" w:cs="宋体"/>
          <w:sz w:val="18"/>
          <w:szCs w:val="22"/>
        </w:rPr>
        <w:br w:type="textWrapping"/>
      </w:r>
      <w:r>
        <w:rPr>
          <w:rFonts w:ascii="宋体" w:hAnsi="宋体" w:eastAsia="宋体" w:cs="宋体"/>
          <w:sz w:val="18"/>
          <w:szCs w:val="22"/>
        </w:rPr>
        <w:t>（4）本产品管理人全部开放式公募理财产品投资单一上市公司发行的股票不得超过该上市公司可流通股票的15%。</w:t>
      </w:r>
      <w:r>
        <w:rPr>
          <w:rFonts w:ascii="宋体" w:hAnsi="宋体" w:eastAsia="宋体" w:cs="宋体"/>
          <w:sz w:val="18"/>
          <w:szCs w:val="22"/>
        </w:rPr>
        <w:br w:type="textWrapping"/>
      </w:r>
      <w:r>
        <w:rPr>
          <w:rFonts w:ascii="宋体" w:hAnsi="宋体" w:eastAsia="宋体" w:cs="宋体"/>
          <w:sz w:val="18"/>
          <w:szCs w:val="22"/>
        </w:rPr>
        <w:t>（5）本产品因为流动性需要可开展存单质押、债券正回购等融资业务，本产品总资产不超过净资产的200%。</w:t>
      </w:r>
    </w:p>
    <w:p>
      <w:pPr>
        <w:spacing w:line="360" w:lineRule="auto"/>
        <w:ind w:firstLine="360" w:firstLineChars="200"/>
        <w:rPr>
          <w:rFonts w:hint="eastAsia" w:ascii="宋体" w:hAnsi="宋体" w:eastAsia="宋体" w:cs="宋体"/>
          <w:bCs/>
          <w:sz w:val="18"/>
          <w:szCs w:val="18"/>
          <w:lang w:val="en-US" w:eastAsia="zh-CN"/>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r>
        <w:rPr>
          <w:rFonts w:hint="eastAsia" w:ascii="宋体" w:hAnsi="宋体" w:eastAsia="宋体" w:cs="宋体"/>
          <w:bCs/>
          <w:sz w:val="18"/>
          <w:szCs w:val="18"/>
          <w:lang w:eastAsia="zh-CN"/>
        </w:rPr>
        <w:t>。</w:t>
      </w:r>
    </w:p>
    <w:p>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139991735"/>
      <w:bookmarkStart w:id="94" w:name="_Toc7848"/>
      <w:bookmarkStart w:id="95" w:name="_Toc18797"/>
      <w:bookmarkStart w:id="96" w:name="_Toc79154669"/>
      <w:bookmarkStart w:id="97" w:name="_Toc17912"/>
      <w:bookmarkStart w:id="98" w:name="_Toc1823"/>
      <w:bookmarkStart w:id="99" w:name="_Toc18526"/>
      <w:bookmarkStart w:id="100" w:name="_Toc4741"/>
      <w:bookmarkStart w:id="101" w:name="_Toc26986"/>
      <w:bookmarkStart w:id="102" w:name="_Toc14893"/>
      <w:bookmarkStart w:id="103" w:name="_Toc176189758"/>
      <w:bookmarkStart w:id="104" w:name="_Toc141703885"/>
      <w:bookmarkStart w:id="105" w:name="_Toc18329"/>
      <w:bookmarkStart w:id="106" w:name="_Toc21988"/>
      <w:bookmarkStart w:id="107" w:name="_Toc74065742"/>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176189759"/>
      <w:bookmarkStart w:id="110" w:name="_Toc79392606"/>
      <w:bookmarkStart w:id="111" w:name="_Toc98560352"/>
      <w:bookmarkStart w:id="112" w:name="_Toc17244"/>
      <w:bookmarkStart w:id="113" w:name="_Toc123102453"/>
      <w:bookmarkStart w:id="114" w:name="_Toc23261"/>
      <w:bookmarkStart w:id="115" w:name="_Toc23822"/>
      <w:bookmarkStart w:id="116" w:name="_Toc139991736"/>
      <w:bookmarkStart w:id="117" w:name="_Toc79154670"/>
      <w:bookmarkStart w:id="118" w:name="_Toc48649707"/>
      <w:bookmarkStart w:id="119" w:name="_Toc1270"/>
      <w:bookmarkStart w:id="120" w:name="_Toc123112234"/>
      <w:bookmarkStart w:id="121" w:name="_Toc4003"/>
      <w:bookmarkStart w:id="122" w:name="_Toc123051452"/>
      <w:bookmarkStart w:id="123" w:name="_Toc10463"/>
      <w:bookmarkStart w:id="124" w:name="_Toc74065743"/>
      <w:bookmarkStart w:id="125" w:name="_Toc141703886"/>
      <w:bookmarkStart w:id="126" w:name="_Toc610"/>
      <w:bookmarkStart w:id="127" w:name="_Toc1427"/>
      <w:bookmarkStart w:id="128" w:name="_Toc20733"/>
      <w:bookmarkStart w:id="129" w:name="_Toc7920"/>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pPr>
        <w:widowControl/>
        <w:spacing w:line="360" w:lineRule="auto"/>
        <w:jc w:val="left"/>
        <w:rPr>
          <w:rFonts w:ascii="宋体" w:hAnsi="宋体" w:cs="宋体"/>
          <w:kern w:val="0"/>
          <w:sz w:val="18"/>
          <w:szCs w:val="18"/>
        </w:rPr>
      </w:pPr>
      <w:r>
        <w:rPr>
          <w:rFonts w:ascii="Calibri" w:hAnsi="宋体" w:cs="宋体"/>
          <w:sz w:val="18"/>
          <w:szCs w:val="18"/>
        </w:rPr>
        <w:br w:type="page"/>
      </w:r>
    </w:p>
    <w:p>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98560353"/>
      <w:bookmarkStart w:id="132" w:name="_Toc29251"/>
      <w:bookmarkStart w:id="133" w:name="_Toc123112235"/>
      <w:bookmarkStart w:id="134" w:name="_Toc6405"/>
      <w:bookmarkStart w:id="135" w:name="_Toc3601"/>
      <w:bookmarkStart w:id="136" w:name="_Toc26207"/>
      <w:bookmarkStart w:id="137" w:name="_Toc15143"/>
      <w:bookmarkStart w:id="138" w:name="_Toc31644"/>
      <w:bookmarkStart w:id="139" w:name="_Toc74065744"/>
      <w:bookmarkStart w:id="140" w:name="_Toc139991737"/>
      <w:bookmarkStart w:id="141" w:name="_Toc141703887"/>
      <w:bookmarkStart w:id="142" w:name="_Toc12245"/>
      <w:bookmarkStart w:id="143" w:name="_Toc79154671"/>
      <w:bookmarkStart w:id="144" w:name="_Toc14835"/>
      <w:bookmarkStart w:id="145" w:name="_Toc31653"/>
      <w:bookmarkStart w:id="146" w:name="_Toc31235"/>
      <w:bookmarkStart w:id="147" w:name="_Toc123051453"/>
      <w:bookmarkStart w:id="148" w:name="_Toc176189760"/>
      <w:bookmarkStart w:id="149" w:name="_Toc123102454"/>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15118234"/>
      <w:bookmarkStart w:id="152" w:name="_Toc523711668"/>
      <w:bookmarkStart w:id="153" w:name="_Toc79392580"/>
      <w:bookmarkStart w:id="154" w:name="_Toc57530239"/>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25574"/>
      <w:bookmarkEnd w:id="155"/>
      <w:bookmarkStart w:id="156" w:name="_Hlt88897298"/>
      <w:bookmarkEnd w:id="156"/>
      <w:bookmarkStart w:id="157" w:name="_Toc9706"/>
      <w:bookmarkStart w:id="158" w:name="_Toc79154672"/>
      <w:bookmarkStart w:id="159" w:name="_Toc4559"/>
      <w:bookmarkStart w:id="160" w:name="_Toc3321"/>
      <w:bookmarkStart w:id="161" w:name="_Toc18567"/>
      <w:bookmarkStart w:id="162" w:name="_Toc7058"/>
      <w:bookmarkStart w:id="163" w:name="_Toc123112236"/>
      <w:bookmarkStart w:id="164" w:name="_Toc141703888"/>
      <w:bookmarkStart w:id="165" w:name="_Toc25783"/>
      <w:bookmarkStart w:id="166" w:name="_Toc98560354"/>
      <w:bookmarkStart w:id="167" w:name="_Toc123051454"/>
      <w:bookmarkStart w:id="168" w:name="_Toc6447"/>
      <w:bookmarkStart w:id="169" w:name="_Toc176189761"/>
      <w:bookmarkStart w:id="170" w:name="_Toc10650"/>
      <w:bookmarkStart w:id="171" w:name="_Toc139991738"/>
      <w:bookmarkStart w:id="172" w:name="_Toc3771"/>
      <w:bookmarkStart w:id="173" w:name="_Toc11030"/>
      <w:bookmarkStart w:id="174" w:name="_Toc123102455"/>
      <w:bookmarkStart w:id="175" w:name="_Toc79392583"/>
      <w:bookmarkStart w:id="176" w:name="_Toc7406574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pPr>
        <w:widowControl w:val="0"/>
        <w:autoSpaceDE w:val="0"/>
        <w:autoSpaceDN w:val="0"/>
        <w:adjustRightInd w:val="0"/>
        <w:spacing w:line="360" w:lineRule="auto"/>
        <w:ind w:firstLine="360" w:firstLineChars="200"/>
        <w:rPr>
          <w:rFonts w:hint="eastAsia" w:ascii="黑体" w:hAnsi="黑体" w:eastAsia="黑体" w:cs="黑体"/>
          <w:color w:val="000000"/>
          <w:kern w:val="0"/>
          <w:sz w:val="18"/>
          <w:szCs w:val="18"/>
          <w:lang w:val="en-US" w:eastAsia="zh-CN" w:bidi="ar-SA"/>
        </w:rPr>
      </w:pPr>
      <w:r>
        <w:rPr>
          <w:rFonts w:hint="eastAsia" w:ascii="黑体" w:hAnsi="黑体" w:eastAsia="黑体" w:cs="黑体"/>
          <w:color w:val="000000"/>
          <w:kern w:val="0"/>
          <w:sz w:val="18"/>
          <w:szCs w:val="18"/>
          <w:lang w:val="en-US" w:eastAsia="zh-CN" w:bidi="ar-SA"/>
        </w:rPr>
        <w:t>（2）理财产品的销售服务费</w:t>
      </w:r>
    </w:p>
    <w:p>
      <w:pPr>
        <w:widowControl w:val="0"/>
        <w:autoSpaceDE w:val="0"/>
        <w:autoSpaceDN w:val="0"/>
        <w:adjustRightInd w:val="0"/>
        <w:spacing w:line="360" w:lineRule="auto"/>
        <w:ind w:firstLine="360" w:firstLineChars="200"/>
        <w:rPr>
          <w:rFonts w:hint="eastAsia" w:ascii="黑体" w:hAnsi="黑体" w:eastAsia="黑体" w:cs="黑体"/>
          <w:b/>
          <w:bCs/>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pPr>
        <w:widowControl/>
        <w:spacing w:line="360" w:lineRule="auto"/>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74065746"/>
      <w:bookmarkStart w:id="180" w:name="_Toc31821"/>
      <w:bookmarkStart w:id="181" w:name="_Toc123102456"/>
      <w:bookmarkStart w:id="182" w:name="_Toc176189762"/>
      <w:bookmarkStart w:id="183" w:name="_Toc123051455"/>
      <w:bookmarkStart w:id="184" w:name="_Toc3080"/>
      <w:bookmarkStart w:id="185" w:name="_Toc18206"/>
      <w:bookmarkStart w:id="186" w:name="_Toc79154673"/>
      <w:bookmarkStart w:id="187" w:name="_Toc139991739"/>
      <w:bookmarkStart w:id="188" w:name="_Toc123112237"/>
      <w:bookmarkStart w:id="189" w:name="_Toc16164"/>
      <w:bookmarkStart w:id="190" w:name="_Toc725"/>
      <w:bookmarkStart w:id="191" w:name="_Toc10398"/>
      <w:bookmarkStart w:id="192" w:name="_Toc3572"/>
      <w:bookmarkStart w:id="193" w:name="_Toc21735"/>
      <w:bookmarkStart w:id="194" w:name="_Toc141703889"/>
      <w:bookmarkStart w:id="195" w:name="_Toc98560355"/>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pPr>
        <w:spacing w:line="360" w:lineRule="auto"/>
        <w:ind w:firstLine="361" w:firstLineChars="200"/>
        <w:rPr>
          <w:rFonts w:ascii="宋体" w:hAnsi="宋体" w:eastAsia="宋体" w:cs="宋体"/>
          <w:b/>
          <w:bCs/>
          <w:sz w:val="18"/>
          <w:szCs w:val="18"/>
        </w:rPr>
      </w:pPr>
      <w:bookmarkStart w:id="196" w:name="_Toc79392593"/>
      <w:bookmarkStart w:id="197" w:name="_Toc57530252"/>
      <w:bookmarkStart w:id="198" w:name="_Toc15118245"/>
      <w:r>
        <w:rPr>
          <w:rFonts w:hint="eastAsia" w:ascii="宋体" w:hAnsi="宋体" w:eastAsia="宋体" w:cs="宋体"/>
          <w:b/>
          <w:bCs/>
          <w:sz w:val="18"/>
          <w:szCs w:val="18"/>
        </w:rPr>
        <w:t>（一）理财产品的终止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5170"/>
      <w:bookmarkStart w:id="200" w:name="_Toc98560356"/>
      <w:bookmarkStart w:id="201" w:name="_Toc8791"/>
      <w:bookmarkStart w:id="202" w:name="_Toc79154674"/>
      <w:bookmarkStart w:id="203" w:name="_Toc123112238"/>
      <w:bookmarkStart w:id="204" w:name="_Toc48649708"/>
      <w:bookmarkStart w:id="205" w:name="_Toc176189763"/>
      <w:bookmarkStart w:id="206" w:name="_Toc32092"/>
      <w:bookmarkStart w:id="207" w:name="_Toc32584"/>
      <w:bookmarkStart w:id="208" w:name="_Toc21237"/>
      <w:bookmarkStart w:id="209" w:name="_Toc123051456"/>
      <w:bookmarkStart w:id="210" w:name="_Toc79392622"/>
      <w:bookmarkStart w:id="211" w:name="_Toc17198"/>
      <w:bookmarkStart w:id="212" w:name="_Toc17920"/>
      <w:bookmarkStart w:id="213" w:name="_Toc74065747"/>
      <w:bookmarkStart w:id="214" w:name="_Toc3329"/>
      <w:bookmarkStart w:id="215" w:name="_Toc141703890"/>
      <w:bookmarkStart w:id="216" w:name="_Toc139991740"/>
      <w:bookmarkStart w:id="217" w:name="_Toc739"/>
      <w:bookmarkStart w:id="218" w:name="_Toc123102457"/>
      <w:bookmarkStart w:id="219" w:name="_Toc29408"/>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pPr>
        <w:spacing w:line="360" w:lineRule="auto"/>
        <w:ind w:firstLine="360"/>
        <w:rPr>
          <w:rFonts w:ascii="宋体" w:hAnsi="宋体" w:cs="宋体"/>
          <w:bCs/>
          <w:sz w:val="18"/>
          <w:szCs w:val="18"/>
        </w:rPr>
      </w:pPr>
      <w:r>
        <w:rPr>
          <w:rFonts w:ascii="宋体" w:hAnsi="宋体" w:cs="宋体"/>
          <w:bCs/>
          <w:sz w:val="18"/>
          <w:szCs w:val="18"/>
        </w:rPr>
        <w:t>1.产品成立公告</w:t>
      </w:r>
    </w:p>
    <w:p>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pPr>
        <w:spacing w:line="360" w:lineRule="auto"/>
        <w:ind w:firstLine="360"/>
        <w:rPr>
          <w:rFonts w:ascii="宋体" w:hAnsi="宋体" w:cs="宋体"/>
          <w:bCs/>
          <w:sz w:val="18"/>
          <w:szCs w:val="18"/>
        </w:rPr>
      </w:pPr>
      <w:r>
        <w:rPr>
          <w:rFonts w:ascii="宋体" w:hAnsi="宋体" w:cs="宋体"/>
          <w:bCs/>
          <w:sz w:val="18"/>
          <w:szCs w:val="18"/>
        </w:rPr>
        <w:t>3.定期报告</w:t>
      </w:r>
    </w:p>
    <w:p>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rPr>
          <w:rFonts w:ascii="宋体" w:hAnsi="宋体" w:cs="宋体"/>
          <w:bCs/>
          <w:sz w:val="18"/>
          <w:szCs w:val="18"/>
        </w:rPr>
      </w:pPr>
      <w:r>
        <w:rPr>
          <w:rFonts w:ascii="宋体" w:hAnsi="宋体" w:cs="宋体"/>
          <w:bCs/>
          <w:sz w:val="18"/>
          <w:szCs w:val="18"/>
        </w:rPr>
        <w:t>4.到期公告</w:t>
      </w:r>
    </w:p>
    <w:p>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pPr>
        <w:spacing w:line="360" w:lineRule="auto"/>
        <w:ind w:firstLine="360"/>
        <w:rPr>
          <w:rFonts w:ascii="宋体" w:hAnsi="宋体" w:cs="宋体"/>
          <w:bCs/>
          <w:sz w:val="18"/>
          <w:szCs w:val="18"/>
        </w:rPr>
      </w:pPr>
      <w:r>
        <w:rPr>
          <w:rFonts w:ascii="宋体" w:hAnsi="宋体" w:cs="宋体"/>
          <w:bCs/>
          <w:sz w:val="18"/>
          <w:szCs w:val="18"/>
        </w:rPr>
        <w:t>5.估值日公告</w:t>
      </w:r>
    </w:p>
    <w:p>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pPr>
        <w:spacing w:line="360" w:lineRule="auto"/>
        <w:ind w:firstLine="360"/>
        <w:rPr>
          <w:rFonts w:ascii="宋体" w:hAnsi="宋体" w:cs="宋体"/>
          <w:bCs/>
          <w:sz w:val="18"/>
          <w:szCs w:val="18"/>
        </w:rPr>
      </w:pPr>
      <w:r>
        <w:rPr>
          <w:rFonts w:ascii="宋体" w:hAnsi="宋体" w:cs="宋体"/>
          <w:bCs/>
          <w:sz w:val="18"/>
          <w:szCs w:val="18"/>
        </w:rPr>
        <w:t>6.临时公告</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pPr>
        <w:widowControl/>
        <w:spacing w:line="360" w:lineRule="auto"/>
        <w:jc w:val="left"/>
        <w:rPr>
          <w:rFonts w:ascii="Calibri" w:hAnsi="Calibri" w:cs="宋体"/>
          <w:bCs/>
          <w:sz w:val="24"/>
          <w:szCs w:val="22"/>
        </w:rPr>
      </w:pPr>
      <w:r>
        <w:rPr>
          <w:rFonts w:ascii="Calibri" w:hAnsi="Calibri" w:cs="宋体"/>
          <w:bCs/>
          <w:sz w:val="24"/>
          <w:szCs w:val="22"/>
        </w:rPr>
        <w:br w:type="page"/>
      </w:r>
    </w:p>
    <w:p>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keepNext w:val="0"/>
              <w:keepLines w:val="0"/>
              <w:suppressLineNumbers w:val="0"/>
              <w:spacing w:before="0" w:beforeAutospacing="0" w:after="0" w:afterAutospacing="0" w:line="280" w:lineRule="atLeast"/>
              <w:ind w:left="0" w:right="0" w:firstLine="422"/>
              <w:jc w:val="center"/>
              <w:rPr>
                <w:rFonts w:hint="default" w:ascii="宋体" w:hAnsi="宋体" w:cs="Arial"/>
                <w:b/>
                <w:szCs w:val="21"/>
              </w:rPr>
            </w:pPr>
            <w:r>
              <w:rPr>
                <w:rFonts w:hint="eastAsia" w:ascii="宋体" w:hAnsi="宋体" w:cs="Arial"/>
                <w:b/>
                <w:szCs w:val="21"/>
              </w:rPr>
              <w:t>投资者确认栏</w:t>
            </w:r>
          </w:p>
          <w:p>
            <w:pPr>
              <w:keepNext w:val="0"/>
              <w:keepLines w:val="0"/>
              <w:suppressLineNumbers w:val="0"/>
              <w:spacing w:before="0" w:beforeAutospacing="0" w:after="0" w:afterAutospacing="0" w:line="360" w:lineRule="auto"/>
              <w:ind w:left="0" w:right="0" w:firstLine="361"/>
              <w:rPr>
                <w:rFonts w:hint="default" w:ascii="Calibri" w:hAnsi="Calibri" w:cs="宋体"/>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个人投资者适用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投资者（</w:t>
            </w:r>
            <w:r>
              <w:rPr>
                <w:rFonts w:hint="default" w:ascii="Calibri" w:hAnsi="Calibri" w:cs="宋体"/>
                <w:sz w:val="18"/>
                <w:szCs w:val="18"/>
              </w:rPr>
              <w:t>签名/</w:t>
            </w:r>
            <w:r>
              <w:rPr>
                <w:rFonts w:hint="eastAsia" w:ascii="Calibri" w:hAnsi="Calibri" w:cs="宋体"/>
                <w:sz w:val="18"/>
                <w:szCs w:val="18"/>
              </w:rPr>
              <w:t>线上确认）：</w:t>
            </w:r>
          </w:p>
          <w:p>
            <w:pPr>
              <w:keepNext w:val="0"/>
              <w:keepLines w:val="0"/>
              <w:suppressLineNumbers w:val="0"/>
              <w:spacing w:before="0" w:beforeAutospacing="0" w:after="0" w:afterAutospacing="0" w:line="360" w:lineRule="auto"/>
              <w:ind w:left="0" w:right="0" w:firstLine="361"/>
              <w:jc w:val="left"/>
              <w:rPr>
                <w:rFonts w:hint="default" w:ascii="Calibri" w:hAnsi="Calibri" w:cs="宋体"/>
                <w:b/>
                <w:sz w:val="18"/>
                <w:szCs w:val="18"/>
              </w:rPr>
            </w:pP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keepNext w:val="0"/>
              <w:keepLines w:val="0"/>
              <w:suppressLineNumbers w:val="0"/>
              <w:spacing w:before="0" w:beforeAutospacing="0" w:after="0" w:afterAutospacing="0" w:line="360" w:lineRule="auto"/>
              <w:ind w:left="0" w:right="0"/>
              <w:jc w:val="left"/>
              <w:rPr>
                <w:rFonts w:hint="default" w:ascii="Calibri" w:hAnsi="Calibri" w:cs="宋体"/>
                <w:b/>
                <w:sz w:val="18"/>
                <w:szCs w:val="18"/>
              </w:rPr>
            </w:pPr>
            <w:r>
              <w:rPr>
                <w:rFonts w:hint="eastAsia" w:ascii="Calibri" w:hAnsi="Calibri" w:cs="宋体"/>
                <w:b/>
                <w:sz w:val="18"/>
                <w:szCs w:val="18"/>
              </w:rPr>
              <w:t>机构投资者适用</w:t>
            </w:r>
          </w:p>
        </w:tc>
        <w:tc>
          <w:tcPr>
            <w:tcW w:w="7371" w:type="dxa"/>
          </w:tcPr>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tabs>
                <w:tab w:val="left" w:pos="5609"/>
              </w:tabs>
              <w:spacing w:before="0" w:beforeAutospacing="0" w:after="0" w:afterAutospacing="0" w:line="360" w:lineRule="auto"/>
              <w:ind w:left="0" w:right="0" w:firstLine="360"/>
              <w:jc w:val="left"/>
              <w:rPr>
                <w:rFonts w:hint="default" w:ascii="Calibri" w:hAnsi="Calibri" w:cs="Arial"/>
                <w:sz w:val="18"/>
                <w:szCs w:val="18"/>
              </w:rPr>
            </w:pPr>
            <w:r>
              <w:rPr>
                <w:rFonts w:hint="default" w:ascii="Calibri" w:hAnsi="Calibri" w:cs="Arial"/>
                <w:sz w:val="18"/>
                <w:szCs w:val="18"/>
              </w:rPr>
              <w:tab/>
            </w:r>
          </w:p>
          <w:p>
            <w:pPr>
              <w:keepNext w:val="0"/>
              <w:keepLines w:val="0"/>
              <w:suppressLineNumbers w:val="0"/>
              <w:spacing w:before="0" w:beforeAutospacing="0" w:after="0" w:afterAutospacing="0" w:line="360" w:lineRule="auto"/>
              <w:ind w:left="0" w:right="0" w:firstLine="360"/>
              <w:jc w:val="left"/>
              <w:rPr>
                <w:rFonts w:hint="default" w:ascii="Calibri" w:hAnsi="Calibri" w:cs="Arial"/>
                <w:sz w:val="18"/>
                <w:szCs w:val="18"/>
              </w:rPr>
            </w:pPr>
            <w:r>
              <w:rPr>
                <w:rFonts w:hint="eastAsia" w:ascii="Calibri" w:hAnsi="Calibri" w:cs="Arial"/>
                <w:sz w:val="18"/>
                <w:szCs w:val="18"/>
              </w:rPr>
              <w:t>投资者法定代表人或授权代理人（签名</w:t>
            </w:r>
            <w:r>
              <w:rPr>
                <w:rFonts w:hint="default" w:ascii="Calibri" w:hAnsi="Calibri" w:cs="Arial"/>
                <w:sz w:val="18"/>
                <w:szCs w:val="18"/>
              </w:rPr>
              <w:t>/</w:t>
            </w:r>
            <w:r>
              <w:rPr>
                <w:rFonts w:hint="eastAsia" w:ascii="Calibri" w:hAnsi="Calibri" w:cs="Arial"/>
                <w:sz w:val="18"/>
                <w:szCs w:val="18"/>
              </w:rPr>
              <w:t>盖章</w:t>
            </w:r>
            <w:r>
              <w:rPr>
                <w:rFonts w:hint="default" w:ascii="Calibri" w:hAnsi="Calibri" w:cs="Arial"/>
                <w:sz w:val="18"/>
                <w:szCs w:val="18"/>
              </w:rPr>
              <w:t>/</w:t>
            </w:r>
            <w:r>
              <w:rPr>
                <w:rFonts w:hint="eastAsia" w:ascii="Calibri" w:hAnsi="Calibri" w:cs="Arial"/>
                <w:sz w:val="18"/>
                <w:szCs w:val="18"/>
              </w:rPr>
              <w:t>线上确认）：</w:t>
            </w:r>
          </w:p>
          <w:p>
            <w:pPr>
              <w:keepNext w:val="0"/>
              <w:keepLines w:val="0"/>
              <w:suppressLineNumbers w:val="0"/>
              <w:spacing w:before="0" w:beforeAutospacing="0" w:after="0" w:afterAutospacing="0" w:line="360" w:lineRule="auto"/>
              <w:ind w:left="0" w:right="0" w:firstLine="360"/>
              <w:jc w:val="left"/>
              <w:rPr>
                <w:rFonts w:hint="default" w:ascii="Calibri" w:hAnsi="Calibri" w:cs="宋体"/>
                <w:sz w:val="18"/>
                <w:szCs w:val="18"/>
              </w:rPr>
            </w:pPr>
            <w:r>
              <w:rPr>
                <w:rFonts w:hint="eastAsia" w:ascii="Calibri" w:hAnsi="Calibri" w:cs="宋体"/>
                <w:sz w:val="18"/>
                <w:szCs w:val="18"/>
              </w:rPr>
              <w:t>日期：</w:t>
            </w:r>
          </w:p>
        </w:tc>
      </w:tr>
    </w:tbl>
    <w:p>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p>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兴银理财【稳利恒盈封闭式固收类】理财产品</w:t>
      </w:r>
    </w:p>
    <w:p>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pPr>
              <w:spacing w:line="320" w:lineRule="exact"/>
              <w:jc w:val="left"/>
              <w:rPr>
                <w:rFonts w:ascii="宋体" w:hAnsi="宋体" w:cs="宋体"/>
                <w:bCs/>
                <w:sz w:val="18"/>
                <w:szCs w:val="18"/>
              </w:rPr>
            </w:pPr>
          </w:p>
        </w:tc>
        <w:tc>
          <w:tcPr>
            <w:tcW w:w="1234"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shd w:val="solid" w:color="FFFFFF" w:fill="FFFFFF"/>
            <w:vAlign w:val="center"/>
          </w:tcPr>
          <w:p>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402" w:hRule="atLeast"/>
          <w:jc w:val="center"/>
        </w:trPr>
        <w:tc>
          <w:tcPr>
            <w:tcW w:w="817" w:type="dxa"/>
            <w:vMerge w:val="continue"/>
            <w:shd w:val="solid" w:color="FFFFFF" w:fill="FFFFFF"/>
            <w:vAlign w:val="center"/>
          </w:tcPr>
          <w:p>
            <w:pPr>
              <w:spacing w:line="320" w:lineRule="exact"/>
              <w:jc w:val="left"/>
              <w:rPr>
                <w:rFonts w:ascii="宋体" w:hAnsi="宋体" w:cs="宋体"/>
                <w:b/>
                <w:bCs/>
                <w:sz w:val="18"/>
                <w:szCs w:val="18"/>
              </w:rPr>
            </w:pPr>
          </w:p>
        </w:tc>
        <w:tc>
          <w:tcPr>
            <w:tcW w:w="1720" w:type="dxa"/>
            <w:gridSpan w:val="2"/>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w:t>
            </w:r>
            <w:r>
              <w:rPr>
                <w:rFonts w:ascii="宋体" w:hAnsi="宋体"/>
                <w:sz w:val="18"/>
                <w:szCs w:val="18"/>
                <w:highlight w:val="yellow"/>
              </w:rPr>
              <w:t>沧州银行股份有限公司</w:t>
            </w:r>
            <w:r>
              <w:rPr>
                <w:rFonts w:hint="eastAsia" w:ascii="宋体" w:hAnsi="宋体" w:cs="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ascii="宋体" w:hAnsi="宋体"/>
                <w:sz w:val="18"/>
                <w:szCs w:val="18"/>
                <w:highlight w:val="yellow"/>
              </w:rPr>
              <w:t>沧州银行</w:t>
            </w:r>
            <w:r>
              <w:rPr>
                <w:rFonts w:hint="eastAsia" w:cs="宋体" w:asciiTheme="majorEastAsia" w:hAnsiTheme="majorEastAsia" w:eastAsiaTheme="majorEastAsia"/>
                <w:bCs/>
                <w:color w:val="000000"/>
                <w:sz w:val="18"/>
                <w:szCs w:val="18"/>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cs="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bCs/>
          <w:color w:val="000000"/>
          <w:sz w:val="28"/>
          <w:highlight w:val="yellow"/>
        </w:rPr>
        <w:t>R</w:t>
      </w:r>
      <w:r>
        <w:rPr>
          <w:rFonts w:ascii="宋体" w:hAnsi="宋体"/>
          <w:bCs/>
          <w:color w:val="000000"/>
          <w:sz w:val="28"/>
          <w:highlight w:val="yellow"/>
        </w:rPr>
        <w:t>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（1）甲方为非机构投资者时，甲方购买乙方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（2）其他类型投资者的风险承受能力评估按销售机构的以下销售政策执行：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参照本条第（1）款非机构投资者要求执行；</w:t>
      </w:r>
    </w:p>
    <w:p>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b/>
          <w:kern w:val="0"/>
          <w:sz w:val="18"/>
          <w:szCs w:val="18"/>
        </w:rPr>
      </w:pP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pPr>
              <w:spacing w:line="360" w:lineRule="auto"/>
              <w:rPr>
                <w:rFonts w:ascii="Calibri" w:hAnsi="Calibri" w:cs="宋体"/>
                <w:b/>
                <w:kern w:val="0"/>
                <w:sz w:val="18"/>
                <w:szCs w:val="18"/>
              </w:rPr>
            </w:pPr>
          </w:p>
          <w:p>
            <w:pPr>
              <w:spacing w:line="360" w:lineRule="auto"/>
              <w:rPr>
                <w:rFonts w:ascii="Calibri" w:hAnsi="Calibri" w:cs="宋体"/>
                <w:b/>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pPr>
              <w:spacing w:line="360" w:lineRule="auto"/>
              <w:rPr>
                <w:rFonts w:ascii="Calibri" w:hAnsi="Calibri" w:cs="宋体"/>
                <w:b/>
                <w:kern w:val="0"/>
                <w:sz w:val="18"/>
                <w:szCs w:val="18"/>
              </w:rPr>
            </w:pPr>
          </w:p>
        </w:tc>
        <w:tc>
          <w:tcPr>
            <w:tcW w:w="851" w:type="dxa"/>
          </w:tcPr>
          <w:p>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pPr>
              <w:spacing w:line="360" w:lineRule="auto"/>
              <w:rPr>
                <w:rFonts w:ascii="Calibri" w:hAnsi="Calibri" w:cs="Arial"/>
                <w:kern w:val="0"/>
                <w:sz w:val="18"/>
                <w:szCs w:val="18"/>
              </w:rPr>
            </w:pPr>
          </w:p>
          <w:p>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pPr>
              <w:spacing w:line="360" w:lineRule="auto"/>
              <w:rPr>
                <w:rFonts w:ascii="Calibri" w:hAnsi="Calibri" w:cs="宋体"/>
                <w:kern w:val="0"/>
                <w:sz w:val="18"/>
                <w:szCs w:val="18"/>
              </w:rPr>
            </w:pPr>
            <w:r>
              <w:rPr>
                <w:rFonts w:hint="eastAsia" w:ascii="Calibri" w:hAnsi="Calibri" w:cs="宋体"/>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pPr>
              <w:spacing w:line="360" w:lineRule="auto"/>
              <w:rPr>
                <w:rFonts w:ascii="Calibri" w:hAnsi="Calibri" w:cs="宋体"/>
                <w:b/>
                <w:kern w:val="0"/>
                <w:sz w:val="18"/>
                <w:szCs w:val="18"/>
              </w:rPr>
            </w:pPr>
          </w:p>
          <w:p>
            <w:pPr>
              <w:spacing w:line="360" w:lineRule="auto"/>
              <w:rPr>
                <w:rFonts w:ascii="Calibri" w:hAnsi="Calibri" w:cs="宋体"/>
                <w:kern w:val="0"/>
                <w:sz w:val="18"/>
                <w:szCs w:val="18"/>
              </w:rPr>
            </w:pPr>
            <w:r>
              <w:rPr>
                <w:rFonts w:hint="eastAsia" w:ascii="Calibri" w:hAnsi="Calibri" w:cs="宋体"/>
                <w:kern w:val="0"/>
                <w:sz w:val="18"/>
                <w:szCs w:val="18"/>
              </w:rPr>
              <w:t>日期：</w:t>
            </w:r>
          </w:p>
        </w:tc>
      </w:tr>
    </w:tbl>
    <w:p>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pPr>
        <w:rPr>
          <w:rFonts w:ascii="Calibri" w:hAnsi="Calibri" w:cs="宋体"/>
          <w:szCs w:val="22"/>
        </w:rPr>
      </w:pPr>
    </w:p>
    <w:p>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兴银理财【稳利恒盈封闭式固收类】</w:t>
      </w:r>
      <w:r>
        <w:rPr>
          <w:rFonts w:ascii="黑体" w:hAnsi="黑体" w:eastAsia="黑体" w:cs="宋体"/>
          <w:b/>
          <w:bCs/>
          <w:sz w:val="28"/>
          <w:szCs w:val="28"/>
        </w:rPr>
        <w:t>理财产品</w:t>
      </w:r>
    </w:p>
    <w:p>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【兴银理财稳利恒盈封闭式2026年803期固收类理财产品</w:t>
      </w:r>
      <w:r>
        <w:rPr>
          <w:rFonts w:hint="eastAsia" w:cs="宋体" w:asciiTheme="majorEastAsia" w:hAnsiTheme="majorEastAsia" w:eastAsiaTheme="majorEastAsia"/>
          <w:bCs/>
          <w:kern w:val="0"/>
          <w:sz w:val="18"/>
          <w:szCs w:val="18"/>
        </w:rPr>
        <w:t>】</w:t>
      </w:r>
    </w:p>
    <w:p>
      <w:pPr>
        <w:ind w:firstLine="448" w:firstLineChars="249"/>
        <w:rPr>
          <w:rFonts w:hint="eastAsia" w:ascii="宋体" w:hAnsi="宋体" w:cs="仿宋_GB2312"/>
          <w:kern w:val="0"/>
          <w:sz w:val="18"/>
          <w:szCs w:val="18"/>
        </w:rPr>
      </w:pPr>
      <w:r>
        <w:rPr>
          <w:rFonts w:ascii="宋体" w:hAnsi="宋体" w:eastAsia="宋体" w:cs="宋体"/>
          <w:sz w:val="18"/>
          <w:szCs w:val="22"/>
        </w:rPr>
        <w:t>销售名称：【稳利恒盈封闭式2026年803期（兴嘉选）A】 (适用【A】类份额)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【稳利恒盈封闭式2026年803期（兴嘉选）B】 (适用【B】类份额)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【稳利恒盈封闭式2026年803期（兴嘉选）C】 (适用【C】类份额)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【稳利恒盈封闭式2026年803期（兴嘉选）D】 (适用【D】类份额)</w:t>
      </w:r>
      <w:r>
        <w:rPr>
          <w:rFonts w:ascii="宋体" w:hAnsi="宋体" w:eastAsia="宋体" w:cs="宋体"/>
          <w:sz w:val="18"/>
          <w:szCs w:val="22"/>
        </w:rPr>
        <w:br w:type="textWrapping"/>
      </w:r>
      <w:r>
        <w:rPr>
          <w:rFonts w:ascii="宋体" w:hAnsi="宋体" w:eastAsia="宋体" w:cs="宋体"/>
          <w:sz w:val="18"/>
          <w:szCs w:val="22"/>
        </w:rPr>
        <w:t xml:space="preserve">     【稳利恒盈封闭式2026年803期（兴嘉选）E】 (适用【E】类份额)</w:t>
      </w:r>
    </w:p>
    <w:p>
      <w:pPr>
        <w:ind w:firstLine="448" w:firstLineChars="249"/>
        <w:rPr>
          <w:rFonts w:ascii="宋体" w:hAnsi="宋体" w:cs="仿宋_GB2312"/>
          <w:kern w:val="0"/>
          <w:sz w:val="18"/>
          <w:szCs w:val="18"/>
        </w:rPr>
      </w:pPr>
    </w:p>
    <w:p>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Z7002026000240</w:t>
      </w:r>
      <w:r>
        <w:rPr>
          <w:rFonts w:ascii="宋体" w:hAnsi="宋体" w:cs="仿宋_GB2312"/>
          <w:kern w:val="0"/>
          <w:sz w:val="18"/>
          <w:szCs w:val="18"/>
        </w:rPr>
        <w:t>】</w:t>
      </w:r>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■有固定期限:【384天】</w:t>
      </w:r>
    </w:p>
    <w:p>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cs="宋体"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■个人投资者：【□ C1、■C2、■ C3、■ C4、■ C5、■ C6】</w:t>
      </w:r>
    </w:p>
    <w:p>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cs="宋体" w:asciiTheme="majorEastAsia" w:hAnsiTheme="majorEastAsia" w:eastAsiaTheme="majorEastAsia"/>
          <w:bCs/>
          <w:color w:val="000000" w:themeColor="text1"/>
          <w:sz w:val="18"/>
          <w:szCs w:val="18"/>
          <w14:textFill>
            <w14:solidFill>
              <w14:schemeClr w14:val="tx1"/>
            </w14:solidFill>
          </w14:textFill>
        </w:rPr>
        <w:t>■机构投资者：【□ C1、■C2、■ C3、■ C4、■ C5】</w:t>
      </w:r>
    </w:p>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pPr>
        <w:ind w:firstLine="360" w:firstLineChars="200"/>
        <w:rPr>
          <w:rFonts w:hint="eastAsia" w:ascii="宋体" w:hAnsi="宋体" w:cs="宋体"/>
          <w:sz w:val="18"/>
          <w:szCs w:val="18"/>
        </w:rPr>
      </w:pPr>
      <w:r>
        <w:rPr>
          <w:rFonts w:hint="eastAsia" w:ascii="宋体" w:hAnsi="宋体" w:cs="宋体"/>
          <w:sz w:val="18"/>
          <w:szCs w:val="18"/>
        </w:rPr>
        <w:t>【1.拟投资市场和资产的风险：</w:t>
      </w:r>
    </w:p>
    <w:p>
      <w:pPr>
        <w:ind w:firstLine="360" w:firstLineChars="200"/>
        <w:rPr>
          <w:rFonts w:hint="eastAsia" w:ascii="宋体" w:hAnsi="宋体" w:cs="宋体"/>
          <w:sz w:val="18"/>
          <w:szCs w:val="18"/>
        </w:rPr>
      </w:pPr>
      <w:r>
        <w:rPr>
          <w:rFonts w:hint="eastAsia" w:ascii="宋体" w:hAnsi="宋体" w:cs="宋体"/>
          <w:sz w:val="18"/>
          <w:szCs w:val="18"/>
        </w:rPr>
        <w:t>（1）投资债权类资产的风险</w:t>
      </w:r>
    </w:p>
    <w:p>
      <w:pPr>
        <w:ind w:firstLine="360" w:firstLineChars="200"/>
        <w:rPr>
          <w:rFonts w:hint="eastAsia" w:ascii="宋体" w:hAnsi="宋体" w:cs="宋体"/>
          <w:sz w:val="18"/>
          <w:szCs w:val="18"/>
        </w:rPr>
      </w:pPr>
      <w:r>
        <w:rPr>
          <w:rFonts w:hint="eastAsia" w:ascii="宋体" w:hAnsi="宋体" w:cs="宋体"/>
          <w:sz w:val="18"/>
          <w:szCs w:val="18"/>
        </w:rPr>
        <w:t>1）投资标准化债权类资产的风险</w:t>
      </w:r>
    </w:p>
    <w:p>
      <w:pPr>
        <w:ind w:firstLine="360" w:firstLineChars="200"/>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ind w:firstLine="360" w:firstLineChars="200"/>
        <w:rPr>
          <w:rFonts w:hint="eastAsia" w:ascii="宋体" w:hAnsi="宋体" w:cs="宋体"/>
          <w:sz w:val="18"/>
          <w:szCs w:val="18"/>
        </w:rPr>
      </w:pPr>
      <w:r>
        <w:rPr>
          <w:rFonts w:hint="eastAsia" w:ascii="宋体" w:hAnsi="宋体" w:cs="宋体"/>
          <w:sz w:val="18"/>
          <w:szCs w:val="18"/>
        </w:rPr>
        <w:t xml:space="preserve">（2）投资商品和金融衍生品类资产的风险 </w:t>
      </w:r>
    </w:p>
    <w:p>
      <w:pPr>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五、【非机构投资者适用】</w:t>
      </w:r>
      <w:r>
        <w:rPr>
          <w:rFonts w:hint="eastAsia" w:ascii="黑体" w:hAnsi="黑体" w:eastAsia="黑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cs="宋体"/>
          <w:sz w:val="18"/>
          <w:szCs w:val="18"/>
        </w:rPr>
      </w:pPr>
    </w:p>
    <w:p>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pPr>
        <w:wordWrap w:val="0"/>
        <w:ind w:left="540"/>
        <w:jc w:val="right"/>
        <w:rPr>
          <w:rFonts w:ascii="宋体" w:hAnsi="宋体" w:cs="宋体"/>
          <w:sz w:val="18"/>
          <w:szCs w:val="18"/>
        </w:rPr>
      </w:pPr>
      <w:r>
        <w:rPr>
          <w:rFonts w:hint="eastAsia" w:ascii="宋体" w:hAnsi="宋体" w:cs="宋体"/>
          <w:sz w:val="18"/>
          <w:szCs w:val="18"/>
        </w:rPr>
        <w:t>销售机构（【</w:t>
      </w:r>
      <w:r>
        <w:rPr>
          <w:rFonts w:ascii="宋体" w:hAnsi="宋体"/>
          <w:sz w:val="18"/>
          <w:szCs w:val="18"/>
          <w:highlight w:val="yellow"/>
        </w:rPr>
        <w:t>沧州银行股份有限公司</w:t>
      </w:r>
      <w:r>
        <w:rPr>
          <w:rFonts w:ascii="宋体" w:hAnsi="宋体" w:cs="宋体"/>
          <w:sz w:val="18"/>
          <w:szCs w:val="18"/>
        </w:rPr>
        <w:t xml:space="preserve"> </w:t>
      </w:r>
      <w:r>
        <w:rPr>
          <w:rFonts w:hint="eastAsia" w:ascii="宋体" w:hAnsi="宋体" w:cs="宋体"/>
          <w:sz w:val="18"/>
          <w:szCs w:val="18"/>
        </w:rPr>
        <w:t>】）</w:t>
      </w:r>
    </w:p>
    <w:p>
      <w:pPr>
        <w:widowControl/>
        <w:jc w:val="left"/>
        <w:rPr>
          <w:rFonts w:ascii="宋体" w:hAnsi="宋体" w:cs="宋体"/>
          <w:sz w:val="18"/>
          <w:szCs w:val="18"/>
        </w:rPr>
      </w:pPr>
      <w:r>
        <w:rPr>
          <w:rFonts w:ascii="宋体" w:hAnsi="宋体" w:cs="宋体"/>
          <w:sz w:val="18"/>
          <w:szCs w:val="18"/>
        </w:rPr>
        <w:br w:type="page"/>
      </w:r>
    </w:p>
    <w:p>
      <w:pPr>
        <w:ind w:left="540"/>
        <w:jc w:val="right"/>
        <w:rPr>
          <w:rFonts w:ascii="宋体" w:hAnsi="宋体" w:cs="宋体"/>
          <w:sz w:val="18"/>
          <w:szCs w:val="18"/>
        </w:rPr>
      </w:pPr>
    </w:p>
    <w:p>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pPr>
              <w:spacing w:line="280" w:lineRule="atLeast"/>
              <w:jc w:val="left"/>
              <w:rPr>
                <w:rFonts w:ascii="Calibri" w:hAnsi="Calibri" w:cs="宋体"/>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pPr>
              <w:spacing w:line="280" w:lineRule="atLeast"/>
              <w:jc w:val="right"/>
              <w:rPr>
                <w:rFonts w:ascii="宋体" w:hAnsi="宋体" w:cs="宋体"/>
                <w:kern w:val="0"/>
                <w:sz w:val="18"/>
                <w:szCs w:val="18"/>
              </w:rPr>
            </w:pPr>
          </w:p>
        </w:tc>
      </w:tr>
    </w:tbl>
    <w:p>
      <w:pPr>
        <w:autoSpaceDE w:val="0"/>
        <w:autoSpaceDN w:val="0"/>
        <w:adjustRightInd w:val="0"/>
        <w:spacing w:line="360" w:lineRule="auto"/>
        <w:ind w:firstLine="420"/>
        <w:jc w:val="left"/>
        <w:rPr>
          <w:rFonts w:ascii="宋体" w:hAnsi="宋体" w:cs="宋体"/>
          <w:sz w:val="24"/>
          <w:szCs w:val="22"/>
        </w:rPr>
      </w:pPr>
    </w:p>
    <w:p>
      <w:pPr>
        <w:rPr>
          <w:rFonts w:ascii="宋体" w:hAnsi="宋体" w:cs="Arial"/>
          <w:sz w:val="24"/>
          <w:szCs w:val="22"/>
        </w:rPr>
      </w:pPr>
    </w:p>
    <w:p>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rFonts w:ascii="Calibri" w:hAnsi="Calibri" w:cs="宋体"/>
                <w:kern w:val="0"/>
                <w:sz w:val="20"/>
                <w:szCs w:val="20"/>
              </w:rPr>
            </w:pPr>
          </w:p>
          <w:p>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pPr>
        <w:widowControl/>
        <w:jc w:val="left"/>
        <w:rPr>
          <w:rFonts w:hint="eastAsia" w:ascii="宋体" w:hAnsi="宋体" w:cs="宋体"/>
          <w:b/>
          <w:sz w:val="28"/>
          <w:szCs w:val="28"/>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widowControl/>
        <w:jc w:val="left"/>
        <w:rPr>
          <w:rFonts w:ascii="宋体" w:hAnsi="宋体"/>
          <w:b/>
          <w:sz w:val="28"/>
          <w:szCs w:val="28"/>
        </w:rPr>
      </w:pPr>
    </w:p>
    <w:p>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jc w:val="center"/>
        <w:rPr>
          <w:rFonts w:hAnsi="宋体"/>
          <w:b/>
          <w:color w:val="auto"/>
          <w:sz w:val="28"/>
          <w:szCs w:val="28"/>
        </w:rPr>
      </w:pPr>
      <w:r>
        <w:rPr>
          <w:rFonts w:hint="eastAsia" w:hAnsi="宋体"/>
          <w:b/>
          <w:color w:val="auto"/>
          <w:sz w:val="28"/>
          <w:szCs w:val="28"/>
        </w:rPr>
        <w:t>（适用于个人投资者）</w:t>
      </w:r>
    </w:p>
    <w:p>
      <w:pPr>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ascii="宋体" w:hAnsi="宋体"/>
          <w:sz w:val="18"/>
          <w:szCs w:val="18"/>
          <w:highlight w:val="yellow"/>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ind w:firstLine="360" w:firstLineChars="200"/>
        <w:rPr>
          <w:rFonts w:ascii="宋体" w:hAnsi="宋体"/>
          <w:sz w:val="18"/>
          <w:szCs w:val="18"/>
        </w:rPr>
      </w:pPr>
    </w:p>
    <w:p>
      <w:pPr>
        <w:ind w:firstLine="361" w:firstLineChars="200"/>
        <w:rPr>
          <w:rFonts w:ascii="宋体" w:hAnsi="宋体"/>
          <w:b/>
          <w:sz w:val="18"/>
          <w:szCs w:val="18"/>
        </w:rPr>
      </w:pPr>
      <w:r>
        <w:rPr>
          <w:rFonts w:hint="eastAsia" w:ascii="宋体" w:hAnsi="宋体"/>
          <w:b/>
          <w:sz w:val="18"/>
          <w:szCs w:val="18"/>
        </w:rPr>
        <w:t>一、理财产品购买流程</w:t>
      </w:r>
    </w:p>
    <w:p>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ind w:firstLine="361" w:firstLineChars="200"/>
        <w:rPr>
          <w:rFonts w:ascii="宋体" w:hAnsi="宋体"/>
          <w:b/>
          <w:sz w:val="18"/>
          <w:szCs w:val="18"/>
        </w:rPr>
      </w:pPr>
      <w:r>
        <w:rPr>
          <w:rFonts w:hint="eastAsia" w:ascii="宋体" w:hAnsi="宋体"/>
          <w:b/>
          <w:sz w:val="18"/>
          <w:szCs w:val="18"/>
        </w:rPr>
        <w:t>二、投资者风险承受能力与产品风险评级</w:t>
      </w:r>
    </w:p>
    <w:p>
      <w:pPr>
        <w:ind w:firstLine="361" w:firstLineChars="200"/>
        <w:rPr>
          <w:rFonts w:ascii="宋体" w:hAnsi="宋体"/>
          <w:b/>
          <w:sz w:val="18"/>
          <w:szCs w:val="18"/>
        </w:rPr>
      </w:pPr>
      <w:r>
        <w:rPr>
          <w:rFonts w:hint="eastAsia" w:ascii="宋体" w:hAnsi="宋体"/>
          <w:b/>
          <w:sz w:val="18"/>
          <w:szCs w:val="18"/>
        </w:rPr>
        <w:t>（一）投资者风险承受能力评估说明</w:t>
      </w:r>
    </w:p>
    <w:p>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 C1、□C2、□ C3、□ C4、□ C5、□ C6】</w:t>
      </w:r>
      <w:r>
        <w:rPr>
          <w:rFonts w:ascii="宋体" w:hAnsi="宋体"/>
          <w:sz w:val="18"/>
          <w:szCs w:val="18"/>
        </w:rPr>
        <w:t>。其中，</w:t>
      </w:r>
      <w:r>
        <w:rPr>
          <w:rFonts w:hint="eastAsia" w:ascii="宋体" w:hAnsi="宋体"/>
          <w:sz w:val="18"/>
          <w:szCs w:val="18"/>
        </w:rPr>
        <w:t>【C1】</w:t>
      </w:r>
      <w:r>
        <w:rPr>
          <w:rFonts w:ascii="宋体" w:hAnsi="宋体"/>
          <w:sz w:val="18"/>
          <w:szCs w:val="18"/>
        </w:rPr>
        <w:t>为风险承受能力最低类别，</w:t>
      </w:r>
      <w:r>
        <w:rPr>
          <w:rFonts w:hint="eastAsia" w:ascii="宋体" w:hAnsi="宋体"/>
          <w:sz w:val="18"/>
          <w:szCs w:val="18"/>
        </w:rPr>
        <w:t>【C6】</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21"/>
        <w:gridCol w:w="284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进取型（R5）</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进取型（C5）及以上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5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激进型（R6）</w:t>
            </w:r>
          </w:p>
        </w:tc>
        <w:tc>
          <w:tcPr>
            <w:tcW w:w="486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 xml:space="preserve">激进型（C6） </w:t>
            </w: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ind w:firstLine="361" w:firstLineChars="200"/>
        <w:rPr>
          <w:rFonts w:asciiTheme="minorEastAsia" w:hAnsiTheme="minorEastAsia"/>
          <w:b/>
          <w:sz w:val="18"/>
          <w:szCs w:val="18"/>
        </w:rPr>
      </w:pPr>
      <w:r>
        <w:rPr>
          <w:rFonts w:hint="eastAsia" w:ascii="宋体" w:hAnsi="宋体"/>
          <w:b/>
          <w:sz w:val="18"/>
          <w:szCs w:val="18"/>
        </w:rPr>
        <w:t>四、关于投诉与建议</w:t>
      </w:r>
    </w:p>
    <w:p>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bookmarkStart w:id="222" w:name="_GoBack"/>
      <w:bookmarkEnd w:id="222"/>
    </w:p>
    <w:p>
      <w:pPr>
        <w:ind w:firstLine="360" w:firstLineChars="200"/>
        <w:rPr>
          <w:rFonts w:ascii="宋体" w:hAnsi="宋体"/>
          <w:sz w:val="18"/>
          <w:szCs w:val="18"/>
          <w:highlight w:val="yellow"/>
        </w:rPr>
      </w:pPr>
      <w:r>
        <w:rPr>
          <w:rFonts w:hint="eastAsia" w:ascii="宋体" w:hAnsi="宋体"/>
          <w:sz w:val="18"/>
          <w:szCs w:val="18"/>
          <w:highlight w:val="yellow"/>
          <w:lang w:val="en-US" w:eastAsia="zh-CN"/>
        </w:rPr>
        <w:t>2.</w:t>
      </w:r>
      <w:r>
        <w:rPr>
          <w:rFonts w:hint="eastAsia" w:ascii="宋体" w:hAnsi="宋体"/>
          <w:sz w:val="18"/>
          <w:szCs w:val="18"/>
          <w:highlight w:val="yellow"/>
        </w:rPr>
        <w:t>销售机构：【</w:t>
      </w:r>
      <w:r>
        <w:rPr>
          <w:rFonts w:ascii="宋体" w:hAnsi="宋体"/>
          <w:sz w:val="18"/>
          <w:szCs w:val="18"/>
          <w:highlight w:val="yellow"/>
        </w:rPr>
        <w:t>沧州银行股份有限公司</w:t>
      </w:r>
      <w:r>
        <w:rPr>
          <w:rFonts w:hint="eastAsia" w:ascii="宋体" w:hAnsi="宋体"/>
          <w:sz w:val="18"/>
          <w:szCs w:val="18"/>
          <w:highlight w:val="yellow"/>
        </w:rPr>
        <w:t>】</w:t>
      </w:r>
    </w:p>
    <w:p>
      <w:pPr>
        <w:autoSpaceDE w:val="0"/>
        <w:autoSpaceDN w:val="0"/>
        <w:adjustRightInd w:val="0"/>
        <w:ind w:firstLine="360" w:firstLineChars="200"/>
        <w:jc w:val="left"/>
        <w:rPr>
          <w:rFonts w:ascii="仿宋_GB2312" w:eastAsia="仿宋_GB2312" w:cs="仿宋_GB2312"/>
          <w:color w:val="000000"/>
          <w:kern w:val="0"/>
          <w:sz w:val="24"/>
        </w:rPr>
      </w:pPr>
      <w:r>
        <w:rPr>
          <w:rFonts w:hint="eastAsia" w:ascii="宋体" w:hAnsi="宋体"/>
          <w:sz w:val="18"/>
          <w:szCs w:val="18"/>
          <w:highlight w:val="yellow"/>
        </w:rPr>
        <w:t>通过【</w:t>
      </w:r>
      <w:r>
        <w:rPr>
          <w:rFonts w:ascii="宋体" w:hAnsi="宋体"/>
          <w:sz w:val="18"/>
          <w:szCs w:val="18"/>
          <w:highlight w:val="yellow"/>
        </w:rPr>
        <w:t>沧州</w:t>
      </w:r>
      <w:r>
        <w:rPr>
          <w:rFonts w:hint="eastAsia" w:ascii="宋体" w:hAnsi="宋体"/>
          <w:sz w:val="18"/>
          <w:szCs w:val="18"/>
          <w:highlight w:val="yellow"/>
        </w:rPr>
        <w:t>银行】（作为销售服务机构）购买本产品的，请联系【沧州银行】，【沧州银行】客户服务热线：【9</w:t>
      </w:r>
      <w:r>
        <w:rPr>
          <w:rFonts w:ascii="宋体" w:hAnsi="宋体"/>
          <w:sz w:val="18"/>
          <w:szCs w:val="18"/>
          <w:highlight w:val="yellow"/>
        </w:rPr>
        <w:t>6328</w:t>
      </w:r>
      <w:r>
        <w:rPr>
          <w:rFonts w:hint="eastAsia" w:ascii="宋体" w:hAnsi="宋体"/>
          <w:sz w:val="18"/>
          <w:szCs w:val="18"/>
          <w:highlight w:val="yellow"/>
        </w:rPr>
        <w:t>】；【沧州银行】门户网站：【</w:t>
      </w:r>
      <w:r>
        <w:rPr>
          <w:rFonts w:ascii="宋体" w:hAnsi="宋体"/>
          <w:sz w:val="18"/>
          <w:szCs w:val="18"/>
          <w:highlight w:val="yellow"/>
        </w:rPr>
        <w:t>www.bankcz.com</w:t>
      </w:r>
      <w:r>
        <w:rPr>
          <w:rFonts w:hint="eastAsia" w:ascii="宋体" w:hAnsi="宋体"/>
          <w:sz w:val="18"/>
          <w:szCs w:val="18"/>
          <w:highlight w:val="yellow"/>
        </w:rPr>
        <w:t>】</w:t>
      </w:r>
    </w:p>
    <w:p>
      <w:pPr>
        <w:ind w:right="84" w:rightChars="40"/>
        <w:jc w:val="right"/>
        <w:rPr>
          <w:rFonts w:ascii="宋体" w:hAnsi="宋体"/>
          <w:sz w:val="18"/>
          <w:szCs w:val="18"/>
        </w:rPr>
      </w:pPr>
    </w:p>
    <w:p>
      <w:pPr>
        <w:widowControl/>
        <w:jc w:val="left"/>
        <w:rPr>
          <w:rFonts w:ascii="宋体" w:hAnsi="宋体"/>
          <w:b/>
          <w:sz w:val="28"/>
          <w:szCs w:val="28"/>
        </w:rPr>
      </w:pPr>
      <w:r>
        <w:rPr>
          <w:rFonts w:ascii="宋体" w:hAnsi="宋体"/>
          <w:b/>
          <w:sz w:val="28"/>
          <w:szCs w:val="28"/>
        </w:rPr>
        <w:br w:type="page"/>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兴银理财【稳利恒盈封闭式固收类】理财产品</w:t>
      </w:r>
    </w:p>
    <w:p>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pPr>
        <w:spacing w:line="280" w:lineRule="atLeast"/>
        <w:rPr>
          <w:rFonts w:ascii="宋体" w:hAnsi="宋体"/>
          <w:b/>
          <w:sz w:val="18"/>
          <w:szCs w:val="18"/>
        </w:rPr>
      </w:pPr>
      <w:r>
        <w:rPr>
          <w:rFonts w:hint="eastAsia" w:ascii="宋体" w:hAnsi="宋体"/>
          <w:b/>
          <w:sz w:val="18"/>
          <w:szCs w:val="18"/>
        </w:rPr>
        <w:t>尊敬的投资者：</w:t>
      </w:r>
    </w:p>
    <w:p>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pPr>
        <w:spacing w:line="280" w:lineRule="atLeast"/>
        <w:ind w:firstLine="360" w:firstLineChars="200"/>
        <w:rPr>
          <w:rFonts w:ascii="宋体" w:hAnsi="宋体"/>
          <w:sz w:val="18"/>
          <w:szCs w:val="18"/>
        </w:rPr>
      </w:pPr>
    </w:p>
    <w:p>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pPr>
              <w:jc w:val="center"/>
              <w:rPr>
                <w:rFonts w:ascii="宋体" w:hAnsi="宋体"/>
                <w:sz w:val="18"/>
                <w:szCs w:val="18"/>
              </w:rPr>
            </w:pPr>
            <w:r>
              <w:rPr>
                <w:rFonts w:hint="eastAsia" w:ascii="宋体" w:hAnsi="宋体"/>
                <w:sz w:val="18"/>
                <w:szCs w:val="18"/>
              </w:rPr>
              <w:t>对应的投资者风险承受能力评级</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pPr>
              <w:ind w:firstLine="360" w:firstLineChars="200"/>
              <w:rPr>
                <w:rFonts w:ascii="宋体" w:hAnsi="宋体"/>
                <w:sz w:val="18"/>
                <w:szCs w:val="18"/>
              </w:rPr>
            </w:pPr>
          </w:p>
        </w:tc>
      </w:tr>
    </w:tbl>
    <w:p>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pPr>
        <w:spacing w:line="280" w:lineRule="atLeast"/>
        <w:ind w:firstLine="360" w:firstLineChars="200"/>
        <w:rPr>
          <w:rFonts w:ascii="宋体" w:hAnsi="宋体"/>
          <w:sz w:val="18"/>
          <w:szCs w:val="18"/>
        </w:rPr>
      </w:pPr>
      <w:r>
        <w:rPr>
          <w:rFonts w:hint="eastAsia" w:ascii="宋体" w:hAnsi="宋体"/>
          <w:sz w:val="18"/>
          <w:szCs w:val="18"/>
        </w:rPr>
        <w:t>（二）联络方式：</w:t>
      </w:r>
    </w:p>
    <w:p>
      <w:pPr>
        <w:ind w:firstLine="360" w:firstLineChars="200"/>
        <w:rPr>
          <w:rFonts w:ascii="宋体" w:hAnsi="宋体"/>
          <w:sz w:val="18"/>
          <w:szCs w:val="18"/>
        </w:rPr>
      </w:pPr>
      <w:r>
        <w:rPr>
          <w:rFonts w:hint="eastAsia" w:ascii="宋体" w:hAnsi="宋体"/>
          <w:sz w:val="18"/>
          <w:szCs w:val="18"/>
        </w:rPr>
        <w:t>1.产品管理人：兴银理财有限责任公司</w:t>
      </w:r>
    </w:p>
    <w:p>
      <w:pPr>
        <w:ind w:firstLine="360" w:firstLineChars="200"/>
        <w:rPr>
          <w:rFonts w:ascii="宋体" w:hAnsi="宋体"/>
          <w:sz w:val="18"/>
          <w:szCs w:val="18"/>
        </w:rPr>
      </w:pPr>
      <w:r>
        <w:rPr>
          <w:rFonts w:hint="eastAsia" w:ascii="宋体" w:hAnsi="宋体"/>
          <w:sz w:val="18"/>
          <w:szCs w:val="18"/>
        </w:rPr>
        <w:t>客户服务热线：40015-95561。</w:t>
      </w:r>
    </w:p>
    <w:p>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pPr>
        <w:ind w:firstLine="360" w:firstLineChars="200"/>
        <w:rPr>
          <w:rFonts w:ascii="宋体" w:hAnsi="宋体"/>
          <w:sz w:val="18"/>
          <w:szCs w:val="18"/>
        </w:rPr>
      </w:pPr>
      <w:r>
        <w:rPr>
          <w:rFonts w:hint="eastAsia" w:ascii="宋体" w:hAnsi="宋体"/>
          <w:sz w:val="18"/>
          <w:szCs w:val="18"/>
        </w:rPr>
        <w:t>【】</w:t>
      </w: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rPr>
          <w:rFonts w:ascii="宋体" w:hAnsi="宋体"/>
          <w:b/>
          <w:sz w:val="28"/>
          <w:szCs w:val="28"/>
        </w:rPr>
      </w:pPr>
    </w:p>
    <w:p>
      <w:pPr>
        <w:ind w:firstLine="360" w:firstLineChars="200"/>
        <w:rPr>
          <w:rFonts w:ascii="宋体" w:hAnsi="宋体"/>
          <w:sz w:val="18"/>
          <w:szCs w:val="18"/>
        </w:rPr>
      </w:pPr>
    </w:p>
    <w:p>
      <w:pPr>
        <w:autoSpaceDE w:val="0"/>
        <w:autoSpaceDN w:val="0"/>
        <w:adjustRightInd w:val="0"/>
        <w:spacing w:line="280" w:lineRule="atLeast"/>
        <w:jc w:val="left"/>
        <w:rPr>
          <w:rFonts w:ascii="仿宋_GB2312" w:eastAsia="仿宋_GB2312" w:cs="仿宋_GB2312"/>
          <w:color w:val="000000"/>
          <w:kern w:val="0"/>
          <w:sz w:val="24"/>
          <w:szCs w:val="24"/>
        </w:rPr>
      </w:pPr>
    </w:p>
    <w:p>
      <w:pPr>
        <w:widowControl/>
        <w:spacing w:line="280" w:lineRule="atLeast"/>
        <w:jc w:val="left"/>
      </w:pPr>
    </w:p>
    <w:p/>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b/>
      </w:rPr>
    </w:pPr>
    <w:r>
      <w:rPr>
        <w:rFonts w:hint="eastAsia"/>
        <w:b/>
      </w:rPr>
      <w:t>投资协议书</w:t>
    </w:r>
  </w:p>
  <w:p>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2B7157"/>
    <w:rsid w:val="2BBE5BA7"/>
    <w:rsid w:val="3B861399"/>
    <w:rsid w:val="637F58C5"/>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45427</Words>
  <Characters>46263</Characters>
  <Lines>0</Lines>
  <Paragraphs>0</Paragraphs>
  <TotalTime>0</TotalTime>
  <ScaleCrop>false</ScaleCrop>
  <LinksUpToDate>false</LinksUpToDate>
  <CharactersWithSpaces>46863</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王威</cp:lastModifiedBy>
  <dcterms:modified xsi:type="dcterms:W3CDTF">2026-02-24T03:34:53Z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F9946C25067D4974B6705DF585265081</vt:lpwstr>
  </property>
</Properties>
</file>