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FEAF99">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470D3244">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14:paraId="352297C2">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5A0806E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728D82B1">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22176089">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0C134FDE">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6BC5DD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4D70EBE3">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53878E9C">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14:paraId="38059306">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09DC930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343714B1">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79036706">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14:paraId="4FDB821C">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2BDABF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49C25775">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16A383B9">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14:paraId="77D432F0">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26759A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A7B0524">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0962E2EB">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14:paraId="29E13DB5">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029850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620926B0">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49682D9B">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14:paraId="0365E5BA">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60455856">
      <w:pPr>
        <w:widowControl/>
        <w:spacing w:line="360" w:lineRule="auto"/>
        <w:jc w:val="left"/>
        <w:rPr>
          <w:rFonts w:ascii="黑体" w:hAnsi="黑体" w:eastAsia="黑体"/>
          <w:b/>
          <w:szCs w:val="21"/>
        </w:rPr>
      </w:pPr>
      <w:r>
        <w:rPr>
          <w:rFonts w:hint="eastAsia" w:ascii="黑体" w:hAnsi="黑体" w:eastAsia="黑体"/>
          <w:b/>
          <w:szCs w:val="21"/>
        </w:rPr>
        <w:t>郑重提示：</w:t>
      </w:r>
    </w:p>
    <w:p w14:paraId="09C87B38">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637996F1">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0BC6F64B">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48D5514F">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30CDEE52">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7ED35FC4">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75C11498">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239DAA55">
      <w:pPr>
        <w:tabs>
          <w:tab w:val="left" w:pos="6660"/>
        </w:tabs>
        <w:spacing w:line="360" w:lineRule="auto"/>
        <w:jc w:val="center"/>
        <w:rPr>
          <w:rFonts w:ascii="黑体" w:hAnsi="黑体" w:eastAsia="黑体"/>
          <w:kern w:val="0"/>
          <w:szCs w:val="21"/>
        </w:rPr>
      </w:pPr>
    </w:p>
    <w:p w14:paraId="5BF2310B">
      <w:pPr>
        <w:tabs>
          <w:tab w:val="left" w:pos="6660"/>
        </w:tabs>
        <w:spacing w:line="360" w:lineRule="auto"/>
        <w:jc w:val="center"/>
        <w:rPr>
          <w:bCs/>
          <w:sz w:val="44"/>
        </w:rPr>
      </w:pPr>
    </w:p>
    <w:p w14:paraId="3ACB0481">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7F2D6EDC">
      <w:pPr>
        <w:tabs>
          <w:tab w:val="left" w:pos="6660"/>
        </w:tabs>
        <w:spacing w:line="360" w:lineRule="auto"/>
        <w:jc w:val="center"/>
        <w:rPr>
          <w:bCs/>
          <w:sz w:val="44"/>
        </w:rPr>
      </w:pPr>
    </w:p>
    <w:p w14:paraId="591DA7CC">
      <w:pPr>
        <w:spacing w:line="360" w:lineRule="auto"/>
        <w:jc w:val="center"/>
        <w:rPr>
          <w:b/>
          <w:sz w:val="52"/>
        </w:rPr>
      </w:pPr>
    </w:p>
    <w:p w14:paraId="00E32D05">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53EC1B9">
      <w:pPr>
        <w:spacing w:line="360" w:lineRule="auto"/>
        <w:jc w:val="center"/>
        <w:rPr>
          <w:b/>
          <w:sz w:val="52"/>
        </w:rPr>
      </w:pPr>
    </w:p>
    <w:p w14:paraId="5D770E38">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14:paraId="2CFAC98A">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40F26C59">
      <w:pPr>
        <w:spacing w:line="360" w:lineRule="auto"/>
        <w:jc w:val="center"/>
        <w:rPr>
          <w:b/>
          <w:sz w:val="28"/>
          <w:szCs w:val="28"/>
        </w:rPr>
      </w:pPr>
    </w:p>
    <w:p w14:paraId="13C7D8CC">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00B322AD">
      <w:pPr>
        <w:spacing w:line="360" w:lineRule="auto"/>
        <w:jc w:val="center"/>
        <w:rPr>
          <w:b/>
          <w:sz w:val="28"/>
          <w:szCs w:val="28"/>
        </w:rPr>
      </w:pPr>
    </w:p>
    <w:p w14:paraId="796C6AC0">
      <w:pPr>
        <w:spacing w:line="360" w:lineRule="auto"/>
        <w:jc w:val="center"/>
        <w:rPr>
          <w:b/>
          <w:sz w:val="28"/>
          <w:szCs w:val="28"/>
        </w:rPr>
      </w:pPr>
    </w:p>
    <w:p w14:paraId="70600068">
      <w:pPr>
        <w:adjustRightInd w:val="0"/>
        <w:spacing w:line="360" w:lineRule="auto"/>
        <w:jc w:val="center"/>
        <w:rPr>
          <w:rStyle w:val="10"/>
          <w:rFonts w:ascii="宋体" w:hAnsi="宋体"/>
          <w:sz w:val="28"/>
          <w:szCs w:val="28"/>
        </w:rPr>
      </w:pPr>
      <w:bookmarkStart w:id="0" w:name="_Toc123701383"/>
      <w:bookmarkStart w:id="1" w:name="_Toc139992301"/>
      <w:bookmarkStart w:id="2" w:name="_Toc139991726"/>
      <w:bookmarkStart w:id="3" w:name="_Toc123112263"/>
      <w:bookmarkStart w:id="4" w:name="_Toc123112224"/>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12BA5331">
      <w:pPr>
        <w:adjustRightInd w:val="0"/>
        <w:spacing w:line="360" w:lineRule="auto"/>
        <w:jc w:val="center"/>
        <w:rPr>
          <w:rStyle w:val="10"/>
          <w:rFonts w:ascii="黑体" w:hAnsi="黑体" w:eastAsia="黑体" w:cs="宋体"/>
          <w:sz w:val="28"/>
          <w:szCs w:val="28"/>
        </w:rPr>
      </w:pPr>
      <w:bookmarkStart w:id="5" w:name="_Toc139991727"/>
      <w:bookmarkStart w:id="6" w:name="_Toc139992302"/>
      <w:bookmarkStart w:id="7" w:name="_Toc123112225"/>
      <w:bookmarkStart w:id="8" w:name="_Toc123112264"/>
      <w:bookmarkStart w:id="9" w:name="_Toc123701384"/>
    </w:p>
    <w:bookmarkEnd w:id="5"/>
    <w:bookmarkEnd w:id="6"/>
    <w:bookmarkEnd w:id="7"/>
    <w:bookmarkEnd w:id="8"/>
    <w:bookmarkEnd w:id="9"/>
    <w:p w14:paraId="10EA2851">
      <w:pPr>
        <w:adjustRightInd w:val="0"/>
        <w:spacing w:line="360" w:lineRule="auto"/>
        <w:jc w:val="center"/>
        <w:rPr>
          <w:rStyle w:val="10"/>
          <w:rFonts w:ascii="黑体" w:hAnsi="黑体" w:eastAsia="黑体" w:cs="宋体"/>
          <w:sz w:val="28"/>
          <w:szCs w:val="28"/>
        </w:rPr>
      </w:pPr>
    </w:p>
    <w:p w14:paraId="30DE8A87">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4699F2B5">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2161D8A3">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4C70E8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383D908D">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5D126ED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5011031A">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7D319ED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4E5EA45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0AD4B2FC">
            <w:pPr>
              <w:pStyle w:val="6"/>
              <w:snapToGrid w:val="0"/>
              <w:spacing w:before="0" w:beforeAutospacing="0" w:after="0" w:afterAutospacing="0" w:line="360" w:lineRule="auto"/>
              <w:jc w:val="both"/>
              <w:rPr>
                <w:rFonts w:ascii="黑体" w:hAnsi="黑体" w:eastAsia="黑体"/>
                <w:bCs/>
                <w:sz w:val="18"/>
                <w:szCs w:val="18"/>
              </w:rPr>
            </w:pPr>
          </w:p>
          <w:p w14:paraId="6ED741D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23E160F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2DE3A1C2">
            <w:pPr>
              <w:pStyle w:val="6"/>
              <w:snapToGrid w:val="0"/>
              <w:spacing w:before="0" w:beforeAutospacing="0" w:after="0" w:afterAutospacing="0" w:line="360" w:lineRule="auto"/>
              <w:jc w:val="both"/>
              <w:rPr>
                <w:rFonts w:ascii="黑体" w:hAnsi="黑体" w:eastAsia="黑体"/>
                <w:bCs/>
                <w:sz w:val="18"/>
                <w:szCs w:val="18"/>
              </w:rPr>
            </w:pPr>
          </w:p>
          <w:p w14:paraId="59AEC463">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4947A70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3773CB1B">
            <w:pPr>
              <w:pStyle w:val="6"/>
              <w:snapToGrid w:val="0"/>
              <w:spacing w:before="0" w:beforeAutospacing="0" w:after="0" w:afterAutospacing="0" w:line="360" w:lineRule="auto"/>
              <w:jc w:val="both"/>
              <w:rPr>
                <w:rFonts w:ascii="黑体" w:hAnsi="黑体" w:eastAsia="黑体"/>
                <w:bCs/>
                <w:sz w:val="18"/>
                <w:szCs w:val="18"/>
              </w:rPr>
            </w:pPr>
          </w:p>
          <w:p w14:paraId="3555174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25FA0FB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0AD58D64">
            <w:pPr>
              <w:pStyle w:val="6"/>
              <w:snapToGrid w:val="0"/>
              <w:spacing w:before="0" w:beforeAutospacing="0" w:after="0" w:afterAutospacing="0" w:line="360" w:lineRule="auto"/>
              <w:jc w:val="both"/>
              <w:rPr>
                <w:rFonts w:ascii="黑体" w:hAnsi="黑体" w:eastAsia="黑体"/>
                <w:bCs/>
                <w:sz w:val="18"/>
                <w:szCs w:val="18"/>
              </w:rPr>
            </w:pPr>
          </w:p>
          <w:p w14:paraId="2453791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59D3CF1D">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4963CBD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37BAEF23">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0996386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5C33DE5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40D612F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1656AA2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0A05B36D">
            <w:pPr>
              <w:pStyle w:val="6"/>
              <w:snapToGrid w:val="0"/>
              <w:spacing w:before="0" w:beforeAutospacing="0" w:after="0" w:afterAutospacing="0" w:line="360" w:lineRule="auto"/>
              <w:jc w:val="both"/>
              <w:rPr>
                <w:rFonts w:ascii="黑体" w:hAnsi="黑体" w:eastAsia="黑体"/>
                <w:bCs/>
                <w:sz w:val="18"/>
                <w:szCs w:val="18"/>
              </w:rPr>
            </w:pPr>
          </w:p>
          <w:p w14:paraId="0BCBBC8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4FEF9DA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2D371F24">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59951AE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03E9D6F2">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5060C2E9">
            <w:pPr>
              <w:pStyle w:val="6"/>
              <w:snapToGrid w:val="0"/>
              <w:spacing w:before="0" w:beforeAutospacing="0" w:after="0" w:afterAutospacing="0" w:line="360" w:lineRule="auto"/>
              <w:jc w:val="both"/>
              <w:rPr>
                <w:rFonts w:ascii="黑体" w:hAnsi="黑体" w:eastAsia="黑体"/>
                <w:bCs/>
                <w:sz w:val="18"/>
                <w:szCs w:val="18"/>
              </w:rPr>
            </w:pPr>
          </w:p>
          <w:p w14:paraId="419EE0A6">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6841E18A">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4B5528B0">
            <w:pPr>
              <w:pStyle w:val="6"/>
              <w:snapToGrid w:val="0"/>
              <w:spacing w:before="0" w:beforeAutospacing="0" w:after="0" w:afterAutospacing="0"/>
              <w:jc w:val="both"/>
              <w:rPr>
                <w:rFonts w:ascii="黑体" w:hAnsi="黑体" w:eastAsia="黑体"/>
                <w:bCs/>
                <w:sz w:val="18"/>
                <w:szCs w:val="18"/>
              </w:rPr>
            </w:pPr>
          </w:p>
          <w:p w14:paraId="10151B8D">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6E5C7860">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11693951">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701386"/>
      <w:bookmarkStart w:id="12" w:name="_Toc123112266"/>
      <w:bookmarkStart w:id="13" w:name="_Toc139991729"/>
    </w:p>
    <w:p w14:paraId="5E15A353">
      <w:pPr>
        <w:widowControl/>
        <w:jc w:val="left"/>
        <w:rPr>
          <w:rFonts w:ascii="宋体" w:hAnsi="宋体" w:cs="仿宋_GB2312"/>
          <w:b/>
          <w:kern w:val="0"/>
          <w:sz w:val="18"/>
          <w:szCs w:val="18"/>
        </w:rPr>
      </w:pPr>
      <w:r>
        <w:rPr>
          <w:rFonts w:ascii="宋体" w:hAnsi="宋体" w:cs="仿宋_GB2312"/>
          <w:b/>
          <w:kern w:val="0"/>
          <w:sz w:val="18"/>
          <w:szCs w:val="18"/>
        </w:rPr>
        <w:br w:type="page"/>
      </w:r>
    </w:p>
    <w:p w14:paraId="0ECDF88A">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4E435E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57562EEB">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1EAF5B4E">
            <w:pPr>
              <w:pStyle w:val="4"/>
              <w:spacing w:line="360" w:lineRule="auto"/>
              <w:rPr>
                <w:rFonts w:ascii="宋体" w:hAnsi="宋体"/>
                <w:b/>
                <w:bCs/>
                <w:sz w:val="28"/>
                <w:szCs w:val="28"/>
              </w:rPr>
            </w:pPr>
          </w:p>
        </w:tc>
      </w:tr>
      <w:tr w14:paraId="0715E5B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0A4773C6">
            <w:pPr>
              <w:pStyle w:val="4"/>
              <w:spacing w:line="360" w:lineRule="auto"/>
              <w:rPr>
                <w:rFonts w:ascii="宋体" w:hAnsi="宋体"/>
                <w:b/>
                <w:bCs/>
                <w:sz w:val="28"/>
                <w:szCs w:val="28"/>
              </w:rPr>
            </w:pPr>
          </w:p>
        </w:tc>
      </w:tr>
      <w:tr w14:paraId="78F69C9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68B6F0A7">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772646F2">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294AAB03">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52B9DCD3">
            <w:pPr>
              <w:spacing w:line="360" w:lineRule="auto"/>
              <w:jc w:val="left"/>
              <w:rPr>
                <w:rFonts w:ascii="宋体" w:hAnsi="宋体"/>
                <w:bCs/>
                <w:sz w:val="18"/>
                <w:szCs w:val="18"/>
              </w:rPr>
            </w:pPr>
          </w:p>
        </w:tc>
      </w:tr>
      <w:tr w14:paraId="0282D0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FE92201">
            <w:pPr>
              <w:spacing w:line="360" w:lineRule="auto"/>
              <w:jc w:val="left"/>
              <w:rPr>
                <w:rFonts w:ascii="宋体" w:hAnsi="宋体"/>
                <w:b/>
                <w:bCs/>
                <w:sz w:val="18"/>
                <w:szCs w:val="18"/>
              </w:rPr>
            </w:pPr>
          </w:p>
        </w:tc>
        <w:tc>
          <w:tcPr>
            <w:tcW w:w="708" w:type="dxa"/>
            <w:vMerge w:val="continue"/>
            <w:shd w:val="solid" w:color="FFFFFF" w:fill="FFFFFF"/>
            <w:vAlign w:val="center"/>
          </w:tcPr>
          <w:p w14:paraId="44FCB091">
            <w:pPr>
              <w:spacing w:line="360" w:lineRule="auto"/>
              <w:jc w:val="left"/>
              <w:rPr>
                <w:rFonts w:ascii="宋体" w:hAnsi="宋体"/>
                <w:bCs/>
                <w:sz w:val="18"/>
                <w:szCs w:val="18"/>
              </w:rPr>
            </w:pPr>
          </w:p>
        </w:tc>
        <w:tc>
          <w:tcPr>
            <w:tcW w:w="982" w:type="dxa"/>
            <w:shd w:val="solid" w:color="FFFFFF" w:fill="FFFFFF"/>
            <w:vAlign w:val="center"/>
          </w:tcPr>
          <w:p w14:paraId="1587DE05">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2EB5B45C">
            <w:pPr>
              <w:spacing w:line="360" w:lineRule="auto"/>
              <w:jc w:val="left"/>
              <w:rPr>
                <w:rFonts w:ascii="宋体" w:hAnsi="宋体"/>
                <w:bCs/>
                <w:sz w:val="18"/>
                <w:szCs w:val="18"/>
              </w:rPr>
            </w:pPr>
          </w:p>
        </w:tc>
        <w:tc>
          <w:tcPr>
            <w:tcW w:w="1417" w:type="dxa"/>
            <w:shd w:val="solid" w:color="FFFFFF" w:fill="FFFFFF"/>
            <w:vAlign w:val="center"/>
          </w:tcPr>
          <w:p w14:paraId="388347EA">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0780C96E">
            <w:pPr>
              <w:spacing w:line="360" w:lineRule="auto"/>
              <w:jc w:val="left"/>
              <w:rPr>
                <w:rFonts w:ascii="宋体" w:hAnsi="宋体"/>
                <w:bCs/>
                <w:sz w:val="18"/>
                <w:szCs w:val="18"/>
              </w:rPr>
            </w:pPr>
          </w:p>
        </w:tc>
      </w:tr>
      <w:tr w14:paraId="0587C65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66EE852">
            <w:pPr>
              <w:spacing w:line="360" w:lineRule="auto"/>
              <w:jc w:val="left"/>
              <w:rPr>
                <w:rFonts w:ascii="宋体" w:hAnsi="宋体"/>
                <w:b/>
                <w:bCs/>
                <w:sz w:val="18"/>
                <w:szCs w:val="18"/>
              </w:rPr>
            </w:pPr>
          </w:p>
        </w:tc>
        <w:tc>
          <w:tcPr>
            <w:tcW w:w="708" w:type="dxa"/>
            <w:vMerge w:val="continue"/>
            <w:shd w:val="solid" w:color="FFFFFF" w:fill="FFFFFF"/>
            <w:vAlign w:val="center"/>
          </w:tcPr>
          <w:p w14:paraId="6479D103">
            <w:pPr>
              <w:spacing w:line="360" w:lineRule="auto"/>
              <w:jc w:val="left"/>
              <w:rPr>
                <w:rFonts w:ascii="宋体" w:hAnsi="宋体"/>
                <w:bCs/>
                <w:sz w:val="18"/>
                <w:szCs w:val="18"/>
              </w:rPr>
            </w:pPr>
          </w:p>
        </w:tc>
        <w:tc>
          <w:tcPr>
            <w:tcW w:w="982" w:type="dxa"/>
            <w:shd w:val="solid" w:color="FFFFFF" w:fill="FFFFFF"/>
            <w:vAlign w:val="center"/>
          </w:tcPr>
          <w:p w14:paraId="6D03558F">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4483275A">
            <w:pPr>
              <w:spacing w:line="360" w:lineRule="auto"/>
              <w:jc w:val="left"/>
              <w:rPr>
                <w:rFonts w:ascii="宋体" w:hAnsi="宋体"/>
                <w:bCs/>
                <w:sz w:val="18"/>
                <w:szCs w:val="18"/>
              </w:rPr>
            </w:pPr>
          </w:p>
        </w:tc>
        <w:tc>
          <w:tcPr>
            <w:tcW w:w="1417" w:type="dxa"/>
            <w:shd w:val="solid" w:color="FFFFFF" w:fill="FFFFFF"/>
            <w:vAlign w:val="center"/>
          </w:tcPr>
          <w:p w14:paraId="315A7D59">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04A31D33">
            <w:pPr>
              <w:spacing w:line="360" w:lineRule="auto"/>
              <w:jc w:val="left"/>
              <w:rPr>
                <w:rFonts w:ascii="宋体" w:hAnsi="宋体"/>
                <w:bCs/>
                <w:sz w:val="18"/>
                <w:szCs w:val="18"/>
              </w:rPr>
            </w:pPr>
          </w:p>
        </w:tc>
      </w:tr>
      <w:tr w14:paraId="3981EB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7D9998B">
            <w:pPr>
              <w:spacing w:line="360" w:lineRule="auto"/>
              <w:jc w:val="left"/>
              <w:rPr>
                <w:rFonts w:ascii="宋体" w:hAnsi="宋体"/>
                <w:b/>
                <w:bCs/>
                <w:sz w:val="18"/>
                <w:szCs w:val="18"/>
              </w:rPr>
            </w:pPr>
          </w:p>
        </w:tc>
        <w:tc>
          <w:tcPr>
            <w:tcW w:w="708" w:type="dxa"/>
            <w:vMerge w:val="continue"/>
            <w:shd w:val="solid" w:color="FFFFFF" w:fill="FFFFFF"/>
            <w:vAlign w:val="center"/>
          </w:tcPr>
          <w:p w14:paraId="45F1C5CA">
            <w:pPr>
              <w:spacing w:line="360" w:lineRule="auto"/>
              <w:jc w:val="left"/>
              <w:rPr>
                <w:rFonts w:ascii="宋体" w:hAnsi="宋体"/>
                <w:bCs/>
                <w:sz w:val="18"/>
                <w:szCs w:val="18"/>
              </w:rPr>
            </w:pPr>
          </w:p>
        </w:tc>
        <w:tc>
          <w:tcPr>
            <w:tcW w:w="982" w:type="dxa"/>
            <w:shd w:val="solid" w:color="FFFFFF" w:fill="FFFFFF"/>
            <w:vAlign w:val="center"/>
          </w:tcPr>
          <w:p w14:paraId="44352068">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5E0D4762">
            <w:pPr>
              <w:spacing w:line="360" w:lineRule="auto"/>
              <w:jc w:val="left"/>
              <w:rPr>
                <w:rFonts w:ascii="宋体" w:hAnsi="宋体"/>
                <w:bCs/>
                <w:sz w:val="18"/>
                <w:szCs w:val="18"/>
              </w:rPr>
            </w:pPr>
          </w:p>
        </w:tc>
      </w:tr>
      <w:tr w14:paraId="573EA5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3E99E328">
            <w:pPr>
              <w:spacing w:line="360" w:lineRule="auto"/>
              <w:jc w:val="left"/>
              <w:rPr>
                <w:rFonts w:ascii="宋体" w:hAnsi="宋体"/>
                <w:b/>
                <w:bCs/>
                <w:sz w:val="18"/>
                <w:szCs w:val="18"/>
              </w:rPr>
            </w:pPr>
          </w:p>
        </w:tc>
        <w:tc>
          <w:tcPr>
            <w:tcW w:w="708" w:type="dxa"/>
            <w:vMerge w:val="continue"/>
            <w:shd w:val="solid" w:color="FFFFFF" w:fill="FFFFFF"/>
            <w:vAlign w:val="center"/>
          </w:tcPr>
          <w:p w14:paraId="2A4DF202">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7941C776">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4C2984E7">
            <w:pPr>
              <w:spacing w:line="360" w:lineRule="auto"/>
              <w:jc w:val="left"/>
              <w:rPr>
                <w:rFonts w:ascii="宋体" w:hAnsi="宋体"/>
                <w:bCs/>
                <w:sz w:val="18"/>
                <w:szCs w:val="18"/>
              </w:rPr>
            </w:pPr>
          </w:p>
        </w:tc>
      </w:tr>
      <w:tr w14:paraId="15DD40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64313E9">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56E42293">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2EA4E47">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E341A46">
            <w:pPr>
              <w:spacing w:line="360" w:lineRule="auto"/>
              <w:jc w:val="left"/>
              <w:rPr>
                <w:rFonts w:ascii="宋体" w:hAnsi="宋体"/>
                <w:bCs/>
                <w:sz w:val="18"/>
                <w:szCs w:val="18"/>
              </w:rPr>
            </w:pPr>
          </w:p>
        </w:tc>
      </w:tr>
      <w:tr w14:paraId="495F61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0D69414">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8C1D749">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AEB6B7A">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2E872E8">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B061373">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413DA7F">
            <w:pPr>
              <w:spacing w:line="360" w:lineRule="auto"/>
              <w:jc w:val="left"/>
              <w:rPr>
                <w:rFonts w:ascii="宋体" w:hAnsi="宋体"/>
                <w:bCs/>
                <w:sz w:val="18"/>
                <w:szCs w:val="18"/>
              </w:rPr>
            </w:pPr>
          </w:p>
        </w:tc>
      </w:tr>
      <w:tr w14:paraId="3257E05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4E89BF5">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3F98135">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10F15B0">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7C657A2">
            <w:pPr>
              <w:spacing w:line="360" w:lineRule="auto"/>
              <w:jc w:val="left"/>
              <w:rPr>
                <w:rFonts w:ascii="宋体" w:hAnsi="宋体"/>
                <w:bCs/>
                <w:sz w:val="18"/>
                <w:szCs w:val="18"/>
              </w:rPr>
            </w:pPr>
          </w:p>
        </w:tc>
      </w:tr>
      <w:tr w14:paraId="746122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36AAEBF">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5125C6DB">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2388E8D">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2BAA3BA">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7290B33">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D0A4121">
            <w:pPr>
              <w:spacing w:line="360" w:lineRule="auto"/>
              <w:jc w:val="left"/>
              <w:rPr>
                <w:rFonts w:ascii="宋体" w:hAnsi="宋体"/>
                <w:bCs/>
                <w:sz w:val="18"/>
                <w:szCs w:val="18"/>
              </w:rPr>
            </w:pPr>
          </w:p>
        </w:tc>
      </w:tr>
      <w:tr w14:paraId="781A13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E29669E">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190E957D">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E1D7504">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D116B45">
            <w:pPr>
              <w:spacing w:line="360" w:lineRule="auto"/>
              <w:jc w:val="left"/>
              <w:rPr>
                <w:rFonts w:ascii="宋体" w:hAnsi="宋体"/>
                <w:bCs/>
                <w:sz w:val="18"/>
                <w:szCs w:val="18"/>
              </w:rPr>
            </w:pPr>
          </w:p>
        </w:tc>
      </w:tr>
      <w:tr w14:paraId="0724955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0F77EA1C">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15974594">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F478EC5">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9B82A77">
            <w:pPr>
              <w:spacing w:line="360" w:lineRule="auto"/>
              <w:jc w:val="left"/>
              <w:rPr>
                <w:rFonts w:ascii="宋体" w:hAnsi="宋体"/>
                <w:bCs/>
                <w:sz w:val="18"/>
                <w:szCs w:val="18"/>
              </w:rPr>
            </w:pPr>
          </w:p>
        </w:tc>
      </w:tr>
      <w:tr w14:paraId="7E2E644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63FE4E43">
            <w:pPr>
              <w:pStyle w:val="4"/>
              <w:pBdr>
                <w:bottom w:val="none" w:color="auto" w:sz="0" w:space="0"/>
              </w:pBdr>
              <w:spacing w:line="360" w:lineRule="auto"/>
              <w:rPr>
                <w:rFonts w:ascii="宋体" w:hAnsi="宋体"/>
                <w:b/>
                <w:bCs/>
                <w:szCs w:val="18"/>
              </w:rPr>
            </w:pPr>
          </w:p>
        </w:tc>
      </w:tr>
      <w:tr w14:paraId="4E3B9D8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11D89679">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263E12E5">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31F3CB59">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62FF7A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60E0C20C">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70008B15">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1191D754">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5F1DE3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5BF6100A">
            <w:pPr>
              <w:spacing w:line="360" w:lineRule="auto"/>
              <w:jc w:val="left"/>
              <w:rPr>
                <w:rFonts w:ascii="宋体" w:hAnsi="宋体"/>
                <w:bCs/>
                <w:sz w:val="18"/>
                <w:szCs w:val="18"/>
              </w:rPr>
            </w:pPr>
          </w:p>
        </w:tc>
      </w:tr>
      <w:tr w14:paraId="064696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3569C2EA">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14:paraId="02538A06">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14:paraId="0A11B34F">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【兴银理财稳利恒盈封闭式2026年511期固收类理财产品】</w:t>
            </w:r>
          </w:p>
        </w:tc>
      </w:tr>
      <w:tr w14:paraId="756A81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590E6A71">
            <w:pPr>
              <w:spacing w:line="360" w:lineRule="auto"/>
              <w:jc w:val="left"/>
              <w:rPr>
                <w:rFonts w:ascii="宋体" w:hAnsi="宋体"/>
                <w:b/>
                <w:bCs/>
                <w:sz w:val="18"/>
                <w:szCs w:val="18"/>
              </w:rPr>
            </w:pPr>
          </w:p>
        </w:tc>
        <w:tc>
          <w:tcPr>
            <w:tcW w:w="1690" w:type="dxa"/>
            <w:gridSpan w:val="2"/>
            <w:shd w:val="solid" w:color="FFFFFF" w:fill="FFFFFF"/>
            <w:vAlign w:val="center"/>
          </w:tcPr>
          <w:p w14:paraId="68058B30">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14:paraId="0932BAE6">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【稳利恒盈封闭2026年511期13M(纯盈颐养款）A】 (适用【A】类份额)</w:t>
            </w:r>
            <w:r>
              <w:rPr>
                <w:rFonts w:ascii="宋体" w:hAnsi="宋体" w:eastAsia="宋体" w:cs="宋体"/>
                <w:sz w:val="18"/>
              </w:rPr>
              <w:br w:type="textWrapping"/>
            </w:r>
            <w:r>
              <w:rPr>
                <w:rFonts w:ascii="宋体" w:hAnsi="宋体" w:eastAsia="宋体" w:cs="宋体"/>
                <w:sz w:val="18"/>
              </w:rPr>
              <w:t>【稳利恒盈封闭2026年511期13M(纯盈颐养款）C】 (适用【C】类份额)</w:t>
            </w:r>
            <w:r>
              <w:rPr>
                <w:rFonts w:ascii="宋体" w:hAnsi="宋体" w:eastAsia="宋体" w:cs="宋体"/>
                <w:sz w:val="18"/>
              </w:rPr>
              <w:br w:type="textWrapping"/>
            </w:r>
            <w:r>
              <w:rPr>
                <w:rFonts w:ascii="宋体" w:hAnsi="宋体" w:eastAsia="宋体" w:cs="宋体"/>
                <w:sz w:val="18"/>
              </w:rPr>
              <w:t>【稳利恒盈封闭2026年511期13M(纯盈颐养款）D】 (适用【D】类份额)</w:t>
            </w:r>
            <w:r>
              <w:rPr>
                <w:rFonts w:ascii="宋体" w:hAnsi="宋体" w:eastAsia="宋体" w:cs="宋体"/>
                <w:sz w:val="18"/>
              </w:rPr>
              <w:br w:type="textWrapping"/>
            </w:r>
            <w:r>
              <w:rPr>
                <w:rFonts w:ascii="宋体" w:hAnsi="宋体" w:eastAsia="宋体" w:cs="宋体"/>
                <w:sz w:val="18"/>
              </w:rPr>
              <w:t>【稳利恒盈封闭2026年511期13M(纯盈颐养款）E】 (适用【E】类份额)</w:t>
            </w:r>
            <w:r>
              <w:rPr>
                <w:rFonts w:ascii="宋体" w:hAnsi="宋体" w:eastAsia="宋体" w:cs="宋体"/>
                <w:sz w:val="18"/>
              </w:rPr>
              <w:br w:type="textWrapping"/>
            </w:r>
            <w:r>
              <w:rPr>
                <w:rFonts w:ascii="宋体" w:hAnsi="宋体" w:eastAsia="宋体" w:cs="宋体"/>
                <w:sz w:val="18"/>
              </w:rPr>
              <w:t>【稳利恒盈封闭2026年511期13M(纯盈颐养款）F】 (适用【F】类份额)</w:t>
            </w:r>
          </w:p>
        </w:tc>
      </w:tr>
      <w:tr w14:paraId="44E945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79E68E89">
            <w:pPr>
              <w:spacing w:line="360" w:lineRule="auto"/>
              <w:jc w:val="left"/>
              <w:rPr>
                <w:rFonts w:ascii="宋体" w:hAnsi="宋体"/>
                <w:b/>
                <w:bCs/>
                <w:sz w:val="18"/>
                <w:szCs w:val="18"/>
              </w:rPr>
            </w:pPr>
          </w:p>
        </w:tc>
        <w:tc>
          <w:tcPr>
            <w:tcW w:w="1690" w:type="dxa"/>
            <w:gridSpan w:val="2"/>
            <w:shd w:val="solid" w:color="FFFFFF" w:fill="FFFFFF"/>
          </w:tcPr>
          <w:p w14:paraId="5BDA8DC6">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14:paraId="467CC7BC">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Z7002025002004</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14:paraId="38F475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174AE072">
            <w:pPr>
              <w:spacing w:line="360" w:lineRule="auto"/>
              <w:jc w:val="left"/>
              <w:rPr>
                <w:rFonts w:ascii="宋体" w:hAnsi="宋体"/>
                <w:b/>
                <w:bCs/>
                <w:sz w:val="18"/>
                <w:szCs w:val="18"/>
              </w:rPr>
            </w:pPr>
          </w:p>
        </w:tc>
        <w:tc>
          <w:tcPr>
            <w:tcW w:w="1690" w:type="dxa"/>
            <w:gridSpan w:val="2"/>
            <w:shd w:val="solid" w:color="FFFFFF" w:fill="FFFFFF"/>
            <w:vAlign w:val="center"/>
          </w:tcPr>
          <w:p w14:paraId="6A0BDA85">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14:paraId="1D9F853A">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【9N265110】</w:t>
            </w:r>
          </w:p>
        </w:tc>
      </w:tr>
      <w:tr w14:paraId="67C6211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1DC6578B">
            <w:pPr>
              <w:spacing w:line="360" w:lineRule="auto"/>
              <w:jc w:val="left"/>
              <w:rPr>
                <w:rFonts w:ascii="宋体" w:hAnsi="宋体"/>
                <w:b/>
                <w:bCs/>
                <w:sz w:val="18"/>
                <w:szCs w:val="18"/>
              </w:rPr>
            </w:pPr>
          </w:p>
        </w:tc>
        <w:tc>
          <w:tcPr>
            <w:tcW w:w="1690" w:type="dxa"/>
            <w:gridSpan w:val="2"/>
            <w:shd w:val="solid" w:color="FFFFFF" w:fill="FFFFFF"/>
            <w:vAlign w:val="center"/>
          </w:tcPr>
          <w:p w14:paraId="44B90A2E">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14:paraId="02024C94">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【9N26511A】 (适用【A】类份额)</w:t>
            </w:r>
            <w:r>
              <w:rPr>
                <w:rFonts w:ascii="宋体" w:hAnsi="宋体" w:eastAsia="宋体" w:cs="宋体"/>
                <w:sz w:val="18"/>
              </w:rPr>
              <w:br w:type="textWrapping"/>
            </w:r>
            <w:r>
              <w:rPr>
                <w:rFonts w:ascii="宋体" w:hAnsi="宋体" w:eastAsia="宋体" w:cs="宋体"/>
                <w:sz w:val="18"/>
              </w:rPr>
              <w:t>【9N26511C】 (适用【C】类份额)</w:t>
            </w:r>
            <w:r>
              <w:rPr>
                <w:rFonts w:ascii="宋体" w:hAnsi="宋体" w:eastAsia="宋体" w:cs="宋体"/>
                <w:sz w:val="18"/>
              </w:rPr>
              <w:br w:type="textWrapping"/>
            </w:r>
            <w:r>
              <w:rPr>
                <w:rFonts w:ascii="宋体" w:hAnsi="宋体" w:eastAsia="宋体" w:cs="宋体"/>
                <w:sz w:val="18"/>
              </w:rPr>
              <w:t>【9N26511D】 (适用【D】类份额)</w:t>
            </w:r>
            <w:r>
              <w:rPr>
                <w:rFonts w:ascii="宋体" w:hAnsi="宋体" w:eastAsia="宋体" w:cs="宋体"/>
                <w:sz w:val="18"/>
              </w:rPr>
              <w:br w:type="textWrapping"/>
            </w:r>
            <w:r>
              <w:rPr>
                <w:rFonts w:ascii="宋体" w:hAnsi="宋体" w:eastAsia="宋体" w:cs="宋体"/>
                <w:sz w:val="18"/>
              </w:rPr>
              <w:t>【9N26511E】 (适用【E】类份额)</w:t>
            </w:r>
            <w:r>
              <w:rPr>
                <w:rFonts w:ascii="宋体" w:hAnsi="宋体" w:eastAsia="宋体" w:cs="宋体"/>
                <w:sz w:val="18"/>
              </w:rPr>
              <w:br w:type="textWrapping"/>
            </w:r>
            <w:r>
              <w:rPr>
                <w:rFonts w:ascii="宋体" w:hAnsi="宋体" w:eastAsia="宋体" w:cs="宋体"/>
                <w:sz w:val="18"/>
              </w:rPr>
              <w:t>【9N26511F】 (适用【F】类份额)</w:t>
            </w:r>
          </w:p>
        </w:tc>
      </w:tr>
      <w:tr w14:paraId="549D64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11F016E4">
            <w:pPr>
              <w:spacing w:line="360" w:lineRule="auto"/>
              <w:jc w:val="left"/>
              <w:rPr>
                <w:rFonts w:ascii="宋体" w:hAnsi="宋体"/>
                <w:b/>
                <w:bCs/>
                <w:sz w:val="18"/>
                <w:szCs w:val="18"/>
              </w:rPr>
            </w:pPr>
          </w:p>
        </w:tc>
      </w:tr>
      <w:tr w14:paraId="39FA0A0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2A14703C">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5286A698">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3976083A">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14:paraId="138E89BD">
          <w:pPr>
            <w:pStyle w:val="13"/>
            <w:spacing w:line="360" w:lineRule="auto"/>
            <w:jc w:val="center"/>
          </w:pPr>
          <w:r>
            <w:rPr>
              <w:rFonts w:hint="eastAsia"/>
              <w:lang w:val="zh-CN"/>
            </w:rPr>
            <w:t>目录</w:t>
          </w:r>
        </w:p>
        <w:p w14:paraId="1AB7E562">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14:paraId="6C2F2991">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14:paraId="21BE2F80">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14:paraId="20381906">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14:paraId="526F22FB">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14:paraId="550FBACA">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14:paraId="64E5FE8E">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14:paraId="16852C5E">
          <w:pPr>
            <w:spacing w:line="360" w:lineRule="auto"/>
          </w:pPr>
          <w:r>
            <w:rPr>
              <w:bCs/>
              <w:lang w:val="zh-CN"/>
            </w:rPr>
            <w:fldChar w:fldCharType="end"/>
          </w:r>
        </w:p>
      </w:sdtContent>
    </w:sdt>
    <w:p w14:paraId="44B7C5E3">
      <w:pPr>
        <w:widowControl/>
        <w:jc w:val="left"/>
        <w:rPr>
          <w:rFonts w:ascii="宋体" w:hAnsi="宋体" w:cs="仿宋_GB2312"/>
          <w:b/>
          <w:kern w:val="0"/>
          <w:sz w:val="18"/>
          <w:szCs w:val="18"/>
        </w:rPr>
      </w:pPr>
      <w:r>
        <w:rPr>
          <w:rFonts w:ascii="宋体" w:hAnsi="宋体" w:cs="仿宋_GB2312"/>
          <w:b/>
          <w:kern w:val="0"/>
          <w:sz w:val="18"/>
          <w:szCs w:val="18"/>
        </w:rPr>
        <w:br w:type="page"/>
      </w:r>
    </w:p>
    <w:p w14:paraId="566F4BDF">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0F5F71FF">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5E20EA33">
      <w:pPr>
        <w:spacing w:line="360" w:lineRule="auto"/>
      </w:pPr>
    </w:p>
    <w:bookmarkEnd w:id="10"/>
    <w:bookmarkEnd w:id="11"/>
    <w:bookmarkEnd w:id="12"/>
    <w:bookmarkEnd w:id="13"/>
    <w:p w14:paraId="1DA779F0">
      <w:pPr>
        <w:pStyle w:val="2"/>
        <w:spacing w:before="0" w:after="0"/>
        <w:jc w:val="center"/>
        <w:rPr>
          <w:rFonts w:ascii="Times New Roman"/>
          <w:color w:val="auto"/>
          <w:sz w:val="30"/>
        </w:rPr>
      </w:pPr>
      <w:bookmarkStart w:id="14" w:name="_Toc29629"/>
      <w:bookmarkStart w:id="15" w:name="_Toc123112268"/>
      <w:bookmarkStart w:id="16" w:name="_Toc30935"/>
      <w:bookmarkStart w:id="17" w:name="_Toc4867"/>
      <w:bookmarkStart w:id="18" w:name="_Toc26897"/>
      <w:bookmarkStart w:id="19" w:name="_Toc123701389"/>
      <w:bookmarkStart w:id="20" w:name="_Toc139991730"/>
      <w:bookmarkStart w:id="21" w:name="_Toc8727"/>
      <w:bookmarkStart w:id="22" w:name="_Toc141703880"/>
      <w:bookmarkStart w:id="23" w:name="_Toc15517"/>
      <w:bookmarkStart w:id="24" w:name="_Toc123112229"/>
      <w:bookmarkStart w:id="25" w:name="_Toc32639"/>
      <w:bookmarkStart w:id="26" w:name="_Toc23386"/>
      <w:bookmarkStart w:id="27" w:name="_Toc6306"/>
      <w:bookmarkStart w:id="28" w:name="_Toc496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58829399"/>
      <w:bookmarkStart w:id="33" w:name="_Toc3224"/>
      <w:bookmarkStart w:id="34" w:name="_Toc13020"/>
      <w:bookmarkStart w:id="35" w:name="_Toc819"/>
      <w:bookmarkStart w:id="36" w:name="_Toc21301"/>
      <w:bookmarkStart w:id="37" w:name="_Toc24860"/>
      <w:bookmarkStart w:id="38" w:name="_Toc2465"/>
      <w:bookmarkStart w:id="39" w:name="_Toc15067"/>
      <w:bookmarkStart w:id="40" w:name="_Toc6617"/>
      <w:bookmarkStart w:id="41" w:name="_Toc22864"/>
      <w:bookmarkStart w:id="42" w:name="_Toc19592"/>
      <w:r>
        <w:rPr>
          <w:rFonts w:hint="eastAsia" w:ascii="Times New Roman"/>
          <w:color w:val="auto"/>
          <w:sz w:val="30"/>
        </w:rPr>
        <w:t>前言</w:t>
      </w:r>
      <w:bookmarkEnd w:id="29"/>
    </w:p>
    <w:p w14:paraId="292E8169">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6FEF398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090C3EC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0F27377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1E5F9E7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2773BD8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6F79C522">
      <w:pPr>
        <w:widowControl/>
        <w:spacing w:line="360" w:lineRule="auto"/>
        <w:jc w:val="left"/>
      </w:pPr>
      <w:r>
        <w:br w:type="page"/>
      </w:r>
    </w:p>
    <w:p w14:paraId="03F9D4A2">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127076AF">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64E2956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546391E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1FE922D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0E2FBB9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2B9AD1E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701A2F9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7DFE196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2F6D395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4E0B85F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3966D11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47AB12A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7F9CFEC4">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4AADF08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75573A0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3920ECB2">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4226C12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34B0C01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36328B1E">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7846DBD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09CF58F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043D5A2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7BC9A0A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009305C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4A0B06B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3C1E766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2C69286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0690BD7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3E31216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0174A32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1DAA1A9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4CF8E05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09E84AD4">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459169AE">
      <w:pPr>
        <w:pStyle w:val="2"/>
        <w:spacing w:before="0" w:after="0"/>
        <w:jc w:val="center"/>
        <w:rPr>
          <w:rFonts w:ascii="Times New Roman"/>
          <w:sz w:val="30"/>
        </w:rPr>
      </w:pPr>
      <w:bookmarkStart w:id="46" w:name="_Toc706"/>
      <w:bookmarkStart w:id="47" w:name="_Toc545"/>
      <w:bookmarkStart w:id="48" w:name="_Toc6683"/>
      <w:bookmarkStart w:id="49" w:name="_Toc20318"/>
      <w:bookmarkStart w:id="50" w:name="_Toc6149"/>
      <w:bookmarkStart w:id="51" w:name="_Toc74065740"/>
      <w:bookmarkStart w:id="52" w:name="_Toc20627"/>
      <w:bookmarkStart w:id="53" w:name="_Toc22708"/>
      <w:bookmarkStart w:id="54" w:name="_Toc13288"/>
      <w:bookmarkStart w:id="55" w:name="_Toc18631"/>
      <w:bookmarkStart w:id="56" w:name="_Toc733"/>
      <w:bookmarkStart w:id="57" w:name="_Toc24571"/>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7C92CD80">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6E4E3200">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00FFB76E">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0CDFBBE3">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086C99F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2B89450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2584A78D">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18A4350B">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2C529F28">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0AC2944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4F51F2EA">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5BB8AB2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7E133B42">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67624377">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6D81EC18">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1DA52578">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60736BA2">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31450D38">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7F4897C8">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6D8BDD6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255DB27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17785C0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53CC2BB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652B3A88">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44BDB791">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500184D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6EA178BC">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6C5865E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5313F9F">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3291E5F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2BF8165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704ECFA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0668FB7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306A2FD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406D109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7AC4A50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7ACA6D5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25FAF60">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46683A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7520D6AC">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7A024F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25F4842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76541AA9">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581D624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150D3616">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69FDC652">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4B424E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1563350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2A0BBF5F">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6C86430B">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5C9270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24A509C6">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3D6CC069">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5BD10928">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07E1AB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79D0B123">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165613F9">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21D9E7CE">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5F7079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2DF8756C">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5E6E048A">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0E00A512">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3730C42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2AA495FE">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485FC2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688B8AF5">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497D1FBD">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36031829">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6EE85333">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4125BB20">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0EB7E0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1B9E3418">
            <w:pPr>
              <w:spacing w:line="360" w:lineRule="auto"/>
              <w:jc w:val="center"/>
              <w:rPr>
                <w:b/>
                <w:sz w:val="18"/>
                <w:szCs w:val="18"/>
              </w:rPr>
            </w:pPr>
            <w:r>
              <w:rPr>
                <w:rFonts w:hint="eastAsia"/>
                <w:b/>
                <w:sz w:val="18"/>
                <w:szCs w:val="18"/>
              </w:rPr>
              <w:t>投资者签署栏</w:t>
            </w:r>
          </w:p>
        </w:tc>
        <w:tc>
          <w:tcPr>
            <w:tcW w:w="851" w:type="dxa"/>
            <w:gridSpan w:val="2"/>
          </w:tcPr>
          <w:p w14:paraId="2B849B56">
            <w:pPr>
              <w:spacing w:line="360" w:lineRule="auto"/>
              <w:rPr>
                <w:sz w:val="18"/>
                <w:szCs w:val="18"/>
              </w:rPr>
            </w:pPr>
            <w:r>
              <w:rPr>
                <w:rFonts w:hint="eastAsia"/>
                <w:sz w:val="18"/>
                <w:szCs w:val="18"/>
              </w:rPr>
              <w:t>个人投资者适用</w:t>
            </w:r>
          </w:p>
        </w:tc>
        <w:tc>
          <w:tcPr>
            <w:tcW w:w="6998" w:type="dxa"/>
            <w:gridSpan w:val="2"/>
          </w:tcPr>
          <w:p w14:paraId="5958551A">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60E7D9B5">
            <w:pPr>
              <w:spacing w:line="360" w:lineRule="auto"/>
              <w:rPr>
                <w:b/>
                <w:sz w:val="18"/>
                <w:szCs w:val="18"/>
              </w:rPr>
            </w:pPr>
          </w:p>
          <w:p w14:paraId="2A4523D2">
            <w:pPr>
              <w:spacing w:line="360" w:lineRule="auto"/>
              <w:rPr>
                <w:b/>
                <w:sz w:val="18"/>
                <w:szCs w:val="18"/>
              </w:rPr>
            </w:pPr>
            <w:r>
              <w:rPr>
                <w:rFonts w:hint="eastAsia"/>
                <w:sz w:val="18"/>
                <w:szCs w:val="18"/>
              </w:rPr>
              <w:t>日期：</w:t>
            </w:r>
          </w:p>
        </w:tc>
      </w:tr>
      <w:tr w14:paraId="37C20C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47FA2DFF">
            <w:pPr>
              <w:spacing w:line="360" w:lineRule="auto"/>
              <w:rPr>
                <w:b/>
                <w:sz w:val="18"/>
                <w:szCs w:val="18"/>
              </w:rPr>
            </w:pPr>
          </w:p>
        </w:tc>
        <w:tc>
          <w:tcPr>
            <w:tcW w:w="851" w:type="dxa"/>
            <w:gridSpan w:val="2"/>
          </w:tcPr>
          <w:p w14:paraId="1502196B">
            <w:pPr>
              <w:spacing w:line="360" w:lineRule="auto"/>
              <w:rPr>
                <w:sz w:val="18"/>
                <w:szCs w:val="18"/>
              </w:rPr>
            </w:pPr>
            <w:r>
              <w:rPr>
                <w:rFonts w:hint="eastAsia"/>
                <w:sz w:val="18"/>
                <w:szCs w:val="18"/>
              </w:rPr>
              <w:t>机构投资者适用</w:t>
            </w:r>
          </w:p>
        </w:tc>
        <w:tc>
          <w:tcPr>
            <w:tcW w:w="6998" w:type="dxa"/>
            <w:gridSpan w:val="2"/>
          </w:tcPr>
          <w:p w14:paraId="52D343D1">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6B443FBE">
            <w:pPr>
              <w:spacing w:line="360" w:lineRule="auto"/>
              <w:rPr>
                <w:rFonts w:cs="Arial"/>
                <w:sz w:val="18"/>
                <w:szCs w:val="18"/>
              </w:rPr>
            </w:pPr>
          </w:p>
          <w:p w14:paraId="6D54C159">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6B962060">
            <w:pPr>
              <w:spacing w:line="360" w:lineRule="auto"/>
              <w:rPr>
                <w:sz w:val="18"/>
                <w:szCs w:val="18"/>
              </w:rPr>
            </w:pPr>
            <w:r>
              <w:rPr>
                <w:rFonts w:hint="eastAsia"/>
                <w:sz w:val="18"/>
                <w:szCs w:val="18"/>
              </w:rPr>
              <w:t>日期：</w:t>
            </w:r>
          </w:p>
        </w:tc>
      </w:tr>
    </w:tbl>
    <w:p w14:paraId="2D6A7C92">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7A9EC94E">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11AB14FA">
      <w:pPr>
        <w:pStyle w:val="14"/>
        <w:spacing w:line="360" w:lineRule="auto"/>
        <w:rPr>
          <w:rFonts w:hAnsi="宋体"/>
          <w:sz w:val="18"/>
          <w:szCs w:val="18"/>
        </w:rPr>
      </w:pPr>
    </w:p>
    <w:p w14:paraId="14847945">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719B9850">
      <w:pPr>
        <w:adjustRightInd w:val="0"/>
        <w:spacing w:line="360" w:lineRule="auto"/>
        <w:jc w:val="center"/>
        <w:rPr>
          <w:rStyle w:val="10"/>
          <w:rFonts w:ascii="宋体" w:hAnsi="宋体"/>
          <w:sz w:val="32"/>
          <w:szCs w:val="32"/>
        </w:rPr>
      </w:pPr>
    </w:p>
    <w:p w14:paraId="01FF8F12">
      <w:pPr>
        <w:adjustRightInd w:val="0"/>
        <w:spacing w:line="360" w:lineRule="auto"/>
        <w:jc w:val="center"/>
        <w:rPr>
          <w:rStyle w:val="10"/>
          <w:rFonts w:ascii="宋体" w:hAnsi="宋体"/>
          <w:sz w:val="32"/>
          <w:szCs w:val="32"/>
        </w:rPr>
      </w:pPr>
    </w:p>
    <w:p w14:paraId="76E469EC">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55286E2">
      <w:pPr>
        <w:adjustRightInd w:val="0"/>
        <w:spacing w:line="360" w:lineRule="auto"/>
        <w:jc w:val="center"/>
        <w:rPr>
          <w:rStyle w:val="10"/>
          <w:rFonts w:ascii="宋体" w:hAnsi="宋体"/>
          <w:sz w:val="32"/>
          <w:szCs w:val="32"/>
        </w:rPr>
      </w:pPr>
    </w:p>
    <w:p w14:paraId="27381E95">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兴银理财【</w:t>
      </w:r>
      <w:r>
        <w:rPr>
          <w:rStyle w:val="10"/>
          <w:rFonts w:hint="eastAsia" w:ascii="黑体" w:hAnsi="黑体" w:eastAsia="黑体"/>
          <w:sz w:val="44"/>
          <w:szCs w:val="44"/>
          <w:lang w:eastAsia="zh-CN"/>
        </w:rPr>
        <w:t>稳利恒盈封闭式固收类</w:t>
      </w:r>
      <w:r>
        <w:rPr>
          <w:rStyle w:val="10"/>
          <w:rFonts w:hint="eastAsia" w:ascii="黑体" w:hAnsi="黑体" w:eastAsia="黑体"/>
          <w:sz w:val="44"/>
          <w:szCs w:val="44"/>
        </w:rPr>
        <w:t>】理财产品</w:t>
      </w:r>
    </w:p>
    <w:p w14:paraId="6DBD06B8">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14:paraId="7F7E3008">
      <w:pPr>
        <w:adjustRightInd w:val="0"/>
        <w:spacing w:line="360" w:lineRule="auto"/>
        <w:jc w:val="center"/>
        <w:rPr>
          <w:rStyle w:val="10"/>
          <w:rFonts w:ascii="宋体" w:hAnsi="宋体"/>
          <w:sz w:val="32"/>
          <w:szCs w:val="32"/>
        </w:rPr>
      </w:pPr>
    </w:p>
    <w:p w14:paraId="150A53FD">
      <w:pPr>
        <w:adjustRightInd w:val="0"/>
        <w:spacing w:line="360" w:lineRule="auto"/>
        <w:jc w:val="center"/>
        <w:rPr>
          <w:rStyle w:val="10"/>
          <w:rFonts w:ascii="黑体" w:hAnsi="黑体" w:eastAsia="黑体"/>
          <w:bCs w:val="0"/>
          <w:sz w:val="28"/>
          <w:szCs w:val="28"/>
        </w:rPr>
      </w:pPr>
    </w:p>
    <w:p w14:paraId="589C32AD">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14:paraId="6AD40C62">
      <w:pPr>
        <w:adjustRightInd w:val="0"/>
        <w:spacing w:line="360" w:lineRule="auto"/>
        <w:jc w:val="center"/>
        <w:rPr>
          <w:rStyle w:val="10"/>
          <w:rFonts w:ascii="宋体" w:hAnsi="宋体"/>
          <w:sz w:val="32"/>
          <w:szCs w:val="32"/>
        </w:rPr>
      </w:pPr>
    </w:p>
    <w:p w14:paraId="10BD4ED2">
      <w:pPr>
        <w:adjustRightInd w:val="0"/>
        <w:spacing w:line="360" w:lineRule="auto"/>
        <w:jc w:val="center"/>
        <w:rPr>
          <w:rStyle w:val="10"/>
          <w:rFonts w:ascii="宋体" w:hAnsi="宋体"/>
          <w:sz w:val="32"/>
          <w:szCs w:val="32"/>
        </w:rPr>
      </w:pPr>
    </w:p>
    <w:p w14:paraId="3DBD58EA">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【2026】年【3】月</w:t>
      </w:r>
    </w:p>
    <w:p w14:paraId="01C61D00">
      <w:pPr>
        <w:adjustRightInd w:val="0"/>
        <w:spacing w:line="360" w:lineRule="auto"/>
        <w:jc w:val="center"/>
        <w:rPr>
          <w:rStyle w:val="10"/>
          <w:rFonts w:ascii="宋体" w:hAnsi="宋体"/>
          <w:sz w:val="32"/>
          <w:szCs w:val="32"/>
        </w:rPr>
      </w:pPr>
    </w:p>
    <w:p w14:paraId="510091DE">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14:paraId="08D7F2AD">
          <w:pPr>
            <w:pStyle w:val="15"/>
            <w:spacing w:line="360" w:lineRule="auto"/>
            <w:jc w:val="center"/>
          </w:pPr>
          <w:bookmarkStart w:id="66" w:name="_Toc78276587"/>
          <w:r>
            <w:rPr>
              <w:lang w:val="zh-CN"/>
            </w:rPr>
            <w:t>目录</w:t>
          </w:r>
        </w:p>
        <w:p w14:paraId="1A9C79BB">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19</w:t>
          </w:r>
          <w:r>
            <w:fldChar w:fldCharType="end"/>
          </w:r>
          <w:r>
            <w:fldChar w:fldCharType="end"/>
          </w:r>
        </w:p>
        <w:p w14:paraId="24C33C25">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24</w:t>
          </w:r>
          <w:r>
            <w:fldChar w:fldCharType="end"/>
          </w:r>
          <w:r>
            <w:fldChar w:fldCharType="end"/>
          </w:r>
        </w:p>
        <w:p w14:paraId="13211B5E">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31</w:t>
          </w:r>
          <w:r>
            <w:fldChar w:fldCharType="end"/>
          </w:r>
          <w:r>
            <w:fldChar w:fldCharType="end"/>
          </w:r>
        </w:p>
        <w:p w14:paraId="70563D1D">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33</w:t>
          </w:r>
          <w:r>
            <w:fldChar w:fldCharType="end"/>
          </w:r>
          <w:r>
            <w:fldChar w:fldCharType="end"/>
          </w:r>
        </w:p>
        <w:p w14:paraId="2244A981">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34</w:t>
          </w:r>
          <w:r>
            <w:fldChar w:fldCharType="end"/>
          </w:r>
          <w:r>
            <w:fldChar w:fldCharType="end"/>
          </w:r>
        </w:p>
        <w:p w14:paraId="07831DDE">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37</w:t>
          </w:r>
          <w:r>
            <w:fldChar w:fldCharType="end"/>
          </w:r>
          <w:r>
            <w:fldChar w:fldCharType="end"/>
          </w:r>
        </w:p>
        <w:p w14:paraId="49DE8981">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38</w:t>
          </w:r>
          <w:r>
            <w:fldChar w:fldCharType="end"/>
          </w:r>
          <w:r>
            <w:fldChar w:fldCharType="end"/>
          </w:r>
        </w:p>
        <w:p w14:paraId="3620D88D">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42</w:t>
          </w:r>
          <w:r>
            <w:fldChar w:fldCharType="end"/>
          </w:r>
          <w:r>
            <w:fldChar w:fldCharType="end"/>
          </w:r>
        </w:p>
        <w:p w14:paraId="6C76DDC9">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43</w:t>
          </w:r>
          <w:r>
            <w:fldChar w:fldCharType="end"/>
          </w:r>
          <w:r>
            <w:fldChar w:fldCharType="end"/>
          </w:r>
        </w:p>
        <w:p w14:paraId="65989E7B">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46</w:t>
          </w:r>
          <w:r>
            <w:fldChar w:fldCharType="end"/>
          </w:r>
          <w:r>
            <w:fldChar w:fldCharType="end"/>
          </w:r>
        </w:p>
        <w:p w14:paraId="369716EB">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48</w:t>
          </w:r>
          <w:r>
            <w:fldChar w:fldCharType="end"/>
          </w:r>
          <w:r>
            <w:fldChar w:fldCharType="end"/>
          </w:r>
        </w:p>
        <w:p w14:paraId="0475195A">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50</w:t>
          </w:r>
          <w:r>
            <w:fldChar w:fldCharType="end"/>
          </w:r>
          <w:r>
            <w:fldChar w:fldCharType="end"/>
          </w:r>
        </w:p>
        <w:p w14:paraId="15086AB1">
          <w:pPr>
            <w:spacing w:line="360" w:lineRule="auto"/>
          </w:pPr>
          <w:r>
            <w:fldChar w:fldCharType="end"/>
          </w:r>
        </w:p>
      </w:sdtContent>
    </w:sdt>
    <w:p w14:paraId="4C012234">
      <w:pPr>
        <w:rPr>
          <w:rFonts w:ascii="Times New Roman"/>
          <w:sz w:val="30"/>
        </w:rPr>
      </w:pPr>
      <w:r>
        <w:rPr>
          <w:rFonts w:ascii="Times New Roman"/>
          <w:sz w:val="30"/>
        </w:rPr>
        <w:br w:type="page"/>
      </w:r>
    </w:p>
    <w:p w14:paraId="719431C7">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14:paraId="10BC1FB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14:paraId="59260DF2">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14:paraId="67302F1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14:paraId="646A204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14:paraId="07297F6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0D3E1CF4">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国家金融监督管理总局认定的其他业务活动</w:t>
      </w:r>
      <w:r>
        <w:rPr>
          <w:rFonts w:asciiTheme="majorEastAsia" w:hAnsiTheme="majorEastAsia" w:eastAsiaTheme="majorEastAsia"/>
          <w:bCs/>
          <w:color w:val="auto"/>
          <w:sz w:val="18"/>
          <w:szCs w:val="18"/>
        </w:rPr>
        <w:t>。各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14:paraId="64A9E25A">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14:paraId="7C95BA69">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14:paraId="60FD67CB">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14:paraId="09228337">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14:paraId="6FED0315">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14:paraId="453A7071">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（6）专业投资者：根据监管规定，指符合下列条件之一的投资者：</w:t>
      </w:r>
    </w:p>
    <w:p w14:paraId="62BDB42A">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1）银行业金融机构、保险业金融机构、金融控股公司、证券基金期货经营机构、私募基金管理人；</w:t>
      </w:r>
    </w:p>
    <w:p w14:paraId="467D98E0">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2）上述机构面向投资者发行的金融产品，信托公司管理的资产服务信托、公益慈善信托；</w:t>
      </w:r>
    </w:p>
    <w:p w14:paraId="6E717A41">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3）社会保障基金、企业年金、职业年金等养老基金，慈善基金等社会公益基金，合格境外机构投资者（QFII）、人民币合格境外机构投资者（RQFII）。</w:t>
      </w:r>
    </w:p>
    <w:p w14:paraId="25FD9195">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（7）普通投资者：专业投资者之外的投资者为普通投资者。</w:t>
      </w:r>
    </w:p>
    <w:p w14:paraId="63AC528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8</w:t>
      </w:r>
      <w:r>
        <w:rPr>
          <w:rFonts w:hint="eastAsia" w:asciiTheme="majorEastAsia" w:hAnsiTheme="majorEastAsia" w:eastAsiaTheme="majorEastAsia"/>
          <w:bCs/>
          <w:color w:val="auto"/>
          <w:sz w:val="18"/>
          <w:szCs w:val="18"/>
        </w:rPr>
        <w:t>）全国银行业理财信息登记系统：指供商业银行及商业银行理财公司进行理财产品电子化报告和信息登记的电子信息系统。</w:t>
      </w:r>
    </w:p>
    <w:p w14:paraId="4BA6B820">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14:paraId="25FC483B">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14:paraId="6E377F34">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】理财产品投资协议书》，以及对该文件的有效修改或补充。</w:t>
      </w:r>
    </w:p>
    <w:p w14:paraId="6DD5088C">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】理财产品产品说明书》，以及对该文件的有效修改或补充。</w:t>
      </w:r>
    </w:p>
    <w:p w14:paraId="18A572FF">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14:paraId="0D32C207">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】理财产品风险揭示书》（文件名称以代理销售机构实际编制为准），以及对该文件的有效修改或补充。</w:t>
      </w:r>
    </w:p>
    <w:p w14:paraId="66DB866B">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14:paraId="09A19F85">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14:paraId="0190033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14:paraId="3BEB60A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14:paraId="1BE182A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14:paraId="2B4126A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212128C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14:paraId="677E70ED">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14:paraId="725D352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14:paraId="2291CA5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14:paraId="7F9A759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14:paraId="4B2B432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62EF728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w:t>
      </w:r>
    </w:p>
    <w:p w14:paraId="4B8786D5">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14:paraId="072922D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14:paraId="3898D369">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14:paraId="6EF2ED84">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14:paraId="124483D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14:paraId="12A03505">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14:paraId="62AF2B80">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14:paraId="53E4525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14:paraId="047FDD2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14:paraId="73F4F4C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14:paraId="24EACFC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14:paraId="5A351B5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14:paraId="4371D652">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14:paraId="52978815">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14:paraId="107B6453">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14:paraId="6D49EEC6">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14:paraId="26DE0233">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14:paraId="033F690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14:paraId="6831A82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14:paraId="60F122C9">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工作日：指除中国法定节假日和公休日外的其他日。</w:t>
      </w:r>
    </w:p>
    <w:p w14:paraId="2A544142">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14:paraId="13A727DF">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14:paraId="03E5D5AE">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14:paraId="337389DD">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14:paraId="50D1584D">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14:paraId="7870086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14:paraId="58FD03A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14:paraId="5A7D068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14:paraId="7E99FA8D">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14:paraId="7980EDC9">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14:paraId="52B44B82">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14:paraId="202D9F29">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14:paraId="0A400082">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14:paraId="5AF45550">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14:paraId="286C72D5">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14:paraId="4902F276">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14:paraId="37F0A00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14:paraId="49362123">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14:paraId="4BD63AED">
      <w:pPr>
        <w:pStyle w:val="2"/>
        <w:spacing w:before="0" w:after="0" w:line="360" w:lineRule="auto"/>
        <w:jc w:val="center"/>
        <w:rPr>
          <w:rFonts w:hAnsi="宋体"/>
          <w:sz w:val="28"/>
          <w:szCs w:val="28"/>
        </w:rPr>
      </w:pPr>
      <w:bookmarkStart w:id="68" w:name="_Toc176189754"/>
      <w:bookmarkStart w:id="69" w:name="_Toc79154665"/>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3E4D56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1" w:hRule="atLeast"/>
          <w:jc w:val="center"/>
        </w:trPr>
        <w:tc>
          <w:tcPr>
            <w:tcW w:w="1970" w:type="dxa"/>
            <w:shd w:val="solid" w:color="FFFFFF" w:fill="FFFFFF"/>
          </w:tcPr>
          <w:p w14:paraId="33689B76">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vAlign w:val="top"/>
          </w:tcPr>
          <w:p w14:paraId="1BFBA5E1">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0"/>
                <w:sz w:val="18"/>
                <w:szCs w:val="18"/>
                <w:lang w:val="en-US" w:eastAsia="zh-CN" w:bidi="ar"/>
              </w:rPr>
              <w:t>【兴银理财稳利恒盈封闭式2026年511期固收类理财产品】</w:t>
            </w:r>
          </w:p>
        </w:tc>
      </w:tr>
      <w:tr w14:paraId="7EA079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14:paraId="1D71FBC9">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vAlign w:val="top"/>
          </w:tcPr>
          <w:p w14:paraId="52A0366C">
            <w:pPr>
              <w:keepNext w:val="0"/>
              <w:keepLines w:val="0"/>
              <w:widowControl/>
              <w:suppressLineNumbers w:val="0"/>
              <w:spacing w:before="0" w:beforeAutospacing="0" w:after="0" w:afterAutospacing="0" w:line="360" w:lineRule="auto"/>
              <w:ind w:left="0" w:leftChars="0" w:right="0" w:rightChars="0"/>
              <w:jc w:val="left"/>
              <w:rPr>
                <w:rFonts w:ascii="宋体" w:hAnsi="宋体"/>
                <w:kern w:val="0"/>
                <w:sz w:val="22"/>
              </w:rPr>
            </w:pPr>
            <w:r>
              <w:rPr>
                <w:rFonts w:ascii="宋体" w:hAnsi="宋体" w:eastAsia="宋体" w:cs="宋体"/>
                <w:sz w:val="18"/>
              </w:rPr>
              <w:t>【稳利恒盈封闭2026年511期13M(纯盈颐养款）A】 (适用【A】类份额)</w:t>
            </w:r>
            <w:r>
              <w:rPr>
                <w:rFonts w:ascii="宋体" w:hAnsi="宋体" w:eastAsia="宋体" w:cs="宋体"/>
                <w:sz w:val="18"/>
              </w:rPr>
              <w:br w:type="textWrapping"/>
            </w:r>
            <w:r>
              <w:rPr>
                <w:rFonts w:ascii="宋体" w:hAnsi="宋体" w:eastAsia="宋体" w:cs="宋体"/>
                <w:sz w:val="18"/>
              </w:rPr>
              <w:t>【稳利恒盈封闭2026年511期13M(纯盈颐养款）C】 (适用【C】类份额)</w:t>
            </w:r>
            <w:r>
              <w:rPr>
                <w:rFonts w:ascii="宋体" w:hAnsi="宋体" w:eastAsia="宋体" w:cs="宋体"/>
                <w:sz w:val="18"/>
              </w:rPr>
              <w:br w:type="textWrapping"/>
            </w:r>
            <w:r>
              <w:rPr>
                <w:rFonts w:ascii="宋体" w:hAnsi="宋体" w:eastAsia="宋体" w:cs="宋体"/>
                <w:sz w:val="18"/>
              </w:rPr>
              <w:t>【稳利恒盈封闭2026年511期13M(纯盈颐养款）D】 (适用【D】类份额)</w:t>
            </w:r>
            <w:r>
              <w:rPr>
                <w:rFonts w:ascii="宋体" w:hAnsi="宋体" w:eastAsia="宋体" w:cs="宋体"/>
                <w:sz w:val="18"/>
              </w:rPr>
              <w:br w:type="textWrapping"/>
            </w:r>
            <w:r>
              <w:rPr>
                <w:rFonts w:ascii="宋体" w:hAnsi="宋体" w:eastAsia="宋体" w:cs="宋体"/>
                <w:sz w:val="18"/>
              </w:rPr>
              <w:t>【稳利恒盈封闭2026年511期13M(纯盈颐养款）E】 (适用【E】类份额)</w:t>
            </w:r>
            <w:r>
              <w:rPr>
                <w:rFonts w:ascii="宋体" w:hAnsi="宋体" w:eastAsia="宋体" w:cs="宋体"/>
                <w:sz w:val="18"/>
              </w:rPr>
              <w:br w:type="textWrapping"/>
            </w:r>
            <w:r>
              <w:rPr>
                <w:rFonts w:ascii="宋体" w:hAnsi="宋体" w:eastAsia="宋体" w:cs="宋体"/>
                <w:sz w:val="18"/>
              </w:rPr>
              <w:t>【稳利恒盈封闭2026年511期13M(纯盈颐养款）F】 (适用【F】类份额)</w:t>
            </w:r>
          </w:p>
        </w:tc>
      </w:tr>
      <w:tr w14:paraId="5ACB12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38B4E135">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vAlign w:val="top"/>
          </w:tcPr>
          <w:p w14:paraId="7D7AD270">
            <w:pPr>
              <w:keepNext w:val="0"/>
              <w:keepLines w:val="0"/>
              <w:suppressLineNumbers w:val="0"/>
              <w:spacing w:before="0" w:beforeAutospacing="0" w:after="0" w:afterAutospacing="0" w:line="360" w:lineRule="auto"/>
              <w:ind w:left="0" w:leftChars="0" w:right="0" w:rightChars="0"/>
              <w:jc w:val="left"/>
              <w:rPr>
                <w:rFonts w:ascii="宋体" w:hAnsi="宋体"/>
                <w:b/>
                <w:sz w:val="18"/>
                <w:szCs w:val="18"/>
              </w:rPr>
            </w:pPr>
            <w:r>
              <w:rPr>
                <w:rFonts w:hint="eastAsia" w:asciiTheme="minorEastAsia" w:hAnsiTheme="minorEastAsia"/>
                <w:sz w:val="18"/>
                <w:szCs w:val="18"/>
              </w:rPr>
              <w:t>【</w:t>
            </w:r>
            <w:r>
              <w:rPr>
                <w:rFonts w:hint="eastAsia" w:asciiTheme="minorEastAsia" w:hAnsiTheme="minorEastAsia"/>
                <w:sz w:val="18"/>
                <w:szCs w:val="18"/>
                <w:lang w:val="en-US" w:eastAsia="zh-CN"/>
              </w:rPr>
              <w:t>Z7002025002004</w:t>
            </w:r>
            <w:r>
              <w:rPr>
                <w:rFonts w:hint="eastAsia" w:asciiTheme="minorEastAsia" w:hAnsiTheme="minorEastAsia"/>
                <w:sz w:val="18"/>
                <w:szCs w:val="18"/>
              </w:rPr>
              <w:t>】</w:t>
            </w:r>
            <w:r>
              <w:rPr>
                <w:rFonts w:hint="eastAsia" w:asciiTheme="majorEastAsia" w:hAnsiTheme="majorEastAsia" w:eastAsiaTheme="majorEastAsia"/>
                <w:sz w:val="18"/>
                <w:szCs w:val="18"/>
              </w:rPr>
              <w:t>投资者可依据理财产品登记编码在中国理财网</w:t>
            </w:r>
            <w:r>
              <w:rPr>
                <w:rFonts w:hint="default" w:asciiTheme="majorEastAsia" w:hAnsiTheme="majorEastAsia" w:eastAsiaTheme="majorEastAsia"/>
                <w:sz w:val="18"/>
                <w:szCs w:val="18"/>
              </w:rPr>
              <w:t>(</w:t>
            </w:r>
            <w:r>
              <w:rPr>
                <w:rFonts w:hint="default"/>
              </w:rPr>
              <w:fldChar w:fldCharType="begin"/>
            </w:r>
            <w:r>
              <w:rPr>
                <w:rFonts w:hint="default"/>
              </w:rPr>
              <w:instrText xml:space="preserve"> HYPERLINK "http://www.chinawealth.com.cn" </w:instrText>
            </w:r>
            <w:r>
              <w:rPr>
                <w:rFonts w:hint="default"/>
              </w:rPr>
              <w:fldChar w:fldCharType="separate"/>
            </w:r>
            <w:r>
              <w:rPr>
                <w:rFonts w:hint="default" w:asciiTheme="majorEastAsia" w:hAnsiTheme="majorEastAsia" w:eastAsiaTheme="majorEastAsia"/>
                <w:sz w:val="18"/>
                <w:szCs w:val="18"/>
              </w:rPr>
              <w:t>www.chinawealth.com.cn</w:t>
            </w:r>
            <w:r>
              <w:rPr>
                <w:rFonts w:hint="default" w:asciiTheme="majorEastAsia" w:hAnsiTheme="majorEastAsia" w:eastAsiaTheme="majorEastAsia"/>
                <w:sz w:val="18"/>
                <w:szCs w:val="18"/>
              </w:rPr>
              <w:fldChar w:fldCharType="end"/>
            </w:r>
            <w:r>
              <w:rPr>
                <w:rFonts w:hint="default"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14:paraId="6540208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64AE2CDB">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14:paraId="53DA4B90">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【9N265110】</w:t>
            </w:r>
          </w:p>
        </w:tc>
      </w:tr>
      <w:tr w14:paraId="665905F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20B37FD6">
            <w:pPr>
              <w:spacing w:line="360" w:lineRule="auto"/>
              <w:jc w:val="left"/>
              <w:rPr>
                <w:rFonts w:hAnsi="宋体"/>
                <w:b/>
                <w:sz w:val="18"/>
                <w:szCs w:val="18"/>
              </w:rPr>
            </w:pPr>
            <w:r>
              <w:rPr>
                <w:rFonts w:hint="eastAsia" w:hAnsi="宋体"/>
                <w:b/>
                <w:sz w:val="18"/>
                <w:szCs w:val="18"/>
              </w:rPr>
              <w:t>★销售代码</w:t>
            </w:r>
          </w:p>
        </w:tc>
        <w:tc>
          <w:tcPr>
            <w:tcW w:w="7674" w:type="dxa"/>
            <w:shd w:val="solid" w:color="FFFFFF" w:fill="FFFFFF"/>
            <w:vAlign w:val="top"/>
          </w:tcPr>
          <w:p w14:paraId="7E310C00">
            <w:pPr>
              <w:keepNext w:val="0"/>
              <w:keepLines w:val="0"/>
              <w:widowControl w:val="0"/>
              <w:suppressLineNumbers w:val="0"/>
              <w:spacing w:before="0" w:beforeAutospacing="0" w:after="0" w:afterAutospacing="0" w:line="360" w:lineRule="auto"/>
              <w:ind w:left="0" w:leftChars="0" w:right="0" w:rightChars="0"/>
              <w:jc w:val="left"/>
              <w:rPr>
                <w:rFonts w:hAnsi="宋体"/>
                <w:sz w:val="18"/>
                <w:szCs w:val="18"/>
              </w:rPr>
            </w:pPr>
            <w:r>
              <w:rPr>
                <w:rFonts w:ascii="宋体" w:hAnsi="宋体" w:eastAsia="宋体" w:cs="宋体"/>
                <w:sz w:val="18"/>
              </w:rPr>
              <w:t>【9N26511A】 (适用【A】类份额)</w:t>
            </w:r>
            <w:r>
              <w:rPr>
                <w:rFonts w:ascii="宋体" w:hAnsi="宋体" w:eastAsia="宋体" w:cs="宋体"/>
                <w:sz w:val="18"/>
              </w:rPr>
              <w:br w:type="textWrapping"/>
            </w:r>
            <w:r>
              <w:rPr>
                <w:rFonts w:ascii="宋体" w:hAnsi="宋体" w:eastAsia="宋体" w:cs="宋体"/>
                <w:sz w:val="18"/>
              </w:rPr>
              <w:t>【9N26511C】 (适用【C】类份额)</w:t>
            </w:r>
            <w:r>
              <w:rPr>
                <w:rFonts w:ascii="宋体" w:hAnsi="宋体" w:eastAsia="宋体" w:cs="宋体"/>
                <w:sz w:val="18"/>
              </w:rPr>
              <w:br w:type="textWrapping"/>
            </w:r>
            <w:r>
              <w:rPr>
                <w:rFonts w:ascii="宋体" w:hAnsi="宋体" w:eastAsia="宋体" w:cs="宋体"/>
                <w:sz w:val="18"/>
              </w:rPr>
              <w:t>【9N26511D】 (适用【D】类份额)</w:t>
            </w:r>
            <w:r>
              <w:rPr>
                <w:rFonts w:ascii="宋体" w:hAnsi="宋体" w:eastAsia="宋体" w:cs="宋体"/>
                <w:sz w:val="18"/>
              </w:rPr>
              <w:br w:type="textWrapping"/>
            </w:r>
            <w:r>
              <w:rPr>
                <w:rFonts w:ascii="宋体" w:hAnsi="宋体" w:eastAsia="宋体" w:cs="宋体"/>
                <w:sz w:val="18"/>
              </w:rPr>
              <w:t>【9N26511E】 (适用【E】类份额)</w:t>
            </w:r>
            <w:r>
              <w:rPr>
                <w:rFonts w:ascii="宋体" w:hAnsi="宋体" w:eastAsia="宋体" w:cs="宋体"/>
                <w:sz w:val="18"/>
              </w:rPr>
              <w:br w:type="textWrapping"/>
            </w:r>
            <w:r>
              <w:rPr>
                <w:rFonts w:ascii="宋体" w:hAnsi="宋体" w:eastAsia="宋体" w:cs="宋体"/>
                <w:sz w:val="18"/>
              </w:rPr>
              <w:t>【9N26511F】 (适用【F】类份额)</w:t>
            </w:r>
          </w:p>
        </w:tc>
      </w:tr>
      <w:tr w14:paraId="1382E86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3554E4D3">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74" w:type="dxa"/>
            <w:shd w:val="solid" w:color="FFFFFF" w:fill="FFFFFF"/>
            <w:vAlign w:val="center"/>
          </w:tcPr>
          <w:p w14:paraId="7C103F2E">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14:paraId="60C990E7">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w:t>
            </w:r>
            <w:r>
              <w:rPr>
                <w:rFonts w:ascii="宋体" w:hAnsi="宋体"/>
                <w:bCs/>
                <w:sz w:val="18"/>
                <w:szCs w:val="18"/>
              </w:rPr>
              <w:t>可能</w:t>
            </w:r>
            <w:r>
              <w:rPr>
                <w:rFonts w:hint="eastAsia" w:ascii="宋体" w:hAnsi="宋体"/>
                <w:bCs/>
                <w:sz w:val="18"/>
                <w:szCs w:val="18"/>
              </w:rPr>
              <w:t>单独设置：</w:t>
            </w:r>
          </w:p>
          <w:p w14:paraId="3F7DB5A3">
            <w:pPr>
              <w:spacing w:line="360" w:lineRule="auto"/>
              <w:rPr>
                <w:rFonts w:ascii="宋体" w:hAnsi="宋体"/>
                <w:bCs/>
                <w:sz w:val="18"/>
                <w:szCs w:val="18"/>
              </w:rPr>
            </w:pPr>
            <w:r>
              <w:rPr>
                <w:rFonts w:hint="eastAsia" w:ascii="宋体" w:hAnsi="宋体"/>
                <w:bCs/>
                <w:sz w:val="18"/>
                <w:szCs w:val="18"/>
              </w:rPr>
              <w:t>（1）销售名称</w:t>
            </w:r>
          </w:p>
          <w:p w14:paraId="24C0467A">
            <w:pPr>
              <w:spacing w:line="360" w:lineRule="auto"/>
              <w:rPr>
                <w:rFonts w:ascii="宋体" w:hAnsi="宋体"/>
                <w:bCs/>
                <w:sz w:val="18"/>
                <w:szCs w:val="18"/>
              </w:rPr>
            </w:pPr>
            <w:r>
              <w:rPr>
                <w:rFonts w:hint="eastAsia" w:ascii="宋体" w:hAnsi="宋体"/>
                <w:bCs/>
                <w:sz w:val="18"/>
                <w:szCs w:val="18"/>
              </w:rPr>
              <w:t>（2）收费方式</w:t>
            </w:r>
          </w:p>
          <w:p w14:paraId="6E175B1A">
            <w:pPr>
              <w:spacing w:line="360" w:lineRule="auto"/>
              <w:rPr>
                <w:rFonts w:ascii="宋体" w:hAnsi="宋体"/>
                <w:bCs/>
                <w:sz w:val="18"/>
                <w:szCs w:val="18"/>
              </w:rPr>
            </w:pPr>
            <w:r>
              <w:rPr>
                <w:rFonts w:hint="eastAsia" w:ascii="宋体" w:hAnsi="宋体"/>
                <w:bCs/>
                <w:sz w:val="18"/>
                <w:szCs w:val="18"/>
              </w:rPr>
              <w:t>（3）销售服务费</w:t>
            </w:r>
          </w:p>
          <w:p w14:paraId="71373B80">
            <w:pPr>
              <w:spacing w:line="360" w:lineRule="auto"/>
              <w:rPr>
                <w:rFonts w:ascii="宋体" w:hAnsi="宋体"/>
                <w:bCs/>
                <w:sz w:val="18"/>
                <w:szCs w:val="18"/>
              </w:rPr>
            </w:pPr>
            <w:r>
              <w:rPr>
                <w:rFonts w:hint="eastAsia" w:ascii="宋体" w:hAnsi="宋体"/>
                <w:bCs/>
                <w:sz w:val="18"/>
                <w:szCs w:val="18"/>
              </w:rPr>
              <w:t>（4）销售代码</w:t>
            </w:r>
          </w:p>
          <w:p w14:paraId="7FC68335">
            <w:pPr>
              <w:spacing w:line="360" w:lineRule="auto"/>
              <w:rPr>
                <w:rFonts w:ascii="宋体" w:hAnsi="宋体"/>
                <w:bCs/>
                <w:sz w:val="18"/>
                <w:szCs w:val="18"/>
              </w:rPr>
            </w:pPr>
            <w:r>
              <w:rPr>
                <w:rFonts w:hint="eastAsia" w:ascii="宋体" w:hAnsi="宋体"/>
                <w:bCs/>
                <w:sz w:val="18"/>
                <w:szCs w:val="18"/>
              </w:rPr>
              <w:t>（5）销售对象</w:t>
            </w:r>
          </w:p>
          <w:p w14:paraId="3A21006C">
            <w:pPr>
              <w:spacing w:line="360" w:lineRule="auto"/>
              <w:rPr>
                <w:rFonts w:ascii="宋体" w:hAnsi="宋体"/>
                <w:bCs/>
                <w:sz w:val="18"/>
                <w:szCs w:val="18"/>
              </w:rPr>
            </w:pPr>
            <w:r>
              <w:rPr>
                <w:rFonts w:hint="eastAsia" w:ascii="宋体" w:hAnsi="宋体"/>
                <w:bCs/>
                <w:sz w:val="18"/>
                <w:szCs w:val="18"/>
              </w:rPr>
              <w:t>（6）销售起点金额（认购、申购的起点金额）</w:t>
            </w:r>
          </w:p>
          <w:p w14:paraId="2C93725F">
            <w:pPr>
              <w:spacing w:line="360" w:lineRule="auto"/>
              <w:rPr>
                <w:rFonts w:ascii="宋体" w:hAnsi="宋体"/>
                <w:bCs/>
                <w:sz w:val="18"/>
                <w:szCs w:val="18"/>
              </w:rPr>
            </w:pPr>
            <w:r>
              <w:rPr>
                <w:rFonts w:hint="eastAsia" w:ascii="宋体" w:hAnsi="宋体"/>
                <w:bCs/>
                <w:sz w:val="18"/>
                <w:szCs w:val="18"/>
              </w:rPr>
              <w:t>（7）投资者认购、申购和赎回的数量限制</w:t>
            </w:r>
          </w:p>
          <w:p w14:paraId="3AA01A42">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14:paraId="364EA086">
            <w:pPr>
              <w:spacing w:line="360" w:lineRule="auto"/>
              <w:rPr>
                <w:rFonts w:ascii="宋体" w:hAnsi="宋体"/>
                <w:bCs/>
                <w:sz w:val="18"/>
                <w:szCs w:val="18"/>
              </w:rPr>
            </w:pPr>
            <w:r>
              <w:rPr>
                <w:rFonts w:hint="eastAsia" w:ascii="宋体" w:hAnsi="宋体"/>
                <w:bCs/>
                <w:sz w:val="18"/>
                <w:szCs w:val="18"/>
              </w:rPr>
              <w:t>（9）分别计算和公告产品份额净值</w:t>
            </w:r>
          </w:p>
          <w:p w14:paraId="7AF466D6">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14:paraId="7289527B">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14:paraId="5A3281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E38CF47">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14:paraId="0870998E">
            <w:pPr>
              <w:spacing w:line="360" w:lineRule="auto"/>
              <w:rPr>
                <w:rFonts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79E6B35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13B42B2">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14:paraId="00CAE050">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14:paraId="45671DB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DE58AE5">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14:paraId="4AC13CB5">
            <w:pPr>
              <w:spacing w:line="360" w:lineRule="auto"/>
              <w:rPr>
                <w:rFonts w:ascii="宋体" w:hAnsi="宋体"/>
                <w:bCs/>
                <w:sz w:val="18"/>
                <w:szCs w:val="18"/>
              </w:rPr>
            </w:pPr>
            <w:r>
              <w:rPr>
                <w:rFonts w:hint="eastAsia" w:ascii="宋体" w:hAnsi="宋体"/>
                <w:bCs/>
                <w:sz w:val="18"/>
                <w:szCs w:val="18"/>
              </w:rPr>
              <w:t>封闭式</w:t>
            </w:r>
          </w:p>
        </w:tc>
      </w:tr>
      <w:tr w14:paraId="74916E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4EFCFD2">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14:paraId="2D7B9388">
            <w:pPr>
              <w:adjustRightInd w:val="0"/>
              <w:snapToGrid w:val="0"/>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14:paraId="46724B2A">
            <w:pPr>
              <w:adjustRightInd w:val="0"/>
              <w:snapToGrid w:val="0"/>
              <w:spacing w:line="360" w:lineRule="auto"/>
              <w:rPr>
                <w:rFonts w:ascii="黑体" w:hAnsi="黑体" w:eastAsia="黑体"/>
                <w:bCs/>
                <w:sz w:val="18"/>
                <w:szCs w:val="18"/>
              </w:rPr>
            </w:pPr>
            <w:r>
              <w:rPr>
                <w:rFonts w:hint="eastAsia" w:ascii="黑体" w:hAnsi="黑体" w:eastAsia="黑体"/>
                <w:sz w:val="18"/>
                <w:szCs w:val="18"/>
              </w:rPr>
              <w:t>固定</w:t>
            </w:r>
            <w:r>
              <w:rPr>
                <w:rFonts w:ascii="黑体" w:hAnsi="黑体" w:eastAsia="黑体"/>
                <w:sz w:val="18"/>
                <w:szCs w:val="18"/>
              </w:rPr>
              <w:t>收益</w:t>
            </w:r>
            <w:r>
              <w:rPr>
                <w:rFonts w:hint="eastAsia" w:ascii="黑体" w:hAnsi="黑体" w:eastAsia="黑体"/>
                <w:sz w:val="18"/>
                <w:szCs w:val="18"/>
              </w:rPr>
              <w:t>类</w:t>
            </w:r>
            <w:r>
              <w:rPr>
                <w:rFonts w:ascii="黑体" w:hAnsi="黑体" w:eastAsia="黑体"/>
                <w:sz w:val="18"/>
                <w:szCs w:val="18"/>
              </w:rPr>
              <w:t>产品是指根据监管</w:t>
            </w:r>
            <w:r>
              <w:rPr>
                <w:rFonts w:hint="eastAsia" w:ascii="黑体" w:hAnsi="黑体" w:eastAsia="黑体"/>
                <w:sz w:val="18"/>
                <w:szCs w:val="18"/>
              </w:rPr>
              <w:t>相关规定</w:t>
            </w:r>
            <w:r>
              <w:rPr>
                <w:rFonts w:ascii="黑体" w:hAnsi="黑体" w:eastAsia="黑体"/>
                <w:sz w:val="18"/>
                <w:szCs w:val="18"/>
              </w:rPr>
              <w:t>，投资于债权类资产的</w:t>
            </w:r>
            <w:r>
              <w:rPr>
                <w:rFonts w:hint="eastAsia" w:ascii="黑体" w:hAnsi="黑体" w:eastAsia="黑体"/>
                <w:sz w:val="18"/>
                <w:szCs w:val="18"/>
              </w:rPr>
              <w:t>比例</w:t>
            </w:r>
            <w:r>
              <w:rPr>
                <w:rFonts w:ascii="黑体" w:hAnsi="黑体" w:eastAsia="黑体"/>
                <w:sz w:val="18"/>
                <w:szCs w:val="18"/>
              </w:rPr>
              <w:t>不低于80%的产品</w:t>
            </w:r>
            <w:r>
              <w:rPr>
                <w:rFonts w:hint="eastAsia" w:ascii="黑体" w:hAnsi="黑体" w:eastAsia="黑体"/>
                <w:bCs/>
                <w:sz w:val="18"/>
                <w:szCs w:val="18"/>
              </w:rPr>
              <w:t>。</w:t>
            </w:r>
          </w:p>
        </w:tc>
      </w:tr>
      <w:tr w14:paraId="01776C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041789B">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74" w:type="dxa"/>
            <w:shd w:val="solid" w:color="FFFFFF" w:fill="FFFFFF"/>
            <w:vAlign w:val="center"/>
          </w:tcPr>
          <w:p w14:paraId="157A1B52">
            <w:pPr>
              <w:adjustRightInd w:val="0"/>
              <w:snapToGrid w:val="0"/>
              <w:spacing w:line="360" w:lineRule="auto"/>
              <w:rPr>
                <w:rFonts w:ascii="黑体" w:hAnsi="黑体" w:eastAsia="黑体"/>
                <w:sz w:val="18"/>
                <w:szCs w:val="18"/>
              </w:rPr>
            </w:pPr>
            <w:r>
              <w:rPr>
                <w:rFonts w:hint="eastAsia" w:ascii="黑体" w:hAnsi="黑体" w:eastAsia="黑体"/>
                <w:sz w:val="18"/>
                <w:szCs w:val="18"/>
              </w:rPr>
              <w:t>非保本浮动收益</w:t>
            </w:r>
          </w:p>
          <w:p w14:paraId="75CEAA69">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14:paraId="6DD4E59B">
            <w:pPr>
              <w:adjustRightInd w:val="0"/>
              <w:snapToGrid w:val="0"/>
              <w:spacing w:line="360" w:lineRule="auto"/>
              <w:rPr>
                <w:rFonts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14:paraId="090574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435DA83">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14:paraId="503B181B">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14:paraId="7E10DA4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4DECE7E">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tcPr>
          <w:p w14:paraId="5481E89B">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w:t>
            </w:r>
            <w:r>
              <w:rPr>
                <w:rFonts w:hint="eastAsia" w:ascii="黑体" w:hAnsi="黑体" w:eastAsia="黑体" w:cs="黑体"/>
                <w:bCs/>
                <w:sz w:val="18"/>
                <w:szCs w:val="18"/>
              </w:rPr>
              <w:t xml:space="preserve"> R1、■ R2、□ R3、□ R4、□ R5】理财产品。</w:t>
            </w:r>
          </w:p>
          <w:p w14:paraId="005DBF81">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14:paraId="2A92B46D">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r>
              <w:rPr>
                <w:rFonts w:hint="eastAsia" w:ascii="黑体" w:hAnsi="黑体" w:eastAsia="黑体"/>
                <w:bCs/>
                <w:sz w:val="18"/>
                <w:szCs w:val="18"/>
              </w:rPr>
              <w:t>本产品存续期内，产品风险评级可能会根据实际情况进行调整。</w:t>
            </w:r>
          </w:p>
        </w:tc>
      </w:tr>
      <w:tr w14:paraId="1EE809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C5AFA51">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14:paraId="1BC07544">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w:t>
            </w:r>
          </w:p>
          <w:p w14:paraId="58F63692">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■个人投资者</w:t>
            </w:r>
          </w:p>
          <w:p w14:paraId="536A40EC">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■机构投资者</w:t>
            </w:r>
          </w:p>
        </w:tc>
      </w:tr>
      <w:tr w14:paraId="564FC2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0FE2A1B">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14:paraId="5DD3708E">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14:paraId="0653EADF">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415C704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68E37CC">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14:paraId="25F211AE">
            <w:pPr>
              <w:spacing w:line="360" w:lineRule="auto"/>
              <w:jc w:val="left"/>
              <w:rPr>
                <w:rFonts w:ascii="宋体" w:hAnsi="宋体"/>
                <w:sz w:val="18"/>
                <w:szCs w:val="18"/>
              </w:rPr>
            </w:pPr>
            <w:r>
              <w:rPr>
                <w:rFonts w:hint="eastAsia" w:ascii="宋体" w:hAnsi="宋体"/>
                <w:sz w:val="18"/>
                <w:szCs w:val="18"/>
              </w:rPr>
              <w:t>□ 直销适用</w:t>
            </w:r>
          </w:p>
          <w:p w14:paraId="1EB19D13">
            <w:pPr>
              <w:spacing w:line="360" w:lineRule="auto"/>
              <w:jc w:val="left"/>
              <w:rPr>
                <w:rFonts w:ascii="宋体" w:hAnsi="宋体"/>
                <w:sz w:val="18"/>
                <w:szCs w:val="18"/>
              </w:rPr>
            </w:pPr>
            <w:r>
              <w:rPr>
                <w:rFonts w:hint="eastAsia" w:ascii="宋体" w:hAnsi="宋体"/>
                <w:sz w:val="18"/>
                <w:szCs w:val="18"/>
              </w:rPr>
              <w:t>本产品由产品管理人销售。</w:t>
            </w:r>
          </w:p>
          <w:p w14:paraId="5D29E0A9">
            <w:pPr>
              <w:spacing w:line="360" w:lineRule="auto"/>
              <w:jc w:val="left"/>
              <w:rPr>
                <w:rFonts w:ascii="宋体" w:hAnsi="宋体"/>
                <w:sz w:val="18"/>
                <w:szCs w:val="18"/>
              </w:rPr>
            </w:pPr>
            <w:r>
              <w:rPr>
                <w:rFonts w:hint="eastAsia" w:ascii="宋体" w:hAnsi="宋体"/>
                <w:sz w:val="18"/>
                <w:szCs w:val="18"/>
              </w:rPr>
              <w:t>■ 代销适用</w:t>
            </w:r>
          </w:p>
          <w:p w14:paraId="627AC9BE">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14:paraId="131E2CF0">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14:paraId="21115F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A02300B">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74" w:type="dxa"/>
            <w:shd w:val="solid" w:color="FFFFFF" w:fill="FFFFFF"/>
            <w:vAlign w:val="center"/>
          </w:tcPr>
          <w:p w14:paraId="6FF82DCE">
            <w:pPr>
              <w:spacing w:line="360" w:lineRule="auto"/>
              <w:rPr>
                <w:rFonts w:asciiTheme="majorEastAsia" w:hAnsiTheme="majorEastAsia" w:eastAsiaTheme="majorEastAsia"/>
                <w:bCs/>
                <w:sz w:val="18"/>
                <w:szCs w:val="18"/>
              </w:rPr>
            </w:pPr>
            <w:r>
              <w:rPr>
                <w:rFonts w:hint="eastAsia" w:ascii="黑体" w:hAnsi="黑体" w:eastAsia="黑体" w:cs="黑体"/>
                <w:bCs/>
                <w:sz w:val="18"/>
                <w:szCs w:val="18"/>
              </w:rPr>
              <w:t>兴银理财有限责任公司</w:t>
            </w:r>
          </w:p>
        </w:tc>
      </w:tr>
      <w:tr w14:paraId="27B474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34CB982">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14:paraId="72A6D15C">
            <w:pPr>
              <w:spacing w:line="360" w:lineRule="auto"/>
              <w:rPr>
                <w:rFonts w:asciiTheme="majorEastAsia" w:hAnsiTheme="majorEastAsia" w:eastAsiaTheme="majorEastAsia"/>
                <w:bCs/>
                <w:sz w:val="18"/>
                <w:szCs w:val="18"/>
              </w:rPr>
            </w:pPr>
            <w:r>
              <w:rPr>
                <w:rFonts w:hint="eastAsia"/>
              </w:rPr>
              <w:t>兴业银行股份有限公司</w:t>
            </w:r>
          </w:p>
        </w:tc>
      </w:tr>
      <w:tr w14:paraId="5B6A1B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E327492">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14:paraId="5B1255A7">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规模为【8】亿元，最小成立规模为【1.2】亿元。</w:t>
            </w:r>
          </w:p>
          <w:p w14:paraId="34D3ABF9">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14:paraId="400076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306C3D9">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14:paraId="136746FE">
            <w:pPr>
              <w:spacing w:line="360" w:lineRule="auto"/>
              <w:rPr>
                <w:rFonts w:hint="eastAsia" w:asciiTheme="majorEastAsia" w:hAnsiTheme="majorEastAsia" w:eastAsiaTheme="majorEastAsia"/>
                <w:bCs/>
                <w:sz w:val="18"/>
                <w:szCs w:val="18"/>
                <w:lang w:val="en-US" w:eastAsia="zh-CN"/>
              </w:rPr>
            </w:pPr>
            <w:r>
              <w:rPr>
                <w:rFonts w:hint="eastAsia" w:asciiTheme="majorEastAsia" w:hAnsiTheme="majorEastAsia" w:eastAsiaTheme="majorEastAsia"/>
                <w:bCs/>
                <w:sz w:val="18"/>
                <w:szCs w:val="18"/>
                <w:lang w:val="en-US" w:eastAsia="zh-CN"/>
              </w:rPr>
              <w:t>■有固定期限:【403天】</w:t>
            </w:r>
          </w:p>
          <w:p w14:paraId="596C0977">
            <w:pPr>
              <w:spacing w:line="360" w:lineRule="auto"/>
              <w:rPr>
                <w:rFonts w:hint="eastAsia" w:asciiTheme="majorEastAsia" w:hAnsiTheme="majorEastAsia" w:eastAsiaTheme="majorEastAsia"/>
                <w:bCs/>
                <w:sz w:val="18"/>
                <w:szCs w:val="18"/>
                <w:lang w:val="en-US" w:eastAsia="zh-CN"/>
              </w:rPr>
            </w:pPr>
            <w:r>
              <w:rPr>
                <w:rFonts w:hint="eastAsia" w:asciiTheme="majorEastAsia" w:hAnsiTheme="majorEastAsia" w:eastAsiaTheme="majorEastAsia"/>
                <w:bCs/>
                <w:sz w:val="18"/>
                <w:szCs w:val="18"/>
                <w:lang w:val="en-US" w:eastAsia="zh-CN"/>
              </w:rPr>
              <w:t>□无固定期限</w:t>
            </w:r>
          </w:p>
          <w:p w14:paraId="39BB8454">
            <w:pPr>
              <w:spacing w:line="360" w:lineRule="auto"/>
              <w:rPr>
                <w:rFonts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14:paraId="422AF5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7F0CED9">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14:paraId="425FDB23">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lang w:val="en-US" w:eastAsia="zh-CN"/>
              </w:rPr>
              <w:t>【2026年03月12日】【09:00】至【2026年03月19日】【17:00】</w:t>
            </w:r>
            <w:r>
              <w:rPr>
                <w:rFonts w:asciiTheme="majorEastAsia" w:hAnsiTheme="majorEastAsia" w:eastAsiaTheme="majorEastAsia"/>
                <w:sz w:val="18"/>
                <w:szCs w:val="18"/>
              </w:rPr>
              <w:t>。</w:t>
            </w:r>
          </w:p>
          <w:p w14:paraId="20B6FD5B">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14:paraId="0CC64923">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sz w:val="18"/>
              </w:rPr>
              <w:t>。</w:t>
            </w:r>
          </w:p>
          <w:p w14:paraId="3EB84C23">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14:paraId="034BE779">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5FCA31E2">
            <w:pPr>
              <w:spacing w:line="360" w:lineRule="auto"/>
              <w:rPr>
                <w:rFonts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14:paraId="677AF4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155447B">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14:paraId="5FAC4EB0">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14:paraId="00FA030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AB20112">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14:paraId="39753CF3">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2026年03月20日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14:paraId="20EF5AFB">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14:paraId="7583195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F45A481">
            <w:pPr>
              <w:spacing w:line="360" w:lineRule="auto"/>
              <w:jc w:val="left"/>
              <w:rPr>
                <w:rFonts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14:paraId="03E61A29">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2027年04月27日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14:paraId="5C4AD108">
            <w:pPr>
              <w:spacing w:line="360" w:lineRule="auto"/>
              <w:rPr>
                <w:rFonts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14:paraId="5348A8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EDD185E">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74" w:type="dxa"/>
            <w:shd w:val="solid" w:color="FFFFFF" w:fill="FFFFFF"/>
            <w:vAlign w:val="center"/>
          </w:tcPr>
          <w:p w14:paraId="052202CD">
            <w:pPr>
              <w:spacing w:line="360" w:lineRule="auto"/>
              <w:rPr>
                <w:rFonts w:hint="eastAsia" w:asciiTheme="majorEastAsia" w:hAnsiTheme="majorEastAsia" w:eastAsiaTheme="majorEastAsia"/>
                <w:sz w:val="18"/>
                <w:szCs w:val="18"/>
              </w:rPr>
            </w:pPr>
            <w:r>
              <w:rPr>
                <w:rFonts w:ascii="宋体" w:hAnsi="宋体" w:eastAsia="宋体" w:cs="宋体"/>
                <w:sz w:val="18"/>
              </w:rPr>
              <w:t>每笔购买起点金额为【1】元; 超出起点金额的部分以【0.01】元的整数倍递增。（适用【A】类份额)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超出起点金额的部分以【0.01】元的整数倍递增。（适用【C】类份额)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超出起点金额的部分以【0.01】元的整数倍递增。（适用【D】类份额)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超出起点金额的部分以【0.01】元的整数倍递增。（适用【E】类份额)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超出起点金额的部分以【0.01】元的整数倍递增。（适用【F】类份额)</w:t>
            </w:r>
          </w:p>
          <w:p w14:paraId="278935B0">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14:paraId="73EF077B">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14:paraId="73D041F9">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14:paraId="29F7A45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846F863">
            <w:pPr>
              <w:spacing w:line="360" w:lineRule="auto"/>
              <w:jc w:val="left"/>
              <w:rPr>
                <w:rFonts w:hAnsi="宋体"/>
                <w:sz w:val="18"/>
                <w:szCs w:val="18"/>
              </w:rPr>
            </w:pPr>
            <w:r>
              <w:rPr>
                <w:rFonts w:hint="eastAsia" w:hAnsi="宋体"/>
                <w:b/>
                <w:sz w:val="18"/>
                <w:szCs w:val="18"/>
              </w:rPr>
              <w:t>★认购的数量限制</w:t>
            </w:r>
          </w:p>
        </w:tc>
        <w:tc>
          <w:tcPr>
            <w:tcW w:w="7674" w:type="dxa"/>
            <w:shd w:val="solid" w:color="FFFFFF" w:fill="FFFFFF"/>
            <w:vAlign w:val="center"/>
          </w:tcPr>
          <w:p w14:paraId="760F7B40">
            <w:pPr>
              <w:pStyle w:val="14"/>
              <w:spacing w:line="360" w:lineRule="auto"/>
              <w:rPr>
                <w:rFonts w:hint="eastAsia" w:hAnsi="宋体"/>
                <w:bCs/>
                <w:sz w:val="18"/>
                <w:szCs w:val="18"/>
                <w:lang w:val="en-US" w:eastAsia="zh-CN"/>
              </w:rPr>
            </w:pPr>
            <w:r>
              <w:rPr>
                <w:rFonts w:ascii="宋体" w:hAnsi="宋体" w:eastAsia="宋体" w:cs="宋体"/>
                <w:sz w:val="18"/>
              </w:rPr>
              <w:t>认购的数量限制</w:t>
            </w:r>
            <w:r>
              <w:rPr>
                <w:rFonts w:ascii="宋体" w:hAnsi="宋体" w:eastAsia="宋体" w:cs="宋体"/>
                <w:sz w:val="18"/>
              </w:rPr>
              <w:br w:type="textWrapping"/>
            </w:r>
            <w:r>
              <w:rPr>
                <w:rFonts w:ascii="宋体" w:hAnsi="宋体" w:eastAsia="宋体" w:cs="宋体"/>
                <w:sz w:val="18"/>
              </w:rPr>
              <w:t>（1）单一投资者认购上限为【/】元。（适用【A】类份额)</w:t>
            </w:r>
            <w:r>
              <w:rPr>
                <w:rFonts w:ascii="宋体" w:hAnsi="宋体" w:eastAsia="宋体" w:cs="宋体"/>
                <w:sz w:val="18"/>
              </w:rPr>
              <w:br w:type="textWrapping"/>
            </w:r>
            <w:r>
              <w:rPr>
                <w:rFonts w:ascii="宋体" w:hAnsi="宋体" w:eastAsia="宋体" w:cs="宋体"/>
                <w:sz w:val="18"/>
              </w:rPr>
              <w:t xml:space="preserve">     单一投资者认购上限为【/】元。（适用【C】类份额)</w:t>
            </w:r>
            <w:r>
              <w:rPr>
                <w:rFonts w:ascii="宋体" w:hAnsi="宋体" w:eastAsia="宋体" w:cs="宋体"/>
                <w:sz w:val="18"/>
              </w:rPr>
              <w:br w:type="textWrapping"/>
            </w:r>
            <w:r>
              <w:rPr>
                <w:rFonts w:ascii="宋体" w:hAnsi="宋体" w:eastAsia="宋体" w:cs="宋体"/>
                <w:sz w:val="18"/>
              </w:rPr>
              <w:t xml:space="preserve">     单一投资者认购上限为【/】元。（适用【D】类份额)</w:t>
            </w:r>
            <w:r>
              <w:rPr>
                <w:rFonts w:ascii="宋体" w:hAnsi="宋体" w:eastAsia="宋体" w:cs="宋体"/>
                <w:sz w:val="18"/>
              </w:rPr>
              <w:br w:type="textWrapping"/>
            </w:r>
            <w:r>
              <w:rPr>
                <w:rFonts w:ascii="宋体" w:hAnsi="宋体" w:eastAsia="宋体" w:cs="宋体"/>
                <w:sz w:val="18"/>
              </w:rPr>
              <w:t xml:space="preserve">     单一投资者认购上限为【/】元。（适用【E】类份额)</w:t>
            </w:r>
            <w:r>
              <w:rPr>
                <w:rFonts w:ascii="宋体" w:hAnsi="宋体" w:eastAsia="宋体" w:cs="宋体"/>
                <w:sz w:val="18"/>
              </w:rPr>
              <w:br w:type="textWrapping"/>
            </w:r>
            <w:r>
              <w:rPr>
                <w:rFonts w:ascii="宋体" w:hAnsi="宋体" w:eastAsia="宋体" w:cs="宋体"/>
                <w:sz w:val="18"/>
              </w:rPr>
              <w:t xml:space="preserve">     单一投资者认购上限为【/】元。（适用【F】类份额)</w:t>
            </w:r>
            <w:r>
              <w:rPr>
                <w:rFonts w:ascii="宋体" w:hAnsi="宋体" w:eastAsia="宋体" w:cs="宋体"/>
                <w:sz w:val="18"/>
              </w:rPr>
              <w:br w:type="textWrapping"/>
            </w:r>
            <w:r>
              <w:rPr>
                <w:rFonts w:ascii="宋体" w:hAnsi="宋体" w:eastAsia="宋体" w:cs="宋体"/>
                <w:sz w:val="18"/>
              </w:rPr>
              <w:t>（2）产品存续期间，单一投资者最高持有份额上限为【/】份，符合产品管理人流动性管理的稳定资金除外。（适用【A】类份额)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产品存续期间，单一投资者最高持有份额上限为【/】份，符合产品管理人流动性管理的稳定资金除外。（适用【C】类份额)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产品存续期间，单一投资者最高持有份额上限为【/】份，符合产品管理人流动性管理的稳定资金除外。（适用【D】类份额)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产品存续期间，单一投资者最高持有份额上限为【/】份，符合产品管理人流动性管理的稳定资金除外。（适用【E】类份额)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产品存续期间，单一投资者最高持有份额上限为【/】份，符合产品管理人流动性管理的稳定资金除外。（适用【F】类份额)</w:t>
            </w:r>
          </w:p>
          <w:p w14:paraId="1CDEC483">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14:paraId="427DB7F2">
            <w:pPr>
              <w:spacing w:line="360" w:lineRule="auto"/>
              <w:rPr>
                <w:rFonts w:asciiTheme="minorEastAsia" w:hAnsiTheme="minorEastAsia" w:eastAsiaTheme="minorEastAsia"/>
                <w:sz w:val="18"/>
                <w:szCs w:val="18"/>
              </w:rPr>
            </w:pPr>
            <w:r>
              <w:rPr>
                <w:rFonts w:ascii="黑体" w:hAnsi="黑体" w:eastAsia="黑体" w:cs="黑体"/>
                <w:sz w:val="18"/>
              </w:rPr>
              <w:t>注：本产品单一投资者持有份额不得超过产品总份额50%。</w:t>
            </w:r>
            <w:r>
              <w:rPr>
                <w:rFonts w:ascii="黑体" w:hAnsi="黑体" w:eastAsia="黑体" w:cs="黑体"/>
                <w:sz w:val="18"/>
              </w:rPr>
              <w:br w:type="textWrapping"/>
            </w:r>
            <w:r>
              <w:rPr>
                <w:rFonts w:ascii="黑体" w:hAnsi="黑体" w:eastAsia="黑体" w:cs="黑体"/>
                <w:sz w:val="18"/>
              </w:rPr>
              <w:t>（1）投资者认购或申购确认后可能导致其持有份额超过产品总份额50%的，管理人有权拒绝或暂停认购、申购。</w:t>
            </w:r>
            <w:r>
              <w:rPr>
                <w:rFonts w:ascii="黑体" w:hAnsi="黑体" w:eastAsia="黑体" w:cs="黑体"/>
                <w:sz w:val="18"/>
              </w:rPr>
              <w:br w:type="textWrapping"/>
            </w:r>
            <w:r>
              <w:rPr>
                <w:rFonts w:ascii="黑体" w:hAnsi="黑体" w:eastAsia="黑体" w:cs="黑体"/>
                <w:sz w:val="18"/>
              </w:rPr>
              <w:t>（2）非因管理人主观因素导致突破该比例限制的，在单一投资者持有比例降至50%以下之前，管理人不再接受该投资者对本产品的认购、申购申请。</w:t>
            </w:r>
          </w:p>
        </w:tc>
      </w:tr>
      <w:tr w14:paraId="1991F8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1CD4FBC">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74" w:type="dxa"/>
            <w:shd w:val="solid" w:color="FFFFFF" w:fill="FFFFFF"/>
            <w:vAlign w:val="center"/>
          </w:tcPr>
          <w:p w14:paraId="26CA35BB">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14:paraId="69B122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786334F">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14:paraId="3E6FE480">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14:paraId="37A0F77B">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asciiTheme="majorEastAsia" w:hAnsiTheme="majorEastAsia" w:eastAsiaTheme="majorEastAsia"/>
                <w:bCs/>
                <w:sz w:val="18"/>
                <w:szCs w:val="18"/>
              </w:rPr>
              <w:t>的费用和税收。</w:t>
            </w:r>
          </w:p>
          <w:p w14:paraId="1BD16CD5">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asciiTheme="majorEastAsia" w:hAnsiTheme="majorEastAsia" w:eastAsiaTheme="majorEastAsia"/>
                <w:bCs/>
                <w:sz w:val="18"/>
                <w:szCs w:val="18"/>
              </w:rPr>
              <w:t>产品份额净值为基础进行利益分配。</w:t>
            </w:r>
          </w:p>
          <w:p w14:paraId="5B6DE91B">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4.理财产品份额净值四舍五入保留5位小数。</w:t>
            </w:r>
          </w:p>
        </w:tc>
      </w:tr>
      <w:tr w14:paraId="2796BE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62640652">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14:paraId="72699317">
            <w:pPr>
              <w:spacing w:line="360" w:lineRule="auto"/>
              <w:jc w:val="left"/>
              <w:rPr>
                <w:rFonts w:hint="eastAsia" w:hAnsi="宋体"/>
                <w:sz w:val="18"/>
                <w:szCs w:val="18"/>
              </w:rPr>
            </w:pPr>
            <w:r>
              <w:rPr>
                <w:rFonts w:ascii="宋体" w:hAnsi="宋体" w:eastAsia="宋体" w:cs="宋体"/>
                <w:sz w:val="18"/>
              </w:rPr>
              <w:t>1.业绩比较基准的设置</w:t>
            </w:r>
            <w:r>
              <w:rPr>
                <w:rFonts w:ascii="宋体" w:hAnsi="宋体" w:eastAsia="宋体" w:cs="宋体"/>
                <w:sz w:val="18"/>
              </w:rPr>
              <w:br w:type="textWrapping"/>
            </w:r>
            <w:r>
              <w:rPr>
                <w:rFonts w:ascii="宋体" w:hAnsi="宋体" w:eastAsia="宋体" w:cs="宋体"/>
                <w:sz w:val="18"/>
              </w:rPr>
              <w:t>■ 产品管理人设置业绩比较基准。</w:t>
            </w:r>
            <w:r>
              <w:rPr>
                <w:rFonts w:ascii="宋体" w:hAnsi="宋体" w:eastAsia="宋体" w:cs="宋体"/>
                <w:sz w:val="18"/>
              </w:rPr>
              <w:br w:type="textWrapping"/>
            </w:r>
            <w:r>
              <w:rPr>
                <w:rFonts w:ascii="宋体" w:hAnsi="宋体" w:eastAsia="宋体" w:cs="宋体"/>
                <w:sz w:val="18"/>
              </w:rPr>
              <w:t>（1）业绩比较基准的说明：【根据本产品各类资产的拟投资比例、资产信用利差、久期敞口以及流动性溢价，结合当前宏观环境和各类资产价格所处的位置，参考历史经验和回测结果，设定业绩基准。】。</w:t>
            </w:r>
            <w:r>
              <w:rPr>
                <w:rFonts w:ascii="宋体" w:hAnsi="宋体" w:eastAsia="宋体" w:cs="宋体"/>
                <w:sz w:val="18"/>
              </w:rPr>
              <w:br w:type="textWrapping"/>
            </w:r>
            <w:r>
              <w:rPr>
                <w:rFonts w:ascii="宋体" w:hAnsi="宋体" w:eastAsia="宋体" w:cs="宋体"/>
                <w:sz w:val="18"/>
              </w:rPr>
              <w:t>（2）业绩比较基准的设定：管理人对本产品设定业绩比较基准：</w:t>
            </w:r>
            <w:r>
              <w:rPr>
                <w:rFonts w:ascii="宋体" w:hAnsi="宋体" w:eastAsia="宋体" w:cs="宋体"/>
                <w:sz w:val="18"/>
              </w:rPr>
              <w:br w:type="textWrapping"/>
            </w:r>
            <w:r>
              <w:rPr>
                <w:rFonts w:ascii="宋体" w:hAnsi="宋体" w:eastAsia="宋体" w:cs="宋体"/>
                <w:sz w:val="18"/>
              </w:rPr>
              <w:t>年化【2.28%】。（适用【A】类份额)</w:t>
            </w:r>
            <w:r>
              <w:rPr>
                <w:rFonts w:ascii="宋体" w:hAnsi="宋体" w:eastAsia="宋体" w:cs="宋体"/>
                <w:sz w:val="18"/>
              </w:rPr>
              <w:br w:type="textWrapping"/>
            </w:r>
            <w:r>
              <w:rPr>
                <w:rFonts w:ascii="宋体" w:hAnsi="宋体" w:eastAsia="宋体" w:cs="宋体"/>
                <w:sz w:val="18"/>
              </w:rPr>
              <w:t>年化【2.32%】。（适用【C】类份额)</w:t>
            </w:r>
            <w:r>
              <w:rPr>
                <w:rFonts w:ascii="宋体" w:hAnsi="宋体" w:eastAsia="宋体" w:cs="宋体"/>
                <w:sz w:val="18"/>
              </w:rPr>
              <w:br w:type="textWrapping"/>
            </w:r>
            <w:r>
              <w:rPr>
                <w:rFonts w:ascii="宋体" w:hAnsi="宋体" w:eastAsia="宋体" w:cs="宋体"/>
                <w:sz w:val="18"/>
              </w:rPr>
              <w:t>年化【2.27%】。（适用【D】类份额)</w:t>
            </w:r>
            <w:r>
              <w:rPr>
                <w:rFonts w:ascii="宋体" w:hAnsi="宋体" w:eastAsia="宋体" w:cs="宋体"/>
                <w:sz w:val="18"/>
              </w:rPr>
              <w:br w:type="textWrapping"/>
            </w:r>
            <w:r>
              <w:rPr>
                <w:rFonts w:ascii="宋体" w:hAnsi="宋体" w:eastAsia="宋体" w:cs="宋体"/>
                <w:sz w:val="18"/>
              </w:rPr>
              <w:t>年化【2.17%】。（适用【E】类份额)</w:t>
            </w:r>
            <w:r>
              <w:rPr>
                <w:rFonts w:ascii="宋体" w:hAnsi="宋体" w:eastAsia="宋体" w:cs="宋体"/>
                <w:sz w:val="18"/>
              </w:rPr>
              <w:br w:type="textWrapping"/>
            </w:r>
            <w:r>
              <w:rPr>
                <w:rFonts w:ascii="宋体" w:hAnsi="宋体" w:eastAsia="宋体" w:cs="宋体"/>
                <w:sz w:val="18"/>
              </w:rPr>
              <w:t>年化【2.07%】。（适用【F】类份额)</w:t>
            </w:r>
            <w:r>
              <w:rPr>
                <w:rFonts w:ascii="宋体" w:hAnsi="宋体" w:eastAsia="宋体" w:cs="宋体"/>
                <w:sz w:val="18"/>
              </w:rPr>
              <w:br w:type="textWrapping"/>
            </w:r>
            <w:r>
              <w:rPr>
                <w:rFonts w:ascii="宋体" w:hAnsi="宋体" w:eastAsia="宋体" w:cs="宋体"/>
                <w:sz w:val="18"/>
              </w:rPr>
              <w:t>□ 产品管理人不设置业绩比较基准。</w:t>
            </w:r>
          </w:p>
          <w:p w14:paraId="7D74887D">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14:paraId="59AB6D4A">
            <w:pPr>
              <w:spacing w:line="360" w:lineRule="auto"/>
              <w:jc w:val="left"/>
              <w:rPr>
                <w:rFonts w:asciiTheme="majorEastAsia" w:hAnsiTheme="majorEastAsia" w:eastAsiaTheme="majorEastAsia"/>
                <w:b/>
                <w:bCs/>
                <w:sz w:val="18"/>
                <w:szCs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tc>
      </w:tr>
      <w:tr w14:paraId="02C788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794E9436">
            <w:pPr>
              <w:spacing w:line="360" w:lineRule="auto"/>
              <w:jc w:val="left"/>
              <w:rPr>
                <w:sz w:val="18"/>
                <w:szCs w:val="18"/>
              </w:rPr>
            </w:pPr>
            <w:r>
              <w:rPr>
                <w:rFonts w:hint="eastAsia"/>
                <w:sz w:val="18"/>
                <w:szCs w:val="18"/>
              </w:rPr>
              <w:t>★</w:t>
            </w:r>
            <w:r>
              <w:rPr>
                <w:rFonts w:hint="eastAsia"/>
                <w:b/>
                <w:sz w:val="18"/>
                <w:szCs w:val="18"/>
              </w:rPr>
              <w:t>业绩报酬计提</w:t>
            </w:r>
            <w:r>
              <w:rPr>
                <w:rFonts w:ascii="宋体" w:hAnsi="宋体"/>
                <w:b/>
                <w:sz w:val="18"/>
                <w:szCs w:val="18"/>
              </w:rPr>
              <w:t>基准</w:t>
            </w:r>
          </w:p>
        </w:tc>
        <w:tc>
          <w:tcPr>
            <w:tcW w:w="7674" w:type="dxa"/>
            <w:shd w:val="solid" w:color="FFFFFF" w:fill="FFFFFF"/>
            <w:vAlign w:val="center"/>
          </w:tcPr>
          <w:p w14:paraId="6BFB9701">
            <w:pPr>
              <w:spacing w:line="360" w:lineRule="auto"/>
              <w:jc w:val="left"/>
              <w:rPr>
                <w:rFonts w:hint="eastAsia" w:hAnsi="宋体"/>
                <w:bCs/>
                <w:sz w:val="18"/>
                <w:szCs w:val="18"/>
              </w:rPr>
            </w:pPr>
            <w:r>
              <w:rPr>
                <w:rFonts w:ascii="宋体" w:hAnsi="宋体" w:eastAsia="宋体" w:cs="宋体"/>
                <w:sz w:val="18"/>
              </w:rPr>
              <w:t>1.业绩报酬计提基准的设置</w:t>
            </w:r>
            <w:r>
              <w:rPr>
                <w:rFonts w:ascii="宋体" w:hAnsi="宋体" w:eastAsia="宋体" w:cs="宋体"/>
                <w:sz w:val="18"/>
              </w:rPr>
              <w:br w:type="textWrapping"/>
            </w:r>
            <w:r>
              <w:rPr>
                <w:rFonts w:ascii="宋体" w:hAnsi="宋体" w:eastAsia="宋体" w:cs="宋体"/>
                <w:sz w:val="18"/>
              </w:rPr>
              <w:t>■ 产品管理人设置业绩报酬计提基准。</w:t>
            </w:r>
            <w:r>
              <w:rPr>
                <w:rFonts w:ascii="宋体" w:hAnsi="宋体" w:eastAsia="宋体" w:cs="宋体"/>
                <w:sz w:val="18"/>
              </w:rPr>
              <w:br w:type="textWrapping"/>
            </w:r>
            <w:r>
              <w:rPr>
                <w:rFonts w:ascii="宋体" w:hAnsi="宋体" w:eastAsia="宋体" w:cs="宋体"/>
                <w:sz w:val="18"/>
              </w:rPr>
              <w:t>业绩报酬计提基准的设定：管理人对本产品设定业绩报酬计提基准：</w:t>
            </w:r>
            <w:r>
              <w:rPr>
                <w:rFonts w:ascii="宋体" w:hAnsi="宋体" w:eastAsia="宋体" w:cs="宋体"/>
                <w:sz w:val="18"/>
              </w:rPr>
              <w:br w:type="textWrapping"/>
            </w:r>
            <w:r>
              <w:rPr>
                <w:rFonts w:ascii="宋体" w:hAnsi="宋体" w:eastAsia="宋体" w:cs="宋体"/>
                <w:sz w:val="18"/>
              </w:rPr>
              <w:t>年化【2.28%】。（适用【A】类份额)</w:t>
            </w:r>
            <w:r>
              <w:rPr>
                <w:rFonts w:ascii="宋体" w:hAnsi="宋体" w:eastAsia="宋体" w:cs="宋体"/>
                <w:sz w:val="18"/>
              </w:rPr>
              <w:br w:type="textWrapping"/>
            </w:r>
            <w:r>
              <w:rPr>
                <w:rFonts w:ascii="宋体" w:hAnsi="宋体" w:eastAsia="宋体" w:cs="宋体"/>
                <w:sz w:val="18"/>
              </w:rPr>
              <w:t>年化【2.32%】。（适用【C】类份额)</w:t>
            </w:r>
            <w:r>
              <w:rPr>
                <w:rFonts w:ascii="宋体" w:hAnsi="宋体" w:eastAsia="宋体" w:cs="宋体"/>
                <w:sz w:val="18"/>
              </w:rPr>
              <w:br w:type="textWrapping"/>
            </w:r>
            <w:r>
              <w:rPr>
                <w:rFonts w:ascii="宋体" w:hAnsi="宋体" w:eastAsia="宋体" w:cs="宋体"/>
                <w:sz w:val="18"/>
              </w:rPr>
              <w:t>年化【2.27%】。（适用【D】类份额)</w:t>
            </w:r>
            <w:r>
              <w:rPr>
                <w:rFonts w:ascii="宋体" w:hAnsi="宋体" w:eastAsia="宋体" w:cs="宋体"/>
                <w:sz w:val="18"/>
              </w:rPr>
              <w:br w:type="textWrapping"/>
            </w:r>
            <w:r>
              <w:rPr>
                <w:rFonts w:ascii="宋体" w:hAnsi="宋体" w:eastAsia="宋体" w:cs="宋体"/>
                <w:sz w:val="18"/>
              </w:rPr>
              <w:t>年化【2.17%】。（适用【E】类份额)</w:t>
            </w:r>
            <w:r>
              <w:rPr>
                <w:rFonts w:ascii="宋体" w:hAnsi="宋体" w:eastAsia="宋体" w:cs="宋体"/>
                <w:sz w:val="18"/>
              </w:rPr>
              <w:br w:type="textWrapping"/>
            </w:r>
            <w:r>
              <w:rPr>
                <w:rFonts w:ascii="宋体" w:hAnsi="宋体" w:eastAsia="宋体" w:cs="宋体"/>
                <w:sz w:val="18"/>
              </w:rPr>
              <w:t>年化【2.07%】。（适用【F】类份额)</w:t>
            </w:r>
            <w:r>
              <w:rPr>
                <w:rFonts w:ascii="宋体" w:hAnsi="宋体" w:eastAsia="宋体" w:cs="宋体"/>
                <w:sz w:val="18"/>
              </w:rPr>
              <w:br w:type="textWrapping"/>
            </w:r>
            <w:r>
              <w:rPr>
                <w:rFonts w:ascii="宋体" w:hAnsi="宋体" w:eastAsia="宋体" w:cs="宋体"/>
                <w:sz w:val="18"/>
              </w:rPr>
              <w:t>□ 产品管理人不设置业绩报酬计提基准。</w:t>
            </w:r>
          </w:p>
          <w:p w14:paraId="54E1EBF5">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14:paraId="6E9EAFC1">
            <w:pPr>
              <w:autoSpaceDE w:val="0"/>
              <w:autoSpaceDN w:val="0"/>
              <w:adjustRightInd w:val="0"/>
              <w:spacing w:line="360" w:lineRule="auto"/>
              <w:jc w:val="left"/>
              <w:rPr>
                <w:rFonts w:ascii="黑体" w:hAnsi="黑体" w:eastAsia="黑体"/>
                <w:sz w:val="18"/>
              </w:rPr>
            </w:pPr>
            <w:r>
              <w:rPr>
                <w:rFonts w:hint="eastAsia" w:ascii="黑体" w:hAnsi="黑体" w:eastAsia="黑体"/>
                <w:sz w:val="18"/>
              </w:rPr>
              <w:t>（</w:t>
            </w:r>
            <w:r>
              <w:rPr>
                <w:rFonts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14:paraId="09692EF5">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0225F9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4DC5FF90">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14:paraId="24382038">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14:paraId="6259B22F">
            <w:pPr>
              <w:spacing w:line="360" w:lineRule="auto"/>
              <w:jc w:val="left"/>
              <w:rPr>
                <w:rFonts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14:paraId="4F15CA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99B78D6">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14:paraId="4D667DAF">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ascii="黑体" w:hAnsi="黑体" w:eastAsia="黑体" w:cs="黑体"/>
                <w:sz w:val="18"/>
              </w:rPr>
              <w:t>1.理财产品的费率标准</w:t>
            </w:r>
            <w:r>
              <w:rPr>
                <w:rFonts w:ascii="黑体" w:hAnsi="黑体" w:eastAsia="黑体" w:cs="黑体"/>
                <w:sz w:val="18"/>
              </w:rPr>
              <w:br w:type="textWrapping"/>
            </w:r>
            <w:r>
              <w:rPr>
                <w:rFonts w:ascii="黑体" w:hAnsi="黑体" w:eastAsia="黑体" w:cs="黑体"/>
                <w:sz w:val="18"/>
              </w:rPr>
              <w:t>（1）认购费：</w:t>
            </w:r>
            <w:r>
              <w:rPr>
                <w:rFonts w:ascii="黑体" w:hAnsi="黑体" w:eastAsia="黑体" w:cs="黑体"/>
                <w:sz w:val="18"/>
              </w:rPr>
              <w:br w:type="textWrapping"/>
            </w:r>
            <w:r>
              <w:rPr>
                <w:rFonts w:ascii="黑体" w:hAnsi="黑体" w:eastAsia="黑体" w:cs="黑体"/>
                <w:sz w:val="18"/>
              </w:rPr>
              <w:t>【/】。（适用【A】类份额）</w:t>
            </w:r>
            <w:r>
              <w:rPr>
                <w:rFonts w:ascii="黑体" w:hAnsi="黑体" w:eastAsia="黑体" w:cs="黑体"/>
                <w:sz w:val="18"/>
              </w:rPr>
              <w:br w:type="textWrapping"/>
            </w:r>
            <w:r>
              <w:rPr>
                <w:rFonts w:ascii="黑体" w:hAnsi="黑体" w:eastAsia="黑体" w:cs="黑体"/>
                <w:sz w:val="18"/>
              </w:rPr>
              <w:t>【/】。（适用【C】类份额）</w:t>
            </w:r>
            <w:r>
              <w:rPr>
                <w:rFonts w:ascii="黑体" w:hAnsi="黑体" w:eastAsia="黑体" w:cs="黑体"/>
                <w:sz w:val="18"/>
              </w:rPr>
              <w:br w:type="textWrapping"/>
            </w:r>
            <w:r>
              <w:rPr>
                <w:rFonts w:ascii="黑体" w:hAnsi="黑体" w:eastAsia="黑体" w:cs="黑体"/>
                <w:sz w:val="18"/>
              </w:rPr>
              <w:t>【/】。（适用【D】类份额）</w:t>
            </w:r>
            <w:r>
              <w:rPr>
                <w:rFonts w:ascii="黑体" w:hAnsi="黑体" w:eastAsia="黑体" w:cs="黑体"/>
                <w:sz w:val="18"/>
              </w:rPr>
              <w:br w:type="textWrapping"/>
            </w:r>
            <w:r>
              <w:rPr>
                <w:rFonts w:ascii="黑体" w:hAnsi="黑体" w:eastAsia="黑体" w:cs="黑体"/>
                <w:sz w:val="18"/>
              </w:rPr>
              <w:t>【/】。（适用【E】类份额）</w:t>
            </w:r>
            <w:r>
              <w:rPr>
                <w:rFonts w:ascii="黑体" w:hAnsi="黑体" w:eastAsia="黑体" w:cs="黑体"/>
                <w:sz w:val="18"/>
              </w:rPr>
              <w:br w:type="textWrapping"/>
            </w:r>
            <w:r>
              <w:rPr>
                <w:rFonts w:ascii="黑体" w:hAnsi="黑体" w:eastAsia="黑体" w:cs="黑体"/>
                <w:sz w:val="18"/>
              </w:rPr>
              <w:t>【/】。（适用【F】类份额）</w:t>
            </w:r>
            <w:r>
              <w:rPr>
                <w:rFonts w:ascii="黑体" w:hAnsi="黑体" w:eastAsia="黑体" w:cs="黑体"/>
                <w:sz w:val="18"/>
              </w:rPr>
              <w:br w:type="textWrapping"/>
            </w:r>
            <w:r>
              <w:rPr>
                <w:rFonts w:ascii="黑体" w:hAnsi="黑体" w:eastAsia="黑体" w:cs="黑体"/>
                <w:sz w:val="18"/>
              </w:rPr>
              <w:t>（2）销售服务费：</w:t>
            </w:r>
            <w:r>
              <w:rPr>
                <w:rFonts w:ascii="黑体" w:hAnsi="黑体" w:eastAsia="黑体" w:cs="黑体"/>
                <w:sz w:val="18"/>
              </w:rPr>
              <w:br w:type="textWrapping"/>
            </w:r>
            <w:r>
              <w:rPr>
                <w:rFonts w:ascii="黑体" w:hAnsi="黑体" w:eastAsia="黑体" w:cs="黑体"/>
                <w:sz w:val="18"/>
              </w:rPr>
              <w:t>年化费率【0.09%】。（适用【A】类份额）</w:t>
            </w:r>
            <w:r>
              <w:rPr>
                <w:rFonts w:ascii="黑体" w:hAnsi="黑体" w:eastAsia="黑体" w:cs="黑体"/>
                <w:sz w:val="18"/>
              </w:rPr>
              <w:br w:type="textWrapping"/>
            </w:r>
            <w:r>
              <w:rPr>
                <w:rFonts w:ascii="黑体" w:hAnsi="黑体" w:eastAsia="黑体" w:cs="黑体"/>
                <w:sz w:val="18"/>
              </w:rPr>
              <w:t>年化费率【0.05%】。（适用【C】类份额）</w:t>
            </w:r>
            <w:r>
              <w:rPr>
                <w:rFonts w:ascii="黑体" w:hAnsi="黑体" w:eastAsia="黑体" w:cs="黑体"/>
                <w:sz w:val="18"/>
              </w:rPr>
              <w:br w:type="textWrapping"/>
            </w:r>
            <w:r>
              <w:rPr>
                <w:rFonts w:ascii="黑体" w:hAnsi="黑体" w:eastAsia="黑体" w:cs="黑体"/>
                <w:sz w:val="18"/>
              </w:rPr>
              <w:t>年化费率【0.1%】。（适用【D】类份额）</w:t>
            </w:r>
            <w:r>
              <w:rPr>
                <w:rFonts w:ascii="黑体" w:hAnsi="黑体" w:eastAsia="黑体" w:cs="黑体"/>
                <w:sz w:val="18"/>
              </w:rPr>
              <w:br w:type="textWrapping"/>
            </w:r>
            <w:r>
              <w:rPr>
                <w:rFonts w:ascii="黑体" w:hAnsi="黑体" w:eastAsia="黑体" w:cs="黑体"/>
                <w:sz w:val="18"/>
              </w:rPr>
              <w:t>年化费率【0.2%】。（适用【E】类份额）</w:t>
            </w:r>
            <w:r>
              <w:rPr>
                <w:rFonts w:ascii="黑体" w:hAnsi="黑体" w:eastAsia="黑体" w:cs="黑体"/>
                <w:sz w:val="18"/>
              </w:rPr>
              <w:br w:type="textWrapping"/>
            </w:r>
            <w:r>
              <w:rPr>
                <w:rFonts w:ascii="黑体" w:hAnsi="黑体" w:eastAsia="黑体" w:cs="黑体"/>
                <w:sz w:val="18"/>
              </w:rPr>
              <w:t>年化费率【0.3%】。（适用【F】类份额）</w:t>
            </w:r>
            <w:r>
              <w:rPr>
                <w:rFonts w:ascii="黑体" w:hAnsi="黑体" w:eastAsia="黑体" w:cs="黑体"/>
                <w:sz w:val="18"/>
              </w:rPr>
              <w:br w:type="textWrapping"/>
            </w:r>
            <w:r>
              <w:rPr>
                <w:rFonts w:ascii="黑体" w:hAnsi="黑体" w:eastAsia="黑体" w:cs="黑体"/>
                <w:sz w:val="18"/>
              </w:rPr>
              <w:t>（3）投资管理费：年化费率【0.01%】</w:t>
            </w:r>
            <w:r>
              <w:rPr>
                <w:rFonts w:ascii="黑体" w:hAnsi="黑体" w:eastAsia="黑体" w:cs="黑体"/>
                <w:sz w:val="18"/>
              </w:rPr>
              <w:br w:type="textWrapping"/>
            </w:r>
            <w:r>
              <w:rPr>
                <w:rFonts w:ascii="黑体" w:hAnsi="黑体" w:eastAsia="黑体" w:cs="黑体"/>
                <w:sz w:val="18"/>
              </w:rPr>
              <w:t>（4）产品托管费：年化费率【0.01%】</w:t>
            </w:r>
            <w:r>
              <w:rPr>
                <w:rFonts w:ascii="黑体" w:hAnsi="黑体" w:eastAsia="黑体" w:cs="黑体"/>
                <w:sz w:val="18"/>
              </w:rPr>
              <w:br w:type="textWrapping"/>
            </w:r>
            <w:r>
              <w:rPr>
                <w:rFonts w:ascii="黑体" w:hAnsi="黑体" w:eastAsia="黑体" w:cs="黑体"/>
                <w:sz w:val="18"/>
              </w:rPr>
              <w:t>（5）超额业绩报酬：</w:t>
            </w:r>
            <w:r>
              <w:rPr>
                <w:rFonts w:ascii="黑体" w:hAnsi="黑体" w:eastAsia="黑体" w:cs="黑体"/>
                <w:sz w:val="18"/>
              </w:rPr>
              <w:br w:type="textWrapping"/>
            </w:r>
            <w:r>
              <w:rPr>
                <w:rFonts w:ascii="黑体" w:hAnsi="黑体" w:eastAsia="黑体" w:cs="黑体"/>
                <w:sz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2D3E6CAD">
            <w:pPr>
              <w:spacing w:line="360" w:lineRule="auto"/>
              <w:rPr>
                <w:rFonts w:hint="eastAsia" w:ascii="黑体" w:hAnsi="黑体" w:eastAsia="黑体"/>
                <w:bCs/>
                <w:sz w:val="18"/>
                <w:szCs w:val="18"/>
              </w:rPr>
            </w:pPr>
            <w:r>
              <w:rPr>
                <w:rFonts w:hint="eastAsia" w:ascii="黑体" w:hAnsi="黑体" w:eastAsia="黑体"/>
                <w:bCs/>
                <w:sz w:val="18"/>
                <w:szCs w:val="18"/>
              </w:rPr>
              <w:t>2.以上费用金额均按照四舍五入方法，保留到小数点后2位。</w:t>
            </w:r>
          </w:p>
          <w:p w14:paraId="52982CF9">
            <w:pPr>
              <w:spacing w:line="360" w:lineRule="auto"/>
              <w:rPr>
                <w:rFonts w:ascii="黑体" w:hAnsi="黑体" w:eastAsia="黑体"/>
                <w:bCs/>
                <w:sz w:val="18"/>
                <w:szCs w:val="18"/>
              </w:rPr>
            </w:pPr>
            <w:r>
              <w:rPr>
                <w:rFonts w:hint="eastAsia" w:ascii="黑体" w:hAnsi="黑体" w:eastAsia="黑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5241B7B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C612C8B">
            <w:pPr>
              <w:spacing w:line="360" w:lineRule="auto"/>
              <w:jc w:val="left"/>
              <w:rPr>
                <w:rFonts w:hAnsi="宋体"/>
                <w:sz w:val="18"/>
                <w:szCs w:val="18"/>
              </w:rPr>
            </w:pPr>
            <w:r>
              <w:rPr>
                <w:rFonts w:hint="eastAsia" w:ascii="宋体" w:hAnsi="宋体"/>
                <w:b/>
                <w:bCs/>
                <w:kern w:val="0"/>
                <w:sz w:val="18"/>
                <w:szCs w:val="18"/>
              </w:rPr>
              <w:t>税收</w:t>
            </w:r>
          </w:p>
        </w:tc>
        <w:tc>
          <w:tcPr>
            <w:tcW w:w="7674" w:type="dxa"/>
            <w:shd w:val="solid" w:color="FFFFFF" w:fill="FFFFFF"/>
            <w:vAlign w:val="center"/>
          </w:tcPr>
          <w:p w14:paraId="56EDFBC6">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14:paraId="7DFE68F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A4E3768">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14:paraId="23A6E3F1">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14:paraId="2F67D7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41BABF1">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14:paraId="5CBFEF99">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14:paraId="4C06CC11">
      <w:pPr>
        <w:pStyle w:val="14"/>
        <w:spacing w:line="360" w:lineRule="auto"/>
        <w:rPr>
          <w:rFonts w:hAnsi="宋体"/>
          <w:sz w:val="18"/>
          <w:szCs w:val="18"/>
        </w:rPr>
      </w:pPr>
    </w:p>
    <w:p w14:paraId="2E09BEB4">
      <w:pPr>
        <w:widowControl/>
        <w:spacing w:line="360" w:lineRule="auto"/>
        <w:jc w:val="left"/>
        <w:rPr>
          <w:rFonts w:ascii="宋体" w:hAnsi="宋体"/>
          <w:color w:val="000000"/>
          <w:kern w:val="0"/>
          <w:sz w:val="18"/>
          <w:szCs w:val="18"/>
        </w:rPr>
      </w:pPr>
      <w:r>
        <w:rPr>
          <w:rFonts w:hAnsi="宋体"/>
          <w:sz w:val="18"/>
          <w:szCs w:val="18"/>
        </w:rPr>
        <w:br w:type="page"/>
      </w:r>
    </w:p>
    <w:p w14:paraId="2A01B103">
      <w:pPr>
        <w:pStyle w:val="2"/>
        <w:spacing w:before="0" w:after="0" w:line="360" w:lineRule="auto"/>
        <w:jc w:val="center"/>
        <w:rPr>
          <w:rFonts w:ascii="Times New Roman"/>
          <w:sz w:val="30"/>
        </w:rPr>
      </w:pPr>
      <w:bookmarkStart w:id="70" w:name="_Toc176189755"/>
      <w:bookmarkStart w:id="71" w:name="_Toc79154666"/>
      <w:r>
        <w:rPr>
          <w:rFonts w:ascii="Times New Roman"/>
          <w:sz w:val="30"/>
        </w:rPr>
        <w:t>第</w:t>
      </w:r>
      <w:r>
        <w:rPr>
          <w:rFonts w:hint="eastAsia" w:ascii="Times New Roman"/>
          <w:sz w:val="30"/>
        </w:rPr>
        <w:t>三条</w:t>
      </w:r>
      <w:r>
        <w:rPr>
          <w:rFonts w:ascii="Times New Roman"/>
          <w:sz w:val="30"/>
        </w:rPr>
        <w:t xml:space="preserve">  </w:t>
      </w:r>
      <w:bookmarkStart w:id="72" w:name="_Toc79392573"/>
      <w:r>
        <w:rPr>
          <w:rFonts w:hint="eastAsia" w:ascii="Times New Roman"/>
          <w:sz w:val="30"/>
        </w:rPr>
        <w:t>理财产品的认购</w:t>
      </w:r>
      <w:bookmarkEnd w:id="70"/>
      <w:bookmarkEnd w:id="71"/>
    </w:p>
    <w:p w14:paraId="35892CCB">
      <w:pPr>
        <w:spacing w:line="360" w:lineRule="auto"/>
        <w:ind w:firstLine="361" w:firstLineChars="200"/>
        <w:rPr>
          <w:rFonts w:asciiTheme="minorEastAsia" w:hAnsiTheme="minorEastAsia"/>
          <w:b/>
          <w:bCs/>
          <w:sz w:val="18"/>
          <w:szCs w:val="18"/>
        </w:rPr>
      </w:pPr>
      <w:bookmarkStart w:id="73" w:name="_Hlt88031774"/>
      <w:bookmarkEnd w:id="73"/>
      <w:bookmarkStart w:id="74" w:name="_Hlt88031741"/>
      <w:r>
        <w:rPr>
          <w:rFonts w:hint="eastAsia" w:asciiTheme="minorEastAsia" w:hAnsiTheme="minorEastAsia"/>
          <w:b/>
          <w:bCs/>
          <w:sz w:val="18"/>
          <w:szCs w:val="18"/>
        </w:rPr>
        <w:t>（一）理财产品的认购</w:t>
      </w:r>
    </w:p>
    <w:p w14:paraId="7B235AAA">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14:paraId="5ECACADE">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14:paraId="32146356">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14:paraId="5D75C390">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14:paraId="389FBC26">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14:paraId="59A1D545">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14:paraId="0DA122BB">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7C97E4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2B8B9C0A">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14:paraId="34AFB217">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14:paraId="4FB7C0F2">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14:paraId="20E436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27C691A0">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14:paraId="4EDB1058">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14:paraId="6619C13E">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14:paraId="3FFE4375">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14:paraId="0F8069A2">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14:paraId="41B46393">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14:paraId="3485E7FB">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14:paraId="087A5B28">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14:paraId="59151275">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14:paraId="6E88AB5F">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14:paraId="03B9749D">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14:paraId="4B542DA2">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14:paraId="5CB3A9D0">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14:paraId="4D8D07F5">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14:paraId="7EA3B936">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14:paraId="728E005E">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3FAC767A">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14:paraId="51D034A2">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0E89C233">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14:paraId="79C0A280">
      <w:pPr>
        <w:pStyle w:val="14"/>
        <w:spacing w:line="360" w:lineRule="auto"/>
        <w:ind w:firstLine="360" w:firstLineChars="200"/>
        <w:rPr>
          <w:rFonts w:hint="eastAsia" w:asciiTheme="minorEastAsia" w:hAnsiTheme="minorEastAsia" w:eastAsiaTheme="minorEastAsia"/>
          <w:b w:val="0"/>
          <w:bCs/>
          <w:color w:val="auto"/>
          <w:sz w:val="18"/>
          <w:szCs w:val="18"/>
        </w:rPr>
      </w:pPr>
      <w:r>
        <w:rPr>
          <w:rFonts w:hint="eastAsia" w:asciiTheme="minorEastAsia" w:hAnsiTheme="minorEastAsia" w:eastAsiaTheme="minorEastAsia"/>
          <w:b w:val="0"/>
          <w:bCs/>
          <w:color w:val="auto"/>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p>
    <w:p w14:paraId="1445E0AA">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14:paraId="411EC260">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14:paraId="03798A68">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14:paraId="12F3B81F">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14:paraId="7696E39F">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14:paraId="6FA78BE3">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14:paraId="11883E9C">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14:paraId="446E7CE0">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14:paraId="3D2D02A8">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14:paraId="098B7146">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14:paraId="730FBD82">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14:paraId="1213D7EA">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14:paraId="3238B113">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14:paraId="3ADCA522">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2"/>
    <w:bookmarkEnd w:id="74"/>
    <w:p w14:paraId="37244F06">
      <w:pPr>
        <w:pStyle w:val="2"/>
        <w:spacing w:before="0" w:after="0" w:line="360" w:lineRule="auto"/>
        <w:jc w:val="center"/>
        <w:rPr>
          <w:rFonts w:ascii="Times New Roman"/>
          <w:sz w:val="30"/>
        </w:rPr>
      </w:pPr>
      <w:bookmarkStart w:id="75" w:name="_Toc4771"/>
      <w:bookmarkStart w:id="76" w:name="_Toc176189756"/>
      <w:bookmarkStart w:id="77" w:name="_Toc79154668"/>
      <w:bookmarkStart w:id="78" w:name="_Toc22074"/>
      <w:bookmarkStart w:id="79" w:name="_Toc15203"/>
      <w:bookmarkStart w:id="80" w:name="_Toc27189"/>
      <w:bookmarkStart w:id="81" w:name="_Toc16265"/>
      <w:bookmarkStart w:id="82" w:name="_Toc74065741"/>
      <w:bookmarkStart w:id="83" w:name="_Toc6714"/>
      <w:bookmarkStart w:id="84" w:name="_Toc90742321"/>
      <w:bookmarkStart w:id="85" w:name="_Toc90742390"/>
      <w:bookmarkStart w:id="86" w:name="_Toc27226"/>
      <w:bookmarkStart w:id="87" w:name="_Toc29948"/>
      <w:bookmarkStart w:id="88" w:name="_Toc29784"/>
      <w:bookmarkStart w:id="89" w:name="_Toc7151"/>
      <w:bookmarkStart w:id="90" w:name="_Toc90742688"/>
      <w:bookmarkStart w:id="91" w:name="_Toc3266"/>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5"/>
      <w:bookmarkEnd w:id="76"/>
    </w:p>
    <w:p w14:paraId="71C8EBAB">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14:paraId="7602B822">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14:paraId="3BA1EEDB">
      <w:pPr>
        <w:pStyle w:val="2"/>
        <w:spacing w:before="0" w:after="0" w:line="360" w:lineRule="auto"/>
        <w:jc w:val="center"/>
        <w:rPr>
          <w:rFonts w:ascii="Times New Roman"/>
          <w:sz w:val="30"/>
        </w:rPr>
      </w:pPr>
      <w:bookmarkStart w:id="92"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0E438D87">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14:paraId="5C9083D3">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14:paraId="381434D4">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14:paraId="09D3CA86">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14:paraId="41F4A4C8">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14:paraId="79980C31">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ascii="宋体" w:hAnsi="宋体" w:eastAsia="宋体" w:cs="宋体"/>
          <w:sz w:val="18"/>
        </w:rPr>
        <w:t>（1）银行存款、债券逆回购、货币基金等货币市场工具及其它银行间和交易所资金融通工具；</w:t>
      </w:r>
      <w:r>
        <w:rPr>
          <w:rFonts w:ascii="宋体" w:hAnsi="宋体" w:eastAsia="宋体" w:cs="宋体"/>
          <w:sz w:val="18"/>
        </w:rPr>
        <w:br w:type="textWrapping"/>
      </w:r>
      <w:r>
        <w:rPr>
          <w:rFonts w:ascii="宋体" w:hAnsi="宋体" w:eastAsia="宋体" w:cs="宋体"/>
          <w:sz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sz w:val="18"/>
        </w:rPr>
        <w:br w:type="textWrapping"/>
      </w:r>
      <w:r>
        <w:rPr>
          <w:rFonts w:ascii="宋体" w:hAnsi="宋体" w:eastAsia="宋体" w:cs="宋体"/>
          <w:sz w:val="18"/>
        </w:rPr>
        <w:t>（3）符合监管要求的债权类资产。</w:t>
      </w:r>
      <w:r>
        <w:rPr>
          <w:rFonts w:ascii="宋体" w:hAnsi="宋体" w:eastAsia="宋体" w:cs="宋体"/>
          <w:sz w:val="18"/>
        </w:rPr>
        <w:br w:type="textWrapping"/>
      </w:r>
      <w:r>
        <w:rPr>
          <w:rFonts w:ascii="宋体" w:hAnsi="宋体" w:eastAsia="宋体" w:cs="宋体"/>
          <w:sz w:val="18"/>
        </w:rPr>
        <w:t>（4）以套期保值为目的的国债期货、利率互换、信用风险缓释工具、债券借贷。</w:t>
      </w:r>
      <w:r>
        <w:rPr>
          <w:rFonts w:ascii="宋体" w:hAnsi="宋体" w:eastAsia="宋体" w:cs="宋体"/>
          <w:sz w:val="18"/>
        </w:rPr>
        <w:br w:type="textWrapping"/>
      </w:r>
      <w:r>
        <w:rPr>
          <w:rFonts w:ascii="宋体" w:hAnsi="宋体" w:eastAsia="宋体" w:cs="宋体"/>
          <w:sz w:val="18"/>
        </w:rPr>
        <w:t>（5）优先股。</w:t>
      </w:r>
      <w:r>
        <w:rPr>
          <w:rFonts w:ascii="宋体" w:hAnsi="宋体" w:eastAsia="宋体" w:cs="宋体"/>
          <w:sz w:val="18"/>
        </w:rPr>
        <w:br w:type="textWrapping"/>
      </w:r>
      <w:r>
        <w:rPr>
          <w:rFonts w:ascii="宋体" w:hAnsi="宋体" w:eastAsia="宋体" w:cs="宋体"/>
          <w:sz w:val="18"/>
        </w:rPr>
        <w:t>（6）结构化资产管理产品的优先级份额。</w:t>
      </w:r>
      <w:r>
        <w:rPr>
          <w:rFonts w:ascii="宋体" w:hAnsi="宋体" w:eastAsia="宋体" w:cs="宋体"/>
          <w:sz w:val="18"/>
        </w:rPr>
        <w:br w:type="textWrapping"/>
      </w:r>
      <w:r>
        <w:rPr>
          <w:rFonts w:ascii="宋体" w:hAnsi="宋体" w:eastAsia="宋体" w:cs="宋体"/>
          <w:sz w:val="18"/>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rPr>
        <w:br w:type="textWrapping"/>
      </w:r>
      <w:r>
        <w:rPr>
          <w:rFonts w:ascii="宋体" w:hAnsi="宋体" w:eastAsia="宋体" w:cs="宋体"/>
          <w:sz w:val="18"/>
        </w:rPr>
        <w:t>（8）其他风险不高于前述资产的资产。</w:t>
      </w:r>
      <w:r>
        <w:rPr>
          <w:rFonts w:ascii="宋体" w:hAnsi="宋体" w:eastAsia="宋体" w:cs="宋体"/>
          <w:sz w:val="18"/>
        </w:rPr>
        <w:br w:type="textWrapping"/>
      </w: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41657DE0">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14:paraId="5DF6944F">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r>
        <w:rPr>
          <w:rFonts w:ascii="宋体" w:hAnsi="宋体" w:eastAsia="宋体" w:cs="宋体"/>
          <w:sz w:val="18"/>
        </w:rPr>
        <w:t>（1）本产品投资于债权类资产的比例不低于产品总资产的80%。</w:t>
      </w:r>
      <w:r>
        <w:rPr>
          <w:rFonts w:ascii="宋体" w:hAnsi="宋体" w:eastAsia="宋体" w:cs="宋体"/>
          <w:sz w:val="18"/>
        </w:rPr>
        <w:br w:type="textWrapping"/>
      </w:r>
      <w:r>
        <w:rPr>
          <w:rFonts w:ascii="宋体" w:hAnsi="宋体" w:eastAsia="宋体" w:cs="宋体"/>
          <w:sz w:val="18"/>
        </w:rPr>
        <w:t>（2）国债期货、利率互换、信用风险缓释工具等衍生品占产品总资产比例低于20%。</w:t>
      </w:r>
      <w:r>
        <w:rPr>
          <w:rFonts w:ascii="宋体" w:hAnsi="宋体" w:eastAsia="宋体" w:cs="宋体"/>
          <w:sz w:val="18"/>
        </w:rPr>
        <w:br w:type="textWrapping"/>
      </w:r>
      <w:r>
        <w:rPr>
          <w:rFonts w:ascii="宋体" w:hAnsi="宋体" w:eastAsia="宋体" w:cs="宋体"/>
          <w:sz w:val="18"/>
        </w:rPr>
        <w:t>（3）投资于权益类资产的比例不高于产品总资产的10%，权益类资产仅限于投资于优先股和结构化资产管理产品的优先级份额。</w:t>
      </w:r>
      <w:r>
        <w:rPr>
          <w:rFonts w:ascii="宋体" w:hAnsi="宋体" w:eastAsia="宋体" w:cs="宋体"/>
          <w:sz w:val="18"/>
        </w:rPr>
        <w:br w:type="textWrapping"/>
      </w:r>
      <w:r>
        <w:rPr>
          <w:rFonts w:ascii="宋体" w:hAnsi="宋体" w:eastAsia="宋体" w:cs="宋体"/>
          <w:sz w:val="18"/>
        </w:rPr>
        <w:t>（4）符合监管要求的非标准化债权类资产低于产品净资产的50%。</w:t>
      </w:r>
      <w:r>
        <w:rPr>
          <w:rFonts w:ascii="宋体" w:hAnsi="宋体" w:eastAsia="宋体" w:cs="宋体"/>
          <w:sz w:val="18"/>
        </w:rPr>
        <w:br w:type="textWrapping"/>
      </w:r>
      <w:r>
        <w:rPr>
          <w:rFonts w:hint="eastAsia" w:ascii="宋体" w:hAnsi="宋体" w:cs="宋体"/>
          <w:sz w:val="18"/>
          <w:lang w:val="en-US" w:eastAsia="zh-CN"/>
        </w:rPr>
        <w:tab/>
      </w:r>
      <w:r>
        <w:rPr>
          <w:rFonts w:hint="eastAsia" w:asciiTheme="majorEastAsia" w:hAnsiTheme="majorEastAsia" w:eastAsiaTheme="majorEastAsia"/>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4F7FC263">
      <w:pPr>
        <w:autoSpaceDE w:val="0"/>
        <w:autoSpaceDN w:val="0"/>
        <w:adjustRightInd w:val="0"/>
        <w:spacing w:line="360" w:lineRule="auto"/>
        <w:ind w:firstLine="361" w:firstLineChars="200"/>
        <w:jc w:val="left"/>
        <w:rPr>
          <w:rFonts w:hint="eastAsia" w:asciiTheme="majorEastAsia" w:hAnsiTheme="majorEastAsia" w:eastAsiaTheme="majorEastAsia"/>
          <w:b/>
          <w:bCs w:val="0"/>
          <w:kern w:val="0"/>
          <w:sz w:val="18"/>
          <w:szCs w:val="18"/>
        </w:rPr>
      </w:pPr>
      <w:r>
        <w:rPr>
          <w:rFonts w:hint="eastAsia" w:asciiTheme="majorEastAsia" w:hAnsiTheme="majorEastAsia" w:eastAsiaTheme="majorEastAsia"/>
          <w:b/>
          <w:bCs w:val="0"/>
          <w:kern w:val="0"/>
          <w:sz w:val="18"/>
          <w:szCs w:val="18"/>
        </w:rPr>
        <w:t>注：本产品可能投资不存在活跃交易市场，并且需要采用估值技术确定公允价值的资产，且投资上述资产的比例达到理财产品净资产50%以上。</w:t>
      </w:r>
    </w:p>
    <w:p w14:paraId="28AFC3E1">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p>
    <w:p w14:paraId="22CEA8B9">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14:paraId="21160BF2">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14:paraId="1AEE5726">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14:paraId="46965469">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14:paraId="23436A7F">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14:paraId="49EE212B">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14:paraId="67F224EB">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14:paraId="78694180">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14:paraId="7BC7BF69">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14:paraId="325D4A7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（1）每只公募理财产品投资单只证券或者单只公募证券投资基金的市值不得超过该理财产品净资产的10%。</w:t>
      </w:r>
    </w:p>
    <w:p w14:paraId="23C47F5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（2）全部公募理财产品持有单只证券或单只公募证券投资基金的市值，不得超过该证券市值或该公募证券投资基金市值的30%。</w:t>
      </w:r>
    </w:p>
    <w:p w14:paraId="069115F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（3）全部理财产品持有单一上市公司发行的股票，不得超过该上市公司可流通股票的30%。</w:t>
      </w:r>
    </w:p>
    <w:p w14:paraId="29AD503F">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（4）全部开放式公募理财产品投资单一上市公司发行的股票不得超过该上市公司可流通股票的15%。 </w:t>
      </w:r>
    </w:p>
    <w:p w14:paraId="4D9253AF">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（5）本产品因为流动性需要可开展存单质押、债券正回购等融资业务，本产品总资产不超过净资产的200%。</w:t>
      </w:r>
    </w:p>
    <w:p w14:paraId="73ECAA1F">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769DCC53">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14:paraId="766F5F47">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5C7A625E">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14:paraId="18328F4B">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14:paraId="1F0D6C8B">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14:paraId="09D5752D">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14:paraId="7A8CE433">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14:paraId="7E46221E">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14:paraId="167867AD">
      <w:pPr>
        <w:pStyle w:val="14"/>
        <w:spacing w:line="360" w:lineRule="auto"/>
        <w:ind w:firstLine="360" w:firstLineChars="200"/>
        <w:rPr>
          <w:rFonts w:asciiTheme="majorEastAsia" w:hAnsiTheme="majorEastAsia" w:eastAsiaTheme="majorEastAsia"/>
          <w:sz w:val="18"/>
          <w:szCs w:val="18"/>
        </w:rPr>
      </w:pPr>
      <w:r>
        <w:rPr>
          <w:rFonts w:ascii="宋体" w:hAnsi="宋体" w:eastAsia="宋体" w:cs="宋体"/>
          <w:sz w:val="18"/>
        </w:rPr>
        <w:t>【通过对经济基本面、企业盈利、无风险利率水平、资金面等因素进行定性和定量分析，根据产品的业绩目标和回撤目标制定各个阶段产品资产投资比例。</w:t>
      </w:r>
      <w:r>
        <w:rPr>
          <w:rFonts w:ascii="宋体" w:hAnsi="宋体" w:eastAsia="宋体" w:cs="宋体"/>
          <w:sz w:val="18"/>
        </w:rPr>
        <w:br w:type="textWrapping"/>
      </w:r>
      <w:r>
        <w:rPr>
          <w:rFonts w:ascii="宋体" w:hAnsi="宋体" w:eastAsia="宋体" w:cs="宋体"/>
          <w:sz w:val="18"/>
        </w:rPr>
        <w:br w:type="textWrapping"/>
      </w:r>
      <w:r>
        <w:rPr>
          <w:rFonts w:ascii="宋体" w:hAnsi="宋体" w:eastAsia="宋体" w:cs="宋体"/>
          <w:sz w:val="18"/>
        </w:rPr>
        <w:t>】</w:t>
      </w:r>
    </w:p>
    <w:p w14:paraId="5DDCBC89">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14:paraId="09E6F922">
      <w:pPr>
        <w:pStyle w:val="2"/>
        <w:spacing w:before="0" w:after="0" w:line="360" w:lineRule="auto"/>
        <w:jc w:val="center"/>
        <w:rPr>
          <w:rFonts w:ascii="Times New Roman"/>
          <w:sz w:val="30"/>
        </w:rPr>
      </w:pPr>
      <w:bookmarkStart w:id="93" w:name="_Toc17912"/>
      <w:bookmarkStart w:id="94" w:name="_Toc18329"/>
      <w:bookmarkStart w:id="95" w:name="_Toc74065742"/>
      <w:bookmarkStart w:id="96" w:name="_Toc139991735"/>
      <w:bookmarkStart w:id="97" w:name="_Toc176189758"/>
      <w:bookmarkStart w:id="98" w:name="_Toc141703885"/>
      <w:bookmarkStart w:id="99" w:name="_Toc18526"/>
      <w:bookmarkStart w:id="100" w:name="_Toc14893"/>
      <w:bookmarkStart w:id="101" w:name="_Toc1823"/>
      <w:bookmarkStart w:id="102" w:name="_Toc26986"/>
      <w:bookmarkStart w:id="103" w:name="_Toc4741"/>
      <w:bookmarkStart w:id="104" w:name="_Toc79154669"/>
      <w:bookmarkStart w:id="105" w:name="_Toc18797"/>
      <w:bookmarkStart w:id="106" w:name="_Toc7848"/>
      <w:bookmarkStart w:id="107" w:name="_Toc21988"/>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7BAF9D89">
      <w:pPr>
        <w:pStyle w:val="14"/>
        <w:spacing w:line="360" w:lineRule="auto"/>
        <w:ind w:firstLine="361" w:firstLineChars="200"/>
        <w:rPr>
          <w:rFonts w:asciiTheme="majorEastAsia" w:hAnsiTheme="majorEastAsia" w:eastAsiaTheme="majorEastAsia"/>
          <w:b/>
          <w:color w:val="auto"/>
          <w:sz w:val="18"/>
          <w:szCs w:val="18"/>
        </w:rPr>
      </w:pPr>
      <w:bookmarkStart w:id="108" w:name="_Hlk490214295"/>
      <w:r>
        <w:rPr>
          <w:rFonts w:hint="eastAsia" w:asciiTheme="majorEastAsia" w:hAnsiTheme="majorEastAsia" w:eastAsiaTheme="majorEastAsia"/>
          <w:b/>
          <w:color w:val="auto"/>
          <w:sz w:val="18"/>
          <w:szCs w:val="18"/>
        </w:rPr>
        <w:t>（一）理财产品的资产的保管和处分</w:t>
      </w:r>
    </w:p>
    <w:p w14:paraId="550278C4">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14:paraId="0672C361">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14:paraId="57D53825">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1042E8D1">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14:paraId="65F77911">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14:paraId="1D703938">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14:paraId="2D50D4EA">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08"/>
    <w:p w14:paraId="068A37A2">
      <w:pPr>
        <w:pStyle w:val="2"/>
        <w:spacing w:before="0" w:after="0" w:line="360" w:lineRule="auto"/>
        <w:jc w:val="center"/>
        <w:rPr>
          <w:rFonts w:ascii="Times New Roman"/>
          <w:sz w:val="30"/>
        </w:rPr>
      </w:pPr>
      <w:bookmarkStart w:id="109" w:name="_Toc610"/>
      <w:bookmarkStart w:id="110" w:name="_Toc23261"/>
      <w:bookmarkStart w:id="111" w:name="_Toc123051452"/>
      <w:bookmarkStart w:id="112" w:name="_Toc176189759"/>
      <w:bookmarkStart w:id="113" w:name="_Toc48649707"/>
      <w:bookmarkStart w:id="114" w:name="_Toc123102453"/>
      <w:bookmarkStart w:id="115" w:name="_Toc123112234"/>
      <w:bookmarkStart w:id="116" w:name="_Toc10463"/>
      <w:bookmarkStart w:id="117" w:name="_Toc79392606"/>
      <w:bookmarkStart w:id="118" w:name="_Toc74065743"/>
      <w:bookmarkStart w:id="119" w:name="_Toc20733"/>
      <w:bookmarkStart w:id="120" w:name="_Toc98560352"/>
      <w:bookmarkStart w:id="121" w:name="_Toc17244"/>
      <w:bookmarkStart w:id="122" w:name="_Toc4003"/>
      <w:bookmarkStart w:id="123" w:name="_Toc141703886"/>
      <w:bookmarkStart w:id="124" w:name="_Toc139991736"/>
      <w:bookmarkStart w:id="125" w:name="_Toc7920"/>
      <w:bookmarkStart w:id="126" w:name="_Toc1427"/>
      <w:bookmarkStart w:id="127" w:name="_Toc79154670"/>
      <w:bookmarkStart w:id="128" w:name="_Toc23822"/>
      <w:bookmarkStart w:id="129" w:name="_Toc1270"/>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0B2C2C5E">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14:paraId="52E3414A">
      <w:pPr>
        <w:pStyle w:val="14"/>
        <w:spacing w:line="360" w:lineRule="auto"/>
        <w:ind w:firstLine="361" w:firstLineChars="200"/>
        <w:rPr>
          <w:rFonts w:hAnsi="宋体"/>
          <w:b/>
          <w:bCs/>
          <w:sz w:val="18"/>
          <w:szCs w:val="18"/>
        </w:rPr>
      </w:pPr>
      <w:r>
        <w:rPr>
          <w:rFonts w:hint="eastAsia" w:hAnsi="宋体"/>
          <w:b/>
          <w:bCs/>
          <w:sz w:val="18"/>
          <w:szCs w:val="18"/>
        </w:rPr>
        <w:t>（一）估值目的</w:t>
      </w:r>
    </w:p>
    <w:p w14:paraId="3B390345">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14:paraId="390D0946">
      <w:pPr>
        <w:pStyle w:val="14"/>
        <w:spacing w:line="360" w:lineRule="auto"/>
        <w:ind w:firstLine="361" w:firstLineChars="200"/>
        <w:rPr>
          <w:rFonts w:hAnsi="宋体"/>
          <w:b/>
          <w:bCs/>
          <w:sz w:val="18"/>
          <w:szCs w:val="18"/>
        </w:rPr>
      </w:pPr>
      <w:r>
        <w:rPr>
          <w:rFonts w:hint="eastAsia" w:hAnsi="宋体"/>
          <w:b/>
          <w:bCs/>
          <w:sz w:val="18"/>
          <w:szCs w:val="18"/>
        </w:rPr>
        <w:t>（二）估值频率</w:t>
      </w:r>
    </w:p>
    <w:p w14:paraId="614F4E6B">
      <w:pPr>
        <w:pStyle w:val="14"/>
        <w:spacing w:line="360" w:lineRule="auto"/>
        <w:ind w:firstLine="450" w:firstLineChars="250"/>
        <w:rPr>
          <w:sz w:val="18"/>
          <w:szCs w:val="18"/>
        </w:rPr>
      </w:pPr>
      <w:r>
        <w:rPr>
          <w:rFonts w:hint="eastAsia" w:hAnsi="宋体"/>
          <w:sz w:val="18"/>
          <w:szCs w:val="18"/>
        </w:rPr>
        <w:t>本产品存续期间，每【周】进行一次估值。如遇产品到期日、季度末、半年度末、年度末等时间节点管理人将增加估值日。</w:t>
      </w:r>
    </w:p>
    <w:p w14:paraId="41219359">
      <w:pPr>
        <w:pStyle w:val="14"/>
        <w:spacing w:line="360" w:lineRule="auto"/>
        <w:ind w:firstLine="452" w:firstLineChars="250"/>
        <w:rPr>
          <w:rFonts w:hAnsi="宋体"/>
          <w:b/>
          <w:bCs/>
          <w:sz w:val="18"/>
          <w:szCs w:val="18"/>
        </w:rPr>
      </w:pPr>
      <w:r>
        <w:rPr>
          <w:rFonts w:hint="eastAsia" w:hAnsi="宋体"/>
          <w:b/>
          <w:bCs/>
          <w:sz w:val="18"/>
          <w:szCs w:val="18"/>
        </w:rPr>
        <w:t>（三）估值对象</w:t>
      </w:r>
    </w:p>
    <w:p w14:paraId="2D932C20">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14:paraId="3A396D4E">
      <w:pPr>
        <w:pStyle w:val="14"/>
        <w:spacing w:line="360" w:lineRule="auto"/>
        <w:ind w:firstLine="452" w:firstLineChars="250"/>
        <w:rPr>
          <w:rFonts w:hAnsi="宋体"/>
          <w:b/>
          <w:bCs/>
          <w:sz w:val="18"/>
          <w:szCs w:val="18"/>
        </w:rPr>
      </w:pPr>
      <w:r>
        <w:rPr>
          <w:rFonts w:hint="eastAsia" w:hAnsi="宋体"/>
          <w:b/>
          <w:bCs/>
          <w:sz w:val="18"/>
          <w:szCs w:val="18"/>
        </w:rPr>
        <w:t>（四）估值方法</w:t>
      </w:r>
    </w:p>
    <w:p w14:paraId="4CB4F8B7">
      <w:pPr>
        <w:pStyle w:val="14"/>
        <w:spacing w:line="360" w:lineRule="auto"/>
        <w:ind w:firstLine="360" w:firstLineChars="200"/>
        <w:rPr>
          <w:rFonts w:hAnsi="宋体"/>
          <w:bCs/>
          <w:sz w:val="18"/>
          <w:szCs w:val="18"/>
        </w:rPr>
      </w:pPr>
      <w:r>
        <w:rPr>
          <w:rFonts w:hAnsi="宋体"/>
          <w:bCs/>
          <w:sz w:val="18"/>
          <w:szCs w:val="18"/>
        </w:rPr>
        <w:t>1.标准化债权类资产估值</w:t>
      </w:r>
    </w:p>
    <w:p w14:paraId="50408552">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14:paraId="0A284185">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14:paraId="1C2C74F2">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14:paraId="6C85AE9C">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14:paraId="04AF1F3A">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14:paraId="7EDCA72D">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14:paraId="539B64B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14:paraId="599C24A6">
      <w:pPr>
        <w:pStyle w:val="14"/>
        <w:spacing w:line="360" w:lineRule="auto"/>
        <w:ind w:firstLine="360" w:firstLineChars="200"/>
        <w:rPr>
          <w:rFonts w:hAnsi="宋体"/>
          <w:sz w:val="18"/>
          <w:szCs w:val="18"/>
        </w:rPr>
      </w:pPr>
      <w:r>
        <w:rPr>
          <w:rFonts w:hAnsi="宋体"/>
          <w:bCs/>
          <w:sz w:val="18"/>
          <w:szCs w:val="18"/>
        </w:rPr>
        <w:t>3.非标准化债权类资产</w:t>
      </w:r>
    </w:p>
    <w:p w14:paraId="4D29D3C2">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2A62AD28">
      <w:pPr>
        <w:pStyle w:val="14"/>
        <w:spacing w:line="360" w:lineRule="auto"/>
        <w:ind w:firstLine="360" w:firstLineChars="200"/>
        <w:rPr>
          <w:rFonts w:hAnsi="宋体"/>
          <w:bCs/>
          <w:sz w:val="18"/>
          <w:szCs w:val="18"/>
        </w:rPr>
      </w:pPr>
      <w:r>
        <w:rPr>
          <w:rFonts w:hAnsi="宋体"/>
          <w:bCs/>
          <w:sz w:val="18"/>
          <w:szCs w:val="18"/>
        </w:rPr>
        <w:t>4.上市公司股票估值</w:t>
      </w:r>
    </w:p>
    <w:p w14:paraId="0F83F265">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14:paraId="442C88DA">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494F35A7">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14:paraId="62C1C0A3">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3391E9DA">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14:paraId="11ED715C">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14:paraId="17506814">
      <w:pPr>
        <w:pStyle w:val="14"/>
        <w:spacing w:line="360" w:lineRule="auto"/>
        <w:ind w:firstLine="360" w:firstLineChars="200"/>
        <w:rPr>
          <w:rFonts w:hAnsi="宋体"/>
          <w:bCs/>
          <w:sz w:val="18"/>
          <w:szCs w:val="18"/>
        </w:rPr>
      </w:pPr>
      <w:r>
        <w:rPr>
          <w:rFonts w:hAnsi="宋体"/>
          <w:bCs/>
          <w:sz w:val="18"/>
          <w:szCs w:val="18"/>
        </w:rPr>
        <w:t>5.未上市公司股权</w:t>
      </w:r>
    </w:p>
    <w:p w14:paraId="68148917">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14:paraId="0A54D362">
      <w:pPr>
        <w:pStyle w:val="14"/>
        <w:spacing w:line="360" w:lineRule="auto"/>
        <w:ind w:firstLine="360" w:firstLineChars="200"/>
        <w:rPr>
          <w:rFonts w:hAnsi="宋体"/>
          <w:bCs/>
          <w:sz w:val="18"/>
          <w:szCs w:val="18"/>
        </w:rPr>
      </w:pPr>
      <w:r>
        <w:rPr>
          <w:rFonts w:hAnsi="宋体"/>
          <w:bCs/>
          <w:sz w:val="18"/>
          <w:szCs w:val="18"/>
        </w:rPr>
        <w:t>6.优先股</w:t>
      </w:r>
    </w:p>
    <w:p w14:paraId="6166094B">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4CDFC448">
      <w:pPr>
        <w:pStyle w:val="14"/>
        <w:spacing w:line="360" w:lineRule="auto"/>
        <w:ind w:firstLine="360" w:firstLineChars="200"/>
        <w:rPr>
          <w:rFonts w:hAnsi="宋体"/>
          <w:bCs/>
          <w:sz w:val="18"/>
          <w:szCs w:val="18"/>
        </w:rPr>
      </w:pPr>
      <w:r>
        <w:rPr>
          <w:rFonts w:hAnsi="宋体"/>
          <w:bCs/>
          <w:sz w:val="18"/>
          <w:szCs w:val="18"/>
        </w:rPr>
        <w:t>7.证券投资基金估值</w:t>
      </w:r>
    </w:p>
    <w:p w14:paraId="1DABAFC5">
      <w:pPr>
        <w:pStyle w:val="14"/>
        <w:spacing w:line="360" w:lineRule="auto"/>
        <w:ind w:firstLine="360" w:firstLineChars="200"/>
        <w:rPr>
          <w:rFonts w:hAnsi="宋体"/>
          <w:sz w:val="18"/>
          <w:szCs w:val="18"/>
        </w:rPr>
      </w:pPr>
      <w:r>
        <w:rPr>
          <w:rFonts w:hint="eastAsia" w:hAnsi="宋体"/>
          <w:sz w:val="18"/>
          <w:szCs w:val="18"/>
        </w:rPr>
        <w:t>（1）非上市基金估值</w:t>
      </w:r>
    </w:p>
    <w:p w14:paraId="62F89EC1">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14:paraId="6557290F">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14:paraId="4C02A284">
      <w:pPr>
        <w:pStyle w:val="14"/>
        <w:spacing w:line="360" w:lineRule="auto"/>
        <w:ind w:firstLine="360" w:firstLineChars="200"/>
        <w:rPr>
          <w:rFonts w:hAnsi="宋体"/>
          <w:sz w:val="18"/>
          <w:szCs w:val="18"/>
        </w:rPr>
      </w:pPr>
      <w:r>
        <w:rPr>
          <w:rFonts w:hint="eastAsia" w:hAnsi="宋体"/>
          <w:sz w:val="18"/>
          <w:szCs w:val="18"/>
        </w:rPr>
        <w:t>（2）上市基金估值</w:t>
      </w:r>
    </w:p>
    <w:p w14:paraId="37B90190">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14:paraId="7CE0319C">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14:paraId="0E96A306">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14:paraId="2035797C">
      <w:pPr>
        <w:pStyle w:val="14"/>
        <w:spacing w:line="360" w:lineRule="auto"/>
        <w:ind w:firstLine="360" w:firstLineChars="200"/>
        <w:rPr>
          <w:rFonts w:hAnsi="宋体"/>
          <w:bCs/>
          <w:sz w:val="18"/>
          <w:szCs w:val="18"/>
        </w:rPr>
      </w:pPr>
      <w:r>
        <w:rPr>
          <w:rFonts w:hAnsi="宋体"/>
          <w:bCs/>
          <w:sz w:val="18"/>
          <w:szCs w:val="18"/>
        </w:rPr>
        <w:t>8.其他资产管理产品的估值</w:t>
      </w:r>
    </w:p>
    <w:p w14:paraId="631DC091">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09B3F8FA">
      <w:pPr>
        <w:pStyle w:val="14"/>
        <w:spacing w:line="360" w:lineRule="auto"/>
        <w:ind w:firstLine="360" w:firstLineChars="200"/>
        <w:rPr>
          <w:rFonts w:hAnsi="宋体"/>
          <w:bCs/>
          <w:sz w:val="18"/>
          <w:szCs w:val="18"/>
        </w:rPr>
      </w:pPr>
      <w:r>
        <w:rPr>
          <w:rFonts w:hAnsi="宋体"/>
          <w:bCs/>
          <w:sz w:val="18"/>
          <w:szCs w:val="18"/>
        </w:rPr>
        <w:t>9.衍生金融工具估值</w:t>
      </w:r>
    </w:p>
    <w:p w14:paraId="2C6243AA">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3212D016">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14:paraId="651E7998">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14:paraId="196D0D47">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14:paraId="7FECA127">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48C9A342">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14:paraId="3EF7EC3E">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14:paraId="3ED74CD6">
      <w:pPr>
        <w:pStyle w:val="14"/>
        <w:spacing w:line="360" w:lineRule="auto"/>
        <w:ind w:firstLine="361" w:firstLineChars="200"/>
        <w:rPr>
          <w:rFonts w:hAnsi="宋体"/>
          <w:b/>
          <w:bCs/>
          <w:sz w:val="18"/>
          <w:szCs w:val="18"/>
        </w:rPr>
      </w:pPr>
      <w:r>
        <w:rPr>
          <w:rFonts w:hint="eastAsia" w:hAnsi="宋体"/>
          <w:b/>
          <w:bCs/>
          <w:sz w:val="18"/>
          <w:szCs w:val="18"/>
        </w:rPr>
        <w:t>（五）估值程序</w:t>
      </w:r>
    </w:p>
    <w:p w14:paraId="3869476E">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1.产品份额净值是按照估值日产品资产净值除以当日产品总份额计算。国家另有规定的，从其规定。</w:t>
      </w:r>
    </w:p>
    <w:p w14:paraId="2092B54B">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14:paraId="6275DAB1">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68C7ECAF">
      <w:pPr>
        <w:pStyle w:val="14"/>
        <w:spacing w:line="360" w:lineRule="auto"/>
        <w:ind w:firstLine="361" w:firstLineChars="200"/>
        <w:rPr>
          <w:rFonts w:hAnsi="宋体"/>
          <w:b/>
          <w:bCs/>
          <w:sz w:val="18"/>
          <w:szCs w:val="18"/>
        </w:rPr>
      </w:pPr>
      <w:r>
        <w:rPr>
          <w:rFonts w:hint="eastAsia" w:hAnsi="宋体"/>
          <w:b/>
          <w:bCs/>
          <w:sz w:val="18"/>
          <w:szCs w:val="18"/>
        </w:rPr>
        <w:t>（六）估值主体</w:t>
      </w:r>
    </w:p>
    <w:p w14:paraId="3053B0FF">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1160B1C3">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14:paraId="0769E575">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14:paraId="2289F897">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14:paraId="02917120">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14:paraId="1D141B11">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14:paraId="64831FE1">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14:paraId="68EF950E">
      <w:pPr>
        <w:widowControl/>
        <w:spacing w:line="360" w:lineRule="auto"/>
        <w:jc w:val="left"/>
        <w:rPr>
          <w:rFonts w:ascii="宋体" w:hAnsi="宋体"/>
          <w:kern w:val="0"/>
          <w:sz w:val="18"/>
          <w:szCs w:val="18"/>
        </w:rPr>
      </w:pPr>
      <w:r>
        <w:rPr>
          <w:rFonts w:hAnsi="宋体"/>
          <w:sz w:val="18"/>
          <w:szCs w:val="18"/>
        </w:rPr>
        <w:br w:type="page"/>
      </w:r>
    </w:p>
    <w:p w14:paraId="6BC3767B">
      <w:pPr>
        <w:pStyle w:val="2"/>
        <w:spacing w:before="0" w:after="0" w:line="360" w:lineRule="auto"/>
        <w:ind w:left="60" w:firstLine="10"/>
        <w:jc w:val="center"/>
        <w:rPr>
          <w:rFonts w:ascii="Times New Roman"/>
          <w:sz w:val="30"/>
        </w:rPr>
      </w:pPr>
      <w:bookmarkStart w:id="130" w:name="_Hlt70481650"/>
      <w:bookmarkEnd w:id="130"/>
      <w:bookmarkStart w:id="131" w:name="_Toc26207"/>
      <w:bookmarkStart w:id="132" w:name="_Toc12245"/>
      <w:bookmarkStart w:id="133" w:name="_Toc123112235"/>
      <w:bookmarkStart w:id="134" w:name="_Toc176189760"/>
      <w:bookmarkStart w:id="135" w:name="_Toc98560353"/>
      <w:bookmarkStart w:id="136" w:name="_Toc31653"/>
      <w:bookmarkStart w:id="137" w:name="_Toc3601"/>
      <w:bookmarkStart w:id="138" w:name="_Toc74065744"/>
      <w:bookmarkStart w:id="139" w:name="_Toc123051453"/>
      <w:bookmarkStart w:id="140" w:name="_Toc29251"/>
      <w:bookmarkStart w:id="141" w:name="_Toc31644"/>
      <w:bookmarkStart w:id="142" w:name="_Toc14835"/>
      <w:bookmarkStart w:id="143" w:name="_Toc31235"/>
      <w:bookmarkStart w:id="144" w:name="_Toc15143"/>
      <w:bookmarkStart w:id="145" w:name="_Toc141703887"/>
      <w:bookmarkStart w:id="146" w:name="_Toc139991737"/>
      <w:bookmarkStart w:id="147" w:name="_Toc123102454"/>
      <w:bookmarkStart w:id="148" w:name="_Toc79154671"/>
      <w:bookmarkStart w:id="149" w:name="_Toc6405"/>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523711668"/>
      <w:bookmarkStart w:id="153" w:name="_Toc15118234"/>
      <w:bookmarkStart w:id="154" w:name="_Toc57530239"/>
    </w:p>
    <w:p w14:paraId="38FAA3CC">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14:paraId="5C9E8F49">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14:paraId="36D69676">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14:paraId="439EC0FB">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14:paraId="5F861D6A">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14:paraId="312F3DD1">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14:paraId="0E3A987A">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14:paraId="3F467937">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14:paraId="302DF1D7">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14:paraId="2E7EA9B3">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14:paraId="40333AF5">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14:paraId="23AF56E9">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14:paraId="2AFC9817">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14:paraId="5295EEDB">
      <w:pPr>
        <w:spacing w:line="360" w:lineRule="auto"/>
        <w:ind w:firstLine="360"/>
        <w:rPr>
          <w:rFonts w:ascii="宋体" w:hAnsi="宋体"/>
          <w:b/>
          <w:sz w:val="18"/>
          <w:szCs w:val="18"/>
        </w:rPr>
      </w:pPr>
      <w:r>
        <w:rPr>
          <w:rFonts w:hint="eastAsia" w:ascii="宋体" w:hAnsi="宋体"/>
          <w:b/>
          <w:kern w:val="0"/>
          <w:sz w:val="18"/>
          <w:szCs w:val="18"/>
        </w:rPr>
        <w:t>（四）理财利益的分配</w:t>
      </w:r>
    </w:p>
    <w:p w14:paraId="6A904CA3">
      <w:pPr>
        <w:pStyle w:val="14"/>
        <w:spacing w:line="360" w:lineRule="auto"/>
        <w:ind w:firstLine="360" w:firstLineChars="200"/>
        <w:rPr>
          <w:rFonts w:hAnsi="宋体"/>
          <w:color w:val="auto"/>
          <w:sz w:val="18"/>
          <w:szCs w:val="18"/>
        </w:rPr>
      </w:pPr>
      <w:r>
        <w:rPr>
          <w:rFonts w:hint="eastAsia" w:hAnsi="宋体"/>
          <w:color w:val="auto"/>
          <w:sz w:val="18"/>
          <w:szCs w:val="18"/>
        </w:rPr>
        <w:t>1.理财利益的分配日</w:t>
      </w:r>
    </w:p>
    <w:p w14:paraId="6CC947EB">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14:paraId="3B7DF749">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14:paraId="4A07726B">
      <w:pPr>
        <w:pStyle w:val="1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14:paraId="198A63DA">
      <w:pPr>
        <w:widowControl/>
        <w:spacing w:line="360" w:lineRule="auto"/>
        <w:jc w:val="left"/>
        <w:rPr>
          <w:rFonts w:ascii="宋体" w:hAnsi="宋体"/>
          <w:kern w:val="0"/>
          <w:sz w:val="18"/>
          <w:szCs w:val="18"/>
        </w:rPr>
      </w:pPr>
      <w:r>
        <w:rPr>
          <w:rFonts w:hAnsi="宋体"/>
          <w:sz w:val="18"/>
          <w:szCs w:val="18"/>
        </w:rPr>
        <w:br w:type="page"/>
      </w:r>
    </w:p>
    <w:bookmarkEnd w:id="151"/>
    <w:bookmarkEnd w:id="152"/>
    <w:bookmarkEnd w:id="153"/>
    <w:bookmarkEnd w:id="154"/>
    <w:p w14:paraId="379B2D00">
      <w:pPr>
        <w:pStyle w:val="2"/>
        <w:spacing w:before="0" w:after="0" w:line="360" w:lineRule="auto"/>
        <w:jc w:val="center"/>
        <w:rPr>
          <w:rFonts w:ascii="Times New Roman"/>
          <w:sz w:val="30"/>
        </w:rPr>
      </w:pPr>
      <w:bookmarkStart w:id="155" w:name="_Hlt88825574"/>
      <w:bookmarkEnd w:id="155"/>
      <w:bookmarkStart w:id="156" w:name="_Hlt88897298"/>
      <w:bookmarkEnd w:id="156"/>
      <w:bookmarkStart w:id="157" w:name="_Toc79392583"/>
      <w:bookmarkStart w:id="158" w:name="_Toc6447"/>
      <w:bookmarkStart w:id="159" w:name="_Toc25783"/>
      <w:bookmarkStart w:id="160" w:name="_Toc74065745"/>
      <w:bookmarkStart w:id="161" w:name="_Toc9706"/>
      <w:bookmarkStart w:id="162" w:name="_Toc123102455"/>
      <w:bookmarkStart w:id="163" w:name="_Toc10650"/>
      <w:bookmarkStart w:id="164" w:name="_Toc18567"/>
      <w:bookmarkStart w:id="165" w:name="_Toc4559"/>
      <w:bookmarkStart w:id="166" w:name="_Toc7058"/>
      <w:bookmarkStart w:id="167" w:name="_Toc11030"/>
      <w:bookmarkStart w:id="168" w:name="_Toc3321"/>
      <w:bookmarkStart w:id="169" w:name="_Toc141703888"/>
      <w:bookmarkStart w:id="170" w:name="_Toc139991738"/>
      <w:bookmarkStart w:id="171" w:name="_Toc3771"/>
      <w:bookmarkStart w:id="172" w:name="_Toc98560354"/>
      <w:bookmarkStart w:id="173" w:name="_Toc123051454"/>
      <w:bookmarkStart w:id="174" w:name="_Toc176189761"/>
      <w:bookmarkStart w:id="175" w:name="_Toc79154672"/>
      <w:bookmarkStart w:id="176" w:name="_Toc123112236"/>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1F75E5C8">
      <w:pPr>
        <w:pStyle w:val="14"/>
        <w:spacing w:line="360" w:lineRule="auto"/>
        <w:ind w:firstLine="361" w:firstLineChars="200"/>
        <w:rPr>
          <w:rFonts w:hint="eastAsia" w:ascii="黑体" w:hAnsi="黑体" w:eastAsia="黑体" w:cs="黑体"/>
          <w:b/>
          <w:color w:val="auto"/>
          <w:sz w:val="18"/>
          <w:szCs w:val="18"/>
        </w:rPr>
      </w:pPr>
      <w:r>
        <w:rPr>
          <w:rFonts w:hint="eastAsia" w:ascii="黑体" w:hAnsi="黑体" w:eastAsia="黑体" w:cs="黑体"/>
          <w:b/>
          <w:color w:val="auto"/>
          <w:sz w:val="18"/>
          <w:szCs w:val="18"/>
        </w:rPr>
        <w:t>（一）理财产品的费用</w:t>
      </w:r>
    </w:p>
    <w:p w14:paraId="16F2E23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67CE592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121372E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1E3EFA8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0579DED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6C83C72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6FF36A0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24C9CB2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7A76A52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73E1096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4D637D5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55FE004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0670FF41">
      <w:pPr>
        <w:pStyle w:val="14"/>
        <w:spacing w:line="360" w:lineRule="auto"/>
        <w:ind w:firstLine="360" w:firstLineChars="200"/>
        <w:rPr>
          <w:rFonts w:hint="eastAsia" w:ascii="黑体" w:hAnsi="黑体" w:eastAsia="黑体" w:cs="黑体"/>
          <w:b/>
          <w:bCs/>
          <w:kern w:val="0"/>
          <w:sz w:val="18"/>
          <w:szCs w:val="18"/>
        </w:rPr>
      </w:pPr>
      <w:r>
        <w:rPr>
          <w:rFonts w:ascii="宋体" w:hAnsi="宋体" w:eastAsia="宋体" w:cs="宋体"/>
          <w:sz w:val="18"/>
        </w:rPr>
        <w:t>本产品的销售服务费于产品成立日一次性计提，每日摊销。销售服务费的计算方法如下：</w:t>
      </w:r>
      <w:r>
        <w:rPr>
          <w:rFonts w:ascii="宋体" w:hAnsi="宋体" w:eastAsia="宋体" w:cs="宋体"/>
          <w:sz w:val="18"/>
        </w:rPr>
        <w:br w:type="textWrapping"/>
      </w:r>
      <w:r>
        <w:rPr>
          <w:rFonts w:ascii="宋体" w:hAnsi="宋体" w:eastAsia="宋体" w:cs="宋体"/>
          <w:sz w:val="18"/>
        </w:rPr>
        <w:t xml:space="preserve">  H＝E×销售服务费年费率×产品期限总天数÷365</w:t>
      </w:r>
      <w:r>
        <w:rPr>
          <w:rFonts w:ascii="宋体" w:hAnsi="宋体" w:eastAsia="宋体" w:cs="宋体"/>
          <w:sz w:val="18"/>
        </w:rPr>
        <w:br w:type="textWrapping"/>
      </w:r>
      <w:r>
        <w:rPr>
          <w:rFonts w:ascii="宋体" w:hAnsi="宋体" w:eastAsia="宋体" w:cs="宋体"/>
          <w:sz w:val="18"/>
        </w:rPr>
        <w:t xml:space="preserve">  H为应计提的产品销售服务费</w:t>
      </w:r>
      <w:r>
        <w:rPr>
          <w:rFonts w:ascii="宋体" w:hAnsi="宋体" w:eastAsia="宋体" w:cs="宋体"/>
          <w:sz w:val="18"/>
        </w:rPr>
        <w:br w:type="textWrapping"/>
      </w:r>
      <w:r>
        <w:rPr>
          <w:rFonts w:ascii="宋体" w:hAnsi="宋体" w:eastAsia="宋体" w:cs="宋体"/>
          <w:sz w:val="18"/>
        </w:rPr>
        <w:t xml:space="preserve">  E为产品成立日的产品总份额</w:t>
      </w:r>
      <w:r>
        <w:rPr>
          <w:rFonts w:ascii="宋体" w:hAnsi="宋体" w:eastAsia="宋体" w:cs="宋体"/>
          <w:sz w:val="18"/>
        </w:rPr>
        <w:br w:type="textWrapping"/>
      </w:r>
      <w:r>
        <w:rPr>
          <w:rFonts w:ascii="宋体" w:hAnsi="宋体" w:eastAsia="宋体" w:cs="宋体"/>
          <w:sz w:val="18"/>
        </w:rPr>
        <w:t xml:space="preserve">  销售服务费依照上述约定，从理财财产中支付。费率具体数值以《产品说明书》“第二条 理财产品基本情况”为准。</w:t>
      </w:r>
      <w:r>
        <w:rPr>
          <w:rFonts w:ascii="宋体" w:hAnsi="宋体" w:eastAsia="宋体" w:cs="宋体"/>
          <w:sz w:val="18"/>
        </w:rPr>
        <w:br w:type="textWrapping"/>
      </w:r>
      <w:r>
        <w:rPr>
          <w:rFonts w:ascii="宋体" w:hAnsi="宋体" w:eastAsia="宋体" w:cs="宋体"/>
          <w:sz w:val="18"/>
        </w:rPr>
        <w:t xml:space="preserve">  </w:t>
      </w:r>
      <w:r>
        <w:rPr>
          <w:rFonts w:ascii="宋体" w:hAnsi="宋体" w:eastAsia="宋体" w:cs="宋体"/>
          <w:b/>
          <w:bCs/>
          <w:sz w:val="18"/>
        </w:rPr>
        <w:t>注：</w:t>
      </w:r>
      <w:r>
        <w:rPr>
          <w:rFonts w:ascii="宋体" w:hAnsi="宋体" w:eastAsia="宋体" w:cs="宋体"/>
          <w:b/>
          <w:bCs/>
          <w:sz w:val="18"/>
        </w:rPr>
        <w:br w:type="textWrapping"/>
      </w:r>
      <w:r>
        <w:rPr>
          <w:rFonts w:ascii="宋体" w:hAnsi="宋体" w:eastAsia="宋体" w:cs="宋体"/>
          <w:b/>
          <w:bCs/>
          <w:sz w:val="18"/>
        </w:rPr>
        <w:t xml:space="preserve">  1）H对应的销售服务主要集中于产品认购募集期间。</w:t>
      </w:r>
      <w:r>
        <w:rPr>
          <w:rFonts w:ascii="宋体" w:hAnsi="宋体" w:eastAsia="宋体" w:cs="宋体"/>
          <w:b/>
          <w:bCs/>
          <w:sz w:val="18"/>
        </w:rPr>
        <w:br w:type="textWrapping"/>
      </w:r>
      <w:r>
        <w:rPr>
          <w:rFonts w:ascii="宋体" w:hAnsi="宋体" w:eastAsia="宋体" w:cs="宋体"/>
          <w:b/>
          <w:bCs/>
          <w:sz w:val="18"/>
        </w:rPr>
        <w:t xml:space="preserve">  2）如本产品发生提前终止，则产品管理人根据实际产品期限天数/实际份额计算销售服务费，多收取的销售服务费退还至理财产品资产。 </w:t>
      </w:r>
    </w:p>
    <w:p w14:paraId="370674D2">
      <w:pPr>
        <w:pStyle w:val="14"/>
        <w:spacing w:line="360" w:lineRule="auto"/>
        <w:ind w:firstLine="360" w:firstLineChars="200"/>
        <w:rPr>
          <w:rFonts w:hint="eastAsia" w:ascii="黑体" w:hAnsi="黑体" w:eastAsia="黑体" w:cs="黑体"/>
          <w:kern w:val="0"/>
          <w:sz w:val="18"/>
          <w:szCs w:val="18"/>
        </w:rPr>
      </w:pPr>
    </w:p>
    <w:p w14:paraId="0E4AFF5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4AF7C0B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18A251B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6DC5B0A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609EEC7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003F715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37336BCC">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1A2ABCE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14:paraId="1711486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14:paraId="59DA010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14:paraId="79BF5FC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14:paraId="0F8281A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14:paraId="1ED6566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14:paraId="391FEF1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14:paraId="6A840B1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14:paraId="09A23A8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14:paraId="4BEA308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14:paraId="3213ACC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每份产品份额超额业绩报酬每日计提，产品终止日结算。</w:t>
      </w:r>
    </w:p>
    <w:p w14:paraId="7272139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14:paraId="5B42976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14:paraId="2EC8408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14:paraId="4605E60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当R＞当前业绩报酬计提基准，超额业绩报酬=产品终止时投资者持有的产品份额×产品成立日产品份额净值×（R-当前业绩报酬计提基准）×N×D/365。</w:t>
      </w:r>
    </w:p>
    <w:p w14:paraId="47148C2B">
      <w:pPr>
        <w:widowControl/>
        <w:spacing w:line="360" w:lineRule="auto"/>
        <w:ind w:firstLine="360" w:firstLineChars="200"/>
        <w:jc w:val="left"/>
        <w:rPr>
          <w:rFonts w:hint="eastAsia" w:ascii="黑体" w:hAnsi="黑体" w:eastAsia="黑体" w:cs="黑体"/>
          <w:kern w:val="0"/>
          <w:sz w:val="18"/>
          <w:szCs w:val="18"/>
        </w:rPr>
      </w:pPr>
    </w:p>
    <w:p w14:paraId="2712227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0AB7FE2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1133D73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5FFFA9B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557488F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4718606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57BDCAA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16AB857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33A3A11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6107B61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42F27C69">
      <w:pPr>
        <w:pStyle w:val="14"/>
        <w:spacing w:line="360" w:lineRule="auto"/>
        <w:ind w:firstLine="360" w:firstLineChars="200"/>
        <w:rPr>
          <w:rFonts w:hint="eastAsia" w:ascii="黑体" w:hAnsi="黑体" w:eastAsia="黑体" w:cs="黑体"/>
          <w:color w:val="auto"/>
          <w:sz w:val="18"/>
        </w:rPr>
      </w:pPr>
      <w:r>
        <w:rPr>
          <w:rFonts w:hint="eastAsia" w:ascii="黑体" w:hAnsi="黑体" w:eastAsia="黑体" w:cs="黑体"/>
          <w:color w:val="auto"/>
          <w:sz w:val="18"/>
        </w:rPr>
        <w:t>3.</w:t>
      </w:r>
      <w:r>
        <w:rPr>
          <w:rFonts w:hint="eastAsia" w:ascii="黑体" w:hAnsi="黑体" w:eastAsia="黑体" w:cs="黑体"/>
          <w:color w:val="auto"/>
          <w:sz w:val="18"/>
          <w:szCs w:val="18"/>
        </w:rPr>
        <w:t>★理财产品费用</w:t>
      </w:r>
      <w:r>
        <w:rPr>
          <w:rFonts w:hint="eastAsia" w:ascii="黑体" w:hAnsi="黑体" w:eastAsia="黑体" w:cs="黑体"/>
          <w:color w:val="auto"/>
          <w:sz w:val="18"/>
        </w:rPr>
        <w:t>的调整</w:t>
      </w:r>
    </w:p>
    <w:p w14:paraId="3CA32A57">
      <w:pPr>
        <w:pStyle w:val="14"/>
        <w:spacing w:line="360" w:lineRule="auto"/>
        <w:ind w:firstLine="360" w:firstLineChars="200"/>
        <w:rPr>
          <w:rFonts w:hint="eastAsia" w:ascii="黑体" w:hAnsi="黑体" w:eastAsia="黑体" w:cs="黑体"/>
          <w:b/>
          <w:color w:val="auto"/>
          <w:sz w:val="18"/>
        </w:rPr>
      </w:pPr>
      <w:r>
        <w:rPr>
          <w:rFonts w:hint="eastAsia" w:ascii="黑体" w:hAnsi="黑体" w:eastAsia="黑体" w:cs="黑体"/>
          <w:color w:val="auto"/>
          <w:sz w:val="18"/>
        </w:rPr>
        <w:t>产品管理人有权</w:t>
      </w:r>
      <w:r>
        <w:rPr>
          <w:rFonts w:hint="eastAsia" w:ascii="黑体" w:hAnsi="黑体" w:eastAsia="黑体" w:cs="黑体"/>
          <w:color w:val="auto"/>
          <w:sz w:val="18"/>
          <w:szCs w:val="18"/>
        </w:rPr>
        <w:t>根据相关法律和国家政策规定，</w:t>
      </w:r>
      <w:r>
        <w:rPr>
          <w:rFonts w:hint="eastAsia" w:ascii="黑体" w:hAnsi="黑体" w:eastAsia="黑体" w:cs="黑体"/>
          <w:color w:val="auto"/>
          <w:sz w:val="18"/>
        </w:rPr>
        <w:t>对理财产品费用的收费项目、收费条件、收费标准和收费方式等进行调整。产品管理人对费用的调整</w:t>
      </w:r>
      <w:r>
        <w:rPr>
          <w:rFonts w:hint="eastAsia" w:ascii="黑体" w:hAnsi="黑体" w:eastAsia="黑体" w:cs="黑体"/>
          <w:bCs/>
          <w:color w:val="auto"/>
          <w:sz w:val="18"/>
        </w:rPr>
        <w:t>将依本产品说明书的“理财产品的信息披露”条款约定进行公告。</w:t>
      </w:r>
    </w:p>
    <w:p w14:paraId="48E18319">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14:paraId="191CB85C">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011EBACB">
      <w:pPr>
        <w:pStyle w:val="2"/>
        <w:spacing w:line="360" w:lineRule="auto"/>
        <w:jc w:val="center"/>
      </w:pPr>
      <w:bookmarkStart w:id="177" w:name="_Toc3963"/>
      <w:bookmarkStart w:id="178" w:name="_Toc1745"/>
      <w:r>
        <w:br w:type="page"/>
      </w:r>
      <w:bookmarkStart w:id="179" w:name="_Toc16164"/>
      <w:bookmarkStart w:id="180" w:name="_Toc123102456"/>
      <w:bookmarkStart w:id="181" w:name="_Toc141703889"/>
      <w:bookmarkStart w:id="182" w:name="_Toc139991739"/>
      <w:bookmarkStart w:id="183" w:name="_Toc123051455"/>
      <w:bookmarkStart w:id="184" w:name="_Toc3080"/>
      <w:bookmarkStart w:id="185" w:name="_Toc79154673"/>
      <w:bookmarkStart w:id="186" w:name="_Toc31821"/>
      <w:bookmarkStart w:id="187" w:name="_Toc21735"/>
      <w:bookmarkStart w:id="188" w:name="_Toc123112237"/>
      <w:bookmarkStart w:id="189" w:name="_Toc3572"/>
      <w:bookmarkStart w:id="190" w:name="_Toc98560355"/>
      <w:bookmarkStart w:id="191" w:name="_Toc74065746"/>
      <w:bookmarkStart w:id="192" w:name="_Toc725"/>
      <w:bookmarkStart w:id="193" w:name="_Toc18206"/>
      <w:bookmarkStart w:id="194" w:name="_Toc176189762"/>
      <w:bookmarkStart w:id="195" w:name="_Toc10398"/>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325A5F81">
      <w:pPr>
        <w:spacing w:line="360" w:lineRule="auto"/>
        <w:ind w:firstLine="361" w:firstLineChars="200"/>
        <w:rPr>
          <w:rFonts w:asciiTheme="majorEastAsia" w:hAnsiTheme="majorEastAsia" w:eastAsiaTheme="majorEastAsia"/>
          <w:b/>
          <w:bCs/>
          <w:sz w:val="18"/>
          <w:szCs w:val="18"/>
        </w:rPr>
      </w:pPr>
      <w:bookmarkStart w:id="196" w:name="_Toc15118245"/>
      <w:bookmarkStart w:id="197" w:name="_Toc79392593"/>
      <w:bookmarkStart w:id="198" w:name="_Toc57530252"/>
      <w:r>
        <w:rPr>
          <w:rFonts w:hint="eastAsia" w:asciiTheme="majorEastAsia" w:hAnsiTheme="majorEastAsia" w:eastAsiaTheme="majorEastAsia"/>
          <w:b/>
          <w:bCs/>
          <w:sz w:val="18"/>
          <w:szCs w:val="18"/>
        </w:rPr>
        <w:t>（一）理财产品的终止</w:t>
      </w:r>
    </w:p>
    <w:p w14:paraId="367DAD83">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14:paraId="24198B1E">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14:paraId="1D8AA9D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14:paraId="59F0E71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14:paraId="4D55A0B2">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14:paraId="46F45A2D">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14:paraId="1360C9B4">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14:paraId="10AF498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14:paraId="3E9A2204">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14:paraId="1DB3A8E2">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14:paraId="7B6BF83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14:paraId="6C8361DE">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14:paraId="329AE19A">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14:paraId="30335955">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14:paraId="0D92627A">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14:paraId="3F3B3811">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14:paraId="7352140A">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14:paraId="2BDA681B">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14:paraId="2A01E285">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14:paraId="78A52242">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14:paraId="1485584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14:paraId="2FA0F240">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14:paraId="53451D59">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14:paraId="24A21DF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实际到账日之间产生的利息（如有），归投资者所有。</w:t>
      </w:r>
    </w:p>
    <w:p w14:paraId="3FCE78E6">
      <w:pPr>
        <w:spacing w:line="360" w:lineRule="auto"/>
        <w:ind w:firstLine="360" w:firstLineChars="200"/>
        <w:rPr>
          <w:rFonts w:hint="eastAsia"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3D433881">
      <w:pPr>
        <w:spacing w:line="360" w:lineRule="auto"/>
        <w:ind w:firstLine="360" w:firstLineChars="200"/>
        <w:rPr>
          <w:rFonts w:hint="eastAsia" w:asciiTheme="majorEastAsia" w:hAnsiTheme="majorEastAsia" w:eastAsiaTheme="majorEastAsia"/>
          <w:bCs/>
          <w:sz w:val="18"/>
          <w:szCs w:val="18"/>
        </w:rPr>
      </w:pPr>
      <w:r>
        <w:rPr>
          <w:rFonts w:hint="default" w:asciiTheme="majorEastAsia" w:hAnsiTheme="majorEastAsia" w:eastAsiaTheme="majorEastAsia"/>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Theme="majorEastAsia" w:hAnsiTheme="majorEastAsia" w:eastAsiaTheme="majorEastAsia"/>
          <w:bCs/>
          <w:sz w:val="18"/>
          <w:szCs w:val="18"/>
        </w:rPr>
        <w:t>【5】</w:t>
      </w:r>
      <w:r>
        <w:rPr>
          <w:rFonts w:hint="default" w:asciiTheme="majorEastAsia" w:hAnsiTheme="majorEastAsia" w:eastAsiaTheme="majorEastAsia"/>
          <w:bCs/>
          <w:sz w:val="18"/>
          <w:szCs w:val="18"/>
          <w:lang w:val="en-US" w:eastAsia="zh-CN"/>
        </w:rPr>
        <w:t>个工作日内按投资者持有的理财产品份额比例向投资者进行再次分配。</w:t>
      </w:r>
    </w:p>
    <w:bookmarkEnd w:id="196"/>
    <w:bookmarkEnd w:id="197"/>
    <w:bookmarkEnd w:id="198"/>
    <w:p w14:paraId="28AB9F3F">
      <w:pPr>
        <w:pStyle w:val="2"/>
        <w:spacing w:before="0" w:after="0" w:line="360" w:lineRule="auto"/>
        <w:jc w:val="center"/>
        <w:rPr>
          <w:rFonts w:ascii="Times New Roman"/>
          <w:sz w:val="30"/>
        </w:rPr>
      </w:pPr>
      <w:r>
        <w:rPr>
          <w:rFonts w:ascii="Times New Roman"/>
          <w:b w:val="0"/>
          <w:bCs w:val="0"/>
          <w:kern w:val="2"/>
        </w:rPr>
        <w:br w:type="page"/>
      </w:r>
      <w:bookmarkStart w:id="199" w:name="_Toc141703890"/>
      <w:bookmarkStart w:id="200" w:name="_Toc5170"/>
      <w:bookmarkStart w:id="201" w:name="_Toc98560356"/>
      <w:bookmarkStart w:id="202" w:name="_Toc32584"/>
      <w:bookmarkStart w:id="203" w:name="_Toc32092"/>
      <w:bookmarkStart w:id="204" w:name="_Toc123051456"/>
      <w:bookmarkStart w:id="205" w:name="_Toc123102457"/>
      <w:bookmarkStart w:id="206" w:name="_Toc79392622"/>
      <w:bookmarkStart w:id="207" w:name="_Toc123112238"/>
      <w:bookmarkStart w:id="208" w:name="_Toc8791"/>
      <w:bookmarkStart w:id="209" w:name="_Toc3329"/>
      <w:bookmarkStart w:id="210" w:name="_Toc79154674"/>
      <w:bookmarkStart w:id="211" w:name="_Toc74065747"/>
      <w:bookmarkStart w:id="212" w:name="_Toc139991740"/>
      <w:bookmarkStart w:id="213" w:name="_Toc21237"/>
      <w:bookmarkStart w:id="214" w:name="_Toc48649708"/>
      <w:bookmarkStart w:id="215" w:name="_Toc739"/>
      <w:bookmarkStart w:id="216" w:name="_Toc17198"/>
      <w:bookmarkStart w:id="217" w:name="_Toc17920"/>
      <w:bookmarkStart w:id="218" w:name="_Toc29408"/>
      <w:bookmarkStart w:id="219" w:name="_Toc176189763"/>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4D034A91">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14:paraId="056E61D3">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14:paraId="0ECC0B26">
      <w:pPr>
        <w:spacing w:line="360" w:lineRule="auto"/>
        <w:ind w:firstLine="361"/>
        <w:rPr>
          <w:rFonts w:ascii="宋体" w:hAnsi="宋体"/>
          <w:b/>
          <w:bCs/>
          <w:sz w:val="18"/>
          <w:szCs w:val="18"/>
        </w:rPr>
      </w:pPr>
      <w:r>
        <w:rPr>
          <w:rFonts w:hint="eastAsia" w:ascii="宋体" w:hAnsi="宋体"/>
          <w:b/>
          <w:bCs/>
          <w:sz w:val="18"/>
          <w:szCs w:val="18"/>
        </w:rPr>
        <w:t>（二）信息披露的渠道</w:t>
      </w:r>
    </w:p>
    <w:p w14:paraId="44A5B9CB">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14:paraId="56E4EDDE">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14:paraId="34BF94C4">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14:paraId="32DBCAD0">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14:paraId="2BD00F7E">
      <w:pPr>
        <w:spacing w:line="360" w:lineRule="auto"/>
        <w:ind w:firstLine="361"/>
        <w:rPr>
          <w:rFonts w:ascii="宋体" w:hAnsi="宋体"/>
          <w:b/>
          <w:bCs/>
          <w:sz w:val="18"/>
          <w:szCs w:val="18"/>
        </w:rPr>
      </w:pPr>
      <w:r>
        <w:rPr>
          <w:rFonts w:hint="eastAsia" w:ascii="宋体" w:hAnsi="宋体"/>
          <w:b/>
          <w:bCs/>
          <w:sz w:val="18"/>
          <w:szCs w:val="18"/>
        </w:rPr>
        <w:t>（三）信息披露的内容</w:t>
      </w:r>
    </w:p>
    <w:p w14:paraId="18A516A2">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37F53E03">
      <w:pPr>
        <w:spacing w:line="360" w:lineRule="auto"/>
        <w:ind w:firstLine="361"/>
        <w:rPr>
          <w:rFonts w:ascii="宋体" w:hAnsi="宋体"/>
          <w:b/>
          <w:bCs/>
          <w:sz w:val="18"/>
          <w:szCs w:val="18"/>
        </w:rPr>
      </w:pPr>
      <w:r>
        <w:rPr>
          <w:rFonts w:hint="eastAsia" w:ascii="宋体" w:hAnsi="宋体"/>
          <w:b/>
          <w:bCs/>
          <w:sz w:val="18"/>
          <w:szCs w:val="18"/>
        </w:rPr>
        <w:t>（四）信息披露的频率和时间</w:t>
      </w:r>
    </w:p>
    <w:p w14:paraId="07A92614">
      <w:pPr>
        <w:spacing w:line="360" w:lineRule="auto"/>
        <w:ind w:firstLine="360"/>
        <w:rPr>
          <w:rFonts w:ascii="宋体" w:hAnsi="宋体"/>
          <w:bCs/>
          <w:sz w:val="18"/>
          <w:szCs w:val="18"/>
        </w:rPr>
      </w:pPr>
      <w:r>
        <w:rPr>
          <w:rFonts w:ascii="宋体" w:hAnsi="宋体"/>
          <w:bCs/>
          <w:sz w:val="18"/>
          <w:szCs w:val="18"/>
        </w:rPr>
        <w:t>1.产品成立公告</w:t>
      </w:r>
    </w:p>
    <w:p w14:paraId="7869860A">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14:paraId="117916D4">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14:paraId="2A6D7B3E">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14:paraId="31FC842F">
      <w:pPr>
        <w:spacing w:line="360" w:lineRule="auto"/>
        <w:ind w:firstLine="360"/>
        <w:rPr>
          <w:rFonts w:ascii="宋体" w:hAnsi="宋体"/>
          <w:bCs/>
          <w:sz w:val="18"/>
          <w:szCs w:val="18"/>
        </w:rPr>
      </w:pPr>
      <w:r>
        <w:rPr>
          <w:rFonts w:ascii="宋体" w:hAnsi="宋体"/>
          <w:bCs/>
          <w:sz w:val="18"/>
          <w:szCs w:val="18"/>
        </w:rPr>
        <w:t>3.定期报告</w:t>
      </w:r>
    </w:p>
    <w:p w14:paraId="5BE832EE">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3EF1CDBE">
      <w:pPr>
        <w:spacing w:line="360" w:lineRule="auto"/>
        <w:ind w:firstLine="360"/>
        <w:rPr>
          <w:rFonts w:ascii="宋体" w:hAnsi="宋体"/>
          <w:bCs/>
          <w:sz w:val="18"/>
          <w:szCs w:val="18"/>
        </w:rPr>
      </w:pPr>
      <w:r>
        <w:rPr>
          <w:rFonts w:ascii="宋体" w:hAnsi="宋体"/>
          <w:bCs/>
          <w:sz w:val="18"/>
          <w:szCs w:val="18"/>
        </w:rPr>
        <w:t>4.到期公告</w:t>
      </w:r>
    </w:p>
    <w:p w14:paraId="48145D45">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14:paraId="24E76BF4">
      <w:pPr>
        <w:spacing w:line="360" w:lineRule="auto"/>
        <w:ind w:firstLine="360"/>
        <w:rPr>
          <w:rFonts w:ascii="宋体" w:hAnsi="宋体"/>
          <w:bCs/>
          <w:sz w:val="18"/>
          <w:szCs w:val="18"/>
        </w:rPr>
      </w:pPr>
      <w:r>
        <w:rPr>
          <w:rFonts w:ascii="宋体" w:hAnsi="宋体"/>
          <w:bCs/>
          <w:sz w:val="18"/>
          <w:szCs w:val="18"/>
        </w:rPr>
        <w:t>5.估值日公告</w:t>
      </w:r>
    </w:p>
    <w:p w14:paraId="058F57A3">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期间，每【周】向投资者披露一次估值日公告，估值日公告披露的内容包括估值日的产品份额净值、产品份额累计净值等。如遇法定节假日顺延。此外，如遇其他特殊情况，以产品管理人信息披露为准。</w:t>
      </w:r>
    </w:p>
    <w:p w14:paraId="6FE0E964">
      <w:pPr>
        <w:spacing w:line="360" w:lineRule="auto"/>
        <w:ind w:firstLine="360"/>
        <w:rPr>
          <w:rFonts w:ascii="宋体" w:hAnsi="宋体"/>
          <w:bCs/>
          <w:sz w:val="18"/>
          <w:szCs w:val="18"/>
        </w:rPr>
      </w:pPr>
      <w:r>
        <w:rPr>
          <w:rFonts w:ascii="宋体" w:hAnsi="宋体"/>
          <w:bCs/>
          <w:sz w:val="18"/>
          <w:szCs w:val="18"/>
        </w:rPr>
        <w:t>6.临时公告</w:t>
      </w:r>
    </w:p>
    <w:p w14:paraId="5342D217">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14:paraId="0EBA7029">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14:paraId="5433F3A1">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14:paraId="176B4FCD">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14:paraId="7F7C2D1D">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14:paraId="5022D3CD">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14:paraId="38085FB6">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14:paraId="5F684706">
      <w:pPr>
        <w:widowControl/>
        <w:spacing w:line="360" w:lineRule="auto"/>
        <w:jc w:val="left"/>
        <w:rPr>
          <w:bCs/>
          <w:sz w:val="24"/>
        </w:rPr>
      </w:pPr>
      <w:r>
        <w:rPr>
          <w:bCs/>
          <w:sz w:val="24"/>
        </w:rPr>
        <w:br w:type="page"/>
      </w:r>
    </w:p>
    <w:p w14:paraId="62D75598">
      <w:pPr>
        <w:pStyle w:val="2"/>
        <w:spacing w:before="0" w:after="0" w:line="360" w:lineRule="auto"/>
        <w:jc w:val="center"/>
        <w:rPr>
          <w:rFonts w:ascii="Times New Roman"/>
          <w:b w:val="0"/>
          <w:sz w:val="30"/>
        </w:rPr>
      </w:pPr>
      <w:bookmarkStart w:id="220" w:name="_Toc79154675"/>
      <w:bookmarkStart w:id="221" w:name="_Toc176189764"/>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0"/>
      <w:bookmarkEnd w:id="221"/>
    </w:p>
    <w:p w14:paraId="2254595B">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2A9C2268">
      <w:pPr>
        <w:spacing w:line="360" w:lineRule="auto"/>
        <w:ind w:firstLine="360" w:firstLineChars="200"/>
        <w:rPr>
          <w:rFonts w:hint="eastAsia" w:ascii="宋体" w:hAnsi="宋体"/>
          <w:sz w:val="18"/>
          <w:szCs w:val="18"/>
        </w:rPr>
      </w:pPr>
      <w:r>
        <w:rPr>
          <w:rFonts w:hint="eastAsia" w:ascii="宋体" w:hAnsi="宋体"/>
          <w:sz w:val="18"/>
          <w:szCs w:val="18"/>
        </w:rPr>
        <w:t>【1.拟投资市场和资产的风险：</w:t>
      </w:r>
    </w:p>
    <w:p w14:paraId="72BE05A5">
      <w:pPr>
        <w:spacing w:line="360" w:lineRule="auto"/>
        <w:ind w:firstLine="360" w:firstLineChars="200"/>
        <w:rPr>
          <w:rFonts w:hint="eastAsia" w:ascii="宋体" w:hAnsi="宋体"/>
          <w:sz w:val="18"/>
          <w:szCs w:val="18"/>
        </w:rPr>
      </w:pPr>
      <w:r>
        <w:rPr>
          <w:rFonts w:hint="eastAsia" w:ascii="宋体" w:hAnsi="宋体"/>
          <w:sz w:val="18"/>
          <w:szCs w:val="18"/>
        </w:rPr>
        <w:t>（1）投资债权类资产的风险</w:t>
      </w:r>
    </w:p>
    <w:p w14:paraId="571E57D1">
      <w:pPr>
        <w:spacing w:line="360" w:lineRule="auto"/>
        <w:ind w:firstLine="360" w:firstLineChars="200"/>
        <w:rPr>
          <w:rFonts w:hint="eastAsia" w:ascii="宋体" w:hAnsi="宋体"/>
          <w:sz w:val="18"/>
          <w:szCs w:val="18"/>
        </w:rPr>
      </w:pPr>
      <w:r>
        <w:rPr>
          <w:rFonts w:hint="eastAsia" w:ascii="宋体" w:hAnsi="宋体"/>
          <w:sz w:val="18"/>
          <w:szCs w:val="18"/>
        </w:rPr>
        <w:t>1）投资标准化债权类资产的风险</w:t>
      </w:r>
    </w:p>
    <w:p w14:paraId="37F8D563">
      <w:pPr>
        <w:spacing w:line="360" w:lineRule="auto"/>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044C443B">
      <w:pPr>
        <w:spacing w:line="360" w:lineRule="auto"/>
        <w:ind w:firstLine="360" w:firstLineChars="200"/>
        <w:rPr>
          <w:rFonts w:hint="eastAsia" w:ascii="宋体" w:hAnsi="宋体"/>
          <w:sz w:val="18"/>
          <w:szCs w:val="18"/>
        </w:rPr>
      </w:pPr>
      <w:r>
        <w:rPr>
          <w:rFonts w:hint="eastAsia" w:ascii="宋体" w:hAnsi="宋体"/>
          <w:sz w:val="18"/>
          <w:szCs w:val="18"/>
        </w:rPr>
        <w:t>2）投资非标准化债权类资产的风险</w:t>
      </w:r>
    </w:p>
    <w:p w14:paraId="3E50B542">
      <w:pPr>
        <w:spacing w:line="360" w:lineRule="auto"/>
        <w:ind w:firstLine="360" w:firstLineChars="200"/>
        <w:rPr>
          <w:rFonts w:hint="eastAsia"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29BBD5DD">
      <w:pPr>
        <w:spacing w:line="360" w:lineRule="auto"/>
        <w:ind w:firstLine="360" w:firstLineChars="200"/>
        <w:rPr>
          <w:rFonts w:hint="eastAsia" w:ascii="宋体" w:hAnsi="宋体"/>
          <w:sz w:val="18"/>
          <w:szCs w:val="18"/>
        </w:rPr>
      </w:pPr>
      <w:r>
        <w:rPr>
          <w:rFonts w:hint="eastAsia" w:ascii="宋体" w:hAnsi="宋体"/>
          <w:sz w:val="18"/>
          <w:szCs w:val="18"/>
        </w:rPr>
        <w:t xml:space="preserve">（2）投资权益类资产的风险 </w:t>
      </w:r>
    </w:p>
    <w:p w14:paraId="1A666D59">
      <w:pPr>
        <w:spacing w:line="360" w:lineRule="auto"/>
        <w:ind w:firstLine="360" w:firstLineChars="200"/>
        <w:rPr>
          <w:rFonts w:hint="eastAsia" w:ascii="宋体" w:hAnsi="宋体"/>
          <w:sz w:val="18"/>
          <w:szCs w:val="18"/>
        </w:rPr>
      </w:pPr>
      <w:r>
        <w:rPr>
          <w:rFonts w:hint="eastAsia" w:ascii="宋体" w:hAnsi="宋体"/>
          <w:sz w:val="18"/>
          <w:szCs w:val="18"/>
        </w:rPr>
        <w:t>1）投资股票类资产的风险</w:t>
      </w:r>
    </w:p>
    <w:p w14:paraId="5DE2F60D">
      <w:pPr>
        <w:spacing w:line="360" w:lineRule="auto"/>
        <w:ind w:firstLine="360" w:firstLineChars="200"/>
        <w:rPr>
          <w:rFonts w:hint="eastAsia" w:ascii="宋体" w:hAnsi="宋体"/>
          <w:sz w:val="18"/>
          <w:szCs w:val="18"/>
        </w:rPr>
      </w:pPr>
      <w:r>
        <w:rPr>
          <w:rFonts w:hint="eastAsia" w:ascii="宋体" w:hAnsi="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14:paraId="1485FEC4">
      <w:pPr>
        <w:spacing w:line="360" w:lineRule="auto"/>
        <w:ind w:firstLine="360" w:firstLineChars="200"/>
        <w:rPr>
          <w:rFonts w:hint="eastAsia" w:ascii="宋体" w:hAnsi="宋体"/>
          <w:sz w:val="18"/>
          <w:szCs w:val="18"/>
        </w:rPr>
      </w:pPr>
      <w:r>
        <w:rPr>
          <w:rFonts w:hint="eastAsia" w:ascii="宋体" w:hAnsi="宋体"/>
          <w:sz w:val="18"/>
          <w:szCs w:val="18"/>
        </w:rPr>
        <w:t>2）投资股权类资产的风险</w:t>
      </w:r>
    </w:p>
    <w:p w14:paraId="352A8422">
      <w:pPr>
        <w:spacing w:line="360" w:lineRule="auto"/>
        <w:ind w:firstLine="360" w:firstLineChars="200"/>
        <w:rPr>
          <w:rFonts w:hint="eastAsia" w:ascii="宋体" w:hAnsi="宋体"/>
          <w:sz w:val="18"/>
          <w:szCs w:val="18"/>
        </w:rPr>
      </w:pPr>
      <w:r>
        <w:rPr>
          <w:rFonts w:hint="eastAsia" w:ascii="宋体" w:hAnsi="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14:paraId="4389486B">
      <w:pPr>
        <w:spacing w:line="360" w:lineRule="auto"/>
        <w:ind w:firstLine="360" w:firstLineChars="200"/>
        <w:rPr>
          <w:rFonts w:hint="eastAsia" w:ascii="宋体" w:hAnsi="宋体"/>
          <w:sz w:val="18"/>
          <w:szCs w:val="18"/>
        </w:rPr>
      </w:pPr>
      <w:r>
        <w:rPr>
          <w:rFonts w:hint="eastAsia" w:ascii="宋体" w:hAnsi="宋体"/>
          <w:sz w:val="18"/>
          <w:szCs w:val="18"/>
        </w:rPr>
        <w:t xml:space="preserve">（3）投资商品和金融衍生品类资产的风险 </w:t>
      </w:r>
    </w:p>
    <w:p w14:paraId="7ADC39E1">
      <w:pPr>
        <w:spacing w:line="360" w:lineRule="auto"/>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029385F3">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64719359">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5157E12C">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14:paraId="60FE328D">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2914E5D0">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14:paraId="23982E1C">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504E6665">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14:paraId="7704FC19">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23F6C6F5">
      <w:pPr>
        <w:spacing w:line="360" w:lineRule="auto"/>
        <w:ind w:firstLine="360" w:firstLineChars="200"/>
        <w:rPr>
          <w:rFonts w:ascii="宋体" w:hAnsi="宋体"/>
          <w:sz w:val="18"/>
          <w:szCs w:val="18"/>
        </w:rPr>
      </w:pPr>
      <w:r>
        <w:rPr>
          <w:rFonts w:hint="eastAsia" w:ascii="宋体" w:hAnsi="宋体"/>
          <w:sz w:val="18"/>
          <w:szCs w:val="18"/>
        </w:rPr>
        <w:t>4.流动性风险</w:t>
      </w:r>
    </w:p>
    <w:p w14:paraId="638156F3">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D61CA13">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14:paraId="29533B64">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14:paraId="2AA6E25A">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14:paraId="78474CD0">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14:paraId="07F0DE4A">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14:paraId="1FB2F6B7">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597A087F">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14:paraId="4E3DB57D">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14:paraId="48A19AD7">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14:paraId="49EAE028">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14:paraId="4673CC35">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14:paraId="75382BFD">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14:paraId="410BC1EC">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14:paraId="2B609654">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14:paraId="24C6A32C">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14:paraId="18B679A5">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14:paraId="13D356BC">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14:paraId="7C2F551C">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14:paraId="337BF2E6">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14:paraId="5E90A36C">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14:paraId="1EF5AD11">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3E1D190D">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64408057">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14:paraId="532C7980">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14:paraId="528DEA5B">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79275ADF">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6293F698">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2BD397C1">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7F67D0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48053FB7">
            <w:pPr>
              <w:spacing w:line="280" w:lineRule="atLeast"/>
              <w:ind w:firstLine="422"/>
              <w:jc w:val="center"/>
              <w:rPr>
                <w:rFonts w:ascii="宋体" w:hAnsi="宋体" w:cs="Arial"/>
                <w:b/>
                <w:szCs w:val="21"/>
              </w:rPr>
            </w:pPr>
            <w:r>
              <w:rPr>
                <w:rFonts w:hint="eastAsia" w:ascii="宋体" w:hAnsi="宋体" w:cs="Arial"/>
                <w:b/>
                <w:szCs w:val="21"/>
              </w:rPr>
              <w:t>投资者确认栏</w:t>
            </w:r>
          </w:p>
          <w:p w14:paraId="7F14FC1B">
            <w:pPr>
              <w:spacing w:line="360" w:lineRule="auto"/>
              <w:ind w:firstLine="361"/>
              <w:rPr>
                <w:b/>
                <w:sz w:val="18"/>
                <w:szCs w:val="18"/>
              </w:rPr>
            </w:pPr>
          </w:p>
        </w:tc>
      </w:tr>
      <w:tr w14:paraId="46BA392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1E598194">
            <w:pPr>
              <w:spacing w:line="360" w:lineRule="auto"/>
              <w:jc w:val="left"/>
              <w:rPr>
                <w:b/>
                <w:sz w:val="18"/>
                <w:szCs w:val="18"/>
              </w:rPr>
            </w:pPr>
            <w:r>
              <w:rPr>
                <w:rFonts w:hint="eastAsia"/>
                <w:b/>
                <w:sz w:val="18"/>
                <w:szCs w:val="18"/>
              </w:rPr>
              <w:t>个人投资者适用</w:t>
            </w:r>
          </w:p>
        </w:tc>
        <w:tc>
          <w:tcPr>
            <w:tcW w:w="7371" w:type="dxa"/>
          </w:tcPr>
          <w:p w14:paraId="054FDF6A">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14:paraId="6D964EB4">
            <w:pPr>
              <w:spacing w:line="360" w:lineRule="auto"/>
              <w:ind w:firstLine="361"/>
              <w:jc w:val="left"/>
              <w:rPr>
                <w:b/>
                <w:sz w:val="18"/>
                <w:szCs w:val="18"/>
              </w:rPr>
            </w:pPr>
          </w:p>
          <w:p w14:paraId="40489822">
            <w:pPr>
              <w:spacing w:line="360" w:lineRule="auto"/>
              <w:ind w:firstLine="360"/>
              <w:jc w:val="left"/>
              <w:rPr>
                <w:sz w:val="18"/>
                <w:szCs w:val="18"/>
              </w:rPr>
            </w:pPr>
            <w:r>
              <w:rPr>
                <w:rFonts w:hint="eastAsia"/>
                <w:sz w:val="18"/>
                <w:szCs w:val="18"/>
              </w:rPr>
              <w:t>日期：</w:t>
            </w:r>
          </w:p>
        </w:tc>
      </w:tr>
      <w:tr w14:paraId="75D1C7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4EE46952">
            <w:pPr>
              <w:spacing w:line="360" w:lineRule="auto"/>
              <w:jc w:val="left"/>
              <w:rPr>
                <w:b/>
                <w:sz w:val="18"/>
                <w:szCs w:val="18"/>
              </w:rPr>
            </w:pPr>
            <w:r>
              <w:rPr>
                <w:rFonts w:hint="eastAsia"/>
                <w:b/>
                <w:sz w:val="18"/>
                <w:szCs w:val="18"/>
              </w:rPr>
              <w:t>机构投资者适用</w:t>
            </w:r>
          </w:p>
        </w:tc>
        <w:tc>
          <w:tcPr>
            <w:tcW w:w="7371" w:type="dxa"/>
          </w:tcPr>
          <w:p w14:paraId="4044DCAC">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cs="Arial"/>
                <w:sz w:val="18"/>
                <w:szCs w:val="18"/>
              </w:rPr>
              <w:t>线上确认）：</w:t>
            </w:r>
          </w:p>
          <w:p w14:paraId="44D30CC0">
            <w:pPr>
              <w:tabs>
                <w:tab w:val="left" w:pos="5609"/>
              </w:tabs>
              <w:spacing w:line="360" w:lineRule="auto"/>
              <w:ind w:firstLine="360"/>
              <w:jc w:val="left"/>
              <w:rPr>
                <w:rFonts w:cs="Arial"/>
                <w:sz w:val="18"/>
                <w:szCs w:val="18"/>
              </w:rPr>
            </w:pPr>
            <w:r>
              <w:rPr>
                <w:rFonts w:cs="Arial"/>
                <w:sz w:val="18"/>
                <w:szCs w:val="18"/>
              </w:rPr>
              <w:tab/>
            </w:r>
          </w:p>
          <w:p w14:paraId="6B7479F8">
            <w:pPr>
              <w:spacing w:line="360" w:lineRule="auto"/>
              <w:ind w:firstLine="360"/>
              <w:jc w:val="left"/>
              <w:rPr>
                <w:rFonts w:cs="Arial"/>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cs="Arial"/>
                <w:sz w:val="18"/>
                <w:szCs w:val="18"/>
              </w:rPr>
              <w:t>线上确认）：</w:t>
            </w:r>
          </w:p>
          <w:p w14:paraId="60D770AA">
            <w:pPr>
              <w:spacing w:line="360" w:lineRule="auto"/>
              <w:ind w:firstLine="360"/>
              <w:jc w:val="left"/>
              <w:rPr>
                <w:sz w:val="18"/>
                <w:szCs w:val="18"/>
              </w:rPr>
            </w:pPr>
            <w:r>
              <w:rPr>
                <w:rFonts w:hint="eastAsia"/>
                <w:sz w:val="18"/>
                <w:szCs w:val="18"/>
              </w:rPr>
              <w:t>日期：</w:t>
            </w:r>
          </w:p>
        </w:tc>
      </w:tr>
    </w:tbl>
    <w:p w14:paraId="1A8051A7">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14:paraId="22F091CB">
      <w:pPr>
        <w:pStyle w:val="14"/>
        <w:spacing w:line="360" w:lineRule="auto"/>
        <w:rPr>
          <w:rFonts w:hAnsi="宋体"/>
          <w:sz w:val="18"/>
          <w:szCs w:val="18"/>
        </w:rPr>
      </w:pPr>
    </w:p>
    <w:p w14:paraId="4BF3C07F">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651FF3DF"/>
    <w:p w14:paraId="759D2637">
      <w:pPr>
        <w:widowControl/>
        <w:spacing w:before="156"/>
        <w:jc w:val="center"/>
        <w:rPr>
          <w:rFonts w:ascii="黑体" w:hAnsi="黑体" w:eastAsia="黑体"/>
          <w:b/>
          <w:sz w:val="28"/>
          <w:szCs w:val="28"/>
        </w:rPr>
      </w:pPr>
      <w:r>
        <w:rPr>
          <w:rFonts w:hint="eastAsia" w:ascii="黑体" w:hAnsi="黑体" w:eastAsia="黑体"/>
          <w:b/>
          <w:sz w:val="28"/>
          <w:szCs w:val="28"/>
        </w:rPr>
        <w:t>兴银理财【</w:t>
      </w:r>
      <w:r>
        <w:rPr>
          <w:rFonts w:hint="eastAsia" w:ascii="黑体" w:hAnsi="黑体" w:eastAsia="黑体"/>
          <w:b/>
          <w:sz w:val="28"/>
          <w:szCs w:val="28"/>
          <w:lang w:eastAsia="zh-CN"/>
        </w:rPr>
        <w:t>稳利恒盈封闭式固收类</w:t>
      </w:r>
      <w:r>
        <w:rPr>
          <w:rFonts w:hint="eastAsia" w:ascii="黑体" w:hAnsi="黑体" w:eastAsia="黑体"/>
          <w:b/>
          <w:sz w:val="28"/>
          <w:szCs w:val="28"/>
        </w:rPr>
        <w:t>】理财产品</w:t>
      </w:r>
    </w:p>
    <w:p w14:paraId="655F2C24">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14:paraId="6949F8C7">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14:paraId="22C60CD2">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14:paraId="3FEC3F50">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51C639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2FCB5966">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14:paraId="658B3FB0">
            <w:pPr>
              <w:pStyle w:val="4"/>
              <w:spacing w:line="320" w:lineRule="exact"/>
              <w:rPr>
                <w:rFonts w:ascii="宋体" w:hAnsi="宋体"/>
                <w:b/>
                <w:bCs/>
                <w:sz w:val="28"/>
                <w:szCs w:val="28"/>
              </w:rPr>
            </w:pPr>
          </w:p>
        </w:tc>
      </w:tr>
      <w:tr w14:paraId="351286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32E41088">
            <w:pPr>
              <w:pStyle w:val="4"/>
              <w:spacing w:line="320" w:lineRule="exact"/>
              <w:rPr>
                <w:rFonts w:ascii="宋体" w:hAnsi="宋体"/>
                <w:b/>
                <w:bCs/>
                <w:sz w:val="28"/>
                <w:szCs w:val="28"/>
              </w:rPr>
            </w:pPr>
          </w:p>
        </w:tc>
      </w:tr>
      <w:tr w14:paraId="6958F9F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5B6C5E50">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14:paraId="204EE61D">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14:paraId="4E6276FB">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14:paraId="54B754F5">
            <w:pPr>
              <w:spacing w:line="320" w:lineRule="exact"/>
              <w:jc w:val="left"/>
              <w:rPr>
                <w:rFonts w:ascii="宋体" w:hAnsi="宋体"/>
                <w:bCs/>
                <w:sz w:val="18"/>
                <w:szCs w:val="18"/>
              </w:rPr>
            </w:pPr>
          </w:p>
        </w:tc>
      </w:tr>
      <w:tr w14:paraId="057F3C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D345007">
            <w:pPr>
              <w:spacing w:line="320" w:lineRule="exact"/>
              <w:jc w:val="left"/>
              <w:rPr>
                <w:rFonts w:ascii="宋体" w:hAnsi="宋体"/>
                <w:b/>
                <w:bCs/>
                <w:sz w:val="18"/>
                <w:szCs w:val="18"/>
              </w:rPr>
            </w:pPr>
          </w:p>
        </w:tc>
        <w:tc>
          <w:tcPr>
            <w:tcW w:w="635" w:type="dxa"/>
            <w:vMerge w:val="continue"/>
            <w:shd w:val="solid" w:color="FFFFFF" w:fill="FFFFFF"/>
            <w:vAlign w:val="center"/>
          </w:tcPr>
          <w:p w14:paraId="3C2286FF">
            <w:pPr>
              <w:spacing w:line="320" w:lineRule="exact"/>
              <w:jc w:val="left"/>
              <w:rPr>
                <w:rFonts w:ascii="宋体" w:hAnsi="宋体"/>
                <w:bCs/>
                <w:sz w:val="18"/>
                <w:szCs w:val="18"/>
              </w:rPr>
            </w:pPr>
          </w:p>
        </w:tc>
        <w:tc>
          <w:tcPr>
            <w:tcW w:w="1085" w:type="dxa"/>
            <w:shd w:val="solid" w:color="FFFFFF" w:fill="FFFFFF"/>
            <w:vAlign w:val="center"/>
          </w:tcPr>
          <w:p w14:paraId="5B919455">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14:paraId="4E415BA5">
            <w:pPr>
              <w:spacing w:line="320" w:lineRule="exact"/>
              <w:jc w:val="left"/>
              <w:rPr>
                <w:rFonts w:ascii="宋体" w:hAnsi="宋体"/>
                <w:bCs/>
                <w:sz w:val="18"/>
                <w:szCs w:val="18"/>
              </w:rPr>
            </w:pPr>
          </w:p>
        </w:tc>
        <w:tc>
          <w:tcPr>
            <w:tcW w:w="1234" w:type="dxa"/>
            <w:shd w:val="solid" w:color="FFFFFF" w:fill="FFFFFF"/>
            <w:vAlign w:val="center"/>
          </w:tcPr>
          <w:p w14:paraId="1E7E2B81">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14:paraId="7986C610">
            <w:pPr>
              <w:spacing w:line="320" w:lineRule="exact"/>
              <w:jc w:val="left"/>
              <w:rPr>
                <w:rFonts w:ascii="宋体" w:hAnsi="宋体"/>
                <w:bCs/>
                <w:sz w:val="18"/>
                <w:szCs w:val="18"/>
              </w:rPr>
            </w:pPr>
          </w:p>
        </w:tc>
      </w:tr>
      <w:tr w14:paraId="437C5C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DECAA1D">
            <w:pPr>
              <w:spacing w:line="320" w:lineRule="exact"/>
              <w:jc w:val="left"/>
              <w:rPr>
                <w:rFonts w:ascii="宋体" w:hAnsi="宋体"/>
                <w:b/>
                <w:bCs/>
                <w:sz w:val="18"/>
                <w:szCs w:val="18"/>
              </w:rPr>
            </w:pPr>
          </w:p>
        </w:tc>
        <w:tc>
          <w:tcPr>
            <w:tcW w:w="635" w:type="dxa"/>
            <w:vMerge w:val="continue"/>
            <w:shd w:val="solid" w:color="FFFFFF" w:fill="FFFFFF"/>
            <w:vAlign w:val="center"/>
          </w:tcPr>
          <w:p w14:paraId="1BC2E20F">
            <w:pPr>
              <w:spacing w:line="320" w:lineRule="exact"/>
              <w:jc w:val="left"/>
              <w:rPr>
                <w:rFonts w:ascii="宋体" w:hAnsi="宋体"/>
                <w:bCs/>
                <w:sz w:val="18"/>
                <w:szCs w:val="18"/>
              </w:rPr>
            </w:pPr>
          </w:p>
        </w:tc>
        <w:tc>
          <w:tcPr>
            <w:tcW w:w="1085" w:type="dxa"/>
            <w:shd w:val="solid" w:color="FFFFFF" w:fill="FFFFFF"/>
            <w:vAlign w:val="center"/>
          </w:tcPr>
          <w:p w14:paraId="2CAF522B">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14:paraId="454DE2B3">
            <w:pPr>
              <w:spacing w:line="320" w:lineRule="exact"/>
              <w:jc w:val="left"/>
              <w:rPr>
                <w:rFonts w:ascii="宋体" w:hAnsi="宋体"/>
                <w:bCs/>
                <w:sz w:val="18"/>
                <w:szCs w:val="18"/>
              </w:rPr>
            </w:pPr>
          </w:p>
        </w:tc>
        <w:tc>
          <w:tcPr>
            <w:tcW w:w="1234" w:type="dxa"/>
            <w:shd w:val="solid" w:color="FFFFFF" w:fill="FFFFFF"/>
            <w:vAlign w:val="center"/>
          </w:tcPr>
          <w:p w14:paraId="3F3B1364">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14:paraId="01F9E6F5">
            <w:pPr>
              <w:spacing w:line="320" w:lineRule="exact"/>
              <w:jc w:val="left"/>
              <w:rPr>
                <w:rFonts w:ascii="宋体" w:hAnsi="宋体"/>
                <w:bCs/>
                <w:sz w:val="18"/>
                <w:szCs w:val="18"/>
              </w:rPr>
            </w:pPr>
          </w:p>
        </w:tc>
      </w:tr>
      <w:tr w14:paraId="7B0E62A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C3A2A8E">
            <w:pPr>
              <w:spacing w:line="320" w:lineRule="exact"/>
              <w:jc w:val="left"/>
              <w:rPr>
                <w:rFonts w:ascii="宋体" w:hAnsi="宋体"/>
                <w:b/>
                <w:bCs/>
                <w:sz w:val="18"/>
                <w:szCs w:val="18"/>
              </w:rPr>
            </w:pPr>
          </w:p>
        </w:tc>
        <w:tc>
          <w:tcPr>
            <w:tcW w:w="635" w:type="dxa"/>
            <w:vMerge w:val="continue"/>
            <w:shd w:val="solid" w:color="FFFFFF" w:fill="FFFFFF"/>
            <w:vAlign w:val="center"/>
          </w:tcPr>
          <w:p w14:paraId="200AA9DF">
            <w:pPr>
              <w:spacing w:line="320" w:lineRule="exact"/>
              <w:jc w:val="left"/>
              <w:rPr>
                <w:rFonts w:ascii="宋体" w:hAnsi="宋体"/>
                <w:bCs/>
                <w:sz w:val="18"/>
                <w:szCs w:val="18"/>
              </w:rPr>
            </w:pPr>
          </w:p>
        </w:tc>
        <w:tc>
          <w:tcPr>
            <w:tcW w:w="1085" w:type="dxa"/>
            <w:shd w:val="solid" w:color="FFFFFF" w:fill="FFFFFF"/>
            <w:vAlign w:val="center"/>
          </w:tcPr>
          <w:p w14:paraId="7B32CA9F">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14:paraId="53044D84">
            <w:pPr>
              <w:spacing w:line="320" w:lineRule="exact"/>
              <w:jc w:val="left"/>
              <w:rPr>
                <w:rFonts w:ascii="宋体" w:hAnsi="宋体"/>
                <w:bCs/>
                <w:sz w:val="18"/>
                <w:szCs w:val="18"/>
              </w:rPr>
            </w:pPr>
          </w:p>
        </w:tc>
      </w:tr>
      <w:tr w14:paraId="4165D0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0D1829C">
            <w:pPr>
              <w:spacing w:line="320" w:lineRule="exact"/>
              <w:jc w:val="left"/>
              <w:rPr>
                <w:rFonts w:ascii="宋体" w:hAnsi="宋体"/>
                <w:b/>
                <w:bCs/>
                <w:sz w:val="18"/>
                <w:szCs w:val="18"/>
              </w:rPr>
            </w:pPr>
          </w:p>
        </w:tc>
        <w:tc>
          <w:tcPr>
            <w:tcW w:w="635" w:type="dxa"/>
            <w:vMerge w:val="continue"/>
            <w:shd w:val="solid" w:color="FFFFFF" w:fill="FFFFFF"/>
            <w:vAlign w:val="center"/>
          </w:tcPr>
          <w:p w14:paraId="6AAE3E78">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14:paraId="4044FA0B">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14:paraId="19E9C186">
            <w:pPr>
              <w:spacing w:line="320" w:lineRule="exact"/>
              <w:jc w:val="left"/>
              <w:rPr>
                <w:rFonts w:ascii="宋体" w:hAnsi="宋体"/>
                <w:bCs/>
                <w:sz w:val="18"/>
                <w:szCs w:val="18"/>
              </w:rPr>
            </w:pPr>
          </w:p>
        </w:tc>
      </w:tr>
      <w:tr w14:paraId="163ACB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48F8613">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14:paraId="4AE0559C">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C70337B">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DF1E2C3">
            <w:pPr>
              <w:spacing w:line="320" w:lineRule="exact"/>
              <w:jc w:val="left"/>
              <w:rPr>
                <w:rFonts w:ascii="宋体" w:hAnsi="宋体"/>
                <w:bCs/>
                <w:sz w:val="18"/>
                <w:szCs w:val="18"/>
              </w:rPr>
            </w:pPr>
          </w:p>
        </w:tc>
      </w:tr>
      <w:tr w14:paraId="4444A6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8992ABA">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0A246418">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31EAF02">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3117D9A">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4F8C6FD">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2C356D2">
            <w:pPr>
              <w:spacing w:line="320" w:lineRule="exact"/>
              <w:jc w:val="left"/>
              <w:rPr>
                <w:rFonts w:ascii="宋体" w:hAnsi="宋体"/>
                <w:bCs/>
                <w:sz w:val="18"/>
                <w:szCs w:val="18"/>
              </w:rPr>
            </w:pPr>
          </w:p>
        </w:tc>
      </w:tr>
      <w:tr w14:paraId="41F4CE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DD8001F">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7541D16F">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DA32198">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17BB4D4">
            <w:pPr>
              <w:spacing w:line="320" w:lineRule="exact"/>
              <w:jc w:val="left"/>
              <w:rPr>
                <w:rFonts w:ascii="宋体" w:hAnsi="宋体"/>
                <w:bCs/>
                <w:sz w:val="18"/>
                <w:szCs w:val="18"/>
              </w:rPr>
            </w:pPr>
          </w:p>
        </w:tc>
      </w:tr>
      <w:tr w14:paraId="221449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D7B1B00">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4EFDBF3A">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C7B480F">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F658E34">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9686E2B">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25E2AD3">
            <w:pPr>
              <w:spacing w:line="320" w:lineRule="exact"/>
              <w:jc w:val="left"/>
              <w:rPr>
                <w:rFonts w:ascii="宋体" w:hAnsi="宋体"/>
                <w:bCs/>
                <w:sz w:val="18"/>
                <w:szCs w:val="18"/>
              </w:rPr>
            </w:pPr>
          </w:p>
        </w:tc>
      </w:tr>
      <w:tr w14:paraId="2C54BE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00DF1FC">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2225AC47">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E92D886">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F891C92">
            <w:pPr>
              <w:spacing w:line="320" w:lineRule="exact"/>
              <w:jc w:val="left"/>
              <w:rPr>
                <w:rFonts w:ascii="宋体" w:hAnsi="宋体"/>
                <w:bCs/>
                <w:sz w:val="18"/>
                <w:szCs w:val="18"/>
              </w:rPr>
            </w:pPr>
          </w:p>
        </w:tc>
      </w:tr>
      <w:tr w14:paraId="0F7ECFA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277765BB">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3AECD366">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DF07BB9">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FE5C191">
            <w:pPr>
              <w:spacing w:line="320" w:lineRule="exact"/>
              <w:jc w:val="left"/>
              <w:rPr>
                <w:rFonts w:ascii="宋体" w:hAnsi="宋体"/>
                <w:bCs/>
                <w:sz w:val="18"/>
                <w:szCs w:val="18"/>
              </w:rPr>
            </w:pPr>
          </w:p>
        </w:tc>
      </w:tr>
      <w:tr w14:paraId="64EA00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45B51F5A">
            <w:pPr>
              <w:pStyle w:val="4"/>
              <w:pBdr>
                <w:bottom w:val="none" w:color="auto" w:sz="0" w:space="0"/>
              </w:pBdr>
              <w:spacing w:line="320" w:lineRule="exact"/>
              <w:rPr>
                <w:rFonts w:ascii="宋体" w:hAnsi="宋体"/>
                <w:b/>
                <w:bCs/>
                <w:sz w:val="28"/>
                <w:szCs w:val="28"/>
              </w:rPr>
            </w:pPr>
          </w:p>
        </w:tc>
      </w:tr>
      <w:tr w14:paraId="59F001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5B8D6856">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14:paraId="02F54649">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14:paraId="769660EA">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14:paraId="23FF259F">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14:paraId="7F49FA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7D2F3653">
            <w:pPr>
              <w:spacing w:line="320" w:lineRule="exact"/>
              <w:jc w:val="left"/>
              <w:rPr>
                <w:rFonts w:ascii="宋体" w:hAnsi="宋体"/>
                <w:b/>
                <w:bCs/>
                <w:sz w:val="18"/>
                <w:szCs w:val="18"/>
              </w:rPr>
            </w:pPr>
          </w:p>
        </w:tc>
        <w:tc>
          <w:tcPr>
            <w:tcW w:w="1720" w:type="dxa"/>
            <w:gridSpan w:val="2"/>
            <w:shd w:val="solid" w:color="FFFFFF" w:fill="FFFFFF"/>
            <w:vAlign w:val="center"/>
          </w:tcPr>
          <w:p w14:paraId="41591C44">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14:paraId="3A07B406">
            <w:pPr>
              <w:spacing w:line="320" w:lineRule="exact"/>
              <w:jc w:val="left"/>
              <w:rPr>
                <w:rFonts w:ascii="宋体" w:hAnsi="宋体"/>
                <w:bCs/>
                <w:sz w:val="18"/>
                <w:szCs w:val="18"/>
              </w:rPr>
            </w:pPr>
            <w:r>
              <w:rPr>
                <w:rFonts w:hint="eastAsia" w:ascii="宋体" w:hAnsi="宋体"/>
                <w:bCs/>
                <w:sz w:val="18"/>
                <w:szCs w:val="18"/>
              </w:rPr>
              <w:t>【沧州银行股份有限公司】</w:t>
            </w:r>
          </w:p>
        </w:tc>
      </w:tr>
      <w:tr w14:paraId="1DE3462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0F7E51B3">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14:paraId="5A2E8A26">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14:paraId="0C973930">
            <w:pPr>
              <w:pStyle w:val="14"/>
              <w:jc w:val="both"/>
            </w:pPr>
            <w:r>
              <w:rPr>
                <w:rFonts w:hint="eastAsia" w:asciiTheme="majorEastAsia" w:hAnsiTheme="majorEastAsia" w:eastAsiaTheme="majorEastAsia"/>
                <w:bCs/>
                <w:sz w:val="18"/>
                <w:szCs w:val="18"/>
              </w:rPr>
              <w:t>【</w:t>
            </w:r>
            <w:r>
              <w:rPr>
                <w:rFonts w:hint="eastAsia" w:cs="宋体" w:asciiTheme="majorEastAsia" w:hAnsiTheme="majorEastAsia" w:eastAsiaTheme="majorEastAsia"/>
                <w:bCs/>
                <w:color w:val="000000"/>
                <w:sz w:val="18"/>
                <w:szCs w:val="18"/>
                <w:highlight w:val="none"/>
                <w:lang w:val="en-US" w:eastAsia="zh-CN" w:bidi="ar-SA"/>
              </w:rPr>
              <w:t>沧州银行</w:t>
            </w:r>
            <w:r>
              <w:rPr>
                <w:rFonts w:hint="eastAsia" w:asciiTheme="majorEastAsia" w:hAnsiTheme="majorEastAsia" w:eastAsiaTheme="majorEastAsia"/>
                <w:bCs/>
                <w:sz w:val="18"/>
                <w:szCs w:val="18"/>
              </w:rPr>
              <w:t>】</w:t>
            </w:r>
          </w:p>
        </w:tc>
      </w:tr>
      <w:tr w14:paraId="5EBEDC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11C0CD77">
            <w:pPr>
              <w:spacing w:line="320" w:lineRule="exact"/>
              <w:jc w:val="left"/>
              <w:rPr>
                <w:rFonts w:ascii="宋体" w:hAnsi="宋体"/>
                <w:bCs/>
                <w:sz w:val="18"/>
                <w:szCs w:val="18"/>
              </w:rPr>
            </w:pPr>
          </w:p>
        </w:tc>
      </w:tr>
      <w:tr w14:paraId="2C4DFE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388C39A7">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14:paraId="7B1BC176">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14:paraId="42A9A7B5">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680DEF2E">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0AD18BF9">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14:paraId="214936D8">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3A7E09C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650C85C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25DE8F62">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14:paraId="0E51E15A">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615CCE20">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14:paraId="168EC70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10E749A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564A57B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【R1/R2/R3/R4/R5】；根据投资者在乙方评估的风险承受能力，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69F4EB2A">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14:paraId="7B4A22C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061142E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0D18146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0F594FA3">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14:paraId="41127DB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7485411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344CCF0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40B86A2B">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参照本条第（1）款</w:t>
      </w:r>
      <w:r>
        <w:rPr>
          <w:rFonts w:hint="eastAsia" w:asciiTheme="majorEastAsia" w:hAnsiTheme="majorEastAsia" w:eastAsiaTheme="majorEastAsia"/>
          <w:sz w:val="18"/>
          <w:szCs w:val="18"/>
          <w:lang w:val="en-US" w:eastAsia="zh-CN"/>
        </w:rPr>
        <w:t>普通</w:t>
      </w:r>
      <w:r>
        <w:rPr>
          <w:rFonts w:hint="eastAsia" w:asciiTheme="majorEastAsia" w:hAnsiTheme="majorEastAsia" w:eastAsiaTheme="majorEastAsia"/>
          <w:sz w:val="18"/>
          <w:szCs w:val="18"/>
        </w:rPr>
        <w:t>投资者要求执行；</w:t>
      </w:r>
    </w:p>
    <w:p w14:paraId="23092C2F">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14:paraId="2885DC7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396DB92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25E5B5E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4E53979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6F27F0C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763478B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01437B5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08E40152">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6B98BC5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248D70F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16D76BB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706B7CC9">
      <w:pPr>
        <w:widowControl/>
        <w:spacing w:line="360" w:lineRule="auto"/>
        <w:jc w:val="left"/>
        <w:rPr>
          <w:rFonts w:ascii="宋体" w:hAnsi="宋体" w:cs="仿宋_GB2312"/>
          <w:kern w:val="0"/>
          <w:sz w:val="18"/>
          <w:szCs w:val="18"/>
        </w:rPr>
      </w:pPr>
    </w:p>
    <w:p w14:paraId="6B070EB9">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500B2A9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44A9BCE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1BC8313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38033A89">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0436417F">
      <w:pPr>
        <w:widowControl/>
        <w:spacing w:line="360" w:lineRule="auto"/>
        <w:jc w:val="left"/>
        <w:rPr>
          <w:rFonts w:ascii="宋体" w:hAnsi="宋体" w:cs="仿宋_GB2312"/>
          <w:kern w:val="0"/>
          <w:sz w:val="18"/>
          <w:szCs w:val="18"/>
        </w:rPr>
      </w:pPr>
    </w:p>
    <w:p w14:paraId="1E178B72">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1EC5A58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24ABF7B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2376E000">
      <w:pPr>
        <w:widowControl/>
        <w:spacing w:line="360" w:lineRule="auto"/>
        <w:jc w:val="left"/>
        <w:rPr>
          <w:rFonts w:ascii="宋体" w:hAnsi="宋体" w:cs="仿宋_GB2312"/>
          <w:kern w:val="0"/>
          <w:sz w:val="18"/>
          <w:szCs w:val="18"/>
        </w:rPr>
      </w:pPr>
    </w:p>
    <w:p w14:paraId="5256D9F4">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6BEBF73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0A2167F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73D2EEC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5F28075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4025E68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703A5A6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7FE58E0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7E4C64CB">
      <w:pPr>
        <w:widowControl/>
        <w:spacing w:line="360" w:lineRule="auto"/>
        <w:jc w:val="left"/>
        <w:rPr>
          <w:rFonts w:ascii="宋体" w:hAnsi="宋体" w:cs="仿宋_GB2312"/>
          <w:b/>
          <w:kern w:val="0"/>
          <w:sz w:val="18"/>
          <w:szCs w:val="18"/>
        </w:rPr>
      </w:pPr>
    </w:p>
    <w:p w14:paraId="040A6BC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262869B0">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1501A737">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4A34B897">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576370C7">
      <w:pPr>
        <w:widowControl/>
        <w:jc w:val="left"/>
        <w:rPr>
          <w:rFonts w:ascii="宋体" w:hAnsi="宋体" w:cs="仿宋_GB2312"/>
          <w:b/>
          <w:kern w:val="0"/>
          <w:sz w:val="18"/>
          <w:szCs w:val="18"/>
        </w:rPr>
      </w:pPr>
      <w:r>
        <w:rPr>
          <w:rFonts w:ascii="宋体" w:hAnsi="宋体" w:cs="仿宋_GB2312"/>
          <w:b/>
          <w:kern w:val="0"/>
          <w:sz w:val="18"/>
          <w:szCs w:val="18"/>
        </w:rPr>
        <w:br w:type="page"/>
      </w:r>
    </w:p>
    <w:p w14:paraId="3D236226">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40DFD82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49B9BF8C">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14:paraId="7198DB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13D31F3E">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14:paraId="738B4422">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14:paraId="51553350">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4C0C1E34">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3427E1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569DB4E6">
            <w:pPr>
              <w:spacing w:line="360" w:lineRule="auto"/>
              <w:jc w:val="center"/>
              <w:rPr>
                <w:b/>
                <w:kern w:val="0"/>
                <w:sz w:val="18"/>
                <w:szCs w:val="18"/>
              </w:rPr>
            </w:pPr>
            <w:r>
              <w:rPr>
                <w:rFonts w:hint="eastAsia"/>
                <w:b/>
                <w:kern w:val="0"/>
                <w:sz w:val="18"/>
                <w:szCs w:val="18"/>
              </w:rPr>
              <w:t>甲方签署栏</w:t>
            </w:r>
          </w:p>
        </w:tc>
        <w:tc>
          <w:tcPr>
            <w:tcW w:w="851" w:type="dxa"/>
          </w:tcPr>
          <w:p w14:paraId="0936E7DE">
            <w:pPr>
              <w:spacing w:line="360" w:lineRule="auto"/>
              <w:rPr>
                <w:kern w:val="0"/>
                <w:sz w:val="18"/>
                <w:szCs w:val="18"/>
              </w:rPr>
            </w:pPr>
            <w:r>
              <w:rPr>
                <w:rFonts w:hint="eastAsia"/>
                <w:kern w:val="0"/>
                <w:sz w:val="18"/>
                <w:szCs w:val="18"/>
              </w:rPr>
              <w:t>个人投资者适用</w:t>
            </w:r>
          </w:p>
        </w:tc>
        <w:tc>
          <w:tcPr>
            <w:tcW w:w="6998" w:type="dxa"/>
          </w:tcPr>
          <w:p w14:paraId="1FAD1114">
            <w:pPr>
              <w:spacing w:line="360" w:lineRule="auto"/>
              <w:rPr>
                <w:kern w:val="0"/>
                <w:sz w:val="18"/>
                <w:szCs w:val="18"/>
              </w:rPr>
            </w:pPr>
            <w:r>
              <w:rPr>
                <w:rFonts w:hint="eastAsia"/>
                <w:kern w:val="0"/>
                <w:sz w:val="18"/>
                <w:szCs w:val="18"/>
              </w:rPr>
              <w:t>甲方（签名/线上确认）：</w:t>
            </w:r>
          </w:p>
          <w:p w14:paraId="279A0EB0">
            <w:pPr>
              <w:spacing w:line="360" w:lineRule="auto"/>
              <w:rPr>
                <w:b/>
                <w:kern w:val="0"/>
                <w:sz w:val="18"/>
                <w:szCs w:val="18"/>
              </w:rPr>
            </w:pPr>
          </w:p>
          <w:p w14:paraId="0B033B9F">
            <w:pPr>
              <w:spacing w:line="360" w:lineRule="auto"/>
              <w:rPr>
                <w:b/>
                <w:kern w:val="0"/>
                <w:sz w:val="18"/>
                <w:szCs w:val="18"/>
              </w:rPr>
            </w:pPr>
            <w:r>
              <w:rPr>
                <w:rFonts w:hint="eastAsia"/>
                <w:kern w:val="0"/>
                <w:sz w:val="18"/>
                <w:szCs w:val="18"/>
              </w:rPr>
              <w:t>日期：</w:t>
            </w:r>
          </w:p>
        </w:tc>
      </w:tr>
      <w:tr w14:paraId="46408C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691DD100">
            <w:pPr>
              <w:spacing w:line="360" w:lineRule="auto"/>
              <w:rPr>
                <w:b/>
                <w:kern w:val="0"/>
                <w:sz w:val="18"/>
                <w:szCs w:val="18"/>
              </w:rPr>
            </w:pPr>
          </w:p>
        </w:tc>
        <w:tc>
          <w:tcPr>
            <w:tcW w:w="851" w:type="dxa"/>
          </w:tcPr>
          <w:p w14:paraId="58BB57D9">
            <w:pPr>
              <w:spacing w:line="360" w:lineRule="auto"/>
              <w:rPr>
                <w:kern w:val="0"/>
                <w:sz w:val="18"/>
                <w:szCs w:val="18"/>
              </w:rPr>
            </w:pPr>
            <w:r>
              <w:rPr>
                <w:rFonts w:hint="eastAsia"/>
                <w:kern w:val="0"/>
                <w:sz w:val="18"/>
                <w:szCs w:val="18"/>
              </w:rPr>
              <w:t>机构投资者适用</w:t>
            </w:r>
          </w:p>
        </w:tc>
        <w:tc>
          <w:tcPr>
            <w:tcW w:w="6998" w:type="dxa"/>
          </w:tcPr>
          <w:p w14:paraId="61463870">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14:paraId="23BBE8E7">
            <w:pPr>
              <w:spacing w:line="360" w:lineRule="auto"/>
              <w:rPr>
                <w:rFonts w:cs="Arial"/>
                <w:kern w:val="0"/>
                <w:sz w:val="18"/>
                <w:szCs w:val="18"/>
              </w:rPr>
            </w:pPr>
          </w:p>
          <w:p w14:paraId="23BFCEF4">
            <w:pPr>
              <w:spacing w:line="360" w:lineRule="auto"/>
              <w:rPr>
                <w:rFonts w:cs="Arial"/>
                <w:kern w:val="0"/>
                <w:sz w:val="18"/>
                <w:szCs w:val="18"/>
              </w:rPr>
            </w:pPr>
            <w:r>
              <w:rPr>
                <w:rFonts w:hint="eastAsia" w:cs="Arial"/>
                <w:kern w:val="0"/>
                <w:sz w:val="18"/>
                <w:szCs w:val="18"/>
              </w:rPr>
              <w:t>甲方法定代表人或授权代理人（签名/盖章/线上确认）：</w:t>
            </w:r>
          </w:p>
          <w:p w14:paraId="56B04196">
            <w:pPr>
              <w:spacing w:line="360" w:lineRule="auto"/>
              <w:rPr>
                <w:kern w:val="0"/>
                <w:sz w:val="18"/>
                <w:szCs w:val="18"/>
              </w:rPr>
            </w:pPr>
            <w:r>
              <w:rPr>
                <w:rFonts w:hint="eastAsia"/>
                <w:kern w:val="0"/>
                <w:sz w:val="18"/>
                <w:szCs w:val="18"/>
              </w:rPr>
              <w:t>日期：</w:t>
            </w:r>
          </w:p>
        </w:tc>
      </w:tr>
      <w:tr w14:paraId="45BA42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241D38E1">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14:paraId="2F50370D">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14:paraId="45C7DC1F">
            <w:pPr>
              <w:spacing w:line="360" w:lineRule="auto"/>
              <w:rPr>
                <w:b/>
                <w:kern w:val="0"/>
                <w:sz w:val="18"/>
                <w:szCs w:val="18"/>
              </w:rPr>
            </w:pPr>
          </w:p>
          <w:p w14:paraId="607B4360">
            <w:pPr>
              <w:spacing w:line="360" w:lineRule="auto"/>
              <w:rPr>
                <w:kern w:val="0"/>
                <w:sz w:val="18"/>
                <w:szCs w:val="18"/>
              </w:rPr>
            </w:pPr>
            <w:r>
              <w:rPr>
                <w:rFonts w:hint="eastAsia"/>
                <w:kern w:val="0"/>
                <w:sz w:val="18"/>
                <w:szCs w:val="18"/>
              </w:rPr>
              <w:t>日期：</w:t>
            </w:r>
          </w:p>
        </w:tc>
      </w:tr>
    </w:tbl>
    <w:p w14:paraId="36E18465">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4B2E0406"/>
    <w:p w14:paraId="68EEE25A">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3753CFFE">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兴银理财【稳利恒盈封闭式固收类】</w:t>
      </w:r>
      <w:r>
        <w:rPr>
          <w:rFonts w:ascii="黑体" w:hAnsi="黑体" w:eastAsia="黑体"/>
          <w:b/>
          <w:bCs/>
          <w:sz w:val="28"/>
          <w:szCs w:val="28"/>
        </w:rPr>
        <w:t>理财产品</w:t>
      </w:r>
    </w:p>
    <w:p w14:paraId="41805391">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14:paraId="7ABC3F51">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14:paraId="387D9044">
      <w:pPr>
        <w:rPr>
          <w:rFonts w:ascii="宋体" w:hAnsi="宋体" w:cs="仿宋_GB2312"/>
          <w:b/>
          <w:kern w:val="0"/>
          <w:sz w:val="18"/>
          <w:szCs w:val="18"/>
        </w:rPr>
      </w:pPr>
      <w:r>
        <w:rPr>
          <w:rFonts w:hint="eastAsia" w:ascii="宋体" w:hAnsi="宋体" w:cs="仿宋_GB2312"/>
          <w:b/>
          <w:kern w:val="0"/>
          <w:sz w:val="18"/>
          <w:szCs w:val="18"/>
        </w:rPr>
        <w:t>尊敬的投资者：</w:t>
      </w:r>
    </w:p>
    <w:p w14:paraId="657313FD">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31D3DFC2">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506E631A">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60301B35">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5F21214E">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【兴银理财稳利恒盈封闭式2026年511期固收类理财产品</w:t>
      </w:r>
      <w:r>
        <w:rPr>
          <w:rFonts w:hint="eastAsia" w:asciiTheme="majorEastAsia" w:hAnsiTheme="majorEastAsia" w:eastAsiaTheme="majorEastAsia"/>
          <w:bCs/>
          <w:kern w:val="0"/>
          <w:sz w:val="18"/>
          <w:szCs w:val="18"/>
        </w:rPr>
        <w:t>】</w:t>
      </w:r>
    </w:p>
    <w:p w14:paraId="70384EDA">
      <w:pPr>
        <w:ind w:firstLine="448" w:firstLineChars="249"/>
        <w:rPr>
          <w:rFonts w:ascii="宋体" w:hAnsi="宋体" w:cs="仿宋_GB2312"/>
          <w:kern w:val="0"/>
          <w:sz w:val="18"/>
          <w:szCs w:val="18"/>
        </w:rPr>
      </w:pPr>
      <w:r>
        <w:rPr>
          <w:rFonts w:ascii="宋体" w:hAnsi="宋体" w:eastAsia="宋体" w:cs="宋体"/>
          <w:sz w:val="18"/>
        </w:rPr>
        <w:t>销售名称：【稳利恒盈封闭2026年511期13M(纯盈颐养款）A】 (适用【A】类份额)</w:t>
      </w:r>
      <w:r>
        <w:rPr>
          <w:rFonts w:ascii="宋体" w:hAnsi="宋体" w:eastAsia="宋体" w:cs="宋体"/>
          <w:sz w:val="18"/>
        </w:rPr>
        <w:br w:type="textWrapping"/>
      </w:r>
      <w:r>
        <w:rPr>
          <w:rFonts w:ascii="宋体" w:hAnsi="宋体" w:eastAsia="宋体" w:cs="宋体"/>
          <w:sz w:val="18"/>
        </w:rPr>
        <w:t xml:space="preserve">     【稳利恒盈封闭2026年511期13M(纯盈颐养款）C】 (适用【C】类份额)</w:t>
      </w:r>
      <w:r>
        <w:rPr>
          <w:rFonts w:ascii="宋体" w:hAnsi="宋体" w:eastAsia="宋体" w:cs="宋体"/>
          <w:sz w:val="18"/>
        </w:rPr>
        <w:br w:type="textWrapping"/>
      </w:r>
      <w:r>
        <w:rPr>
          <w:rFonts w:ascii="宋体" w:hAnsi="宋体" w:eastAsia="宋体" w:cs="宋体"/>
          <w:sz w:val="18"/>
        </w:rPr>
        <w:t xml:space="preserve">     【稳利恒盈封闭2026年511期13M(纯盈颐养款）D】 (适用【D】类份额)</w:t>
      </w:r>
      <w:r>
        <w:rPr>
          <w:rFonts w:ascii="宋体" w:hAnsi="宋体" w:eastAsia="宋体" w:cs="宋体"/>
          <w:sz w:val="18"/>
        </w:rPr>
        <w:br w:type="textWrapping"/>
      </w:r>
      <w:r>
        <w:rPr>
          <w:rFonts w:ascii="宋体" w:hAnsi="宋体" w:eastAsia="宋体" w:cs="宋体"/>
          <w:sz w:val="18"/>
        </w:rPr>
        <w:t xml:space="preserve">     【稳利恒盈封闭2026年511期13M(纯盈颐养款）E】 (适用【E】类份额)</w:t>
      </w:r>
      <w:r>
        <w:rPr>
          <w:rFonts w:ascii="宋体" w:hAnsi="宋体" w:eastAsia="宋体" w:cs="宋体"/>
          <w:sz w:val="18"/>
        </w:rPr>
        <w:br w:type="textWrapping"/>
      </w:r>
      <w:r>
        <w:rPr>
          <w:rFonts w:ascii="宋体" w:hAnsi="宋体" w:eastAsia="宋体" w:cs="宋体"/>
          <w:sz w:val="18"/>
        </w:rPr>
        <w:t xml:space="preserve">     【稳利恒盈封闭2026年511期13M(纯盈颐养款）F】 (适用【F】类份额)</w:t>
      </w:r>
    </w:p>
    <w:p w14:paraId="25E21D35">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Z7002025002004</w:t>
      </w:r>
      <w:r>
        <w:rPr>
          <w:rFonts w:ascii="宋体" w:hAnsi="宋体" w:cs="仿宋_GB2312"/>
          <w:kern w:val="0"/>
          <w:sz w:val="18"/>
          <w:szCs w:val="18"/>
        </w:rPr>
        <w:t>】</w:t>
      </w:r>
    </w:p>
    <w:p w14:paraId="40B80B1C">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0E708A16">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580CE7F9">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42F195A5">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【■有固定期限:【403天】</w:t>
      </w:r>
    </w:p>
    <w:p w14:paraId="16E544C5">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1811F7FF">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14:paraId="08AB0962">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14:paraId="573F6E18">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72C34734">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5346D62E">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2C4A4BB0">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5A92B87A">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15098F18">
      <w:pPr>
        <w:ind w:firstLine="360" w:firstLineChars="20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■个人投资者：【□ C1、■C2、■ C3、■ C4、■ C5、■ C6】</w:t>
      </w:r>
    </w:p>
    <w:p w14:paraId="467EBD54">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 C1、■C2、■ C3、■ C4、■ C5】</w:t>
      </w:r>
    </w:p>
    <w:p w14:paraId="3B4FDCF2">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3A6294E4">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6D90AD50">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101F3B1C">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2F60546C">
      <w:pPr>
        <w:ind w:firstLine="360" w:firstLineChars="200"/>
        <w:rPr>
          <w:rFonts w:hint="eastAsia" w:ascii="宋体" w:hAnsi="宋体"/>
          <w:sz w:val="18"/>
          <w:szCs w:val="18"/>
        </w:rPr>
      </w:pPr>
      <w:r>
        <w:rPr>
          <w:rFonts w:hint="eastAsia" w:ascii="宋体" w:hAnsi="宋体"/>
          <w:sz w:val="18"/>
          <w:szCs w:val="18"/>
        </w:rPr>
        <w:t>【1.拟投资市场和资产的风险：</w:t>
      </w:r>
    </w:p>
    <w:p w14:paraId="29EEFA1C">
      <w:pPr>
        <w:ind w:firstLine="360" w:firstLineChars="200"/>
        <w:rPr>
          <w:rFonts w:hint="eastAsia" w:ascii="宋体" w:hAnsi="宋体"/>
          <w:sz w:val="18"/>
          <w:szCs w:val="18"/>
        </w:rPr>
      </w:pPr>
      <w:r>
        <w:rPr>
          <w:rFonts w:hint="eastAsia" w:ascii="宋体" w:hAnsi="宋体"/>
          <w:sz w:val="18"/>
          <w:szCs w:val="18"/>
        </w:rPr>
        <w:t>（1）投资债权类资产的风险</w:t>
      </w:r>
    </w:p>
    <w:p w14:paraId="12199BC3">
      <w:pPr>
        <w:ind w:firstLine="360" w:firstLineChars="200"/>
        <w:rPr>
          <w:rFonts w:hint="eastAsia" w:ascii="宋体" w:hAnsi="宋体"/>
          <w:sz w:val="18"/>
          <w:szCs w:val="18"/>
        </w:rPr>
      </w:pPr>
      <w:r>
        <w:rPr>
          <w:rFonts w:hint="eastAsia" w:ascii="宋体" w:hAnsi="宋体"/>
          <w:sz w:val="18"/>
          <w:szCs w:val="18"/>
        </w:rPr>
        <w:t>1）投资标准化债权类资产的风险</w:t>
      </w:r>
    </w:p>
    <w:p w14:paraId="0C2CFB31">
      <w:pPr>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7FE13790">
      <w:pPr>
        <w:ind w:firstLine="360" w:firstLineChars="200"/>
        <w:rPr>
          <w:rFonts w:hint="eastAsia" w:ascii="宋体" w:hAnsi="宋体"/>
          <w:sz w:val="18"/>
          <w:szCs w:val="18"/>
        </w:rPr>
      </w:pPr>
      <w:r>
        <w:rPr>
          <w:rFonts w:hint="eastAsia" w:ascii="宋体" w:hAnsi="宋体"/>
          <w:sz w:val="18"/>
          <w:szCs w:val="18"/>
        </w:rPr>
        <w:t>2）投资非标准化债权类资产的风险</w:t>
      </w:r>
    </w:p>
    <w:p w14:paraId="2E6E1869">
      <w:pPr>
        <w:ind w:firstLine="360" w:firstLineChars="200"/>
        <w:rPr>
          <w:rFonts w:hint="eastAsia"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327CFDCA">
      <w:pPr>
        <w:ind w:firstLine="360" w:firstLineChars="200"/>
        <w:rPr>
          <w:rFonts w:hint="eastAsia" w:ascii="宋体" w:hAnsi="宋体"/>
          <w:sz w:val="18"/>
          <w:szCs w:val="18"/>
        </w:rPr>
      </w:pPr>
      <w:r>
        <w:rPr>
          <w:rFonts w:hint="eastAsia" w:ascii="宋体" w:hAnsi="宋体"/>
          <w:sz w:val="18"/>
          <w:szCs w:val="18"/>
        </w:rPr>
        <w:t xml:space="preserve">（2）投资权益类资产的风险 </w:t>
      </w:r>
    </w:p>
    <w:p w14:paraId="6EA3DC81">
      <w:pPr>
        <w:ind w:firstLine="360" w:firstLineChars="200"/>
        <w:rPr>
          <w:rFonts w:hint="eastAsia" w:ascii="宋体" w:hAnsi="宋体"/>
          <w:sz w:val="18"/>
          <w:szCs w:val="18"/>
        </w:rPr>
      </w:pPr>
      <w:r>
        <w:rPr>
          <w:rFonts w:hint="eastAsia" w:ascii="宋体" w:hAnsi="宋体"/>
          <w:sz w:val="18"/>
          <w:szCs w:val="18"/>
        </w:rPr>
        <w:t>1）投资股票类资产的风险</w:t>
      </w:r>
    </w:p>
    <w:p w14:paraId="19FC841C">
      <w:pPr>
        <w:ind w:firstLine="360" w:firstLineChars="200"/>
        <w:rPr>
          <w:rFonts w:hint="eastAsia" w:ascii="宋体" w:hAnsi="宋体"/>
          <w:sz w:val="18"/>
          <w:szCs w:val="18"/>
        </w:rPr>
      </w:pPr>
      <w:r>
        <w:rPr>
          <w:rFonts w:hint="eastAsia" w:ascii="宋体" w:hAnsi="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14:paraId="5BDC0768">
      <w:pPr>
        <w:ind w:firstLine="360" w:firstLineChars="200"/>
        <w:rPr>
          <w:rFonts w:hint="eastAsia" w:ascii="宋体" w:hAnsi="宋体"/>
          <w:sz w:val="18"/>
          <w:szCs w:val="18"/>
        </w:rPr>
      </w:pPr>
      <w:r>
        <w:rPr>
          <w:rFonts w:hint="eastAsia" w:ascii="宋体" w:hAnsi="宋体"/>
          <w:sz w:val="18"/>
          <w:szCs w:val="18"/>
        </w:rPr>
        <w:t>2）投资股权类资产的风险</w:t>
      </w:r>
    </w:p>
    <w:p w14:paraId="18693CE8">
      <w:pPr>
        <w:ind w:firstLine="360" w:firstLineChars="200"/>
        <w:rPr>
          <w:rFonts w:hint="eastAsia" w:ascii="宋体" w:hAnsi="宋体"/>
          <w:sz w:val="18"/>
          <w:szCs w:val="18"/>
        </w:rPr>
      </w:pPr>
      <w:r>
        <w:rPr>
          <w:rFonts w:hint="eastAsia" w:ascii="宋体" w:hAnsi="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14:paraId="548BA9F7">
      <w:pPr>
        <w:ind w:firstLine="360" w:firstLineChars="200"/>
        <w:rPr>
          <w:rFonts w:hint="eastAsia" w:ascii="宋体" w:hAnsi="宋体"/>
          <w:sz w:val="18"/>
          <w:szCs w:val="18"/>
        </w:rPr>
      </w:pPr>
      <w:r>
        <w:rPr>
          <w:rFonts w:hint="eastAsia" w:ascii="宋体" w:hAnsi="宋体"/>
          <w:sz w:val="18"/>
          <w:szCs w:val="18"/>
        </w:rPr>
        <w:t xml:space="preserve">（3）投资商品和金融衍生品类资产的风险 </w:t>
      </w:r>
    </w:p>
    <w:p w14:paraId="695432B1">
      <w:pPr>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08CF6169">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5766B462">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466734E7">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14:paraId="7B128022">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327BFAEE">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14:paraId="2391A12D">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4720BA73">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14:paraId="2C9C3D47">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40E964D3">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14:paraId="5349BC7B">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3AA2D181">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14:paraId="38D83935">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14:paraId="292C2FAF">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14:paraId="2C40C89F">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14:paraId="1BD1745D">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14:paraId="16961A09">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54E7BCDE">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14:paraId="76F0D287">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67818369">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14:paraId="172AB5D6">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14:paraId="598A6C6F">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14:paraId="1808BCCC">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14:paraId="46A4C443">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14:paraId="67E872A3">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14:paraId="02773282">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14:paraId="03FEF862">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14:paraId="017ACB9F">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14:paraId="28AD9043">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14:paraId="67A56313">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14:paraId="29B81D78">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14:paraId="48B71AF7">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14:paraId="08CE4812">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766DDFD4">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14:paraId="2C9BC9E3">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14:paraId="45E22BDE">
      <w:pPr>
        <w:pStyle w:val="12"/>
        <w:ind w:firstLineChars="0"/>
        <w:rPr>
          <w:rFonts w:hint="eastAsia" w:ascii="黑体" w:hAnsi="黑体" w:eastAsia="黑体" w:cs="黑体"/>
          <w:b/>
          <w:bCs/>
          <w:sz w:val="18"/>
          <w:szCs w:val="18"/>
        </w:rPr>
      </w:pPr>
      <w:r>
        <w:rPr>
          <w:rFonts w:hint="eastAsia" w:ascii="黑体" w:hAnsi="黑体" w:eastAsia="黑体" w:cs="黑体"/>
          <w:b/>
          <w:bCs/>
          <w:sz w:val="18"/>
          <w:szCs w:val="18"/>
        </w:rPr>
        <w:t>17.★关联交易风险</w:t>
      </w:r>
    </w:p>
    <w:p w14:paraId="4C825808">
      <w:pPr>
        <w:pStyle w:val="12"/>
        <w:ind w:firstLineChars="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26C784C6">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42E39452">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0283CC5D">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10C7ADAD">
      <w:pPr>
        <w:ind w:left="540"/>
        <w:jc w:val="right"/>
        <w:rPr>
          <w:rFonts w:ascii="宋体" w:hAnsi="宋体"/>
          <w:sz w:val="18"/>
          <w:szCs w:val="18"/>
        </w:rPr>
      </w:pPr>
    </w:p>
    <w:p w14:paraId="231E4329">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14:paraId="4485B2D7">
      <w:pPr>
        <w:wordWrap w:val="0"/>
        <w:ind w:left="540"/>
        <w:jc w:val="right"/>
        <w:rPr>
          <w:rFonts w:ascii="宋体" w:hAnsi="宋体"/>
          <w:sz w:val="18"/>
          <w:szCs w:val="18"/>
        </w:rPr>
      </w:pPr>
      <w:r>
        <w:rPr>
          <w:rFonts w:hint="eastAsia" w:ascii="宋体" w:hAnsi="宋体"/>
          <w:sz w:val="18"/>
          <w:szCs w:val="18"/>
        </w:rPr>
        <w:t>销售机构（【沧州银行股份有限公司】）</w:t>
      </w:r>
    </w:p>
    <w:p w14:paraId="56EB454D">
      <w:pPr>
        <w:widowControl/>
        <w:jc w:val="left"/>
        <w:rPr>
          <w:rFonts w:ascii="宋体" w:hAnsi="宋体"/>
          <w:sz w:val="18"/>
          <w:szCs w:val="18"/>
        </w:rPr>
      </w:pPr>
      <w:r>
        <w:rPr>
          <w:rFonts w:ascii="宋体" w:hAnsi="宋体"/>
          <w:sz w:val="18"/>
          <w:szCs w:val="18"/>
        </w:rPr>
        <w:br w:type="page"/>
      </w:r>
    </w:p>
    <w:p w14:paraId="51AF1792">
      <w:pPr>
        <w:ind w:left="540"/>
        <w:jc w:val="right"/>
        <w:rPr>
          <w:rFonts w:ascii="宋体" w:hAnsi="宋体"/>
          <w:sz w:val="18"/>
          <w:szCs w:val="18"/>
        </w:rPr>
      </w:pPr>
    </w:p>
    <w:p w14:paraId="288E092F">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4C71F6D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627" w:hRule="atLeast"/>
        </w:trPr>
        <w:tc>
          <w:tcPr>
            <w:tcW w:w="8371" w:type="dxa"/>
          </w:tcPr>
          <w:p w14:paraId="65606482">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57AE5D2B">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7B4CCA1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673CBF8D">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3BF59B29">
            <w:pPr>
              <w:spacing w:line="280" w:lineRule="atLeast"/>
              <w:jc w:val="left"/>
              <w:rPr>
                <w:rFonts w:ascii="宋体" w:hAnsi="宋体" w:cs="Arial"/>
                <w:sz w:val="18"/>
                <w:szCs w:val="18"/>
              </w:rPr>
            </w:pPr>
          </w:p>
          <w:p w14:paraId="44E1D4BA">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0FE34218">
            <w:pPr>
              <w:spacing w:line="280" w:lineRule="atLeast"/>
              <w:jc w:val="left"/>
              <w:rPr>
                <w:rFonts w:ascii="宋体" w:hAnsi="宋体" w:cs="Arial"/>
                <w:kern w:val="0"/>
                <w:sz w:val="18"/>
                <w:szCs w:val="18"/>
              </w:rPr>
            </w:pPr>
          </w:p>
          <w:p w14:paraId="6F0BE3BE">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476F780A">
            <w:pPr>
              <w:spacing w:line="280" w:lineRule="atLeast"/>
              <w:jc w:val="left"/>
              <w:rPr>
                <w:rFonts w:ascii="宋体" w:hAnsi="宋体" w:cs="Arial"/>
                <w:kern w:val="0"/>
                <w:sz w:val="18"/>
                <w:szCs w:val="18"/>
              </w:rPr>
            </w:pPr>
          </w:p>
          <w:p w14:paraId="0EA9B434">
            <w:pPr>
              <w:spacing w:line="280" w:lineRule="atLeast"/>
              <w:jc w:val="left"/>
              <w:rPr>
                <w:kern w:val="0"/>
                <w:sz w:val="18"/>
                <w:szCs w:val="18"/>
                <w:u w:val="single"/>
              </w:rPr>
            </w:pPr>
            <w:r>
              <w:rPr>
                <w:rFonts w:hint="eastAsia" w:ascii="宋体" w:hAnsi="宋体" w:cs="Arial"/>
                <w:kern w:val="0"/>
                <w:sz w:val="18"/>
                <w:szCs w:val="18"/>
              </w:rPr>
              <w:t>请投资者在此抄录：</w:t>
            </w:r>
          </w:p>
          <w:p w14:paraId="482642D1">
            <w:pPr>
              <w:spacing w:line="280" w:lineRule="atLeast"/>
              <w:jc w:val="left"/>
              <w:rPr>
                <w:kern w:val="0"/>
                <w:sz w:val="18"/>
                <w:szCs w:val="18"/>
                <w:u w:val="single"/>
              </w:rPr>
            </w:pPr>
          </w:p>
          <w:p w14:paraId="08E35DDF">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7A8F4094">
            <w:pPr>
              <w:spacing w:line="280" w:lineRule="atLeast"/>
              <w:ind w:left="4200" w:firstLine="1080" w:firstLineChars="600"/>
              <w:jc w:val="left"/>
              <w:rPr>
                <w:rFonts w:ascii="宋体" w:hAnsi="宋体" w:cs="Arial"/>
                <w:kern w:val="0"/>
                <w:sz w:val="18"/>
                <w:szCs w:val="18"/>
              </w:rPr>
            </w:pPr>
          </w:p>
          <w:p w14:paraId="7D255706">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2E4615A0">
            <w:pPr>
              <w:spacing w:line="280" w:lineRule="atLeast"/>
              <w:ind w:left="4200" w:firstLine="1080" w:firstLineChars="600"/>
              <w:jc w:val="left"/>
              <w:rPr>
                <w:rFonts w:ascii="宋体" w:hAnsi="宋体" w:cs="Arial"/>
                <w:kern w:val="0"/>
                <w:sz w:val="18"/>
                <w:szCs w:val="18"/>
              </w:rPr>
            </w:pPr>
          </w:p>
          <w:p w14:paraId="104C71BC">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14:paraId="4B31F6CB">
            <w:pPr>
              <w:spacing w:line="280" w:lineRule="atLeast"/>
              <w:jc w:val="right"/>
              <w:rPr>
                <w:rFonts w:ascii="宋体" w:hAnsi="宋体"/>
                <w:kern w:val="0"/>
                <w:sz w:val="18"/>
                <w:szCs w:val="18"/>
              </w:rPr>
            </w:pPr>
          </w:p>
        </w:tc>
      </w:tr>
    </w:tbl>
    <w:p w14:paraId="3B8DB9B5">
      <w:pPr>
        <w:autoSpaceDE w:val="0"/>
        <w:autoSpaceDN w:val="0"/>
        <w:adjustRightInd w:val="0"/>
        <w:spacing w:line="360" w:lineRule="auto"/>
        <w:ind w:firstLine="420"/>
        <w:jc w:val="left"/>
        <w:rPr>
          <w:rFonts w:ascii="宋体" w:hAnsi="宋体"/>
          <w:sz w:val="24"/>
        </w:rPr>
      </w:pPr>
    </w:p>
    <w:p w14:paraId="5D46AED8">
      <w:pPr>
        <w:rPr>
          <w:rFonts w:ascii="宋体" w:hAnsi="宋体" w:cs="Arial"/>
          <w:sz w:val="24"/>
        </w:rPr>
      </w:pPr>
    </w:p>
    <w:p w14:paraId="2570015D">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7BBF2F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823" w:hRule="atLeast"/>
        </w:trPr>
        <w:tc>
          <w:tcPr>
            <w:tcW w:w="8413" w:type="dxa"/>
          </w:tcPr>
          <w:p w14:paraId="228D1296">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116555D9">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467FB1F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2D26C169">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7A193CB2">
            <w:pPr>
              <w:spacing w:line="280" w:lineRule="atLeast"/>
              <w:ind w:firstLine="360" w:firstLineChars="200"/>
              <w:jc w:val="left"/>
              <w:rPr>
                <w:rFonts w:ascii="宋体" w:hAnsi="宋体" w:cs="Arial"/>
                <w:kern w:val="0"/>
                <w:sz w:val="18"/>
                <w:szCs w:val="18"/>
              </w:rPr>
            </w:pPr>
          </w:p>
          <w:p w14:paraId="627E66B1">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5C55849D">
            <w:pPr>
              <w:spacing w:line="280" w:lineRule="atLeast"/>
              <w:ind w:firstLine="360" w:firstLineChars="200"/>
              <w:jc w:val="left"/>
              <w:rPr>
                <w:rFonts w:ascii="宋体" w:hAnsi="宋体" w:cs="Arial"/>
                <w:kern w:val="0"/>
                <w:sz w:val="18"/>
                <w:szCs w:val="18"/>
              </w:rPr>
            </w:pPr>
          </w:p>
          <w:p w14:paraId="1322409A">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70106132">
            <w:pPr>
              <w:spacing w:line="280" w:lineRule="atLeast"/>
              <w:jc w:val="left"/>
              <w:rPr>
                <w:rFonts w:ascii="宋体" w:hAnsi="宋体" w:cs="Arial"/>
                <w:kern w:val="0"/>
                <w:sz w:val="18"/>
                <w:szCs w:val="18"/>
              </w:rPr>
            </w:pPr>
          </w:p>
          <w:p w14:paraId="29C84F5C">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27573998">
            <w:pPr>
              <w:spacing w:line="280" w:lineRule="atLeast"/>
              <w:jc w:val="left"/>
              <w:rPr>
                <w:rFonts w:ascii="宋体" w:hAnsi="宋体" w:cs="Arial"/>
                <w:kern w:val="0"/>
                <w:sz w:val="18"/>
                <w:szCs w:val="18"/>
              </w:rPr>
            </w:pPr>
          </w:p>
          <w:p w14:paraId="3BF4F800">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4C1C3EAA">
            <w:pPr>
              <w:spacing w:line="280" w:lineRule="atLeast"/>
              <w:jc w:val="left"/>
              <w:rPr>
                <w:rFonts w:ascii="宋体" w:hAnsi="宋体" w:cs="Arial"/>
                <w:kern w:val="0"/>
                <w:sz w:val="18"/>
                <w:szCs w:val="18"/>
              </w:rPr>
            </w:pPr>
          </w:p>
          <w:p w14:paraId="2E450FCB">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5DE7EAAA">
            <w:pPr>
              <w:spacing w:line="280" w:lineRule="atLeast"/>
              <w:ind w:left="4200" w:firstLine="1080" w:firstLineChars="600"/>
              <w:jc w:val="left"/>
              <w:rPr>
                <w:rFonts w:ascii="宋体" w:hAnsi="宋体" w:cs="Arial"/>
                <w:kern w:val="0"/>
                <w:sz w:val="18"/>
                <w:szCs w:val="18"/>
              </w:rPr>
            </w:pPr>
          </w:p>
          <w:p w14:paraId="4BC737AC">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6C5C45DF">
            <w:pPr>
              <w:spacing w:line="280" w:lineRule="atLeast"/>
              <w:rPr>
                <w:kern w:val="0"/>
                <w:sz w:val="20"/>
                <w:szCs w:val="20"/>
              </w:rPr>
            </w:pPr>
          </w:p>
          <w:p w14:paraId="27A4564C">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14:paraId="30532A85">
      <w:pPr>
        <w:widowControl/>
        <w:jc w:val="left"/>
        <w:rPr>
          <w:rFonts w:hint="eastAsia" w:ascii="宋体" w:hAnsi="宋体"/>
          <w:b/>
          <w:sz w:val="28"/>
          <w:szCs w:val="28"/>
        </w:rPr>
      </w:pPr>
    </w:p>
    <w:p w14:paraId="7255A3E6">
      <w:pPr>
        <w:autoSpaceDE w:val="0"/>
        <w:autoSpaceDN w:val="0"/>
        <w:adjustRightInd w:val="0"/>
        <w:spacing w:line="360" w:lineRule="auto"/>
        <w:ind w:firstLine="420"/>
        <w:jc w:val="left"/>
        <w:rPr>
          <w:rFonts w:ascii="宋体" w:hAnsi="宋体"/>
          <w:sz w:val="24"/>
        </w:rPr>
      </w:pPr>
    </w:p>
    <w:p w14:paraId="2CF6DD30">
      <w:pPr>
        <w:rPr>
          <w:rFonts w:ascii="宋体" w:hAnsi="宋体" w:cs="Arial"/>
          <w:sz w:val="24"/>
        </w:rPr>
      </w:pPr>
    </w:p>
    <w:p w14:paraId="0A5360F8">
      <w:pPr>
        <w:widowControl/>
        <w:jc w:val="left"/>
        <w:rPr>
          <w:rFonts w:ascii="宋体" w:hAnsi="宋体"/>
          <w:b/>
          <w:sz w:val="28"/>
          <w:szCs w:val="28"/>
        </w:rPr>
      </w:pPr>
    </w:p>
    <w:p w14:paraId="5502587B">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6782B63F">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兴银理财【稳利恒盈封闭式固收类】理财产品</w:t>
      </w:r>
    </w:p>
    <w:p w14:paraId="4363390A">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510A3A72">
      <w:pPr>
        <w:pStyle w:val="14"/>
        <w:jc w:val="center"/>
        <w:rPr>
          <w:rFonts w:hAnsi="宋体"/>
          <w:b/>
          <w:color w:val="auto"/>
          <w:sz w:val="28"/>
          <w:szCs w:val="28"/>
        </w:rPr>
      </w:pPr>
      <w:r>
        <w:rPr>
          <w:rFonts w:hint="eastAsia" w:hAnsi="宋体"/>
          <w:b/>
          <w:color w:val="auto"/>
          <w:sz w:val="28"/>
          <w:szCs w:val="28"/>
        </w:rPr>
        <w:t>（适用于个人投资者）</w:t>
      </w:r>
    </w:p>
    <w:p w14:paraId="2FEE0520">
      <w:pPr>
        <w:rPr>
          <w:rFonts w:ascii="宋体" w:hAnsi="宋体"/>
          <w:b/>
          <w:sz w:val="18"/>
          <w:szCs w:val="18"/>
        </w:rPr>
      </w:pPr>
      <w:r>
        <w:rPr>
          <w:rFonts w:hint="eastAsia" w:ascii="宋体" w:hAnsi="宋体"/>
          <w:b/>
          <w:sz w:val="18"/>
          <w:szCs w:val="18"/>
        </w:rPr>
        <w:t>尊敬的投资者：</w:t>
      </w:r>
    </w:p>
    <w:p w14:paraId="7DC67C84">
      <w:pPr>
        <w:spacing w:line="320" w:lineRule="exact"/>
        <w:ind w:firstLine="360" w:firstLineChars="200"/>
        <w:jc w:val="left"/>
        <w:rPr>
          <w:rFonts w:ascii="宋体" w:hAnsi="宋体"/>
          <w:sz w:val="18"/>
          <w:szCs w:val="18"/>
        </w:rPr>
      </w:pPr>
      <w:r>
        <w:rPr>
          <w:rFonts w:hint="eastAsia" w:ascii="宋体" w:hAnsi="宋体"/>
          <w:sz w:val="18"/>
          <w:szCs w:val="18"/>
        </w:rPr>
        <w:t>感谢您通过销售机构【沧州银行股份有限公司】以(□ 直销：产品管理人销售/■ 代销：代理销售机构销售)的形式购买兴银理财有限责任公司（以下简称“兴银理财”）作为产品管理人管理的理财产品。</w:t>
      </w:r>
    </w:p>
    <w:p w14:paraId="76BD61C7">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21649CF5">
      <w:pPr>
        <w:ind w:firstLine="360" w:firstLineChars="200"/>
        <w:rPr>
          <w:rFonts w:ascii="宋体" w:hAnsi="宋体"/>
          <w:sz w:val="18"/>
          <w:szCs w:val="18"/>
        </w:rPr>
      </w:pPr>
    </w:p>
    <w:p w14:paraId="4287124C">
      <w:pPr>
        <w:ind w:firstLine="361" w:firstLineChars="200"/>
        <w:rPr>
          <w:rFonts w:ascii="宋体" w:hAnsi="宋体"/>
          <w:b/>
          <w:sz w:val="18"/>
          <w:szCs w:val="18"/>
        </w:rPr>
      </w:pPr>
      <w:r>
        <w:rPr>
          <w:rFonts w:hint="eastAsia" w:ascii="宋体" w:hAnsi="宋体"/>
          <w:b/>
          <w:sz w:val="18"/>
          <w:szCs w:val="18"/>
        </w:rPr>
        <w:t>一、理财产品购买流程</w:t>
      </w:r>
    </w:p>
    <w:p w14:paraId="6A5E994A">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20C400DF">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407130B3">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1620069F">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12DA107">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65E29876">
      <w:pPr>
        <w:ind w:firstLine="361" w:firstLineChars="200"/>
        <w:rPr>
          <w:rFonts w:ascii="宋体" w:hAnsi="宋体"/>
          <w:b/>
          <w:sz w:val="18"/>
          <w:szCs w:val="18"/>
        </w:rPr>
      </w:pPr>
      <w:r>
        <w:rPr>
          <w:rFonts w:hint="eastAsia" w:ascii="宋体" w:hAnsi="宋体"/>
          <w:b/>
          <w:sz w:val="18"/>
          <w:szCs w:val="18"/>
        </w:rPr>
        <w:t>（一）投资者风险承受能力评估说明</w:t>
      </w:r>
    </w:p>
    <w:p w14:paraId="3097FB2F">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3BA77907">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561DE96C">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14:paraId="0EE01E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208451B2">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0125259F">
            <w:pPr>
              <w:jc w:val="center"/>
              <w:rPr>
                <w:rFonts w:ascii="宋体" w:hAnsi="宋体"/>
                <w:sz w:val="18"/>
                <w:szCs w:val="18"/>
              </w:rPr>
            </w:pPr>
            <w:r>
              <w:rPr>
                <w:rFonts w:hint="eastAsia" w:ascii="宋体" w:hAnsi="宋体"/>
                <w:sz w:val="18"/>
                <w:szCs w:val="18"/>
              </w:rPr>
              <w:t>对应的投资者风险承受能力评级</w:t>
            </w:r>
          </w:p>
        </w:tc>
      </w:tr>
      <w:tr w14:paraId="3AF8E78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67CC9C1D">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14:paraId="7E42E1C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14:paraId="0EFBCD90">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282599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3F16245D">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14:paraId="06EC0233">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63744AC8">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111FAC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3C93C7F7">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14:paraId="22E04082">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4F412933">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650D3C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4C907EE2">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14:paraId="570A0A12">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14:paraId="25E4E262">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7B7516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729D6A30">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14:paraId="179C1398">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40770485">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14:paraId="6984B0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2920BA00">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14:paraId="41A6D66D">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702A5108">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14:paraId="5CAEE700">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0A758AC8">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72DEE736">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2221E0FF">
      <w:pPr>
        <w:ind w:firstLine="361" w:firstLineChars="200"/>
        <w:rPr>
          <w:rFonts w:ascii="宋体" w:hAnsi="宋体"/>
          <w:b/>
          <w:sz w:val="18"/>
          <w:szCs w:val="18"/>
        </w:rPr>
      </w:pPr>
      <w:r>
        <w:rPr>
          <w:rFonts w:hint="eastAsia" w:ascii="宋体" w:hAnsi="宋体"/>
          <w:b/>
          <w:sz w:val="18"/>
          <w:szCs w:val="18"/>
        </w:rPr>
        <w:t>三、关于理财产品的信息披露</w:t>
      </w:r>
    </w:p>
    <w:p w14:paraId="0A747E58">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077AFC65">
      <w:pPr>
        <w:ind w:firstLine="361" w:firstLineChars="200"/>
        <w:rPr>
          <w:rFonts w:asciiTheme="minorEastAsia" w:hAnsiTheme="minorEastAsia"/>
          <w:b/>
          <w:sz w:val="18"/>
          <w:szCs w:val="18"/>
        </w:rPr>
      </w:pPr>
      <w:r>
        <w:rPr>
          <w:rFonts w:hint="eastAsia" w:ascii="宋体" w:hAnsi="宋体"/>
          <w:b/>
          <w:sz w:val="18"/>
          <w:szCs w:val="18"/>
        </w:rPr>
        <w:t>四、关于投诉与建议</w:t>
      </w:r>
    </w:p>
    <w:p w14:paraId="7786E7A3">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71F45E63">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52E53B96">
      <w:pPr>
        <w:ind w:firstLine="360" w:firstLineChars="200"/>
        <w:rPr>
          <w:rFonts w:ascii="宋体" w:hAnsi="宋体"/>
          <w:sz w:val="18"/>
          <w:szCs w:val="18"/>
        </w:rPr>
      </w:pPr>
      <w:r>
        <w:rPr>
          <w:rFonts w:hint="eastAsia" w:ascii="宋体" w:hAnsi="宋体"/>
          <w:sz w:val="18"/>
          <w:szCs w:val="18"/>
        </w:rPr>
        <w:t>1.产品管理人：兴银理财有限责任公司</w:t>
      </w:r>
    </w:p>
    <w:p w14:paraId="7257A929">
      <w:pPr>
        <w:ind w:firstLine="360" w:firstLineChars="200"/>
        <w:rPr>
          <w:rFonts w:ascii="宋体" w:hAnsi="宋体"/>
          <w:sz w:val="18"/>
          <w:szCs w:val="18"/>
        </w:rPr>
      </w:pPr>
      <w:r>
        <w:rPr>
          <w:rFonts w:hint="eastAsia" w:ascii="宋体" w:hAnsi="宋体"/>
          <w:sz w:val="18"/>
          <w:szCs w:val="18"/>
        </w:rPr>
        <w:t>客户服务热线：40015-95561。</w:t>
      </w:r>
    </w:p>
    <w:p w14:paraId="461ACB44">
      <w:pPr>
        <w:ind w:firstLine="360" w:firstLineChars="200"/>
        <w:rPr>
          <w:rFonts w:hint="eastAsia" w:ascii="宋体" w:hAnsi="宋体"/>
          <w:sz w:val="18"/>
          <w:szCs w:val="18"/>
        </w:rPr>
      </w:pPr>
      <w:r>
        <w:rPr>
          <w:rFonts w:hint="eastAsia" w:ascii="宋体" w:hAnsi="宋体"/>
          <w:sz w:val="18"/>
          <w:szCs w:val="18"/>
        </w:rPr>
        <w:t>2.销售机构：【沧州银行股份有限公司】</w:t>
      </w:r>
    </w:p>
    <w:p w14:paraId="12134B4F">
      <w:pPr>
        <w:ind w:firstLine="360" w:firstLineChars="200"/>
        <w:rPr>
          <w:rFonts w:ascii="宋体" w:hAnsi="宋体"/>
          <w:sz w:val="18"/>
          <w:szCs w:val="18"/>
        </w:rPr>
      </w:pPr>
      <w:r>
        <w:rPr>
          <w:rFonts w:hint="eastAsia" w:ascii="宋体" w:hAnsi="宋体"/>
          <w:sz w:val="18"/>
          <w:szCs w:val="18"/>
        </w:rPr>
        <w:t>通过【沧州银行】（作为销售服务机构）购买本产品的，请联系【沧州银行】，【沧州银行】客户服务热线：【96328】；【沧州银行】门户网站：【www.bankcz.com】</w:t>
      </w:r>
      <w:bookmarkStart w:id="222" w:name="_GoBack"/>
      <w:bookmarkEnd w:id="222"/>
    </w:p>
    <w:p w14:paraId="7277D0ED">
      <w:pPr>
        <w:ind w:right="84" w:rightChars="40"/>
        <w:jc w:val="right"/>
        <w:rPr>
          <w:rFonts w:ascii="宋体" w:hAnsi="宋体"/>
          <w:sz w:val="18"/>
          <w:szCs w:val="18"/>
        </w:rPr>
      </w:pPr>
    </w:p>
    <w:p w14:paraId="05287847">
      <w:pPr>
        <w:widowControl/>
        <w:jc w:val="left"/>
        <w:rPr>
          <w:rFonts w:ascii="宋体" w:hAnsi="宋体"/>
          <w:b/>
          <w:sz w:val="28"/>
          <w:szCs w:val="28"/>
        </w:rPr>
      </w:pPr>
      <w:r>
        <w:rPr>
          <w:rFonts w:ascii="宋体" w:hAnsi="宋体"/>
          <w:b/>
          <w:sz w:val="28"/>
          <w:szCs w:val="28"/>
        </w:rPr>
        <w:br w:type="page"/>
      </w:r>
    </w:p>
    <w:p w14:paraId="2C56A883">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兴银理财【</w:t>
      </w:r>
      <w:r>
        <w:rPr>
          <w:rStyle w:val="10"/>
          <w:rFonts w:hint="eastAsia" w:ascii="黑体" w:hAnsi="黑体" w:eastAsia="黑体"/>
          <w:sz w:val="28"/>
          <w:szCs w:val="28"/>
          <w:lang w:eastAsia="zh-CN"/>
        </w:rPr>
        <w:t>稳利恒盈封闭式固收类</w:t>
      </w:r>
      <w:r>
        <w:rPr>
          <w:rStyle w:val="10"/>
          <w:rFonts w:hint="eastAsia" w:ascii="黑体" w:hAnsi="黑体" w:eastAsia="黑体"/>
          <w:sz w:val="28"/>
          <w:szCs w:val="28"/>
        </w:rPr>
        <w:t>】理财产品</w:t>
      </w:r>
    </w:p>
    <w:p w14:paraId="42533C3E">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176EE373">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6186CDB8">
      <w:pPr>
        <w:spacing w:line="280" w:lineRule="atLeast"/>
        <w:rPr>
          <w:rFonts w:ascii="宋体" w:hAnsi="宋体"/>
          <w:b/>
          <w:sz w:val="18"/>
          <w:szCs w:val="18"/>
        </w:rPr>
      </w:pPr>
      <w:r>
        <w:rPr>
          <w:rFonts w:hint="eastAsia" w:ascii="宋体" w:hAnsi="宋体"/>
          <w:b/>
          <w:sz w:val="18"/>
          <w:szCs w:val="18"/>
        </w:rPr>
        <w:t>尊敬的投资者：</w:t>
      </w:r>
    </w:p>
    <w:p w14:paraId="1EA7FC9B">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1127110B">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2E09D280">
      <w:pPr>
        <w:spacing w:line="280" w:lineRule="atLeast"/>
        <w:ind w:firstLine="360" w:firstLineChars="200"/>
        <w:rPr>
          <w:rFonts w:ascii="宋体" w:hAnsi="宋体"/>
          <w:sz w:val="18"/>
          <w:szCs w:val="18"/>
        </w:rPr>
      </w:pPr>
    </w:p>
    <w:p w14:paraId="74C2045D">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492D04CA">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1F98F127">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1AA3AAAF">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668C3457">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2B0E630E">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6802394B">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381D71C7">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3866F6F3">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4E11219B">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731917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46B5D388">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59A3DB97">
            <w:pPr>
              <w:jc w:val="center"/>
              <w:rPr>
                <w:rFonts w:ascii="宋体" w:hAnsi="宋体"/>
                <w:sz w:val="18"/>
                <w:szCs w:val="18"/>
              </w:rPr>
            </w:pPr>
            <w:r>
              <w:rPr>
                <w:rFonts w:hint="eastAsia" w:ascii="宋体" w:hAnsi="宋体"/>
                <w:sz w:val="18"/>
                <w:szCs w:val="18"/>
              </w:rPr>
              <w:t>对应的投资者风险承受能力评级</w:t>
            </w:r>
          </w:p>
        </w:tc>
      </w:tr>
      <w:tr w14:paraId="4D71E3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30785AC4">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403FF35D">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5C174EED">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2CC1BDB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489DDEBF">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1EB3F01C">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693CC9A8">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522C98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66612CE4">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09A0D102">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1FA8E10F">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3B0760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02183B15">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6B6AA6EF">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53F457A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644F60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1E0545BD">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1F8E1D8E">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1C689E65">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bl>
    <w:p w14:paraId="316FB9F1">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399708AF">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1FB7AA9C">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2CBC65EA">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3295F854">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60CACC2A">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181892AF">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386533A7">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1BEFCF6B">
      <w:pPr>
        <w:spacing w:line="280" w:lineRule="atLeast"/>
        <w:ind w:firstLine="360" w:firstLineChars="200"/>
        <w:rPr>
          <w:rFonts w:ascii="宋体" w:hAnsi="宋体"/>
          <w:sz w:val="18"/>
          <w:szCs w:val="18"/>
        </w:rPr>
      </w:pPr>
      <w:r>
        <w:rPr>
          <w:rFonts w:hint="eastAsia" w:ascii="宋体" w:hAnsi="宋体"/>
          <w:sz w:val="18"/>
          <w:szCs w:val="18"/>
        </w:rPr>
        <w:t>（二）联络方式：</w:t>
      </w:r>
    </w:p>
    <w:p w14:paraId="58DAE58F">
      <w:pPr>
        <w:ind w:firstLine="360" w:firstLineChars="200"/>
        <w:rPr>
          <w:rFonts w:ascii="宋体" w:hAnsi="宋体"/>
          <w:sz w:val="18"/>
          <w:szCs w:val="18"/>
        </w:rPr>
      </w:pPr>
      <w:r>
        <w:rPr>
          <w:rFonts w:hint="eastAsia" w:ascii="宋体" w:hAnsi="宋体"/>
          <w:sz w:val="18"/>
          <w:szCs w:val="18"/>
        </w:rPr>
        <w:t>1.产品管理人：兴银理财有限责任公司</w:t>
      </w:r>
    </w:p>
    <w:p w14:paraId="7BE16AD9">
      <w:pPr>
        <w:ind w:firstLine="360" w:firstLineChars="200"/>
        <w:rPr>
          <w:rFonts w:ascii="宋体" w:hAnsi="宋体"/>
          <w:sz w:val="18"/>
          <w:szCs w:val="18"/>
        </w:rPr>
      </w:pPr>
      <w:r>
        <w:rPr>
          <w:rFonts w:hint="eastAsia" w:ascii="宋体" w:hAnsi="宋体"/>
          <w:sz w:val="18"/>
          <w:szCs w:val="18"/>
        </w:rPr>
        <w:t>客户服务热线：40015-95561。</w:t>
      </w:r>
    </w:p>
    <w:p w14:paraId="75A7D20A">
      <w:pPr>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w:t>
      </w:r>
    </w:p>
    <w:p w14:paraId="7F5D6A92">
      <w:pPr>
        <w:ind w:firstLine="360" w:firstLineChars="200"/>
        <w:rPr>
          <w:rFonts w:ascii="宋体" w:hAnsi="宋体"/>
          <w:sz w:val="18"/>
          <w:szCs w:val="18"/>
        </w:rPr>
      </w:pPr>
      <w:r>
        <w:rPr>
          <w:rFonts w:hint="eastAsia" w:ascii="宋体" w:hAnsi="宋体"/>
          <w:sz w:val="18"/>
          <w:szCs w:val="18"/>
        </w:rPr>
        <w:t>【】</w:t>
      </w:r>
    </w:p>
    <w:p w14:paraId="2DCC136C">
      <w:pPr>
        <w:autoSpaceDE w:val="0"/>
        <w:autoSpaceDN w:val="0"/>
        <w:adjustRightInd w:val="0"/>
        <w:spacing w:line="280" w:lineRule="atLeast"/>
        <w:jc w:val="left"/>
        <w:rPr>
          <w:rFonts w:ascii="仿宋_GB2312" w:eastAsia="仿宋_GB2312" w:cs="仿宋_GB2312"/>
          <w:color w:val="000000"/>
          <w:kern w:val="0"/>
          <w:sz w:val="24"/>
          <w:szCs w:val="24"/>
        </w:rPr>
      </w:pPr>
    </w:p>
    <w:p w14:paraId="692F03B5">
      <w:pPr>
        <w:widowControl/>
        <w:spacing w:line="280" w:lineRule="atLeast"/>
        <w:jc w:val="left"/>
        <w:rPr>
          <w:rFonts w:ascii="宋体" w:hAnsi="宋体"/>
          <w:b/>
          <w:sz w:val="28"/>
          <w:szCs w:val="28"/>
        </w:rPr>
      </w:pPr>
    </w:p>
    <w:p w14:paraId="1A3BDDAA">
      <w:pPr>
        <w:ind w:firstLine="360" w:firstLineChars="200"/>
        <w:rPr>
          <w:rFonts w:ascii="宋体" w:hAnsi="宋体"/>
          <w:sz w:val="18"/>
          <w:szCs w:val="18"/>
        </w:rPr>
      </w:pPr>
    </w:p>
    <w:p w14:paraId="11123033">
      <w:pPr>
        <w:autoSpaceDE w:val="0"/>
        <w:autoSpaceDN w:val="0"/>
        <w:adjustRightInd w:val="0"/>
        <w:spacing w:line="280" w:lineRule="atLeast"/>
        <w:jc w:val="left"/>
        <w:rPr>
          <w:rFonts w:ascii="仿宋_GB2312" w:eastAsia="仿宋_GB2312" w:cs="仿宋_GB2312"/>
          <w:color w:val="000000"/>
          <w:kern w:val="0"/>
          <w:sz w:val="24"/>
          <w:szCs w:val="24"/>
        </w:rPr>
      </w:pPr>
    </w:p>
    <w:p w14:paraId="7370F924">
      <w:pPr>
        <w:widowControl/>
        <w:spacing w:line="280" w:lineRule="atLeast"/>
        <w:jc w:val="left"/>
      </w:pPr>
    </w:p>
    <w:p w14:paraId="79B46676"/>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17B3FD99">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27E35">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7B330C1E">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523D63F3">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DE003">
    <w:pPr>
      <w:pStyle w:val="4"/>
      <w:jc w:val="right"/>
      <w:rPr>
        <w:b/>
      </w:rPr>
    </w:pPr>
    <w:r>
      <w:rPr>
        <w:rFonts w:hint="eastAsia"/>
        <w:b/>
      </w:rPr>
      <w:t>投资协议书</w:t>
    </w:r>
  </w:p>
  <w:p w14:paraId="4B60B4A5">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38E19B">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51031FC8">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5023A">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55F18F94">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0D362">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75C5E319">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4BD31">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46240189">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2512E8"/>
    <w:rsid w:val="231C6524"/>
    <w:rsid w:val="2BBE5BA7"/>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72</Pages>
  <Words>18191</Words>
  <Characters>18791</Characters>
  <Lines>0</Lines>
  <Paragraphs>0</Paragraphs>
  <TotalTime>0</TotalTime>
  <ScaleCrop>false</ScaleCrop>
  <LinksUpToDate>false</LinksUpToDate>
  <CharactersWithSpaces>19094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2026-03-11T01:27:57Z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8ADF262A74E24FA5A6953E63B94D4959_13</vt:lpwstr>
  </property>
</Properties>
</file>