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426EDF">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CDF576C">
      <w:pPr>
        <w:widowControl/>
        <w:spacing w:line="360" w:lineRule="auto"/>
        <w:jc w:val="center"/>
        <w:rPr>
          <w:rFonts w:ascii="黑体" w:hAnsi="黑体" w:eastAsia="黑体"/>
          <w:b/>
          <w:sz w:val="44"/>
          <w:szCs w:val="44"/>
        </w:rPr>
      </w:pPr>
      <w:r>
        <w:rPr>
          <w:rFonts w:hint="eastAsia" w:ascii="黑体" w:hAnsi="黑体" w:eastAsia="黑体"/>
          <w:b/>
          <w:sz w:val="44"/>
          <w:szCs w:val="44"/>
        </w:rPr>
        <w:t>【</w:t>
      </w:r>
      <w:r>
        <w:rPr>
          <w:rFonts w:hint="eastAsia" w:ascii="黑体" w:hAnsi="黑体" w:eastAsia="黑体"/>
          <w:b/>
          <w:sz w:val="44"/>
          <w:szCs w:val="44"/>
          <w:lang w:eastAsia="zh-CN"/>
        </w:rPr>
        <w:t>兴银理财稳利恒盈封闭式2026年816期固收类理财产品</w:t>
      </w:r>
      <w:r>
        <w:rPr>
          <w:rFonts w:hint="eastAsia" w:ascii="黑体" w:hAnsi="黑体" w:eastAsia="黑体"/>
          <w:b/>
          <w:sz w:val="44"/>
          <w:szCs w:val="44"/>
        </w:rPr>
        <w:t>】</w:t>
      </w:r>
    </w:p>
    <w:p w14:paraId="7F30C31E">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0650C5E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2561DF8B">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3462FAC4">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13A61490">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3F73B40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1F532637">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5BFA896C">
            <w:pPr>
              <w:widowControl/>
              <w:spacing w:line="360" w:lineRule="auto"/>
              <w:rPr>
                <w:rFonts w:ascii="宋体" w:hAnsi="宋体"/>
                <w:szCs w:val="21"/>
              </w:rPr>
            </w:pPr>
            <w:r>
              <w:rPr>
                <w:rFonts w:hint="eastAsia" w:ascii="宋体" w:hAnsi="宋体"/>
                <w:kern w:val="0"/>
                <w:sz w:val="20"/>
                <w:szCs w:val="21"/>
                <w:lang w:eastAsia="zh-CN"/>
              </w:rPr>
              <w:t>【兴银理财稳利恒盈封闭式2026年816期固收类理财产品】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6BE208FE">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508A5B2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2D471BC2">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3D4CC6A4">
            <w:pPr>
              <w:widowControl/>
              <w:spacing w:line="360" w:lineRule="auto"/>
              <w:rPr>
                <w:rFonts w:ascii="宋体" w:hAnsi="宋体"/>
                <w:szCs w:val="21"/>
              </w:rPr>
            </w:pPr>
            <w:r>
              <w:rPr>
                <w:rFonts w:hint="eastAsia" w:ascii="宋体" w:hAnsi="宋体"/>
                <w:kern w:val="0"/>
                <w:sz w:val="20"/>
                <w:szCs w:val="21"/>
                <w:lang w:eastAsia="zh-CN"/>
              </w:rPr>
              <w:t>【兴银理财稳利恒盈封闭式2026年816期固收类理财产品】</w:t>
            </w:r>
            <w:r>
              <w:rPr>
                <w:rFonts w:hint="eastAsia" w:ascii="宋体" w:hAnsi="宋体"/>
                <w:kern w:val="0"/>
                <w:sz w:val="20"/>
                <w:szCs w:val="21"/>
              </w:rPr>
              <w:t>产品说明书</w:t>
            </w:r>
          </w:p>
        </w:tc>
        <w:tc>
          <w:tcPr>
            <w:tcW w:w="2107" w:type="dxa"/>
          </w:tcPr>
          <w:p w14:paraId="264EC06A">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7C36BCF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1C0660AB">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0CADCAA4">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【兴银理财稳利恒盈封闭式2026年816期固收类理财产品】</w:t>
            </w:r>
            <w:r>
              <w:rPr>
                <w:rFonts w:hint="eastAsia" w:ascii="宋体" w:hAnsi="宋体"/>
                <w:kern w:val="0"/>
                <w:sz w:val="20"/>
                <w:szCs w:val="21"/>
              </w:rPr>
              <w:t>（代理）销售协议书</w:t>
            </w:r>
          </w:p>
        </w:tc>
        <w:tc>
          <w:tcPr>
            <w:tcW w:w="2107" w:type="dxa"/>
          </w:tcPr>
          <w:p w14:paraId="2CA7C6F7">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0BC005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1032F52A">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7B993162">
            <w:pPr>
              <w:widowControl/>
              <w:spacing w:line="360" w:lineRule="auto"/>
              <w:rPr>
                <w:rFonts w:ascii="宋体" w:hAnsi="宋体"/>
                <w:szCs w:val="21"/>
              </w:rPr>
            </w:pPr>
            <w:r>
              <w:rPr>
                <w:rFonts w:hint="eastAsia" w:ascii="宋体" w:hAnsi="宋体"/>
                <w:kern w:val="0"/>
                <w:sz w:val="20"/>
                <w:szCs w:val="21"/>
                <w:lang w:eastAsia="zh-CN"/>
              </w:rPr>
              <w:t>【兴银理财稳利恒盈封闭式2026年816期固收类理财产品】</w:t>
            </w:r>
            <w:r>
              <w:rPr>
                <w:rFonts w:hint="eastAsia" w:ascii="宋体" w:hAnsi="宋体"/>
                <w:kern w:val="0"/>
                <w:sz w:val="20"/>
                <w:szCs w:val="21"/>
              </w:rPr>
              <w:t>风险揭示书</w:t>
            </w:r>
          </w:p>
        </w:tc>
        <w:tc>
          <w:tcPr>
            <w:tcW w:w="2107" w:type="dxa"/>
          </w:tcPr>
          <w:p w14:paraId="4BB42F94">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430D95F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75326B6A">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4E592C19">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【兴银理财稳利恒盈封闭式2026年816期固收类理财产品】</w:t>
            </w:r>
            <w:r>
              <w:rPr>
                <w:rFonts w:hint="eastAsia" w:ascii="宋体" w:hAnsi="宋体"/>
                <w:kern w:val="0"/>
                <w:sz w:val="20"/>
                <w:szCs w:val="21"/>
              </w:rPr>
              <w:t>投资者权益须知</w:t>
            </w:r>
          </w:p>
        </w:tc>
        <w:tc>
          <w:tcPr>
            <w:tcW w:w="2107" w:type="dxa"/>
          </w:tcPr>
          <w:p w14:paraId="0196B8C1">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06A63CA6">
      <w:pPr>
        <w:widowControl/>
        <w:spacing w:line="360" w:lineRule="auto"/>
        <w:jc w:val="left"/>
        <w:rPr>
          <w:rFonts w:ascii="黑体" w:hAnsi="黑体" w:eastAsia="黑体"/>
          <w:b/>
          <w:szCs w:val="21"/>
        </w:rPr>
      </w:pPr>
      <w:r>
        <w:rPr>
          <w:rFonts w:hint="eastAsia" w:ascii="黑体" w:hAnsi="黑体" w:eastAsia="黑体"/>
          <w:b/>
          <w:szCs w:val="21"/>
        </w:rPr>
        <w:t>郑重提示：</w:t>
      </w:r>
    </w:p>
    <w:p w14:paraId="0014A72A">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567AD305">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4D53FF01">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639445EA">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72C9B073">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3249F0A2">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27117DF1">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3387BFBC">
      <w:pPr>
        <w:tabs>
          <w:tab w:val="left" w:pos="6660"/>
        </w:tabs>
        <w:spacing w:line="360" w:lineRule="auto"/>
        <w:jc w:val="center"/>
        <w:rPr>
          <w:rFonts w:ascii="黑体" w:hAnsi="黑体" w:eastAsia="黑体"/>
          <w:kern w:val="0"/>
          <w:szCs w:val="21"/>
        </w:rPr>
      </w:pPr>
    </w:p>
    <w:p w14:paraId="485A7C78">
      <w:pPr>
        <w:tabs>
          <w:tab w:val="left" w:pos="6660"/>
        </w:tabs>
        <w:spacing w:line="360" w:lineRule="auto"/>
        <w:jc w:val="center"/>
        <w:rPr>
          <w:bCs/>
          <w:sz w:val="44"/>
        </w:rPr>
      </w:pPr>
    </w:p>
    <w:p w14:paraId="0D3162B6">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12CB6D42">
      <w:pPr>
        <w:tabs>
          <w:tab w:val="left" w:pos="6660"/>
        </w:tabs>
        <w:spacing w:line="360" w:lineRule="auto"/>
        <w:jc w:val="center"/>
        <w:rPr>
          <w:bCs/>
          <w:sz w:val="44"/>
        </w:rPr>
      </w:pPr>
    </w:p>
    <w:p w14:paraId="4BB4FD70">
      <w:pPr>
        <w:spacing w:line="360" w:lineRule="auto"/>
        <w:jc w:val="center"/>
        <w:rPr>
          <w:b/>
          <w:sz w:val="52"/>
        </w:rPr>
      </w:pPr>
    </w:p>
    <w:p w14:paraId="2CA5B5FF">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4DA1D140">
      <w:pPr>
        <w:spacing w:line="360" w:lineRule="auto"/>
        <w:jc w:val="center"/>
        <w:rPr>
          <w:b/>
          <w:sz w:val="52"/>
        </w:rPr>
      </w:pPr>
    </w:p>
    <w:p w14:paraId="17980165">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【兴银理财稳利恒盈封闭式2026年816期固收类理财产品】</w:t>
      </w:r>
    </w:p>
    <w:p w14:paraId="7DD61A1F">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070B41A5">
      <w:pPr>
        <w:spacing w:line="360" w:lineRule="auto"/>
        <w:jc w:val="center"/>
        <w:rPr>
          <w:b/>
          <w:sz w:val="28"/>
          <w:szCs w:val="28"/>
        </w:rPr>
      </w:pPr>
    </w:p>
    <w:p w14:paraId="4FC98F0E">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4F50B6F8">
      <w:pPr>
        <w:spacing w:line="360" w:lineRule="auto"/>
        <w:jc w:val="center"/>
        <w:rPr>
          <w:b/>
          <w:sz w:val="28"/>
          <w:szCs w:val="28"/>
        </w:rPr>
      </w:pPr>
    </w:p>
    <w:p w14:paraId="698FC321">
      <w:pPr>
        <w:spacing w:line="360" w:lineRule="auto"/>
        <w:jc w:val="center"/>
        <w:rPr>
          <w:b/>
          <w:sz w:val="28"/>
          <w:szCs w:val="28"/>
        </w:rPr>
      </w:pPr>
    </w:p>
    <w:p w14:paraId="217A376A">
      <w:pPr>
        <w:adjustRightInd w:val="0"/>
        <w:spacing w:line="360" w:lineRule="auto"/>
        <w:jc w:val="center"/>
        <w:rPr>
          <w:rStyle w:val="10"/>
          <w:rFonts w:ascii="宋体" w:hAnsi="宋体"/>
          <w:sz w:val="28"/>
          <w:szCs w:val="28"/>
        </w:rPr>
      </w:pPr>
      <w:bookmarkStart w:id="0" w:name="_Toc123112224"/>
      <w:bookmarkStart w:id="1" w:name="_Toc123112263"/>
      <w:bookmarkStart w:id="2" w:name="_Toc139991726"/>
      <w:bookmarkStart w:id="3" w:name="_Toc139992301"/>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151A0721">
      <w:pPr>
        <w:adjustRightInd w:val="0"/>
        <w:spacing w:line="360" w:lineRule="auto"/>
        <w:jc w:val="center"/>
        <w:rPr>
          <w:rStyle w:val="10"/>
          <w:rFonts w:ascii="黑体" w:hAnsi="黑体" w:eastAsia="黑体" w:cs="宋体"/>
          <w:sz w:val="28"/>
          <w:szCs w:val="28"/>
        </w:rPr>
      </w:pPr>
      <w:bookmarkStart w:id="5" w:name="_Toc123701384"/>
      <w:bookmarkStart w:id="6" w:name="_Toc123112264"/>
      <w:bookmarkStart w:id="7" w:name="_Toc123112225"/>
      <w:bookmarkStart w:id="8" w:name="_Toc139992302"/>
      <w:bookmarkStart w:id="9" w:name="_Toc139991727"/>
    </w:p>
    <w:bookmarkEnd w:id="5"/>
    <w:bookmarkEnd w:id="6"/>
    <w:bookmarkEnd w:id="7"/>
    <w:bookmarkEnd w:id="8"/>
    <w:bookmarkEnd w:id="9"/>
    <w:p w14:paraId="22FBFAF5">
      <w:pPr>
        <w:adjustRightInd w:val="0"/>
        <w:spacing w:line="360" w:lineRule="auto"/>
        <w:jc w:val="center"/>
        <w:rPr>
          <w:rStyle w:val="10"/>
          <w:rFonts w:ascii="黑体" w:hAnsi="黑体" w:eastAsia="黑体" w:cs="宋体"/>
          <w:sz w:val="28"/>
          <w:szCs w:val="28"/>
        </w:rPr>
      </w:pPr>
    </w:p>
    <w:p w14:paraId="0F1BCC38">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14:paraId="79E14411">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31FEFA96">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7FA294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08B9BE74">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7074CDA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35A00297">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4A261FA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035B565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5479DAD6">
            <w:pPr>
              <w:pStyle w:val="6"/>
              <w:snapToGrid w:val="0"/>
              <w:spacing w:before="0" w:beforeAutospacing="0" w:after="0" w:afterAutospacing="0" w:line="360" w:lineRule="auto"/>
              <w:jc w:val="both"/>
              <w:rPr>
                <w:rFonts w:ascii="黑体" w:hAnsi="黑体" w:eastAsia="黑体"/>
                <w:bCs/>
                <w:sz w:val="18"/>
                <w:szCs w:val="18"/>
              </w:rPr>
            </w:pPr>
          </w:p>
          <w:p w14:paraId="05F4AEB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30645DC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1C3216A0">
            <w:pPr>
              <w:pStyle w:val="6"/>
              <w:snapToGrid w:val="0"/>
              <w:spacing w:before="0" w:beforeAutospacing="0" w:after="0" w:afterAutospacing="0" w:line="360" w:lineRule="auto"/>
              <w:jc w:val="both"/>
              <w:rPr>
                <w:rFonts w:ascii="黑体" w:hAnsi="黑体" w:eastAsia="黑体"/>
                <w:bCs/>
                <w:sz w:val="18"/>
                <w:szCs w:val="18"/>
              </w:rPr>
            </w:pPr>
          </w:p>
          <w:p w14:paraId="6786C95E">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2B64C59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206C55A5">
            <w:pPr>
              <w:pStyle w:val="6"/>
              <w:snapToGrid w:val="0"/>
              <w:spacing w:before="0" w:beforeAutospacing="0" w:after="0" w:afterAutospacing="0" w:line="360" w:lineRule="auto"/>
              <w:jc w:val="both"/>
              <w:rPr>
                <w:rFonts w:ascii="黑体" w:hAnsi="黑体" w:eastAsia="黑体"/>
                <w:bCs/>
                <w:sz w:val="18"/>
                <w:szCs w:val="18"/>
              </w:rPr>
            </w:pPr>
          </w:p>
          <w:p w14:paraId="4A3F205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21E7E81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513E446D">
            <w:pPr>
              <w:pStyle w:val="6"/>
              <w:snapToGrid w:val="0"/>
              <w:spacing w:before="0" w:beforeAutospacing="0" w:after="0" w:afterAutospacing="0" w:line="360" w:lineRule="auto"/>
              <w:jc w:val="both"/>
              <w:rPr>
                <w:rFonts w:ascii="黑体" w:hAnsi="黑体" w:eastAsia="黑体"/>
                <w:bCs/>
                <w:sz w:val="18"/>
                <w:szCs w:val="18"/>
              </w:rPr>
            </w:pPr>
          </w:p>
          <w:p w14:paraId="0299DF4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43E652E3">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76C7521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497D9D34">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54078D1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69E5BF2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2E07774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5D0D0D8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4EB500DC">
            <w:pPr>
              <w:pStyle w:val="6"/>
              <w:snapToGrid w:val="0"/>
              <w:spacing w:before="0" w:beforeAutospacing="0" w:after="0" w:afterAutospacing="0" w:line="360" w:lineRule="auto"/>
              <w:jc w:val="both"/>
              <w:rPr>
                <w:rFonts w:ascii="黑体" w:hAnsi="黑体" w:eastAsia="黑体"/>
                <w:bCs/>
                <w:sz w:val="18"/>
                <w:szCs w:val="18"/>
              </w:rPr>
            </w:pPr>
          </w:p>
          <w:p w14:paraId="38434A5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5ABEA39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75697A10">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526C982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702F5E12">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634C9EC1">
            <w:pPr>
              <w:pStyle w:val="6"/>
              <w:snapToGrid w:val="0"/>
              <w:spacing w:before="0" w:beforeAutospacing="0" w:after="0" w:afterAutospacing="0" w:line="360" w:lineRule="auto"/>
              <w:jc w:val="both"/>
              <w:rPr>
                <w:rFonts w:ascii="黑体" w:hAnsi="黑体" w:eastAsia="黑体"/>
                <w:bCs/>
                <w:sz w:val="18"/>
                <w:szCs w:val="18"/>
              </w:rPr>
            </w:pPr>
          </w:p>
          <w:p w14:paraId="454F1D2A">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7C6DED23">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7AFA4B68">
            <w:pPr>
              <w:pStyle w:val="6"/>
              <w:snapToGrid w:val="0"/>
              <w:spacing w:before="0" w:beforeAutospacing="0" w:after="0" w:afterAutospacing="0"/>
              <w:jc w:val="both"/>
              <w:rPr>
                <w:rFonts w:ascii="黑体" w:hAnsi="黑体" w:eastAsia="黑体"/>
                <w:bCs/>
                <w:sz w:val="18"/>
                <w:szCs w:val="18"/>
              </w:rPr>
            </w:pPr>
          </w:p>
          <w:p w14:paraId="4CA84ED9">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3EC246C6">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1A149793">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23112266"/>
      <w:bookmarkStart w:id="12" w:name="_Toc139991729"/>
      <w:bookmarkStart w:id="13" w:name="_Toc123112227"/>
    </w:p>
    <w:p w14:paraId="2893156B">
      <w:pPr>
        <w:widowControl/>
        <w:jc w:val="left"/>
        <w:rPr>
          <w:rFonts w:ascii="宋体" w:hAnsi="宋体" w:cs="仿宋_GB2312"/>
          <w:b/>
          <w:kern w:val="0"/>
          <w:sz w:val="18"/>
          <w:szCs w:val="18"/>
        </w:rPr>
      </w:pPr>
      <w:r>
        <w:rPr>
          <w:rFonts w:ascii="宋体" w:hAnsi="宋体" w:cs="仿宋_GB2312"/>
          <w:b/>
          <w:kern w:val="0"/>
          <w:sz w:val="18"/>
          <w:szCs w:val="18"/>
        </w:rPr>
        <w:br w:type="page"/>
      </w:r>
    </w:p>
    <w:p w14:paraId="5F17E7AF">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78A3550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2683C01F">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36871DF8">
            <w:pPr>
              <w:pStyle w:val="4"/>
              <w:spacing w:line="360" w:lineRule="auto"/>
              <w:rPr>
                <w:rFonts w:ascii="宋体" w:hAnsi="宋体"/>
                <w:b/>
                <w:bCs/>
                <w:sz w:val="28"/>
                <w:szCs w:val="28"/>
              </w:rPr>
            </w:pPr>
          </w:p>
        </w:tc>
      </w:tr>
      <w:tr w14:paraId="45D71D4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0392EAE0">
            <w:pPr>
              <w:pStyle w:val="4"/>
              <w:spacing w:line="360" w:lineRule="auto"/>
              <w:rPr>
                <w:rFonts w:ascii="宋体" w:hAnsi="宋体"/>
                <w:b/>
                <w:bCs/>
                <w:sz w:val="28"/>
                <w:szCs w:val="28"/>
              </w:rPr>
            </w:pPr>
          </w:p>
        </w:tc>
      </w:tr>
      <w:tr w14:paraId="73946D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2501FDF1">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396D02E0">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5878A968">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076C252A">
            <w:pPr>
              <w:spacing w:line="360" w:lineRule="auto"/>
              <w:jc w:val="left"/>
              <w:rPr>
                <w:rFonts w:ascii="宋体" w:hAnsi="宋体"/>
                <w:bCs/>
                <w:sz w:val="18"/>
                <w:szCs w:val="18"/>
              </w:rPr>
            </w:pPr>
          </w:p>
        </w:tc>
      </w:tr>
      <w:tr w14:paraId="579E9B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0046F7C">
            <w:pPr>
              <w:spacing w:line="360" w:lineRule="auto"/>
              <w:jc w:val="left"/>
              <w:rPr>
                <w:rFonts w:ascii="宋体" w:hAnsi="宋体"/>
                <w:b/>
                <w:bCs/>
                <w:sz w:val="18"/>
                <w:szCs w:val="18"/>
              </w:rPr>
            </w:pPr>
          </w:p>
        </w:tc>
        <w:tc>
          <w:tcPr>
            <w:tcW w:w="708" w:type="dxa"/>
            <w:vMerge w:val="continue"/>
            <w:shd w:val="solid" w:color="FFFFFF" w:fill="FFFFFF"/>
            <w:vAlign w:val="center"/>
          </w:tcPr>
          <w:p w14:paraId="0C519B3E">
            <w:pPr>
              <w:spacing w:line="360" w:lineRule="auto"/>
              <w:jc w:val="left"/>
              <w:rPr>
                <w:rFonts w:ascii="宋体" w:hAnsi="宋体"/>
                <w:bCs/>
                <w:sz w:val="18"/>
                <w:szCs w:val="18"/>
              </w:rPr>
            </w:pPr>
          </w:p>
        </w:tc>
        <w:tc>
          <w:tcPr>
            <w:tcW w:w="982" w:type="dxa"/>
            <w:shd w:val="solid" w:color="FFFFFF" w:fill="FFFFFF"/>
            <w:vAlign w:val="center"/>
          </w:tcPr>
          <w:p w14:paraId="502E41FB">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7DC1D1FA">
            <w:pPr>
              <w:spacing w:line="360" w:lineRule="auto"/>
              <w:jc w:val="left"/>
              <w:rPr>
                <w:rFonts w:ascii="宋体" w:hAnsi="宋体"/>
                <w:bCs/>
                <w:sz w:val="18"/>
                <w:szCs w:val="18"/>
              </w:rPr>
            </w:pPr>
          </w:p>
        </w:tc>
        <w:tc>
          <w:tcPr>
            <w:tcW w:w="1417" w:type="dxa"/>
            <w:shd w:val="solid" w:color="FFFFFF" w:fill="FFFFFF"/>
            <w:vAlign w:val="center"/>
          </w:tcPr>
          <w:p w14:paraId="5D017B5C">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3C4F7906">
            <w:pPr>
              <w:spacing w:line="360" w:lineRule="auto"/>
              <w:jc w:val="left"/>
              <w:rPr>
                <w:rFonts w:ascii="宋体" w:hAnsi="宋体"/>
                <w:bCs/>
                <w:sz w:val="18"/>
                <w:szCs w:val="18"/>
              </w:rPr>
            </w:pPr>
          </w:p>
        </w:tc>
      </w:tr>
      <w:tr w14:paraId="19D5C15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DDA28CD">
            <w:pPr>
              <w:spacing w:line="360" w:lineRule="auto"/>
              <w:jc w:val="left"/>
              <w:rPr>
                <w:rFonts w:ascii="宋体" w:hAnsi="宋体"/>
                <w:b/>
                <w:bCs/>
                <w:sz w:val="18"/>
                <w:szCs w:val="18"/>
              </w:rPr>
            </w:pPr>
          </w:p>
        </w:tc>
        <w:tc>
          <w:tcPr>
            <w:tcW w:w="708" w:type="dxa"/>
            <w:vMerge w:val="continue"/>
            <w:shd w:val="solid" w:color="FFFFFF" w:fill="FFFFFF"/>
            <w:vAlign w:val="center"/>
          </w:tcPr>
          <w:p w14:paraId="2AAAD9CA">
            <w:pPr>
              <w:spacing w:line="360" w:lineRule="auto"/>
              <w:jc w:val="left"/>
              <w:rPr>
                <w:rFonts w:ascii="宋体" w:hAnsi="宋体"/>
                <w:bCs/>
                <w:sz w:val="18"/>
                <w:szCs w:val="18"/>
              </w:rPr>
            </w:pPr>
          </w:p>
        </w:tc>
        <w:tc>
          <w:tcPr>
            <w:tcW w:w="982" w:type="dxa"/>
            <w:shd w:val="solid" w:color="FFFFFF" w:fill="FFFFFF"/>
            <w:vAlign w:val="center"/>
          </w:tcPr>
          <w:p w14:paraId="3B566F5F">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051A9036">
            <w:pPr>
              <w:spacing w:line="360" w:lineRule="auto"/>
              <w:jc w:val="left"/>
              <w:rPr>
                <w:rFonts w:ascii="宋体" w:hAnsi="宋体"/>
                <w:bCs/>
                <w:sz w:val="18"/>
                <w:szCs w:val="18"/>
              </w:rPr>
            </w:pPr>
          </w:p>
        </w:tc>
        <w:tc>
          <w:tcPr>
            <w:tcW w:w="1417" w:type="dxa"/>
            <w:shd w:val="solid" w:color="FFFFFF" w:fill="FFFFFF"/>
            <w:vAlign w:val="center"/>
          </w:tcPr>
          <w:p w14:paraId="62A59558">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6BED7A06">
            <w:pPr>
              <w:spacing w:line="360" w:lineRule="auto"/>
              <w:jc w:val="left"/>
              <w:rPr>
                <w:rFonts w:ascii="宋体" w:hAnsi="宋体"/>
                <w:bCs/>
                <w:sz w:val="18"/>
                <w:szCs w:val="18"/>
              </w:rPr>
            </w:pPr>
          </w:p>
        </w:tc>
      </w:tr>
      <w:tr w14:paraId="0077BA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106F519">
            <w:pPr>
              <w:spacing w:line="360" w:lineRule="auto"/>
              <w:jc w:val="left"/>
              <w:rPr>
                <w:rFonts w:ascii="宋体" w:hAnsi="宋体"/>
                <w:b/>
                <w:bCs/>
                <w:sz w:val="18"/>
                <w:szCs w:val="18"/>
              </w:rPr>
            </w:pPr>
          </w:p>
        </w:tc>
        <w:tc>
          <w:tcPr>
            <w:tcW w:w="708" w:type="dxa"/>
            <w:vMerge w:val="continue"/>
            <w:shd w:val="solid" w:color="FFFFFF" w:fill="FFFFFF"/>
            <w:vAlign w:val="center"/>
          </w:tcPr>
          <w:p w14:paraId="07DCB967">
            <w:pPr>
              <w:spacing w:line="360" w:lineRule="auto"/>
              <w:jc w:val="left"/>
              <w:rPr>
                <w:rFonts w:ascii="宋体" w:hAnsi="宋体"/>
                <w:bCs/>
                <w:sz w:val="18"/>
                <w:szCs w:val="18"/>
              </w:rPr>
            </w:pPr>
          </w:p>
        </w:tc>
        <w:tc>
          <w:tcPr>
            <w:tcW w:w="982" w:type="dxa"/>
            <w:shd w:val="solid" w:color="FFFFFF" w:fill="FFFFFF"/>
            <w:vAlign w:val="center"/>
          </w:tcPr>
          <w:p w14:paraId="7CD34661">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530DD8E3">
            <w:pPr>
              <w:spacing w:line="360" w:lineRule="auto"/>
              <w:jc w:val="left"/>
              <w:rPr>
                <w:rFonts w:ascii="宋体" w:hAnsi="宋体"/>
                <w:bCs/>
                <w:sz w:val="18"/>
                <w:szCs w:val="18"/>
              </w:rPr>
            </w:pPr>
          </w:p>
        </w:tc>
      </w:tr>
      <w:tr w14:paraId="2E9E67E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075B7CE8">
            <w:pPr>
              <w:spacing w:line="360" w:lineRule="auto"/>
              <w:jc w:val="left"/>
              <w:rPr>
                <w:rFonts w:ascii="宋体" w:hAnsi="宋体"/>
                <w:b/>
                <w:bCs/>
                <w:sz w:val="18"/>
                <w:szCs w:val="18"/>
              </w:rPr>
            </w:pPr>
          </w:p>
        </w:tc>
        <w:tc>
          <w:tcPr>
            <w:tcW w:w="708" w:type="dxa"/>
            <w:vMerge w:val="continue"/>
            <w:shd w:val="solid" w:color="FFFFFF" w:fill="FFFFFF"/>
            <w:vAlign w:val="center"/>
          </w:tcPr>
          <w:p w14:paraId="51351D6F">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31679168">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5B804D23">
            <w:pPr>
              <w:spacing w:line="360" w:lineRule="auto"/>
              <w:jc w:val="left"/>
              <w:rPr>
                <w:rFonts w:ascii="宋体" w:hAnsi="宋体"/>
                <w:bCs/>
                <w:sz w:val="18"/>
                <w:szCs w:val="18"/>
              </w:rPr>
            </w:pPr>
          </w:p>
        </w:tc>
      </w:tr>
      <w:tr w14:paraId="49BF09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0DE7967">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1E45919A">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5017B86">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EBBFFF2">
            <w:pPr>
              <w:spacing w:line="360" w:lineRule="auto"/>
              <w:jc w:val="left"/>
              <w:rPr>
                <w:rFonts w:ascii="宋体" w:hAnsi="宋体"/>
                <w:bCs/>
                <w:sz w:val="18"/>
                <w:szCs w:val="18"/>
              </w:rPr>
            </w:pPr>
          </w:p>
        </w:tc>
      </w:tr>
      <w:tr w14:paraId="35124F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CB5C55C">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60A93C0C">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90BD2E6">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7313F5D">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F7AB65C">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F761A63">
            <w:pPr>
              <w:spacing w:line="360" w:lineRule="auto"/>
              <w:jc w:val="left"/>
              <w:rPr>
                <w:rFonts w:ascii="宋体" w:hAnsi="宋体"/>
                <w:bCs/>
                <w:sz w:val="18"/>
                <w:szCs w:val="18"/>
              </w:rPr>
            </w:pPr>
          </w:p>
        </w:tc>
      </w:tr>
      <w:tr w14:paraId="5D6104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6018DA5">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59D86FA3">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0DF58DF">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153EC78">
            <w:pPr>
              <w:spacing w:line="360" w:lineRule="auto"/>
              <w:jc w:val="left"/>
              <w:rPr>
                <w:rFonts w:ascii="宋体" w:hAnsi="宋体"/>
                <w:bCs/>
                <w:sz w:val="18"/>
                <w:szCs w:val="18"/>
              </w:rPr>
            </w:pPr>
          </w:p>
        </w:tc>
      </w:tr>
      <w:tr w14:paraId="62AB5F3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754A870">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03B1C4D">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97C5D00">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B85FF41">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9AED981">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514251A">
            <w:pPr>
              <w:spacing w:line="360" w:lineRule="auto"/>
              <w:jc w:val="left"/>
              <w:rPr>
                <w:rFonts w:ascii="宋体" w:hAnsi="宋体"/>
                <w:bCs/>
                <w:sz w:val="18"/>
                <w:szCs w:val="18"/>
              </w:rPr>
            </w:pPr>
          </w:p>
        </w:tc>
      </w:tr>
      <w:tr w14:paraId="3F735D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CB79810">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57FCA1B7">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DAE0844">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688F945">
            <w:pPr>
              <w:spacing w:line="360" w:lineRule="auto"/>
              <w:jc w:val="left"/>
              <w:rPr>
                <w:rFonts w:ascii="宋体" w:hAnsi="宋体"/>
                <w:bCs/>
                <w:sz w:val="18"/>
                <w:szCs w:val="18"/>
              </w:rPr>
            </w:pPr>
          </w:p>
        </w:tc>
      </w:tr>
      <w:tr w14:paraId="53B26EA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0E1BF789">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451D47F3">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0C45C8C">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41397B2">
            <w:pPr>
              <w:spacing w:line="360" w:lineRule="auto"/>
              <w:jc w:val="left"/>
              <w:rPr>
                <w:rFonts w:ascii="宋体" w:hAnsi="宋体"/>
                <w:bCs/>
                <w:sz w:val="18"/>
                <w:szCs w:val="18"/>
              </w:rPr>
            </w:pPr>
          </w:p>
        </w:tc>
      </w:tr>
      <w:tr w14:paraId="3E637B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10CF94A4">
            <w:pPr>
              <w:pStyle w:val="4"/>
              <w:pBdr>
                <w:bottom w:val="none" w:color="auto" w:sz="0" w:space="0"/>
              </w:pBdr>
              <w:spacing w:line="360" w:lineRule="auto"/>
              <w:rPr>
                <w:rFonts w:ascii="宋体" w:hAnsi="宋体"/>
                <w:b/>
                <w:bCs/>
                <w:szCs w:val="18"/>
              </w:rPr>
            </w:pPr>
          </w:p>
        </w:tc>
      </w:tr>
      <w:tr w14:paraId="4EE16C1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6C0FE06D">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631FC1D8">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0325BF36">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23043DF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1E7F478A">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781955D8">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2040E9C5">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077F5A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69E19A4D">
            <w:pPr>
              <w:spacing w:line="360" w:lineRule="auto"/>
              <w:jc w:val="left"/>
              <w:rPr>
                <w:rFonts w:ascii="宋体" w:hAnsi="宋体"/>
                <w:bCs/>
                <w:sz w:val="18"/>
                <w:szCs w:val="18"/>
              </w:rPr>
            </w:pPr>
          </w:p>
        </w:tc>
      </w:tr>
      <w:tr w14:paraId="06E3A2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1F3112C3">
            <w:pPr>
              <w:spacing w:line="360" w:lineRule="auto"/>
              <w:jc w:val="left"/>
              <w:rPr>
                <w:rFonts w:ascii="宋体" w:hAnsi="宋体"/>
                <w:b/>
                <w:bCs/>
                <w:sz w:val="18"/>
                <w:szCs w:val="18"/>
              </w:rPr>
            </w:pPr>
          </w:p>
        </w:tc>
      </w:tr>
      <w:tr w14:paraId="242211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673EB749">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5B07E566">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0F2983A1">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14:paraId="6FBE82C0">
          <w:pPr>
            <w:pStyle w:val="13"/>
            <w:spacing w:line="360" w:lineRule="auto"/>
            <w:jc w:val="center"/>
          </w:pPr>
          <w:r>
            <w:rPr>
              <w:rFonts w:hint="eastAsia"/>
              <w:lang w:val="zh-CN"/>
            </w:rPr>
            <w:t>目录</w:t>
          </w:r>
        </w:p>
        <w:p w14:paraId="2072709B">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417F2259">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1A128C40">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203D4545">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75924BEB">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27EC9104">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45DA096A">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5ADD954D">
          <w:pPr>
            <w:spacing w:line="360" w:lineRule="auto"/>
          </w:pPr>
          <w:r>
            <w:rPr>
              <w:bCs/>
              <w:lang w:val="zh-CN"/>
            </w:rPr>
            <w:fldChar w:fldCharType="end"/>
          </w:r>
        </w:p>
      </w:sdtContent>
    </w:sdt>
    <w:p w14:paraId="423D7D64">
      <w:pPr>
        <w:widowControl/>
        <w:jc w:val="left"/>
        <w:rPr>
          <w:rFonts w:ascii="宋体" w:hAnsi="宋体" w:cs="仿宋_GB2312"/>
          <w:b/>
          <w:kern w:val="0"/>
          <w:sz w:val="18"/>
          <w:szCs w:val="18"/>
        </w:rPr>
      </w:pPr>
      <w:r>
        <w:rPr>
          <w:rFonts w:ascii="宋体" w:hAnsi="宋体" w:cs="仿宋_GB2312"/>
          <w:b/>
          <w:kern w:val="0"/>
          <w:sz w:val="18"/>
          <w:szCs w:val="18"/>
        </w:rPr>
        <w:br w:type="page"/>
      </w:r>
    </w:p>
    <w:p w14:paraId="631C6FAB">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6F709859">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40EEA1C5">
      <w:pPr>
        <w:spacing w:line="360" w:lineRule="auto"/>
      </w:pPr>
    </w:p>
    <w:bookmarkEnd w:id="10"/>
    <w:bookmarkEnd w:id="11"/>
    <w:bookmarkEnd w:id="12"/>
    <w:bookmarkEnd w:id="13"/>
    <w:p w14:paraId="4FF17EDE">
      <w:pPr>
        <w:pStyle w:val="2"/>
        <w:spacing w:before="0" w:after="0"/>
        <w:jc w:val="center"/>
        <w:rPr>
          <w:rFonts w:ascii="Times New Roman"/>
          <w:color w:val="auto"/>
          <w:sz w:val="30"/>
        </w:rPr>
      </w:pPr>
      <w:bookmarkStart w:id="14" w:name="_Toc123112229"/>
      <w:bookmarkStart w:id="15" w:name="_Toc15517"/>
      <w:bookmarkStart w:id="16" w:name="_Toc29629"/>
      <w:bookmarkStart w:id="17" w:name="_Toc26897"/>
      <w:bookmarkStart w:id="18" w:name="_Toc8727"/>
      <w:bookmarkStart w:id="19" w:name="_Toc4867"/>
      <w:bookmarkStart w:id="20" w:name="_Toc139991730"/>
      <w:bookmarkStart w:id="21" w:name="_Toc123701389"/>
      <w:bookmarkStart w:id="22" w:name="_Toc141703880"/>
      <w:bookmarkStart w:id="23" w:name="_Toc123112268"/>
      <w:bookmarkStart w:id="24" w:name="_Toc23386"/>
      <w:bookmarkStart w:id="25" w:name="_Toc6306"/>
      <w:bookmarkStart w:id="26" w:name="_Toc32639"/>
      <w:bookmarkStart w:id="27" w:name="_Toc4966"/>
      <w:bookmarkStart w:id="28" w:name="_Toc30935"/>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4860"/>
      <w:bookmarkStart w:id="33" w:name="_Toc13020"/>
      <w:bookmarkStart w:id="34" w:name="_Toc258829399"/>
      <w:bookmarkStart w:id="35" w:name="_Toc2465"/>
      <w:bookmarkStart w:id="36" w:name="_Toc6617"/>
      <w:bookmarkStart w:id="37" w:name="_Toc3224"/>
      <w:bookmarkStart w:id="38" w:name="_Toc22864"/>
      <w:bookmarkStart w:id="39" w:name="_Toc15067"/>
      <w:bookmarkStart w:id="40" w:name="_Toc21301"/>
      <w:bookmarkStart w:id="41" w:name="_Toc819"/>
      <w:bookmarkStart w:id="42" w:name="_Toc19592"/>
      <w:r>
        <w:rPr>
          <w:rFonts w:hint="eastAsia" w:ascii="Times New Roman"/>
          <w:color w:val="auto"/>
          <w:sz w:val="30"/>
        </w:rPr>
        <w:t>前言</w:t>
      </w:r>
      <w:bookmarkEnd w:id="29"/>
    </w:p>
    <w:p w14:paraId="76EE84E8">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65029C3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391E6DB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1539836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284D340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1899252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7C3C36EF">
      <w:pPr>
        <w:widowControl/>
        <w:spacing w:line="360" w:lineRule="auto"/>
        <w:jc w:val="left"/>
      </w:pPr>
      <w:r>
        <w:br w:type="page"/>
      </w:r>
    </w:p>
    <w:p w14:paraId="2E7598AD">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5AF9649C">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43A3C04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204A115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5F92F78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5095D7D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612270F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20B3404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5D61E2D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69D7F6A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7A03542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5AE67C7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06D1AC0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7EA7DB36">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4401E44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7E284C9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0F5CA00F">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628AD18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7BEF33D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1BC8A03C">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039778F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484F31C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5E3881B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52C366B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09B0B8D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66F4463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35FD211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3B88CAB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74229BE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2383F29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0B496CB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5803F0B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7EDD6FF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74524F55">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1F47EFF7">
      <w:pPr>
        <w:pStyle w:val="2"/>
        <w:spacing w:before="0" w:after="0"/>
        <w:jc w:val="center"/>
        <w:rPr>
          <w:rFonts w:ascii="Times New Roman"/>
          <w:sz w:val="30"/>
        </w:rPr>
      </w:pPr>
      <w:bookmarkStart w:id="46" w:name="_Toc706"/>
      <w:bookmarkStart w:id="47" w:name="_Toc20627"/>
      <w:bookmarkStart w:id="48" w:name="_Toc545"/>
      <w:bookmarkStart w:id="49" w:name="_Toc6683"/>
      <w:bookmarkStart w:id="50" w:name="_Toc74065740"/>
      <w:bookmarkStart w:id="51" w:name="_Toc6149"/>
      <w:bookmarkStart w:id="52" w:name="_Toc24571"/>
      <w:bookmarkStart w:id="53" w:name="_Toc20318"/>
      <w:bookmarkStart w:id="54" w:name="_Toc22708"/>
      <w:bookmarkStart w:id="55" w:name="_Toc13288"/>
      <w:bookmarkStart w:id="56" w:name="_Toc733"/>
      <w:bookmarkStart w:id="57" w:name="_Toc18631"/>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65E74ABA">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2602BECD">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41F27058">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700BBE51">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39AD771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075C843A">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7B59F9E2">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0B7C6CF3">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7A31E8C5">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3E2284A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3363D9E1">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54C0CAA2">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30D0EB1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75A19D50">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30A4ED9E">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65750AE6">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682C1610">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1A12CF45">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243E6FFB">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4C2ACF7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1AB25E3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66A12C5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0BBCD11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22A7231C">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1D3A4DDB">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12AD7D5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2444C3E3">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334056C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31FC6CB0">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397724B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7995D1A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3DDDCEA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1922B3E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1986D1A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44A5CFC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3287717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7A81E5A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5A6FB6A">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3CEF51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6EA056AC">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65AA44A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419D95BA">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14FF2669">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2FCC8E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2B8F9B49">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40053474">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4A5C54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3E6BE4F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2665448F">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57212FC4">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25FA866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0E49DCF5">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224BE73C">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31DA4E6A">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2511B3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264B2364">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01AC07A2">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1707E6E4">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1483A42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6DF0156C">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42451D5A">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1EA0F00A">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23972F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23F15166">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56572D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00F1AB1E">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3B9C3393">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651CDCB6">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7DF6C873">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29A40548">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44B224D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28C7FCA5">
            <w:pPr>
              <w:spacing w:line="360" w:lineRule="auto"/>
              <w:jc w:val="center"/>
              <w:rPr>
                <w:b/>
                <w:sz w:val="18"/>
                <w:szCs w:val="18"/>
              </w:rPr>
            </w:pPr>
            <w:r>
              <w:rPr>
                <w:rFonts w:hint="eastAsia"/>
                <w:b/>
                <w:sz w:val="18"/>
                <w:szCs w:val="18"/>
              </w:rPr>
              <w:t>投资者签署栏</w:t>
            </w:r>
          </w:p>
        </w:tc>
        <w:tc>
          <w:tcPr>
            <w:tcW w:w="851" w:type="dxa"/>
            <w:gridSpan w:val="2"/>
          </w:tcPr>
          <w:p w14:paraId="3D93BF12">
            <w:pPr>
              <w:spacing w:line="360" w:lineRule="auto"/>
              <w:rPr>
                <w:sz w:val="18"/>
                <w:szCs w:val="18"/>
              </w:rPr>
            </w:pPr>
            <w:r>
              <w:rPr>
                <w:rFonts w:hint="eastAsia"/>
                <w:sz w:val="18"/>
                <w:szCs w:val="18"/>
              </w:rPr>
              <w:t>个人投资者适用</w:t>
            </w:r>
          </w:p>
        </w:tc>
        <w:tc>
          <w:tcPr>
            <w:tcW w:w="6998" w:type="dxa"/>
            <w:gridSpan w:val="2"/>
          </w:tcPr>
          <w:p w14:paraId="548F3D8F">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7345DA6F">
            <w:pPr>
              <w:spacing w:line="360" w:lineRule="auto"/>
              <w:rPr>
                <w:b/>
                <w:sz w:val="18"/>
                <w:szCs w:val="18"/>
              </w:rPr>
            </w:pPr>
          </w:p>
          <w:p w14:paraId="1A75A21C">
            <w:pPr>
              <w:spacing w:line="360" w:lineRule="auto"/>
              <w:rPr>
                <w:b/>
                <w:sz w:val="18"/>
                <w:szCs w:val="18"/>
              </w:rPr>
            </w:pPr>
            <w:r>
              <w:rPr>
                <w:rFonts w:hint="eastAsia"/>
                <w:sz w:val="18"/>
                <w:szCs w:val="18"/>
              </w:rPr>
              <w:t>日期：</w:t>
            </w:r>
          </w:p>
        </w:tc>
      </w:tr>
      <w:tr w14:paraId="0D199C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5D028370">
            <w:pPr>
              <w:spacing w:line="360" w:lineRule="auto"/>
              <w:rPr>
                <w:b/>
                <w:sz w:val="18"/>
                <w:szCs w:val="18"/>
              </w:rPr>
            </w:pPr>
          </w:p>
        </w:tc>
        <w:tc>
          <w:tcPr>
            <w:tcW w:w="851" w:type="dxa"/>
            <w:gridSpan w:val="2"/>
          </w:tcPr>
          <w:p w14:paraId="55A36246">
            <w:pPr>
              <w:spacing w:line="360" w:lineRule="auto"/>
              <w:rPr>
                <w:sz w:val="18"/>
                <w:szCs w:val="18"/>
              </w:rPr>
            </w:pPr>
            <w:r>
              <w:rPr>
                <w:rFonts w:hint="eastAsia"/>
                <w:sz w:val="18"/>
                <w:szCs w:val="18"/>
              </w:rPr>
              <w:t>机构投资者适用</w:t>
            </w:r>
          </w:p>
        </w:tc>
        <w:tc>
          <w:tcPr>
            <w:tcW w:w="6998" w:type="dxa"/>
            <w:gridSpan w:val="2"/>
          </w:tcPr>
          <w:p w14:paraId="6FF0B922">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42BA3316">
            <w:pPr>
              <w:spacing w:line="360" w:lineRule="auto"/>
              <w:rPr>
                <w:rFonts w:cs="Arial"/>
                <w:sz w:val="18"/>
                <w:szCs w:val="18"/>
              </w:rPr>
            </w:pPr>
          </w:p>
          <w:p w14:paraId="743F92A6">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454E1B44">
            <w:pPr>
              <w:spacing w:line="360" w:lineRule="auto"/>
              <w:rPr>
                <w:sz w:val="18"/>
                <w:szCs w:val="18"/>
              </w:rPr>
            </w:pPr>
            <w:r>
              <w:rPr>
                <w:rFonts w:hint="eastAsia"/>
                <w:sz w:val="18"/>
                <w:szCs w:val="18"/>
              </w:rPr>
              <w:t>日期：</w:t>
            </w:r>
          </w:p>
        </w:tc>
      </w:tr>
    </w:tbl>
    <w:p w14:paraId="097CF14A">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76701A07">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4D0A79BF">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17D530D2">
      <w:pPr>
        <w:adjustRightInd w:val="0"/>
        <w:spacing w:line="360" w:lineRule="auto"/>
        <w:jc w:val="center"/>
        <w:rPr>
          <w:rStyle w:val="10"/>
          <w:rFonts w:ascii="宋体" w:hAnsi="宋体"/>
          <w:sz w:val="32"/>
          <w:szCs w:val="32"/>
        </w:rPr>
      </w:pPr>
    </w:p>
    <w:p w14:paraId="6A112C3B">
      <w:pPr>
        <w:adjustRightInd w:val="0"/>
        <w:spacing w:line="360" w:lineRule="auto"/>
        <w:jc w:val="center"/>
        <w:rPr>
          <w:rStyle w:val="10"/>
          <w:rFonts w:ascii="宋体" w:hAnsi="宋体"/>
          <w:sz w:val="32"/>
          <w:szCs w:val="32"/>
        </w:rPr>
      </w:pPr>
    </w:p>
    <w:p w14:paraId="7DFEBAC0">
      <w:pPr>
        <w:adjustRightInd w:val="0"/>
        <w:spacing w:line="360" w:lineRule="auto"/>
        <w:jc w:val="center"/>
        <w:rPr>
          <w:rStyle w:val="10"/>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2B79F882">
      <w:pPr>
        <w:adjustRightInd w:val="0"/>
        <w:spacing w:line="360" w:lineRule="auto"/>
        <w:jc w:val="center"/>
        <w:rPr>
          <w:rStyle w:val="10"/>
          <w:rFonts w:ascii="宋体" w:hAnsi="宋体"/>
          <w:sz w:val="32"/>
          <w:szCs w:val="32"/>
        </w:rPr>
      </w:pPr>
    </w:p>
    <w:p w14:paraId="5E903A8C">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lang w:eastAsia="zh-CN"/>
        </w:rPr>
        <w:t>【兴银理财稳利恒盈封闭式2026年816期固收类理财产品】</w:t>
      </w:r>
    </w:p>
    <w:p w14:paraId="07BC825D">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产品说明书</w:t>
      </w:r>
    </w:p>
    <w:p w14:paraId="3E88E42E">
      <w:pPr>
        <w:adjustRightInd w:val="0"/>
        <w:spacing w:line="360" w:lineRule="auto"/>
        <w:jc w:val="center"/>
        <w:rPr>
          <w:rStyle w:val="10"/>
          <w:rFonts w:ascii="宋体" w:hAnsi="宋体"/>
          <w:sz w:val="32"/>
          <w:szCs w:val="32"/>
        </w:rPr>
      </w:pPr>
    </w:p>
    <w:p w14:paraId="5F4AA734">
      <w:pPr>
        <w:adjustRightInd w:val="0"/>
        <w:spacing w:line="360" w:lineRule="auto"/>
        <w:jc w:val="center"/>
        <w:rPr>
          <w:rStyle w:val="10"/>
          <w:rFonts w:ascii="黑体" w:hAnsi="黑体" w:eastAsia="黑体"/>
          <w:bCs w:val="0"/>
          <w:sz w:val="28"/>
          <w:szCs w:val="28"/>
        </w:rPr>
      </w:pPr>
    </w:p>
    <w:p w14:paraId="7DBFFA63">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理财产品管理人：兴银理财有限责任公司</w:t>
      </w:r>
    </w:p>
    <w:p w14:paraId="7A493851">
      <w:pPr>
        <w:adjustRightInd w:val="0"/>
        <w:spacing w:line="360" w:lineRule="auto"/>
        <w:jc w:val="center"/>
        <w:rPr>
          <w:rStyle w:val="10"/>
          <w:rFonts w:ascii="宋体" w:hAnsi="宋体"/>
          <w:sz w:val="32"/>
          <w:szCs w:val="32"/>
        </w:rPr>
      </w:pPr>
    </w:p>
    <w:p w14:paraId="66BE9518">
      <w:pPr>
        <w:adjustRightInd w:val="0"/>
        <w:spacing w:line="360" w:lineRule="auto"/>
        <w:jc w:val="center"/>
        <w:rPr>
          <w:rStyle w:val="10"/>
          <w:rFonts w:ascii="宋体" w:hAnsi="宋体"/>
          <w:sz w:val="32"/>
          <w:szCs w:val="32"/>
        </w:rPr>
      </w:pPr>
    </w:p>
    <w:p w14:paraId="25D25B2E">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日期</w:t>
      </w:r>
      <w:r>
        <w:rPr>
          <w:rStyle w:val="10"/>
          <w:rFonts w:ascii="宋体" w:hAnsi="宋体" w:cs="Times New Roman"/>
          <w:sz w:val="32"/>
          <w:szCs w:val="32"/>
        </w:rPr>
        <w:t>：</w:t>
      </w:r>
      <w:r>
        <w:rPr>
          <w:rStyle w:val="10"/>
          <w:rFonts w:hint="eastAsia" w:ascii="宋体" w:hAnsi="宋体" w:cs="Times New Roman"/>
          <w:sz w:val="32"/>
          <w:szCs w:val="32"/>
        </w:rPr>
        <w:t>【2026】年【3】月</w:t>
      </w:r>
    </w:p>
    <w:p w14:paraId="4A08F956">
      <w:pPr>
        <w:adjustRightInd w:val="0"/>
        <w:spacing w:line="360" w:lineRule="auto"/>
        <w:jc w:val="center"/>
        <w:rPr>
          <w:rStyle w:val="10"/>
          <w:rFonts w:ascii="宋体" w:hAnsi="宋体"/>
          <w:sz w:val="32"/>
          <w:szCs w:val="32"/>
        </w:rPr>
      </w:pPr>
    </w:p>
    <w:p w14:paraId="0D3342AD">
      <w:pPr>
        <w:pStyle w:val="1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14:paraId="55854813">
          <w:pPr>
            <w:pStyle w:val="15"/>
            <w:spacing w:line="360" w:lineRule="auto"/>
            <w:jc w:val="center"/>
          </w:pPr>
          <w:bookmarkStart w:id="66" w:name="_Toc78276587"/>
          <w:r>
            <w:rPr>
              <w:lang w:val="zh-CN"/>
            </w:rPr>
            <w:t>目录</w:t>
          </w:r>
        </w:p>
        <w:p w14:paraId="35E93B84">
          <w:pPr>
            <w:pStyle w:val="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"_Toc176189753" </w:instrText>
          </w:r>
          <w:r>
            <w:fldChar w:fldCharType="separate"/>
          </w:r>
          <w:r>
            <w:rPr>
              <w:rStyle w:val="11"/>
              <w:rFonts w:hint="eastAsia" w:ascii="Times New Roman"/>
            </w:rPr>
            <w:t>第一条</w:t>
          </w:r>
          <w:r>
            <w:rPr>
              <w:rStyle w:val="11"/>
              <w:rFonts w:ascii="Times New Roman"/>
            </w:rPr>
            <w:t xml:space="preserve">  </w:t>
          </w:r>
          <w:r>
            <w:rPr>
              <w:rStyle w:val="11"/>
              <w:rFonts w:hint="eastAsia" w:ascii="Times New Roman"/>
            </w:rPr>
            <w:t>释义</w:t>
          </w:r>
          <w:r>
            <w:tab/>
          </w:r>
          <w:r>
            <w:fldChar w:fldCharType="begin"/>
          </w:r>
          <w:r>
            <w:instrText xml:space="preserve"> PAGEREF _Toc176189753 \h </w:instrText>
          </w:r>
          <w:r>
            <w:fldChar w:fldCharType="separate"/>
          </w:r>
          <w:r>
            <w:t>18</w:t>
          </w:r>
          <w:r>
            <w:fldChar w:fldCharType="end"/>
          </w:r>
          <w:r>
            <w:fldChar w:fldCharType="end"/>
          </w:r>
        </w:p>
        <w:p w14:paraId="084FD9C9">
          <w:pPr>
            <w:pStyle w:val="5"/>
            <w:rPr>
              <w:rFonts w:asciiTheme="minorHAnsi" w:hAnsiTheme="minorHAnsi" w:eastAsiaTheme="minorEastAsia" w:cstheme="minorBidi"/>
              <w:kern w:val="2"/>
              <w:sz w:val="21"/>
            </w:rPr>
          </w:pPr>
          <w:r>
            <w:fldChar w:fldCharType="begin"/>
          </w:r>
          <w:r>
            <w:instrText xml:space="preserve"> HYPERLINK \l "_Toc176189754" </w:instrText>
          </w:r>
          <w:r>
            <w:fldChar w:fldCharType="separate"/>
          </w:r>
          <w:r>
            <w:rPr>
              <w:rStyle w:val="11"/>
              <w:rFonts w:hint="eastAsia" w:hAnsi="宋体"/>
            </w:rPr>
            <w:t>第二条</w:t>
          </w:r>
          <w:r>
            <w:rPr>
              <w:rStyle w:val="11"/>
              <w:rFonts w:hAnsi="宋体"/>
            </w:rPr>
            <w:t xml:space="preserve">  </w:t>
          </w:r>
          <w:r>
            <w:rPr>
              <w:rStyle w:val="11"/>
              <w:rFonts w:hint="eastAsia" w:hAnsi="宋体"/>
            </w:rPr>
            <w:t>理财产品基本情况</w:t>
          </w:r>
          <w:r>
            <w:tab/>
          </w:r>
          <w:r>
            <w:fldChar w:fldCharType="begin"/>
          </w:r>
          <w:r>
            <w:instrText xml:space="preserve"> PAGEREF _Toc176189754 \h </w:instrText>
          </w:r>
          <w:r>
            <w:fldChar w:fldCharType="separate"/>
          </w:r>
          <w:r>
            <w:t>23</w:t>
          </w:r>
          <w:r>
            <w:fldChar w:fldCharType="end"/>
          </w:r>
          <w:r>
            <w:fldChar w:fldCharType="end"/>
          </w:r>
        </w:p>
        <w:p w14:paraId="566DF126">
          <w:pPr>
            <w:pStyle w:val="5"/>
            <w:rPr>
              <w:rFonts w:asciiTheme="minorHAnsi" w:hAnsiTheme="minorHAnsi" w:eastAsiaTheme="minorEastAsia" w:cstheme="minorBidi"/>
              <w:kern w:val="2"/>
              <w:sz w:val="21"/>
            </w:rPr>
          </w:pPr>
          <w:r>
            <w:fldChar w:fldCharType="begin"/>
          </w:r>
          <w:r>
            <w:instrText xml:space="preserve"> HYPERLINK \l "_Toc176189755" </w:instrText>
          </w:r>
          <w:r>
            <w:fldChar w:fldCharType="separate"/>
          </w:r>
          <w:r>
            <w:rPr>
              <w:rStyle w:val="11"/>
              <w:rFonts w:hint="eastAsia" w:ascii="Times New Roman"/>
            </w:rPr>
            <w:t>第三条</w:t>
          </w:r>
          <w:r>
            <w:rPr>
              <w:rStyle w:val="11"/>
              <w:rFonts w:ascii="Times New Roman"/>
            </w:rPr>
            <w:t xml:space="preserve">  </w:t>
          </w:r>
          <w:r>
            <w:rPr>
              <w:rStyle w:val="11"/>
              <w:rFonts w:hint="eastAsia" w:ascii="Times New Roman"/>
            </w:rPr>
            <w:t>理财产品的认购</w:t>
          </w:r>
          <w:r>
            <w:tab/>
          </w:r>
          <w:r>
            <w:fldChar w:fldCharType="begin"/>
          </w:r>
          <w:r>
            <w:instrText xml:space="preserve"> PAGEREF _Toc176189755 \h </w:instrText>
          </w:r>
          <w:r>
            <w:fldChar w:fldCharType="separate"/>
          </w:r>
          <w:r>
            <w:t>30</w:t>
          </w:r>
          <w:r>
            <w:fldChar w:fldCharType="end"/>
          </w:r>
          <w:r>
            <w:fldChar w:fldCharType="end"/>
          </w:r>
        </w:p>
        <w:p w14:paraId="42D2B77C">
          <w:pPr>
            <w:pStyle w:val="5"/>
            <w:rPr>
              <w:rFonts w:asciiTheme="minorHAnsi" w:hAnsiTheme="minorHAnsi" w:eastAsiaTheme="minorEastAsia" w:cstheme="minorBidi"/>
              <w:kern w:val="2"/>
              <w:sz w:val="21"/>
            </w:rPr>
          </w:pPr>
          <w:r>
            <w:fldChar w:fldCharType="begin"/>
          </w:r>
          <w:r>
            <w:instrText xml:space="preserve"> HYPERLINK \l "_Toc176189756" </w:instrText>
          </w:r>
          <w:r>
            <w:fldChar w:fldCharType="separate"/>
          </w:r>
          <w:r>
            <w:rPr>
              <w:rStyle w:val="11"/>
              <w:rFonts w:hint="eastAsia" w:ascii="Times New Roman"/>
            </w:rPr>
            <w:t>第四条</w:t>
          </w:r>
          <w:r>
            <w:rPr>
              <w:rStyle w:val="11"/>
              <w:rFonts w:ascii="Times New Roman"/>
            </w:rPr>
            <w:t xml:space="preserve">  </w:t>
          </w:r>
          <w:r>
            <w:rPr>
              <w:rStyle w:val="11"/>
              <w:rFonts w:hint="eastAsia" w:ascii="Times New Roman"/>
            </w:rPr>
            <w:t>理财产品的申购与赎回</w:t>
          </w:r>
          <w:r>
            <w:tab/>
          </w:r>
          <w:r>
            <w:fldChar w:fldCharType="begin"/>
          </w:r>
          <w:r>
            <w:instrText xml:space="preserve"> PAGEREF _Toc176189756 \h </w:instrText>
          </w:r>
          <w:r>
            <w:fldChar w:fldCharType="separate"/>
          </w:r>
          <w:r>
            <w:t>32</w:t>
          </w:r>
          <w:r>
            <w:fldChar w:fldCharType="end"/>
          </w:r>
          <w:r>
            <w:fldChar w:fldCharType="end"/>
          </w:r>
        </w:p>
        <w:p w14:paraId="32C854BD">
          <w:pPr>
            <w:pStyle w:val="5"/>
            <w:rPr>
              <w:rFonts w:asciiTheme="minorHAnsi" w:hAnsiTheme="minorHAnsi" w:eastAsiaTheme="minorEastAsia" w:cstheme="minorBidi"/>
              <w:kern w:val="2"/>
              <w:sz w:val="21"/>
            </w:rPr>
          </w:pPr>
          <w:r>
            <w:fldChar w:fldCharType="begin"/>
          </w:r>
          <w:r>
            <w:instrText xml:space="preserve"> HYPERLINK \l "_Toc176189757" </w:instrText>
          </w:r>
          <w:r>
            <w:fldChar w:fldCharType="separate"/>
          </w:r>
          <w:r>
            <w:rPr>
              <w:rStyle w:val="11"/>
              <w:rFonts w:hint="eastAsia" w:ascii="Times New Roman"/>
            </w:rPr>
            <w:t>第五条</w:t>
          </w:r>
          <w:r>
            <w:rPr>
              <w:rStyle w:val="11"/>
              <w:rFonts w:ascii="Times New Roman"/>
            </w:rPr>
            <w:t xml:space="preserve">  </w:t>
          </w:r>
          <w:r>
            <w:rPr>
              <w:rStyle w:val="11"/>
              <w:rFonts w:hint="eastAsia" w:ascii="Times New Roman"/>
            </w:rPr>
            <w:t>理财产品的投资</w:t>
          </w:r>
          <w:r>
            <w:tab/>
          </w:r>
          <w:r>
            <w:fldChar w:fldCharType="begin"/>
          </w:r>
          <w:r>
            <w:instrText xml:space="preserve"> PAGEREF _Toc176189757 \h </w:instrText>
          </w:r>
          <w:r>
            <w:fldChar w:fldCharType="separate"/>
          </w:r>
          <w:r>
            <w:t>33</w:t>
          </w:r>
          <w:r>
            <w:fldChar w:fldCharType="end"/>
          </w:r>
          <w:r>
            <w:fldChar w:fldCharType="end"/>
          </w:r>
        </w:p>
        <w:p w14:paraId="630B5957">
          <w:pPr>
            <w:pStyle w:val="5"/>
            <w:rPr>
              <w:rFonts w:asciiTheme="minorHAnsi" w:hAnsiTheme="minorHAnsi" w:eastAsiaTheme="minorEastAsia" w:cstheme="minorBidi"/>
              <w:kern w:val="2"/>
              <w:sz w:val="21"/>
            </w:rPr>
          </w:pPr>
          <w:r>
            <w:fldChar w:fldCharType="begin"/>
          </w:r>
          <w:r>
            <w:instrText xml:space="preserve"> HYPERLINK \l "_Toc176189758" </w:instrText>
          </w:r>
          <w:r>
            <w:fldChar w:fldCharType="separate"/>
          </w:r>
          <w:r>
            <w:rPr>
              <w:rStyle w:val="11"/>
              <w:rFonts w:hint="eastAsia" w:ascii="Times New Roman"/>
            </w:rPr>
            <w:t>第六条</w:t>
          </w:r>
          <w:r>
            <w:rPr>
              <w:rStyle w:val="11"/>
              <w:rFonts w:ascii="Times New Roman"/>
            </w:rPr>
            <w:t xml:space="preserve">  </w:t>
          </w:r>
          <w:r>
            <w:rPr>
              <w:rStyle w:val="11"/>
              <w:rFonts w:hint="eastAsia" w:ascii="Times New Roman"/>
            </w:rPr>
            <w:t>理财产品的资产</w:t>
          </w:r>
          <w:r>
            <w:tab/>
          </w:r>
          <w:r>
            <w:fldChar w:fldCharType="begin"/>
          </w:r>
          <w:r>
            <w:instrText xml:space="preserve"> PAGEREF _Toc176189758 \h </w:instrText>
          </w:r>
          <w:r>
            <w:fldChar w:fldCharType="separate"/>
          </w:r>
          <w:r>
            <w:t>36</w:t>
          </w:r>
          <w:r>
            <w:fldChar w:fldCharType="end"/>
          </w:r>
          <w:r>
            <w:fldChar w:fldCharType="end"/>
          </w:r>
        </w:p>
        <w:p w14:paraId="5B1F3CF1">
          <w:pPr>
            <w:pStyle w:val="5"/>
            <w:rPr>
              <w:rFonts w:asciiTheme="minorHAnsi" w:hAnsiTheme="minorHAnsi" w:eastAsiaTheme="minorEastAsia" w:cstheme="minorBidi"/>
              <w:kern w:val="2"/>
              <w:sz w:val="21"/>
            </w:rPr>
          </w:pPr>
          <w:r>
            <w:fldChar w:fldCharType="begin"/>
          </w:r>
          <w:r>
            <w:instrText xml:space="preserve"> HYPERLINK \l "_Toc176189759" </w:instrText>
          </w:r>
          <w:r>
            <w:fldChar w:fldCharType="separate"/>
          </w:r>
          <w:r>
            <w:rPr>
              <w:rStyle w:val="11"/>
              <w:rFonts w:hint="eastAsia" w:ascii="Times New Roman"/>
            </w:rPr>
            <w:t>第七条</w:t>
          </w:r>
          <w:r>
            <w:rPr>
              <w:rStyle w:val="11"/>
              <w:rFonts w:ascii="Times New Roman"/>
            </w:rPr>
            <w:t xml:space="preserve">  </w:t>
          </w:r>
          <w:r>
            <w:rPr>
              <w:rStyle w:val="11"/>
              <w:rFonts w:hint="eastAsia" w:ascii="Times New Roman"/>
            </w:rPr>
            <w:t>理财产品项下资产的估值</w:t>
          </w:r>
          <w:r>
            <w:tab/>
          </w:r>
          <w:r>
            <w:fldChar w:fldCharType="begin"/>
          </w:r>
          <w:r>
            <w:instrText xml:space="preserve"> PAGEREF _Toc176189759 \h </w:instrText>
          </w:r>
          <w:r>
            <w:fldChar w:fldCharType="separate"/>
          </w:r>
          <w:r>
            <w:t>37</w:t>
          </w:r>
          <w:r>
            <w:fldChar w:fldCharType="end"/>
          </w:r>
          <w:r>
            <w:fldChar w:fldCharType="end"/>
          </w:r>
        </w:p>
        <w:p w14:paraId="38619D21">
          <w:pPr>
            <w:pStyle w:val="5"/>
            <w:rPr>
              <w:rFonts w:asciiTheme="minorHAnsi" w:hAnsiTheme="minorHAnsi" w:eastAsiaTheme="minorEastAsia" w:cstheme="minorBidi"/>
              <w:kern w:val="2"/>
              <w:sz w:val="21"/>
            </w:rPr>
          </w:pPr>
          <w:r>
            <w:fldChar w:fldCharType="begin"/>
          </w:r>
          <w:r>
            <w:instrText xml:space="preserve"> HYPERLINK \l "_Toc176189760" </w:instrText>
          </w:r>
          <w:r>
            <w:fldChar w:fldCharType="separate"/>
          </w:r>
          <w:r>
            <w:rPr>
              <w:rStyle w:val="11"/>
              <w:rFonts w:hint="eastAsia" w:ascii="Times New Roman"/>
            </w:rPr>
            <w:t>第八条</w:t>
          </w:r>
          <w:r>
            <w:rPr>
              <w:rStyle w:val="11"/>
              <w:rFonts w:ascii="Times New Roman"/>
            </w:rPr>
            <w:t xml:space="preserve">  </w:t>
          </w:r>
          <w:r>
            <w:rPr>
              <w:rStyle w:val="11"/>
              <w:rFonts w:hint="eastAsia" w:ascii="Times New Roman"/>
            </w:rPr>
            <w:t>理财产品的利益分配</w:t>
          </w:r>
          <w:r>
            <w:tab/>
          </w:r>
          <w:r>
            <w:fldChar w:fldCharType="begin"/>
          </w:r>
          <w:r>
            <w:instrText xml:space="preserve"> PAGEREF _Toc176189760 \h </w:instrText>
          </w:r>
          <w:r>
            <w:fldChar w:fldCharType="separate"/>
          </w:r>
          <w:r>
            <w:t>41</w:t>
          </w:r>
          <w:r>
            <w:fldChar w:fldCharType="end"/>
          </w:r>
          <w:r>
            <w:fldChar w:fldCharType="end"/>
          </w:r>
        </w:p>
        <w:p w14:paraId="5BF947C4">
          <w:pPr>
            <w:pStyle w:val="5"/>
            <w:rPr>
              <w:rFonts w:asciiTheme="minorHAnsi" w:hAnsiTheme="minorHAnsi" w:eastAsiaTheme="minorEastAsia" w:cstheme="minorBidi"/>
              <w:kern w:val="2"/>
              <w:sz w:val="21"/>
            </w:rPr>
          </w:pPr>
          <w:r>
            <w:fldChar w:fldCharType="begin"/>
          </w:r>
          <w:r>
            <w:instrText xml:space="preserve"> HYPERLINK \l "_Toc176189761" </w:instrText>
          </w:r>
          <w:r>
            <w:fldChar w:fldCharType="separate"/>
          </w:r>
          <w:r>
            <w:rPr>
              <w:rStyle w:val="11"/>
              <w:rFonts w:hint="eastAsia" w:ascii="Times New Roman"/>
            </w:rPr>
            <w:t>第九条</w:t>
          </w:r>
          <w:r>
            <w:rPr>
              <w:rStyle w:val="11"/>
              <w:rFonts w:ascii="Times New Roman"/>
            </w:rPr>
            <w:t xml:space="preserve">  </w:t>
          </w:r>
          <w:r>
            <w:rPr>
              <w:rStyle w:val="11"/>
              <w:rFonts w:hint="eastAsia" w:ascii="Times New Roman"/>
            </w:rPr>
            <w:t>理财产品的费用与税收</w:t>
          </w:r>
          <w:r>
            <w:tab/>
          </w:r>
          <w:r>
            <w:fldChar w:fldCharType="begin"/>
          </w:r>
          <w:r>
            <w:instrText xml:space="preserve"> PAGEREF _Toc176189761 \h </w:instrText>
          </w:r>
          <w:r>
            <w:fldChar w:fldCharType="separate"/>
          </w:r>
          <w:r>
            <w:t>42</w:t>
          </w:r>
          <w:r>
            <w:fldChar w:fldCharType="end"/>
          </w:r>
          <w:r>
            <w:fldChar w:fldCharType="end"/>
          </w:r>
        </w:p>
        <w:p w14:paraId="5C467280">
          <w:pPr>
            <w:pStyle w:val="5"/>
            <w:rPr>
              <w:rFonts w:asciiTheme="minorHAnsi" w:hAnsiTheme="minorHAnsi" w:eastAsiaTheme="minorEastAsia" w:cstheme="minorBidi"/>
              <w:kern w:val="2"/>
              <w:sz w:val="21"/>
            </w:rPr>
          </w:pPr>
          <w:r>
            <w:fldChar w:fldCharType="begin"/>
          </w:r>
          <w:r>
            <w:instrText xml:space="preserve"> HYPERLINK \l "_Toc176189762" </w:instrText>
          </w:r>
          <w:r>
            <w:fldChar w:fldCharType="separate"/>
          </w:r>
          <w:r>
            <w:rPr>
              <w:rStyle w:val="11"/>
              <w:rFonts w:hint="eastAsia"/>
            </w:rPr>
            <w:t>第十条</w:t>
          </w:r>
          <w:r>
            <w:rPr>
              <w:rStyle w:val="11"/>
            </w:rPr>
            <w:t xml:space="preserve">  </w:t>
          </w:r>
          <w:r>
            <w:rPr>
              <w:rStyle w:val="11"/>
              <w:rFonts w:hint="eastAsia"/>
            </w:rPr>
            <w:t>理财产品的终止与清算</w:t>
          </w:r>
          <w:r>
            <w:tab/>
          </w:r>
          <w:r>
            <w:fldChar w:fldCharType="begin"/>
          </w:r>
          <w:r>
            <w:instrText xml:space="preserve"> PAGEREF _Toc176189762 \h </w:instrText>
          </w:r>
          <w:r>
            <w:fldChar w:fldCharType="separate"/>
          </w:r>
          <w:r>
            <w:t>45</w:t>
          </w:r>
          <w:r>
            <w:fldChar w:fldCharType="end"/>
          </w:r>
          <w:r>
            <w:fldChar w:fldCharType="end"/>
          </w:r>
        </w:p>
        <w:p w14:paraId="57202045">
          <w:pPr>
            <w:pStyle w:val="5"/>
            <w:rPr>
              <w:rFonts w:asciiTheme="minorHAnsi" w:hAnsiTheme="minorHAnsi" w:eastAsiaTheme="minorEastAsia" w:cstheme="minorBidi"/>
              <w:kern w:val="2"/>
              <w:sz w:val="21"/>
            </w:rPr>
          </w:pPr>
          <w:r>
            <w:fldChar w:fldCharType="begin"/>
          </w:r>
          <w:r>
            <w:instrText xml:space="preserve"> HYPERLINK \l "_Toc176189763" </w:instrText>
          </w:r>
          <w:r>
            <w:fldChar w:fldCharType="separate"/>
          </w:r>
          <w:r>
            <w:rPr>
              <w:rStyle w:val="11"/>
              <w:rFonts w:hint="eastAsia" w:ascii="Times New Roman"/>
            </w:rPr>
            <w:t>第十一条</w:t>
          </w:r>
          <w:r>
            <w:rPr>
              <w:rStyle w:val="11"/>
              <w:rFonts w:ascii="Times New Roman"/>
            </w:rPr>
            <w:t xml:space="preserve">  </w:t>
          </w:r>
          <w:r>
            <w:rPr>
              <w:rStyle w:val="11"/>
              <w:rFonts w:hint="eastAsia" w:ascii="Times New Roman"/>
            </w:rPr>
            <w:t>理财产品的信息披露</w:t>
          </w:r>
          <w:r>
            <w:tab/>
          </w:r>
          <w:r>
            <w:fldChar w:fldCharType="begin"/>
          </w:r>
          <w:r>
            <w:instrText xml:space="preserve"> PAGEREF _Toc176189763 \h </w:instrText>
          </w:r>
          <w:r>
            <w:fldChar w:fldCharType="separate"/>
          </w:r>
          <w:r>
            <w:t>47</w:t>
          </w:r>
          <w:r>
            <w:fldChar w:fldCharType="end"/>
          </w:r>
          <w:r>
            <w:fldChar w:fldCharType="end"/>
          </w:r>
        </w:p>
        <w:p w14:paraId="7897109D">
          <w:pPr>
            <w:pStyle w:val="5"/>
            <w:rPr>
              <w:rFonts w:asciiTheme="minorHAnsi" w:hAnsiTheme="minorHAnsi" w:eastAsiaTheme="minorEastAsia" w:cstheme="minorBidi"/>
              <w:kern w:val="2"/>
              <w:sz w:val="21"/>
            </w:rPr>
          </w:pPr>
          <w:r>
            <w:fldChar w:fldCharType="begin"/>
          </w:r>
          <w:r>
            <w:instrText xml:space="preserve"> HYPERLINK \l "_Toc176189764" </w:instrText>
          </w:r>
          <w:r>
            <w:fldChar w:fldCharType="separate"/>
          </w:r>
          <w:r>
            <w:rPr>
              <w:rStyle w:val="11"/>
              <w:rFonts w:hint="eastAsia" w:ascii="Times New Roman"/>
            </w:rPr>
            <w:t>第十二条</w:t>
          </w:r>
          <w:r>
            <w:rPr>
              <w:rStyle w:val="11"/>
              <w:rFonts w:ascii="Times New Roman"/>
            </w:rPr>
            <w:t xml:space="preserve">  </w:t>
          </w:r>
          <w:r>
            <w:rPr>
              <w:rStyle w:val="11"/>
              <w:rFonts w:hint="eastAsia" w:ascii="Times New Roman"/>
            </w:rPr>
            <w:t>理财产品的风险揭示</w:t>
          </w:r>
          <w:r>
            <w:tab/>
          </w:r>
          <w:r>
            <w:fldChar w:fldCharType="begin"/>
          </w:r>
          <w:r>
            <w:instrText xml:space="preserve"> PAGEREF _Toc176189764 \h </w:instrText>
          </w:r>
          <w:r>
            <w:fldChar w:fldCharType="separate"/>
          </w:r>
          <w:r>
            <w:t>49</w:t>
          </w:r>
          <w:r>
            <w:fldChar w:fldCharType="end"/>
          </w:r>
          <w:r>
            <w:fldChar w:fldCharType="end"/>
          </w:r>
        </w:p>
        <w:p w14:paraId="64A09925">
          <w:pPr>
            <w:spacing w:line="360" w:lineRule="auto"/>
          </w:pPr>
          <w:r>
            <w:fldChar w:fldCharType="end"/>
          </w:r>
        </w:p>
      </w:sdtContent>
    </w:sdt>
    <w:p w14:paraId="7FD0E4D6">
      <w:pPr>
        <w:rPr>
          <w:rFonts w:ascii="Times New Roman"/>
          <w:sz w:val="30"/>
        </w:rPr>
      </w:pPr>
      <w:r>
        <w:rPr>
          <w:rFonts w:ascii="Times New Roman"/>
          <w:sz w:val="30"/>
        </w:rPr>
        <w:br w:type="page"/>
      </w:r>
    </w:p>
    <w:p w14:paraId="748A2133">
      <w:pPr>
        <w:pStyle w:val="2"/>
        <w:spacing w:before="0" w:after="0" w:line="360" w:lineRule="auto"/>
        <w:jc w:val="center"/>
        <w:rPr>
          <w:rFonts w:ascii="Times New Roman"/>
          <w:sz w:val="30"/>
        </w:rPr>
      </w:pPr>
      <w:bookmarkStart w:id="67" w:name="_Toc176189753"/>
      <w:r>
        <w:rPr>
          <w:rFonts w:ascii="Times New Roman"/>
          <w:sz w:val="30"/>
        </w:rPr>
        <w:t>第</w:t>
      </w:r>
      <w:r>
        <w:rPr>
          <w:rFonts w:hint="eastAsia" w:ascii="Times New Roman"/>
          <w:sz w:val="30"/>
        </w:rPr>
        <w:t xml:space="preserve">一条 </w:t>
      </w:r>
      <w:r>
        <w:rPr>
          <w:rFonts w:ascii="Times New Roman"/>
          <w:sz w:val="30"/>
        </w:rPr>
        <w:t xml:space="preserve"> 释义</w:t>
      </w:r>
      <w:bookmarkEnd w:id="66"/>
      <w:bookmarkEnd w:id="67"/>
    </w:p>
    <w:p w14:paraId="7988B85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14:paraId="5BA03D02">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14:paraId="1AE79E4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14:paraId="5F38076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：指招商银行股份有限公司（以下简称“招商银行”）。招商银行成立于1987年，具备理财产品托管资格。托管人负责提供包括账户开立、资金保管、资金清算、估值核算等理财产品托管服务。</w:t>
      </w:r>
      <w:r>
        <w:rPr>
          <w:rFonts w:asciiTheme="majorEastAsia" w:hAnsiTheme="majorEastAsia" w:eastAsiaTheme="majorEastAsia"/>
          <w:bCs/>
          <w:color w:val="auto"/>
          <w:sz w:val="18"/>
          <w:szCs w:val="18"/>
        </w:rPr>
        <w:t xml:space="preserve"> </w:t>
      </w:r>
    </w:p>
    <w:p w14:paraId="0515561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619720C4">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国家金融监督管理总局认定的其他业务活动</w:t>
      </w:r>
      <w:r>
        <w:rPr>
          <w:rFonts w:asciiTheme="majorEastAsia" w:hAnsiTheme="majorEastAsia" w:eastAsiaTheme="majorEastAsia"/>
          <w:bCs/>
          <w:color w:val="auto"/>
          <w:sz w:val="18"/>
          <w:szCs w:val="18"/>
        </w:rPr>
        <w:t>。各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14:paraId="369C180E">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14:paraId="4A24AA90">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14:paraId="16C9BE5A">
      <w:pPr>
        <w:pStyle w:val="1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14:paraId="3E8748B5">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14:paraId="39F136BA">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14:paraId="38542501">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（6）专业投资者：根据监管规定，指符合下列条件之一的投资者：</w:t>
      </w:r>
    </w:p>
    <w:p w14:paraId="69F1E999">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1）银行业金融机构、保险业金融机构、金融控股公司、证券基金期货经营机构、私募基金管理人；</w:t>
      </w:r>
    </w:p>
    <w:p w14:paraId="6E4B670E">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2）上述机构面向投资者发行的金融产品，信托公司管理的资产服务信托、公益慈善信托；</w:t>
      </w:r>
    </w:p>
    <w:p w14:paraId="37273625">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3）社会保障基金、企业年金、职业年金等养老基金，慈善基金等社会公益基金，合格境外机构投资者（QFII）、人民币合格境外机构投资者（RQFII）。</w:t>
      </w:r>
    </w:p>
    <w:p w14:paraId="782D1367">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（7）普通投资者：专业投资者之外的投资者为普通投资者。</w:t>
      </w:r>
    </w:p>
    <w:p w14:paraId="7E033F7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8</w:t>
      </w:r>
      <w:r>
        <w:rPr>
          <w:rFonts w:hint="eastAsia" w:asciiTheme="majorEastAsia" w:hAnsiTheme="majorEastAsia" w:eastAsiaTheme="majorEastAsia"/>
          <w:bCs/>
          <w:color w:val="auto"/>
          <w:sz w:val="18"/>
          <w:szCs w:val="18"/>
        </w:rPr>
        <w:t>）全国银行业理财信息登记系统：指供商业银行及商业银行理财公司进行理财产品电子化报告和信息登记的电子信息系统。</w:t>
      </w:r>
    </w:p>
    <w:p w14:paraId="20816D28">
      <w:pPr>
        <w:pStyle w:val="1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14:paraId="113F91C7">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w:t>
      </w:r>
      <w:r>
        <w:rPr>
          <w:rFonts w:hint="eastAsia" w:asciiTheme="majorEastAsia" w:hAnsiTheme="majorEastAsia" w:eastAsiaTheme="majorEastAsia"/>
          <w:bCs/>
          <w:sz w:val="18"/>
          <w:szCs w:val="18"/>
          <w:lang w:eastAsia="zh-CN"/>
        </w:rPr>
        <w:t>【兴银理财稳利恒盈封闭式2026年816期固收类理财产品】</w:t>
      </w:r>
      <w:r>
        <w:rPr>
          <w:rFonts w:hint="eastAsia" w:asciiTheme="majorEastAsia" w:hAnsiTheme="majorEastAsia" w:eastAsiaTheme="majorEastAsia"/>
          <w:bCs/>
          <w:sz w:val="18"/>
          <w:szCs w:val="18"/>
        </w:rPr>
        <w:t>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14:paraId="2F58E399">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w:t>
      </w:r>
      <w:r>
        <w:rPr>
          <w:rFonts w:hint="eastAsia" w:asciiTheme="majorEastAsia" w:hAnsiTheme="majorEastAsia" w:eastAsiaTheme="majorEastAsia"/>
          <w:bCs/>
          <w:sz w:val="18"/>
          <w:szCs w:val="18"/>
          <w:lang w:eastAsia="zh-CN"/>
        </w:rPr>
        <w:t>【兴银理财稳利恒盈封闭式2026年816期固收类理财产品】</w:t>
      </w:r>
      <w:r>
        <w:rPr>
          <w:rFonts w:hint="eastAsia" w:asciiTheme="majorEastAsia" w:hAnsiTheme="majorEastAsia" w:eastAsiaTheme="majorEastAsia"/>
          <w:bCs/>
          <w:sz w:val="18"/>
          <w:szCs w:val="18"/>
        </w:rPr>
        <w:t>投资协议书》，以及对该文件的有效修改或补充。</w:t>
      </w:r>
    </w:p>
    <w:p w14:paraId="69E93BD2">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w:t>
      </w:r>
      <w:r>
        <w:rPr>
          <w:rFonts w:hint="eastAsia" w:asciiTheme="majorEastAsia" w:hAnsiTheme="majorEastAsia" w:eastAsiaTheme="majorEastAsia"/>
          <w:bCs/>
          <w:sz w:val="18"/>
          <w:szCs w:val="18"/>
          <w:lang w:eastAsia="zh-CN"/>
        </w:rPr>
        <w:t>【兴银理财稳利恒盈封闭式2026年816期固收类理财产品】</w:t>
      </w:r>
      <w:r>
        <w:rPr>
          <w:rFonts w:hint="eastAsia" w:asciiTheme="majorEastAsia" w:hAnsiTheme="majorEastAsia" w:eastAsiaTheme="majorEastAsia"/>
          <w:bCs/>
          <w:sz w:val="18"/>
          <w:szCs w:val="18"/>
        </w:rPr>
        <w:t>产品说明书》，以及对该文件的有效修改或补充。</w:t>
      </w:r>
    </w:p>
    <w:p w14:paraId="4BE112E4">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w:t>
      </w:r>
      <w:r>
        <w:rPr>
          <w:rFonts w:hint="eastAsia" w:asciiTheme="majorEastAsia" w:hAnsiTheme="majorEastAsia" w:eastAsiaTheme="majorEastAsia"/>
          <w:bCs/>
          <w:sz w:val="18"/>
          <w:szCs w:val="18"/>
          <w:lang w:eastAsia="zh-CN"/>
        </w:rPr>
        <w:t>【兴银理财稳利恒盈封闭式2026年816期固收类理财产品】</w:t>
      </w:r>
      <w:r>
        <w:rPr>
          <w:rFonts w:hint="eastAsia" w:asciiTheme="majorEastAsia" w:hAnsiTheme="majorEastAsia" w:eastAsiaTheme="majorEastAsia"/>
          <w:bCs/>
          <w:sz w:val="18"/>
          <w:szCs w:val="18"/>
        </w:rPr>
        <w:t>（代理）销售协议书》或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w:t>
      </w:r>
      <w:r>
        <w:rPr>
          <w:rFonts w:hint="eastAsia" w:asciiTheme="majorEastAsia" w:hAnsiTheme="majorEastAsia" w:eastAsiaTheme="majorEastAsia"/>
          <w:bCs/>
          <w:sz w:val="18"/>
          <w:szCs w:val="18"/>
          <w:lang w:eastAsia="zh-CN"/>
        </w:rPr>
        <w:t>【兴银理财稳利恒盈封闭式2026年816期固收类理财产品】</w:t>
      </w:r>
      <w:r>
        <w:rPr>
          <w:rFonts w:hint="eastAsia" w:asciiTheme="majorEastAsia" w:hAnsiTheme="majorEastAsia" w:eastAsiaTheme="majorEastAsia"/>
          <w:bCs/>
          <w:sz w:val="18"/>
          <w:szCs w:val="18"/>
        </w:rPr>
        <w:t>（代理）销售协议书》（文件名称以代理销售机构实际编制为准），以及对该文件的有效修改或补充。</w:t>
      </w:r>
    </w:p>
    <w:p w14:paraId="2C878809">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w:t>
      </w:r>
      <w:r>
        <w:rPr>
          <w:rFonts w:hint="eastAsia" w:asciiTheme="majorEastAsia" w:hAnsiTheme="majorEastAsia" w:eastAsiaTheme="majorEastAsia"/>
          <w:bCs/>
          <w:sz w:val="18"/>
          <w:szCs w:val="18"/>
          <w:lang w:eastAsia="zh-CN"/>
        </w:rPr>
        <w:t>【兴银理财稳利恒盈封闭式2026年816期固收类理财产品】</w:t>
      </w:r>
      <w:r>
        <w:rPr>
          <w:rFonts w:hint="eastAsia" w:asciiTheme="majorEastAsia" w:hAnsiTheme="majorEastAsia" w:eastAsiaTheme="majorEastAsia"/>
          <w:bCs/>
          <w:sz w:val="18"/>
          <w:szCs w:val="18"/>
        </w:rPr>
        <w:t>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w:t>
      </w:r>
      <w:r>
        <w:rPr>
          <w:rFonts w:hint="eastAsia" w:asciiTheme="majorEastAsia" w:hAnsiTheme="majorEastAsia" w:eastAsiaTheme="majorEastAsia"/>
          <w:bCs/>
          <w:sz w:val="18"/>
          <w:szCs w:val="18"/>
          <w:lang w:eastAsia="zh-CN"/>
        </w:rPr>
        <w:t>【兴银理财稳利恒盈封闭式2026年816期固收类理财产品】</w:t>
      </w:r>
      <w:r>
        <w:rPr>
          <w:rFonts w:hint="eastAsia" w:asciiTheme="majorEastAsia" w:hAnsiTheme="majorEastAsia" w:eastAsiaTheme="majorEastAsia"/>
          <w:bCs/>
          <w:sz w:val="18"/>
          <w:szCs w:val="18"/>
        </w:rPr>
        <w:t>风险揭示书》（文件名称以代理销售机构实际编制为准），以及对该文件的有效修改或补充。</w:t>
      </w:r>
    </w:p>
    <w:p w14:paraId="6EA1DDA4">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w:t>
      </w:r>
      <w:r>
        <w:rPr>
          <w:rFonts w:hint="eastAsia" w:asciiTheme="majorEastAsia" w:hAnsiTheme="majorEastAsia" w:eastAsiaTheme="majorEastAsia"/>
          <w:bCs/>
          <w:sz w:val="18"/>
          <w:szCs w:val="18"/>
          <w:lang w:eastAsia="zh-CN"/>
        </w:rPr>
        <w:t>【兴银理财稳利恒盈封闭式2026年816期固收类理财产品】</w:t>
      </w:r>
      <w:r>
        <w:rPr>
          <w:rFonts w:hint="eastAsia" w:asciiTheme="majorEastAsia" w:hAnsiTheme="majorEastAsia" w:eastAsiaTheme="majorEastAsia"/>
          <w:bCs/>
          <w:sz w:val="18"/>
          <w:szCs w:val="18"/>
        </w:rPr>
        <w:t>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eastAsia="zh-CN"/>
        </w:rPr>
        <w:t>【兴银理财稳利恒盈封闭式2026年816期固收类理财产品】</w:t>
      </w:r>
      <w:r>
        <w:rPr>
          <w:rFonts w:hint="eastAsia" w:asciiTheme="majorEastAsia" w:hAnsiTheme="majorEastAsia" w:eastAsiaTheme="majorEastAsia"/>
          <w:bCs/>
          <w:sz w:val="18"/>
          <w:szCs w:val="18"/>
        </w:rPr>
        <w:t>投资者权益须知》（文件名称以代理销售机构实际编制为准），以及对该文件的有效修改或补充。</w:t>
      </w:r>
    </w:p>
    <w:p w14:paraId="1EC2FDC9">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14:paraId="453C0A8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14:paraId="6E42763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14:paraId="6F7461E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为每类份额类别设置的唯一性</w:t>
      </w:r>
      <w:r>
        <w:rPr>
          <w:rFonts w:hint="eastAsia" w:asciiTheme="majorEastAsia" w:hAnsiTheme="majorEastAsia" w:eastAsiaTheme="majorEastAsia"/>
          <w:bCs/>
          <w:color w:val="auto"/>
          <w:sz w:val="18"/>
          <w:szCs w:val="18"/>
        </w:rPr>
        <w:t>内部识别码。若本款理财产品不设置差异化产品份额类别，理财产品代码即为理财产品销售代码。</w:t>
      </w:r>
    </w:p>
    <w:p w14:paraId="1991EED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w:t>
      </w:r>
      <w:r>
        <w:rPr>
          <w:rFonts w:asciiTheme="majorEastAsia" w:hAnsiTheme="majorEastAsia" w:eastAsiaTheme="majorEastAsia"/>
          <w:bCs/>
          <w:sz w:val="18"/>
          <w:szCs w:val="18"/>
        </w:rPr>
        <w:t>理财</w:t>
      </w:r>
      <w:r>
        <w:rPr>
          <w:rFonts w:hint="eastAsia" w:asciiTheme="majorEastAsia" w:hAnsiTheme="majorEastAsia" w:eastAsiaTheme="majorEastAsia"/>
          <w:bCs/>
          <w:sz w:val="18"/>
          <w:szCs w:val="18"/>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6E560E1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14:paraId="704644D4">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产品的投资者类型。</w:t>
      </w:r>
    </w:p>
    <w:p w14:paraId="21326D5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14:paraId="3CBCDF6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14:paraId="76850B1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14:paraId="2DABECB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3FAD8CF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w:t>
      </w:r>
    </w:p>
    <w:p w14:paraId="216CFCF6">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14:paraId="03596A3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14:paraId="085ED5FD">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14:paraId="721772D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14:paraId="18837ED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0）理财产品估值：指计算评估理财产品资产和理财产品负债的价值，以确定理财产品份额净值的过程。</w:t>
      </w:r>
    </w:p>
    <w:p w14:paraId="63F38ADB">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eastAsia="黑体"/>
          <w:sz w:val="18"/>
        </w:rPr>
        <w:t>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w:t>
      </w:r>
      <w:r>
        <w:rPr>
          <w:rFonts w:hint="eastAsia" w:ascii="黑体" w:hAnsi="黑体" w:eastAsia="黑体"/>
          <w:bCs/>
          <w:color w:val="auto"/>
          <w:sz w:val="18"/>
          <w:szCs w:val="18"/>
        </w:rPr>
        <w:t>投资须谨慎。</w:t>
      </w:r>
    </w:p>
    <w:p w14:paraId="583A030F">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14:paraId="75D9064D">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14:paraId="10482D9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14:paraId="5E2B03C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14:paraId="5F262559">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14:paraId="6E7532D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14:paraId="39E03B4A">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14:paraId="351497F0">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14:paraId="320AAFFD">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14:paraId="55CC21CB">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14:paraId="338A6713">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14:paraId="642210D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14:paraId="111F920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14:paraId="0D5AB99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工作日：指除中国法定节假日和公休日外的其他日。</w:t>
      </w:r>
    </w:p>
    <w:p w14:paraId="3A0DD389">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w:t>
      </w:r>
      <w:r>
        <w:rPr>
          <w:color w:val="auto"/>
          <w:sz w:val="18"/>
          <w:szCs w:val="18"/>
        </w:rPr>
        <w:t>理财</w:t>
      </w:r>
      <w:r>
        <w:rPr>
          <w:rFonts w:hint="eastAsia"/>
          <w:color w:val="auto"/>
          <w:sz w:val="18"/>
          <w:szCs w:val="18"/>
        </w:rPr>
        <w:t>产品开始运作的日期。</w:t>
      </w:r>
    </w:p>
    <w:p w14:paraId="6C30F38D">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w:t>
      </w:r>
      <w:r>
        <w:rPr>
          <w:color w:val="auto"/>
          <w:sz w:val="18"/>
          <w:szCs w:val="18"/>
        </w:rPr>
        <w:t>理财</w:t>
      </w:r>
      <w:r>
        <w:rPr>
          <w:rFonts w:hint="eastAsia"/>
          <w:color w:val="auto"/>
          <w:sz w:val="18"/>
          <w:szCs w:val="18"/>
        </w:rPr>
        <w:t>产品终止的日期。</w:t>
      </w:r>
    </w:p>
    <w:p w14:paraId="01DCF8A4">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14:paraId="4E6F74D5">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14:paraId="5A09AC67">
      <w:pPr>
        <w:pStyle w:val="1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14:paraId="5097340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14:paraId="0C8B8CE4">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14:paraId="7491BB6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（11）产品存续期：指自理财产品成立日起，至理财产品终止日的期间。</w:t>
      </w:r>
    </w:p>
    <w:p w14:paraId="565EDB5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2）清算期：指自本理财产品终止日至投资者理财利益到账日之间的期间。</w:t>
      </w:r>
    </w:p>
    <w:p w14:paraId="0B431CE3">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14:paraId="111FD36F">
      <w:pPr>
        <w:pStyle w:val="1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14:paraId="72B6960E">
      <w:pPr>
        <w:pStyle w:val="14"/>
        <w:spacing w:line="360" w:lineRule="auto"/>
        <w:ind w:firstLine="360" w:firstLineChars="200"/>
        <w:rPr>
          <w:rFonts w:hAnsi="宋体"/>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cs="仿宋_GB2312" w:asciiTheme="minorEastAsia" w:hAnsiTheme="minorEastAsia" w:eastAsiaTheme="minorEastAsia"/>
          <w:bCs/>
          <w:color w:val="auto"/>
          <w:sz w:val="18"/>
          <w:szCs w:val="18"/>
        </w:rPr>
        <w:t>★</w:t>
      </w:r>
      <w:r>
        <w:rPr>
          <w:rFonts w:hint="eastAsia" w:asciiTheme="minorEastAsia" w:hAnsiTheme="minorEastAsia" w:eastAsiaTheme="minorEastAsia"/>
          <w:sz w:val="18"/>
          <w:szCs w:val="18"/>
        </w:rPr>
        <w:t>销售服务费：指</w:t>
      </w:r>
      <w:r>
        <w:rPr>
          <w:rFonts w:hint="eastAsia" w:hAnsi="宋体"/>
          <w:sz w:val="18"/>
          <w:szCs w:val="18"/>
        </w:rPr>
        <w:t>因理财产品销售行为产生的费用。</w:t>
      </w:r>
    </w:p>
    <w:p w14:paraId="05B55E3D">
      <w:pPr>
        <w:pStyle w:val="1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14:paraId="28199639">
      <w:pPr>
        <w:pStyle w:val="1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14:paraId="1E1D4D3B">
      <w:pPr>
        <w:pStyle w:val="1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14:paraId="371E8765">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14:paraId="2A842CA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14:paraId="05F068AB">
      <w:pPr>
        <w:pStyle w:val="14"/>
        <w:spacing w:line="360" w:lineRule="auto"/>
        <w:ind w:firstLine="360" w:firstLineChars="200"/>
        <w:rPr>
          <w:rFonts w:hAnsi="宋体"/>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14:paraId="6EC5830F">
      <w:pPr>
        <w:pStyle w:val="2"/>
        <w:spacing w:before="0" w:after="0" w:line="360" w:lineRule="auto"/>
        <w:jc w:val="center"/>
        <w:rPr>
          <w:rFonts w:hAnsi="宋体"/>
          <w:sz w:val="28"/>
          <w:szCs w:val="28"/>
        </w:rPr>
      </w:pPr>
      <w:bookmarkStart w:id="68" w:name="_Toc79154665"/>
      <w:bookmarkStart w:id="69" w:name="_Toc176189754"/>
      <w:r>
        <w:rPr>
          <w:rFonts w:hint="eastAsia" w:hAnsi="宋体"/>
          <w:sz w:val="28"/>
          <w:szCs w:val="28"/>
        </w:rPr>
        <w:t>第二条  理财产品基本情况</w:t>
      </w:r>
      <w:bookmarkEnd w:id="68"/>
      <w:bookmarkEnd w:id="69"/>
      <w:r>
        <w:rPr>
          <w:rFonts w:hint="eastAsia" w:hAnsi="宋体"/>
          <w:sz w:val="28"/>
          <w:szCs w:val="28"/>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3F8E426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41B1C471">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74" w:type="dxa"/>
            <w:shd w:val="solid" w:color="FFFFFF" w:fill="FFFFFF"/>
          </w:tcPr>
          <w:p w14:paraId="021944DB">
            <w:pPr>
              <w:spacing w:line="360" w:lineRule="auto"/>
              <w:jc w:val="left"/>
              <w:rPr>
                <w:rFonts w:ascii="宋体" w:hAnsi="宋体"/>
                <w:bCs/>
                <w:sz w:val="18"/>
                <w:szCs w:val="18"/>
              </w:rPr>
            </w:pPr>
            <w:r>
              <w:rPr>
                <w:rFonts w:hint="eastAsia" w:asciiTheme="majorEastAsia" w:hAnsiTheme="majorEastAsia" w:eastAsiaTheme="majorEastAsia"/>
                <w:bCs/>
                <w:kern w:val="0"/>
                <w:sz w:val="18"/>
                <w:szCs w:val="18"/>
              </w:rPr>
              <w:t>【</w:t>
            </w:r>
            <w:r>
              <w:rPr>
                <w:rFonts w:hint="eastAsia" w:asciiTheme="majorEastAsia" w:hAnsiTheme="majorEastAsia" w:eastAsiaTheme="majorEastAsia"/>
                <w:bCs/>
                <w:sz w:val="18"/>
                <w:szCs w:val="18"/>
              </w:rPr>
              <w:t>兴银理财稳利恒盈封闭式2026年816期固收类理财产品</w:t>
            </w:r>
            <w:r>
              <w:rPr>
                <w:rFonts w:hint="eastAsia" w:asciiTheme="majorEastAsia" w:hAnsiTheme="majorEastAsia" w:eastAsiaTheme="majorEastAsia"/>
                <w:bCs/>
                <w:kern w:val="0"/>
                <w:sz w:val="18"/>
                <w:szCs w:val="18"/>
              </w:rPr>
              <w:t>】</w:t>
            </w:r>
          </w:p>
        </w:tc>
      </w:tr>
      <w:tr w14:paraId="0BA636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14:paraId="182287E4">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74" w:type="dxa"/>
            <w:shd w:val="solid" w:color="FFFFFF" w:fill="FFFFFF"/>
          </w:tcPr>
          <w:p w14:paraId="15632117">
            <w:pPr>
              <w:widowControl/>
              <w:spacing w:line="360" w:lineRule="auto"/>
              <w:jc w:val="left"/>
              <w:rPr>
                <w:rFonts w:ascii="宋体" w:hAnsi="宋体"/>
                <w:kern w:val="0"/>
                <w:sz w:val="22"/>
              </w:rPr>
            </w:pPr>
            <w:r>
              <w:rPr>
                <w:rFonts w:ascii="宋体" w:hAnsi="宋体" w:eastAsia="宋体" w:cs="宋体"/>
                <w:sz w:val="18"/>
              </w:rPr>
              <w:t>【稳利恒盈封闭式2026年816期（兴嘉选）A】 (适用【A】类份额)</w:t>
            </w:r>
            <w:r>
              <w:rPr>
                <w:rFonts w:ascii="宋体" w:hAnsi="宋体" w:eastAsia="宋体" w:cs="宋体"/>
                <w:sz w:val="18"/>
              </w:rPr>
              <w:br w:type="textWrapping"/>
            </w:r>
            <w:r>
              <w:rPr>
                <w:rFonts w:ascii="宋体" w:hAnsi="宋体" w:eastAsia="宋体" w:cs="宋体"/>
                <w:sz w:val="18"/>
              </w:rPr>
              <w:t>【稳利恒盈封闭式2026年816期（兴嘉选）B】 (适用【B】类份额)</w:t>
            </w:r>
            <w:r>
              <w:rPr>
                <w:rFonts w:ascii="宋体" w:hAnsi="宋体" w:eastAsia="宋体" w:cs="宋体"/>
                <w:sz w:val="18"/>
              </w:rPr>
              <w:br w:type="textWrapping"/>
            </w:r>
            <w:r>
              <w:rPr>
                <w:rFonts w:ascii="宋体" w:hAnsi="宋体" w:eastAsia="宋体" w:cs="宋体"/>
                <w:sz w:val="18"/>
              </w:rPr>
              <w:t>【稳利恒盈封闭式2026年816期（兴嘉选）C】 (适用【C】类份额)</w:t>
            </w:r>
            <w:r>
              <w:rPr>
                <w:rFonts w:ascii="宋体" w:hAnsi="宋体" w:eastAsia="宋体" w:cs="宋体"/>
                <w:sz w:val="18"/>
              </w:rPr>
              <w:br w:type="textWrapping"/>
            </w:r>
            <w:r>
              <w:rPr>
                <w:rFonts w:ascii="宋体" w:hAnsi="宋体" w:eastAsia="宋体" w:cs="宋体"/>
                <w:sz w:val="18"/>
              </w:rPr>
              <w:t>【稳利恒盈封闭式2026年816期（兴嘉选）D】 (适用【D】类份额)</w:t>
            </w:r>
            <w:r>
              <w:rPr>
                <w:rFonts w:ascii="宋体" w:hAnsi="宋体" w:eastAsia="宋体" w:cs="宋体"/>
                <w:sz w:val="18"/>
              </w:rPr>
              <w:br w:type="textWrapping"/>
            </w:r>
            <w:r>
              <w:rPr>
                <w:rFonts w:ascii="宋体" w:hAnsi="宋体" w:eastAsia="宋体" w:cs="宋体"/>
                <w:sz w:val="18"/>
              </w:rPr>
              <w:t>【稳利恒盈封闭式2026年816期（兴嘉选）E】 (适用【E】类份额)</w:t>
            </w:r>
          </w:p>
        </w:tc>
      </w:tr>
      <w:tr w14:paraId="20ED0E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490162EE">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74" w:type="dxa"/>
            <w:shd w:val="solid" w:color="FFFFFF" w:fill="FFFFFF"/>
          </w:tcPr>
          <w:p w14:paraId="77DC3C2C">
            <w:pPr>
              <w:spacing w:line="360" w:lineRule="auto"/>
              <w:jc w:val="left"/>
              <w:rPr>
                <w:rFonts w:ascii="宋体" w:hAnsi="宋体"/>
                <w:b/>
                <w:sz w:val="18"/>
                <w:szCs w:val="18"/>
              </w:rPr>
            </w:pPr>
            <w:r>
              <w:rPr>
                <w:rFonts w:hint="eastAsia" w:asciiTheme="minorEastAsia" w:hAnsiTheme="minorEastAsia"/>
                <w:sz w:val="18"/>
                <w:szCs w:val="18"/>
              </w:rPr>
              <w:t>【Z7002026000537】</w:t>
            </w:r>
            <w:r>
              <w:rPr>
                <w:rFonts w:hint="eastAsia" w:asciiTheme="majorEastAsia" w:hAnsiTheme="majorEastAsia" w:eastAsiaTheme="majorEastAsia"/>
                <w:sz w:val="18"/>
                <w:szCs w:val="18"/>
              </w:rPr>
              <w:t>投资者可依据理财产品登记编码在中国理财网</w:t>
            </w:r>
            <w:r>
              <w:rPr>
                <w:rFonts w:asciiTheme="majorEastAsia" w:hAnsiTheme="majorEastAsia" w:eastAsiaTheme="majorEastAsia"/>
                <w:sz w:val="18"/>
                <w:szCs w:val="18"/>
              </w:rPr>
              <w:t>(</w:t>
            </w:r>
            <w:r>
              <w:fldChar w:fldCharType="begin"/>
            </w:r>
            <w:r>
              <w:instrText xml:space="preserve"> HYPERLINK "http://www.chinawealth.com.cn" </w:instrText>
            </w:r>
            <w:r>
              <w:fldChar w:fldCharType="separate"/>
            </w:r>
            <w:r>
              <w:rPr>
                <w:rFonts w:asciiTheme="majorEastAsia" w:hAnsiTheme="majorEastAsia" w:eastAsiaTheme="majorEastAsia"/>
                <w:sz w:val="18"/>
                <w:szCs w:val="18"/>
              </w:rPr>
              <w:t>www.chinawealth.com.cn</w:t>
            </w:r>
            <w:r>
              <w:rPr>
                <w:rFonts w:asciiTheme="majorEastAsia" w:hAnsiTheme="majorEastAsia" w:eastAsiaTheme="majorEastAsia"/>
                <w:sz w:val="18"/>
                <w:szCs w:val="18"/>
              </w:rPr>
              <w:fldChar w:fldCharType="end"/>
            </w:r>
            <w:r>
              <w:rPr>
                <w:rFonts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14:paraId="33F75D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23E446A1">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74" w:type="dxa"/>
            <w:shd w:val="solid" w:color="FFFFFF" w:fill="FFFFFF"/>
            <w:vAlign w:val="center"/>
          </w:tcPr>
          <w:p w14:paraId="76EAF509">
            <w:pPr>
              <w:spacing w:line="360" w:lineRule="auto"/>
              <w:jc w:val="left"/>
              <w:rPr>
                <w:rFonts w:ascii="宋体" w:hAnsi="宋体"/>
                <w:bCs/>
                <w:sz w:val="18"/>
                <w:szCs w:val="18"/>
              </w:rPr>
            </w:pPr>
            <w:r>
              <w:rPr>
                <w:rFonts w:ascii="宋体" w:hAnsi="宋体"/>
                <w:bCs/>
                <w:sz w:val="18"/>
                <w:szCs w:val="18"/>
              </w:rPr>
              <w:t>【</w:t>
            </w:r>
            <w:r>
              <w:rPr>
                <w:rFonts w:hint="eastAsia" w:ascii="宋体" w:hAnsi="宋体"/>
                <w:bCs/>
                <w:sz w:val="18"/>
                <w:szCs w:val="18"/>
              </w:rPr>
              <w:t>9N268160】</w:t>
            </w:r>
          </w:p>
        </w:tc>
      </w:tr>
      <w:tr w14:paraId="252D76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5A75651C">
            <w:pPr>
              <w:spacing w:line="360" w:lineRule="auto"/>
              <w:jc w:val="left"/>
              <w:rPr>
                <w:rFonts w:hAnsi="宋体"/>
                <w:b/>
                <w:sz w:val="18"/>
                <w:szCs w:val="18"/>
              </w:rPr>
            </w:pPr>
            <w:r>
              <w:rPr>
                <w:rFonts w:hint="eastAsia" w:hAnsi="宋体"/>
                <w:b/>
                <w:sz w:val="18"/>
                <w:szCs w:val="18"/>
              </w:rPr>
              <w:t>★销售代码</w:t>
            </w:r>
          </w:p>
        </w:tc>
        <w:tc>
          <w:tcPr>
            <w:tcW w:w="7674" w:type="dxa"/>
            <w:shd w:val="solid" w:color="FFFFFF" w:fill="FFFFFF"/>
          </w:tcPr>
          <w:p w14:paraId="5C833FFF">
            <w:pPr>
              <w:spacing w:line="360" w:lineRule="auto"/>
              <w:jc w:val="left"/>
              <w:rPr>
                <w:rFonts w:hAnsi="宋体"/>
                <w:sz w:val="18"/>
                <w:szCs w:val="18"/>
              </w:rPr>
            </w:pPr>
            <w:r>
              <w:rPr>
                <w:rFonts w:ascii="宋体" w:hAnsi="宋体" w:eastAsia="宋体" w:cs="宋体"/>
                <w:sz w:val="18"/>
              </w:rPr>
              <w:t>【9N26816A】 (适用【A】类份额)</w:t>
            </w:r>
            <w:r>
              <w:rPr>
                <w:rFonts w:ascii="宋体" w:hAnsi="宋体" w:eastAsia="宋体" w:cs="宋体"/>
                <w:sz w:val="18"/>
              </w:rPr>
              <w:br w:type="textWrapping"/>
            </w:r>
            <w:r>
              <w:rPr>
                <w:rFonts w:ascii="宋体" w:hAnsi="宋体" w:eastAsia="宋体" w:cs="宋体"/>
                <w:sz w:val="18"/>
              </w:rPr>
              <w:t>【9N26816B】 (适用【B】类份额)</w:t>
            </w:r>
            <w:r>
              <w:rPr>
                <w:rFonts w:ascii="宋体" w:hAnsi="宋体" w:eastAsia="宋体" w:cs="宋体"/>
                <w:sz w:val="18"/>
              </w:rPr>
              <w:br w:type="textWrapping"/>
            </w:r>
            <w:r>
              <w:rPr>
                <w:rFonts w:ascii="宋体" w:hAnsi="宋体" w:eastAsia="宋体" w:cs="宋体"/>
                <w:sz w:val="18"/>
              </w:rPr>
              <w:t>【9N26816C】 (适用【C】类份额)</w:t>
            </w:r>
            <w:r>
              <w:rPr>
                <w:rFonts w:ascii="宋体" w:hAnsi="宋体" w:eastAsia="宋体" w:cs="宋体"/>
                <w:sz w:val="18"/>
              </w:rPr>
              <w:br w:type="textWrapping"/>
            </w:r>
            <w:r>
              <w:rPr>
                <w:rFonts w:ascii="宋体" w:hAnsi="宋体" w:eastAsia="宋体" w:cs="宋体"/>
                <w:sz w:val="18"/>
              </w:rPr>
              <w:t>【9N26816D】 (适用【D】类份额)</w:t>
            </w:r>
            <w:r>
              <w:rPr>
                <w:rFonts w:ascii="宋体" w:hAnsi="宋体" w:eastAsia="宋体" w:cs="宋体"/>
                <w:sz w:val="18"/>
              </w:rPr>
              <w:br w:type="textWrapping"/>
            </w:r>
            <w:r>
              <w:rPr>
                <w:rFonts w:ascii="宋体" w:hAnsi="宋体" w:eastAsia="宋体" w:cs="宋体"/>
                <w:sz w:val="18"/>
              </w:rPr>
              <w:t>【9N26816E】 (适用【E】类份额)</w:t>
            </w:r>
          </w:p>
        </w:tc>
      </w:tr>
      <w:tr w14:paraId="3D8AE5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610F6F3A">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74" w:type="dxa"/>
            <w:shd w:val="solid" w:color="FFFFFF" w:fill="FFFFFF"/>
            <w:vAlign w:val="center"/>
          </w:tcPr>
          <w:p w14:paraId="78DD7284">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14:paraId="6287A516">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w:t>
            </w:r>
            <w:r>
              <w:rPr>
                <w:rFonts w:ascii="宋体" w:hAnsi="宋体"/>
                <w:bCs/>
                <w:sz w:val="18"/>
                <w:szCs w:val="18"/>
              </w:rPr>
              <w:t>可能</w:t>
            </w:r>
            <w:r>
              <w:rPr>
                <w:rFonts w:hint="eastAsia" w:ascii="宋体" w:hAnsi="宋体"/>
                <w:bCs/>
                <w:sz w:val="18"/>
                <w:szCs w:val="18"/>
              </w:rPr>
              <w:t>单独设置：</w:t>
            </w:r>
          </w:p>
          <w:p w14:paraId="6646AF07">
            <w:pPr>
              <w:spacing w:line="360" w:lineRule="auto"/>
              <w:rPr>
                <w:rFonts w:ascii="宋体" w:hAnsi="宋体"/>
                <w:bCs/>
                <w:sz w:val="18"/>
                <w:szCs w:val="18"/>
              </w:rPr>
            </w:pPr>
            <w:r>
              <w:rPr>
                <w:rFonts w:hint="eastAsia" w:ascii="宋体" w:hAnsi="宋体"/>
                <w:bCs/>
                <w:sz w:val="18"/>
                <w:szCs w:val="18"/>
              </w:rPr>
              <w:t>（1）销售名称</w:t>
            </w:r>
          </w:p>
          <w:p w14:paraId="198345BC">
            <w:pPr>
              <w:spacing w:line="360" w:lineRule="auto"/>
              <w:rPr>
                <w:rFonts w:ascii="宋体" w:hAnsi="宋体"/>
                <w:bCs/>
                <w:sz w:val="18"/>
                <w:szCs w:val="18"/>
              </w:rPr>
            </w:pPr>
            <w:r>
              <w:rPr>
                <w:rFonts w:hint="eastAsia" w:ascii="宋体" w:hAnsi="宋体"/>
                <w:bCs/>
                <w:sz w:val="18"/>
                <w:szCs w:val="18"/>
              </w:rPr>
              <w:t>（2）收费方式</w:t>
            </w:r>
          </w:p>
          <w:p w14:paraId="0468E3F7">
            <w:pPr>
              <w:spacing w:line="360" w:lineRule="auto"/>
              <w:rPr>
                <w:rFonts w:ascii="宋体" w:hAnsi="宋体"/>
                <w:bCs/>
                <w:sz w:val="18"/>
                <w:szCs w:val="18"/>
              </w:rPr>
            </w:pPr>
            <w:r>
              <w:rPr>
                <w:rFonts w:hint="eastAsia" w:ascii="宋体" w:hAnsi="宋体"/>
                <w:bCs/>
                <w:sz w:val="18"/>
                <w:szCs w:val="18"/>
              </w:rPr>
              <w:t>（3）销售服务费</w:t>
            </w:r>
          </w:p>
          <w:p w14:paraId="54D047F8">
            <w:pPr>
              <w:spacing w:line="360" w:lineRule="auto"/>
              <w:rPr>
                <w:rFonts w:ascii="宋体" w:hAnsi="宋体"/>
                <w:bCs/>
                <w:sz w:val="18"/>
                <w:szCs w:val="18"/>
              </w:rPr>
            </w:pPr>
            <w:r>
              <w:rPr>
                <w:rFonts w:hint="eastAsia" w:ascii="宋体" w:hAnsi="宋体"/>
                <w:bCs/>
                <w:sz w:val="18"/>
                <w:szCs w:val="18"/>
              </w:rPr>
              <w:t>（4）销售代码</w:t>
            </w:r>
          </w:p>
          <w:p w14:paraId="05B04839">
            <w:pPr>
              <w:spacing w:line="360" w:lineRule="auto"/>
              <w:rPr>
                <w:rFonts w:ascii="宋体" w:hAnsi="宋体"/>
                <w:bCs/>
                <w:sz w:val="18"/>
                <w:szCs w:val="18"/>
              </w:rPr>
            </w:pPr>
            <w:r>
              <w:rPr>
                <w:rFonts w:hint="eastAsia" w:ascii="宋体" w:hAnsi="宋体"/>
                <w:bCs/>
                <w:sz w:val="18"/>
                <w:szCs w:val="18"/>
              </w:rPr>
              <w:t>（5）销售对象</w:t>
            </w:r>
          </w:p>
          <w:p w14:paraId="1F5D7CF1">
            <w:pPr>
              <w:spacing w:line="360" w:lineRule="auto"/>
              <w:rPr>
                <w:rFonts w:ascii="宋体" w:hAnsi="宋体"/>
                <w:bCs/>
                <w:sz w:val="18"/>
                <w:szCs w:val="18"/>
              </w:rPr>
            </w:pPr>
            <w:r>
              <w:rPr>
                <w:rFonts w:hint="eastAsia" w:ascii="宋体" w:hAnsi="宋体"/>
                <w:bCs/>
                <w:sz w:val="18"/>
                <w:szCs w:val="18"/>
              </w:rPr>
              <w:t>（6）销售起点金额（认购、申购的起点金额）</w:t>
            </w:r>
          </w:p>
          <w:p w14:paraId="0CE1E5F2">
            <w:pPr>
              <w:spacing w:line="360" w:lineRule="auto"/>
              <w:rPr>
                <w:rFonts w:ascii="宋体" w:hAnsi="宋体"/>
                <w:bCs/>
                <w:sz w:val="18"/>
                <w:szCs w:val="18"/>
              </w:rPr>
            </w:pPr>
            <w:r>
              <w:rPr>
                <w:rFonts w:hint="eastAsia" w:ascii="宋体" w:hAnsi="宋体"/>
                <w:bCs/>
                <w:sz w:val="18"/>
                <w:szCs w:val="18"/>
              </w:rPr>
              <w:t>（7）投资者认购、申购和赎回的数量限制</w:t>
            </w:r>
          </w:p>
          <w:p w14:paraId="040E6878">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14:paraId="383CFF44">
            <w:pPr>
              <w:spacing w:line="360" w:lineRule="auto"/>
              <w:rPr>
                <w:rFonts w:ascii="宋体" w:hAnsi="宋体"/>
                <w:bCs/>
                <w:sz w:val="18"/>
                <w:szCs w:val="18"/>
              </w:rPr>
            </w:pPr>
            <w:r>
              <w:rPr>
                <w:rFonts w:hint="eastAsia" w:ascii="宋体" w:hAnsi="宋体"/>
                <w:bCs/>
                <w:sz w:val="18"/>
                <w:szCs w:val="18"/>
              </w:rPr>
              <w:t>（9）分别计算和公告产品份额净值</w:t>
            </w:r>
          </w:p>
          <w:p w14:paraId="4FF78D33">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14:paraId="7C02EDB1">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14:paraId="57ACF7B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A1BDA4A">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74" w:type="dxa"/>
            <w:shd w:val="solid" w:color="FFFFFF" w:fill="FFFFFF"/>
            <w:vAlign w:val="center"/>
          </w:tcPr>
          <w:p w14:paraId="25744BDA">
            <w:pPr>
              <w:spacing w:line="360" w:lineRule="auto"/>
              <w:rPr>
                <w:rFonts w:ascii="宋体" w:hAnsi="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3E0039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D689B3F">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74" w:type="dxa"/>
            <w:shd w:val="solid" w:color="FFFFFF" w:fill="FFFFFF"/>
            <w:vAlign w:val="center"/>
          </w:tcPr>
          <w:p w14:paraId="0459E0B6">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14:paraId="0DE39C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630A1F3">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74" w:type="dxa"/>
            <w:shd w:val="solid" w:color="FFFFFF" w:fill="FFFFFF"/>
            <w:vAlign w:val="center"/>
          </w:tcPr>
          <w:p w14:paraId="50621DA0">
            <w:pPr>
              <w:spacing w:line="360" w:lineRule="auto"/>
              <w:rPr>
                <w:rFonts w:ascii="宋体" w:hAnsi="宋体"/>
                <w:bCs/>
                <w:sz w:val="18"/>
                <w:szCs w:val="18"/>
              </w:rPr>
            </w:pPr>
            <w:r>
              <w:rPr>
                <w:rFonts w:hint="eastAsia" w:ascii="宋体" w:hAnsi="宋体"/>
                <w:bCs/>
                <w:sz w:val="18"/>
                <w:szCs w:val="18"/>
              </w:rPr>
              <w:t>封闭式</w:t>
            </w:r>
          </w:p>
        </w:tc>
      </w:tr>
      <w:tr w14:paraId="639928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4BCE20E">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674" w:type="dxa"/>
            <w:shd w:val="solid" w:color="FFFFFF" w:fill="FFFFFF"/>
            <w:vAlign w:val="center"/>
          </w:tcPr>
          <w:p w14:paraId="28FDE8D6">
            <w:pPr>
              <w:adjustRightInd w:val="0"/>
              <w:snapToGrid w:val="0"/>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固定收益类</w:t>
            </w:r>
          </w:p>
          <w:p w14:paraId="5BD2FB82">
            <w:pPr>
              <w:adjustRightInd w:val="0"/>
              <w:snapToGrid w:val="0"/>
              <w:spacing w:line="360" w:lineRule="auto"/>
              <w:rPr>
                <w:rFonts w:ascii="黑体" w:hAnsi="黑体" w:eastAsia="黑体"/>
                <w:bCs/>
                <w:sz w:val="18"/>
                <w:szCs w:val="18"/>
              </w:rPr>
            </w:pPr>
            <w:r>
              <w:rPr>
                <w:rFonts w:hint="eastAsia" w:ascii="黑体" w:hAnsi="黑体" w:eastAsia="黑体"/>
                <w:sz w:val="18"/>
                <w:szCs w:val="18"/>
              </w:rPr>
              <w:t>固定</w:t>
            </w:r>
            <w:r>
              <w:rPr>
                <w:rFonts w:ascii="黑体" w:hAnsi="黑体" w:eastAsia="黑体"/>
                <w:sz w:val="18"/>
                <w:szCs w:val="18"/>
              </w:rPr>
              <w:t>收益</w:t>
            </w:r>
            <w:r>
              <w:rPr>
                <w:rFonts w:hint="eastAsia" w:ascii="黑体" w:hAnsi="黑体" w:eastAsia="黑体"/>
                <w:sz w:val="18"/>
                <w:szCs w:val="18"/>
              </w:rPr>
              <w:t>类</w:t>
            </w:r>
            <w:r>
              <w:rPr>
                <w:rFonts w:ascii="黑体" w:hAnsi="黑体" w:eastAsia="黑体"/>
                <w:sz w:val="18"/>
                <w:szCs w:val="18"/>
              </w:rPr>
              <w:t>产品是指根据监管</w:t>
            </w:r>
            <w:r>
              <w:rPr>
                <w:rFonts w:hint="eastAsia" w:ascii="黑体" w:hAnsi="黑体" w:eastAsia="黑体"/>
                <w:sz w:val="18"/>
                <w:szCs w:val="18"/>
              </w:rPr>
              <w:t>相关规定</w:t>
            </w:r>
            <w:r>
              <w:rPr>
                <w:rFonts w:ascii="黑体" w:hAnsi="黑体" w:eastAsia="黑体"/>
                <w:sz w:val="18"/>
                <w:szCs w:val="18"/>
              </w:rPr>
              <w:t>，投资于债权类资产的</w:t>
            </w:r>
            <w:r>
              <w:rPr>
                <w:rFonts w:hint="eastAsia" w:ascii="黑体" w:hAnsi="黑体" w:eastAsia="黑体"/>
                <w:sz w:val="18"/>
                <w:szCs w:val="18"/>
              </w:rPr>
              <w:t>比例</w:t>
            </w:r>
            <w:r>
              <w:rPr>
                <w:rFonts w:ascii="黑体" w:hAnsi="黑体" w:eastAsia="黑体"/>
                <w:sz w:val="18"/>
                <w:szCs w:val="18"/>
              </w:rPr>
              <w:t>不低于80%的产品</w:t>
            </w:r>
            <w:r>
              <w:rPr>
                <w:rFonts w:hint="eastAsia" w:ascii="黑体" w:hAnsi="黑体" w:eastAsia="黑体"/>
                <w:bCs/>
                <w:sz w:val="18"/>
                <w:szCs w:val="18"/>
              </w:rPr>
              <w:t>。</w:t>
            </w:r>
          </w:p>
        </w:tc>
      </w:tr>
      <w:tr w14:paraId="1170CD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0278E3D">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74" w:type="dxa"/>
            <w:shd w:val="solid" w:color="FFFFFF" w:fill="FFFFFF"/>
            <w:vAlign w:val="center"/>
          </w:tcPr>
          <w:p w14:paraId="42BF492E">
            <w:pPr>
              <w:adjustRightInd w:val="0"/>
              <w:snapToGrid w:val="0"/>
              <w:spacing w:line="360" w:lineRule="auto"/>
              <w:rPr>
                <w:rFonts w:ascii="黑体" w:hAnsi="黑体" w:eastAsia="黑体"/>
                <w:sz w:val="18"/>
                <w:szCs w:val="18"/>
              </w:rPr>
            </w:pPr>
            <w:r>
              <w:rPr>
                <w:rFonts w:hint="eastAsia" w:ascii="黑体" w:hAnsi="黑体" w:eastAsia="黑体"/>
                <w:sz w:val="18"/>
                <w:szCs w:val="18"/>
              </w:rPr>
              <w:t>非保本浮动收益</w:t>
            </w:r>
          </w:p>
          <w:p w14:paraId="2B3D0618">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14:paraId="4305EADF">
            <w:pPr>
              <w:adjustRightInd w:val="0"/>
              <w:snapToGrid w:val="0"/>
              <w:spacing w:line="360" w:lineRule="auto"/>
              <w:rPr>
                <w:rFonts w:asciiTheme="majorEastAsia" w:hAnsiTheme="majorEastAsia" w:eastAsiaTheme="majorEastAsia"/>
                <w:color w:val="000000" w:themeColor="text1"/>
                <w:sz w:val="18"/>
                <w:szCs w:val="18"/>
                <w14:textFill>
                  <w14:solidFill>
                    <w14:schemeClr w14:val="tx1"/>
                  </w14:solidFill>
                </w14:textFill>
              </w:rPr>
            </w:pPr>
            <w:r>
              <w:rPr>
                <w:rFonts w:hint="eastAsia" w:ascii="黑体" w:hAnsi="黑体" w:eastAsia="黑体"/>
                <w:sz w:val="18"/>
                <w:szCs w:val="18"/>
              </w:rPr>
              <w:t>产品管理人对本产品的本金并不提供保证，也不承诺任何固定收益。</w:t>
            </w:r>
          </w:p>
        </w:tc>
      </w:tr>
      <w:tr w14:paraId="4172A8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3E8AE8F">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74" w:type="dxa"/>
            <w:shd w:val="solid" w:color="FFFFFF" w:fill="FFFFFF"/>
            <w:vAlign w:val="center"/>
          </w:tcPr>
          <w:p w14:paraId="43720FB2">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14:paraId="7946CA9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38B5023">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74" w:type="dxa"/>
            <w:shd w:val="solid" w:color="FFFFFF" w:fill="FFFFFF"/>
          </w:tcPr>
          <w:p w14:paraId="0E7F1454">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4B23EB49">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14:paraId="1D5F6DB2">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r>
              <w:rPr>
                <w:rFonts w:hint="eastAsia" w:ascii="黑体" w:hAnsi="黑体" w:eastAsia="黑体"/>
                <w:bCs/>
                <w:sz w:val="18"/>
                <w:szCs w:val="18"/>
              </w:rPr>
              <w:t>本产品存续期内，产品风险评级可能会根据实际情况进行调整。</w:t>
            </w:r>
          </w:p>
        </w:tc>
      </w:tr>
      <w:tr w14:paraId="69181CF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C9D295A">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74" w:type="dxa"/>
            <w:shd w:val="solid" w:color="FFFFFF" w:fill="FFFFFF"/>
            <w:vAlign w:val="bottom"/>
          </w:tcPr>
          <w:p w14:paraId="4341B62B">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asciiTheme="majorEastAsia" w:hAnsiTheme="majorEastAsia" w:eastAsiaTheme="majorEastAsia"/>
                <w:bCs/>
                <w:color w:val="000000" w:themeColor="text1"/>
                <w:sz w:val="18"/>
                <w:szCs w:val="18"/>
                <w14:textFill>
                  <w14:solidFill>
                    <w14:schemeClr w14:val="tx1"/>
                  </w14:solidFill>
                </w14:textFill>
              </w:rPr>
              <w:t>本产品适合以下类型投资者：</w:t>
            </w:r>
          </w:p>
          <w:p w14:paraId="123B0219">
            <w:pPr>
              <w:keepNext w:val="0"/>
              <w:keepLines w:val="0"/>
              <w:suppressLineNumbers w:val="0"/>
              <w:spacing w:before="0" w:beforeAutospacing="0" w:after="0" w:afterAutospacing="0" w:line="360" w:lineRule="auto"/>
              <w:ind w:left="0" w:right="0"/>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■个人投资者</w:t>
            </w:r>
          </w:p>
          <w:p w14:paraId="0B45ACD9">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■机构投资者</w:t>
            </w:r>
          </w:p>
        </w:tc>
      </w:tr>
      <w:tr w14:paraId="1ED061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9B18071">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74" w:type="dxa"/>
            <w:shd w:val="solid" w:color="FFFFFF" w:fill="FFFFFF"/>
            <w:vAlign w:val="center"/>
          </w:tcPr>
          <w:p w14:paraId="1B6DA503">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14:paraId="2C3771E6">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4FC2087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F154E71">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74" w:type="dxa"/>
            <w:shd w:val="solid" w:color="FFFFFF" w:fill="FFFFFF"/>
            <w:vAlign w:val="center"/>
          </w:tcPr>
          <w:p w14:paraId="2CCA667F">
            <w:pPr>
              <w:spacing w:line="360" w:lineRule="auto"/>
              <w:jc w:val="left"/>
              <w:rPr>
                <w:rFonts w:ascii="宋体" w:hAnsi="宋体"/>
                <w:sz w:val="18"/>
                <w:szCs w:val="18"/>
              </w:rPr>
            </w:pPr>
            <w:r>
              <w:rPr>
                <w:rFonts w:hint="eastAsia" w:ascii="宋体" w:hAnsi="宋体"/>
                <w:sz w:val="18"/>
                <w:szCs w:val="18"/>
              </w:rPr>
              <w:t>□ 直销适用</w:t>
            </w:r>
          </w:p>
          <w:p w14:paraId="21506DD7">
            <w:pPr>
              <w:spacing w:line="360" w:lineRule="auto"/>
              <w:jc w:val="left"/>
              <w:rPr>
                <w:rFonts w:ascii="宋体" w:hAnsi="宋体"/>
                <w:sz w:val="18"/>
                <w:szCs w:val="18"/>
              </w:rPr>
            </w:pPr>
            <w:r>
              <w:rPr>
                <w:rFonts w:hint="eastAsia" w:ascii="宋体" w:hAnsi="宋体"/>
                <w:sz w:val="18"/>
                <w:szCs w:val="18"/>
              </w:rPr>
              <w:t>本产品由产品管理人销售。</w:t>
            </w:r>
          </w:p>
          <w:p w14:paraId="3BA7324B">
            <w:pPr>
              <w:spacing w:line="360" w:lineRule="auto"/>
              <w:jc w:val="left"/>
              <w:rPr>
                <w:rFonts w:ascii="宋体" w:hAnsi="宋体"/>
                <w:sz w:val="18"/>
                <w:szCs w:val="18"/>
              </w:rPr>
            </w:pPr>
            <w:r>
              <w:rPr>
                <w:rFonts w:hint="eastAsia" w:ascii="宋体" w:hAnsi="宋体"/>
                <w:bCs/>
                <w:sz w:val="18"/>
                <w:szCs w:val="18"/>
                <w:lang w:bidi="ar"/>
              </w:rPr>
              <w:t>■</w:t>
            </w:r>
            <w:r>
              <w:rPr>
                <w:rFonts w:hint="eastAsia" w:ascii="宋体" w:hAnsi="宋体"/>
                <w:sz w:val="18"/>
                <w:szCs w:val="18"/>
              </w:rPr>
              <w:t xml:space="preserve"> 代销适用</w:t>
            </w:r>
          </w:p>
          <w:p w14:paraId="7ACCF971">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14:paraId="6C803179">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14:paraId="6A41480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CBE59AD">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74" w:type="dxa"/>
            <w:shd w:val="solid" w:color="FFFFFF" w:fill="FFFFFF"/>
            <w:vAlign w:val="center"/>
          </w:tcPr>
          <w:p w14:paraId="6BB917C8">
            <w:pPr>
              <w:spacing w:line="360" w:lineRule="auto"/>
              <w:rPr>
                <w:rFonts w:asciiTheme="majorEastAsia" w:hAnsiTheme="majorEastAsia" w:eastAsiaTheme="majorEastAsia"/>
                <w:bCs/>
                <w:sz w:val="18"/>
                <w:szCs w:val="18"/>
              </w:rPr>
            </w:pPr>
            <w:r>
              <w:rPr>
                <w:rFonts w:hint="eastAsia" w:ascii="黑体" w:hAnsi="黑体" w:eastAsia="黑体" w:cs="黑体"/>
                <w:bCs/>
                <w:sz w:val="18"/>
                <w:szCs w:val="18"/>
              </w:rPr>
              <w:t>兴银理财有限责任公司</w:t>
            </w:r>
          </w:p>
        </w:tc>
      </w:tr>
      <w:tr w14:paraId="09239C8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63E8B46">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674" w:type="dxa"/>
            <w:shd w:val="solid" w:color="FFFFFF" w:fill="FFFFFF"/>
            <w:vAlign w:val="center"/>
          </w:tcPr>
          <w:p w14:paraId="253CE1EE">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招商银行股份有限公司</w:t>
            </w:r>
          </w:p>
        </w:tc>
      </w:tr>
      <w:tr w14:paraId="00A9D3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E5A1F43">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74" w:type="dxa"/>
            <w:shd w:val="solid" w:color="FFFFFF" w:fill="FFFFFF"/>
            <w:vAlign w:val="center"/>
          </w:tcPr>
          <w:p w14:paraId="5EBB0FEF">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规模为【3】亿元，最小成立规模为【/】亿元。</w:t>
            </w:r>
          </w:p>
          <w:p w14:paraId="1540D1DF">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14:paraId="4195C6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3C390D5">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74" w:type="dxa"/>
            <w:shd w:val="solid" w:color="FFFFFF" w:fill="FFFFFF"/>
            <w:vAlign w:val="center"/>
          </w:tcPr>
          <w:p w14:paraId="4C2E2711">
            <w:pPr>
              <w:keepNext w:val="0"/>
              <w:keepLines w:val="0"/>
              <w:suppressLineNumbers w:val="0"/>
              <w:spacing w:before="0" w:beforeAutospacing="0" w:after="0" w:afterAutospacing="0" w:line="360" w:lineRule="auto"/>
              <w:ind w:left="0" w:right="0"/>
              <w:rPr>
                <w:rFonts w:hint="eastAsia" w:ascii="黑体" w:hAnsi="黑体" w:eastAsia="黑体"/>
                <w:bCs/>
                <w:sz w:val="18"/>
                <w:szCs w:val="18"/>
              </w:rPr>
            </w:pPr>
            <w:r>
              <w:rPr>
                <w:rFonts w:hint="eastAsia" w:ascii="黑体" w:hAnsi="黑体" w:eastAsia="黑体"/>
                <w:bCs/>
                <w:sz w:val="18"/>
                <w:szCs w:val="18"/>
              </w:rPr>
              <w:t>■有固定期限:【736天】</w:t>
            </w:r>
          </w:p>
          <w:p w14:paraId="1E8591F1">
            <w:pPr>
              <w:keepNext w:val="0"/>
              <w:keepLines w:val="0"/>
              <w:suppressLineNumbers w:val="0"/>
              <w:spacing w:before="0" w:beforeAutospacing="0" w:after="0" w:afterAutospacing="0" w:line="360" w:lineRule="auto"/>
              <w:ind w:left="0" w:right="0"/>
              <w:rPr>
                <w:rFonts w:hint="eastAsia" w:ascii="黑体" w:hAnsi="黑体" w:eastAsia="黑体"/>
                <w:bCs/>
                <w:sz w:val="18"/>
                <w:szCs w:val="18"/>
              </w:rPr>
            </w:pPr>
            <w:r>
              <w:rPr>
                <w:rFonts w:hint="eastAsia" w:ascii="黑体" w:hAnsi="黑体" w:eastAsia="黑体"/>
                <w:bCs/>
                <w:sz w:val="18"/>
                <w:szCs w:val="18"/>
              </w:rPr>
              <w:t>□无固定期限</w:t>
            </w:r>
          </w:p>
          <w:p w14:paraId="596359A9">
            <w:pPr>
              <w:spacing w:line="360" w:lineRule="auto"/>
              <w:rPr>
                <w:rFonts w:asciiTheme="majorEastAsia" w:hAnsiTheme="majorEastAsia" w:eastAsiaTheme="majorEastAsia"/>
                <w:bCs/>
                <w:sz w:val="18"/>
                <w:szCs w:val="18"/>
              </w:rPr>
            </w:pPr>
            <w:r>
              <w:rPr>
                <w:rFonts w:hint="eastAsia" w:ascii="黑体" w:hAnsi="黑体" w:eastAsia="黑体"/>
                <w:bCs/>
                <w:sz w:val="18"/>
                <w:szCs w:val="18"/>
              </w:rPr>
              <w:t>注：本产品的实际期限受制于本理财产品销售文件“提前终止”及“延期终止”情形。</w:t>
            </w:r>
          </w:p>
        </w:tc>
      </w:tr>
      <w:tr w14:paraId="284D55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EE90094">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74" w:type="dxa"/>
            <w:shd w:val="solid" w:color="FFFFFF" w:fill="FFFFFF"/>
            <w:vAlign w:val="center"/>
          </w:tcPr>
          <w:p w14:paraId="6372F95A">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asciiTheme="minorEastAsia" w:hAnsiTheme="minorEastAsia"/>
                <w:bCs/>
                <w:sz w:val="18"/>
                <w:szCs w:val="18"/>
                <w:lang w:eastAsia="zh-CN"/>
              </w:rPr>
              <w:t>【</w:t>
            </w:r>
            <w:r>
              <w:rPr>
                <w:rFonts w:hint="eastAsia" w:ascii="宋体" w:hAnsi="宋体" w:eastAsia="宋体" w:cs="宋体"/>
                <w:kern w:val="2"/>
                <w:sz w:val="18"/>
                <w:szCs w:val="18"/>
                <w:lang w:val="en-US" w:eastAsia="zh-CN" w:bidi="ar"/>
              </w:rPr>
              <w:t>2026年03月12日】【09:00】至【2026年03月23日】【17:00</w:t>
            </w:r>
            <w:r>
              <w:rPr>
                <w:rFonts w:hint="eastAsia" w:ascii="宋体" w:hAnsi="宋体" w:cs="宋体"/>
                <w:kern w:val="2"/>
                <w:sz w:val="18"/>
                <w:szCs w:val="18"/>
                <w:lang w:val="en-US" w:eastAsia="zh-CN" w:bidi="ar"/>
              </w:rPr>
              <w:t>】</w:t>
            </w:r>
            <w:r>
              <w:rPr>
                <w:rFonts w:asciiTheme="majorEastAsia" w:hAnsiTheme="majorEastAsia" w:eastAsiaTheme="majorEastAsia"/>
                <w:sz w:val="18"/>
                <w:szCs w:val="18"/>
              </w:rPr>
              <w:t>。</w:t>
            </w:r>
          </w:p>
          <w:p w14:paraId="6E9E19FA">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14:paraId="13C252D5">
            <w:pPr>
              <w:spacing w:line="360" w:lineRule="auto"/>
              <w:rPr>
                <w:rFonts w:ascii="宋体" w:hAnsi="宋体"/>
                <w:sz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sz w:val="18"/>
              </w:rPr>
              <w:t>。</w:t>
            </w:r>
          </w:p>
          <w:p w14:paraId="5AF2C38D">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注：关于代理销售机构的实际工作服务时段的提示</w:t>
            </w:r>
          </w:p>
          <w:p w14:paraId="49A676A8">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7E47C0C3">
            <w:pPr>
              <w:spacing w:line="360" w:lineRule="auto"/>
              <w:rPr>
                <w:rFonts w:asciiTheme="majorEastAsia" w:hAnsiTheme="majorEastAsia" w:eastAsiaTheme="majorEastAsia"/>
                <w:bCs/>
                <w:sz w:val="18"/>
                <w:szCs w:val="18"/>
              </w:rPr>
            </w:pPr>
            <w:r>
              <w:rPr>
                <w:rFonts w:hint="eastAsia" w:ascii="黑体" w:hAnsi="黑体" w:eastAsia="黑体" w:cs="黑体"/>
                <w:bCs/>
                <w:color w:val="000000" w:themeColor="text1"/>
                <w:sz w:val="18"/>
                <w:szCs w:val="18"/>
                <w14:textFill>
                  <w14:solidFill>
                    <w14:schemeClr w14:val="tx1"/>
                  </w14:solidFill>
                </w14:textFill>
              </w:rPr>
              <w:t>②代理销售机构的实际工作服务时段，最早不得早于销售文件约定的起始时点、最晚不得晚于销售文件约定的终止时点。</w:t>
            </w:r>
          </w:p>
        </w:tc>
      </w:tr>
      <w:tr w14:paraId="713242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26D63BD">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74" w:type="dxa"/>
            <w:shd w:val="solid" w:color="FFFFFF" w:fill="FFFFFF"/>
            <w:vAlign w:val="center"/>
          </w:tcPr>
          <w:p w14:paraId="0E17FC7D">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14:paraId="7BDC6CC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1668185">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74" w:type="dxa"/>
            <w:shd w:val="solid" w:color="FFFFFF" w:fill="FFFFFF"/>
            <w:vAlign w:val="center"/>
          </w:tcPr>
          <w:p w14:paraId="54D43C4A">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【2026年03月24日】（遇节假日顺延）</w:t>
            </w:r>
            <w:r>
              <w:rPr>
                <w:rFonts w:hint="eastAsia" w:asciiTheme="minorEastAsia" w:hAnsiTheme="minorEastAsia"/>
                <w:bCs/>
                <w:sz w:val="18"/>
                <w:szCs w:val="18"/>
              </w:rPr>
              <w:t>。</w:t>
            </w:r>
          </w:p>
          <w:p w14:paraId="6F4EB834">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14:paraId="3FA305A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F24332A">
            <w:pPr>
              <w:spacing w:line="360" w:lineRule="auto"/>
              <w:jc w:val="left"/>
              <w:rPr>
                <w:rFonts w:ascii="宋体" w:hAnsi="宋体"/>
                <w:b/>
                <w:bCs/>
                <w:sz w:val="18"/>
                <w:szCs w:val="18"/>
              </w:rPr>
            </w:pPr>
            <w:r>
              <w:rPr>
                <w:rFonts w:hint="eastAsia" w:asciiTheme="minorEastAsia" w:hAnsiTheme="minorEastAsia"/>
                <w:b/>
                <w:bCs/>
                <w:sz w:val="18"/>
                <w:szCs w:val="18"/>
              </w:rPr>
              <w:t>终止日</w:t>
            </w:r>
          </w:p>
        </w:tc>
        <w:tc>
          <w:tcPr>
            <w:tcW w:w="7674" w:type="dxa"/>
            <w:shd w:val="solid" w:color="FFFFFF" w:fill="FFFFFF"/>
            <w:vAlign w:val="center"/>
          </w:tcPr>
          <w:p w14:paraId="181DEC2D">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【2028年03月29日】（遇节假日顺延）</w:t>
            </w:r>
            <w:r>
              <w:rPr>
                <w:rFonts w:hint="eastAsia" w:asciiTheme="minorEastAsia" w:hAnsiTheme="minorEastAsia"/>
                <w:bCs/>
                <w:sz w:val="18"/>
                <w:szCs w:val="18"/>
              </w:rPr>
              <w:t>。</w:t>
            </w:r>
          </w:p>
          <w:p w14:paraId="799DD7FB">
            <w:pPr>
              <w:spacing w:line="360" w:lineRule="auto"/>
              <w:rPr>
                <w:rFonts w:cs="Times New Roman" w:asciiTheme="minorEastAsia" w:hAnsiTheme="minorEastAsia"/>
                <w:sz w:val="18"/>
                <w:szCs w:val="18"/>
              </w:rPr>
            </w:pPr>
            <w:r>
              <w:rPr>
                <w:rFonts w:hint="eastAsia" w:ascii="宋体" w:hAnsi="宋体"/>
                <w:bCs/>
                <w:sz w:val="18"/>
                <w:szCs w:val="18"/>
              </w:rPr>
              <w:t>2.本产品的实际终止日受制于本理财产品销售文件“提前终止”及“延期终止”情形。</w:t>
            </w:r>
          </w:p>
        </w:tc>
      </w:tr>
      <w:tr w14:paraId="431990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1766E0D">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674" w:type="dxa"/>
            <w:shd w:val="solid" w:color="FFFFFF" w:fill="FFFFFF"/>
            <w:vAlign w:val="center"/>
          </w:tcPr>
          <w:p w14:paraId="2FB5E520">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ascii="宋体" w:hAnsi="宋体" w:eastAsia="宋体" w:cs="宋体"/>
                <w:sz w:val="18"/>
              </w:rPr>
              <w:t>每笔购买起点金额为【1】元; 超出起点金额的部分以【0.01】元的整数倍递增。（适用【A】类份额)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超出起点金额的部分以【0.01】元的整数倍递增。（适用【B】类份额)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超出起点金额的部分以【0.01】元的整数倍递增。（适用【C】类份额)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超出起点金额的部分以【0.01】元的整数倍递增。（适用【D】类份额)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超出起点金额的部分以【0.01】元的整数倍递增。（适用【E】类份额)</w:t>
            </w:r>
          </w:p>
          <w:p w14:paraId="24408C15">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14:paraId="25F71F9F">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14:paraId="73ECD008">
            <w:pPr>
              <w:spacing w:line="360" w:lineRule="auto"/>
              <w:jc w:val="left"/>
              <w:rPr>
                <w:rFonts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14:paraId="6D9076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053494B">
            <w:pPr>
              <w:spacing w:line="360" w:lineRule="auto"/>
              <w:jc w:val="left"/>
              <w:rPr>
                <w:rFonts w:hAnsi="宋体"/>
                <w:sz w:val="18"/>
                <w:szCs w:val="18"/>
              </w:rPr>
            </w:pPr>
            <w:r>
              <w:rPr>
                <w:rFonts w:hint="eastAsia" w:hAnsi="宋体"/>
                <w:b/>
                <w:sz w:val="18"/>
                <w:szCs w:val="18"/>
              </w:rPr>
              <w:t>★认购的数量限制</w:t>
            </w:r>
          </w:p>
        </w:tc>
        <w:tc>
          <w:tcPr>
            <w:tcW w:w="7674" w:type="dxa"/>
            <w:shd w:val="solid" w:color="FFFFFF" w:fill="FFFFFF"/>
            <w:vAlign w:val="center"/>
          </w:tcPr>
          <w:p w14:paraId="5FC98EBA">
            <w:pPr>
              <w:keepNext w:val="0"/>
              <w:keepLines w:val="0"/>
              <w:suppressLineNumbers w:val="0"/>
              <w:spacing w:before="0" w:beforeAutospacing="0" w:after="0" w:afterAutospacing="0" w:line="360" w:lineRule="auto"/>
              <w:ind w:left="0" w:right="0"/>
              <w:rPr>
                <w:rFonts w:hint="default" w:ascii="宋体" w:hAnsi="宋体" w:eastAsia="宋体" w:cs="宋体"/>
                <w:sz w:val="18"/>
              </w:rPr>
            </w:pPr>
            <w:r>
              <w:rPr>
                <w:rFonts w:ascii="宋体" w:hAnsi="宋体" w:eastAsia="宋体" w:cs="宋体"/>
                <w:sz w:val="18"/>
              </w:rPr>
              <w:t>认购的数量限制</w:t>
            </w:r>
            <w:r>
              <w:rPr>
                <w:rFonts w:ascii="宋体" w:hAnsi="宋体" w:eastAsia="宋体" w:cs="宋体"/>
                <w:sz w:val="18"/>
              </w:rPr>
              <w:br w:type="textWrapping"/>
            </w:r>
            <w:r>
              <w:rPr>
                <w:rFonts w:ascii="宋体" w:hAnsi="宋体" w:eastAsia="宋体" w:cs="宋体"/>
                <w:sz w:val="18"/>
              </w:rPr>
              <w:t>（1）单一投资者认购上限为【/】元。（适用【A】类份额)</w:t>
            </w:r>
            <w:r>
              <w:rPr>
                <w:rFonts w:ascii="宋体" w:hAnsi="宋体" w:eastAsia="宋体" w:cs="宋体"/>
                <w:sz w:val="18"/>
              </w:rPr>
              <w:br w:type="textWrapping"/>
            </w:r>
            <w:r>
              <w:rPr>
                <w:rFonts w:ascii="宋体" w:hAnsi="宋体" w:eastAsia="宋体" w:cs="宋体"/>
                <w:sz w:val="18"/>
              </w:rPr>
              <w:t xml:space="preserve">     单一投资者认购上限为【/】元。（适用【B】类份额)</w:t>
            </w:r>
            <w:r>
              <w:rPr>
                <w:rFonts w:ascii="宋体" w:hAnsi="宋体" w:eastAsia="宋体" w:cs="宋体"/>
                <w:sz w:val="18"/>
              </w:rPr>
              <w:br w:type="textWrapping"/>
            </w:r>
            <w:r>
              <w:rPr>
                <w:rFonts w:ascii="宋体" w:hAnsi="宋体" w:eastAsia="宋体" w:cs="宋体"/>
                <w:sz w:val="18"/>
              </w:rPr>
              <w:t xml:space="preserve">     单一投资者认购上限为【/】元。（适用【C】类份额)</w:t>
            </w:r>
            <w:r>
              <w:rPr>
                <w:rFonts w:ascii="宋体" w:hAnsi="宋体" w:eastAsia="宋体" w:cs="宋体"/>
                <w:sz w:val="18"/>
              </w:rPr>
              <w:br w:type="textWrapping"/>
            </w:r>
            <w:r>
              <w:rPr>
                <w:rFonts w:ascii="宋体" w:hAnsi="宋体" w:eastAsia="宋体" w:cs="宋体"/>
                <w:sz w:val="18"/>
              </w:rPr>
              <w:t xml:space="preserve">     单一投资者认购上限为【/】元。（适用【D】类份额)</w:t>
            </w:r>
            <w:r>
              <w:rPr>
                <w:rFonts w:ascii="宋体" w:hAnsi="宋体" w:eastAsia="宋体" w:cs="宋体"/>
                <w:sz w:val="18"/>
              </w:rPr>
              <w:br w:type="textWrapping"/>
            </w:r>
            <w:r>
              <w:rPr>
                <w:rFonts w:ascii="宋体" w:hAnsi="宋体" w:eastAsia="宋体" w:cs="宋体"/>
                <w:sz w:val="18"/>
              </w:rPr>
              <w:t xml:space="preserve">     单一投资者认购上限为【/】元。（适用【E】类份额)</w:t>
            </w:r>
            <w:r>
              <w:rPr>
                <w:rFonts w:ascii="宋体" w:hAnsi="宋体" w:eastAsia="宋体" w:cs="宋体"/>
                <w:sz w:val="18"/>
              </w:rPr>
              <w:br w:type="textWrapping"/>
            </w:r>
            <w:r>
              <w:rPr>
                <w:rFonts w:ascii="宋体" w:hAnsi="宋体" w:eastAsia="宋体" w:cs="宋体"/>
                <w:sz w:val="18"/>
              </w:rPr>
              <w:t>（2）产品存续期间，单一投资者最高持有份额上限为【/】份，符合产品管理人流动性管理的稳定资金除外。（适用【A】类份额)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产品存续期间，单一投资者最高持有份额上限为【/】份，符合产品管理人流动性管理的稳定资金除外。（适用【B】类份额)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产品存续期间，单一投资者最高持有份额上限为【/】份，符合产品管理人流动性管理的稳定资金除外。（适用【C】类份额)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产品存续期间，单一投资者最高持有份额上限为【/】份，符合产品管理人流动性管理的稳定资金除外。（适用【D】类份额)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产品存续期间，单一投资者最高持有份额上限为【/】份，符合产品管理人流动性管理的稳定资金除外。（适用【E】类份额)</w:t>
            </w:r>
          </w:p>
          <w:p w14:paraId="64F20474">
            <w:pPr>
              <w:pStyle w:val="1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14:paraId="6438AB1D">
            <w:pPr>
              <w:pStyle w:val="14"/>
              <w:spacing w:line="360" w:lineRule="auto"/>
              <w:rPr>
                <w:rFonts w:asciiTheme="minorEastAsia" w:hAnsiTheme="minorEastAsia" w:eastAsiaTheme="minorEastAsia"/>
                <w:sz w:val="18"/>
                <w:szCs w:val="18"/>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本产品单一投资者持有份额不得超过产品总份额</w:t>
            </w:r>
            <w:r>
              <w:rPr>
                <w:rFonts w:ascii="黑体" w:hAnsi="黑体" w:eastAsia="黑体"/>
                <w:color w:val="000000" w:themeColor="text1"/>
                <w:sz w:val="18"/>
                <w:szCs w:val="18"/>
                <w14:textFill>
                  <w14:solidFill>
                    <w14:schemeClr w14:val="tx1"/>
                  </w14:solidFill>
                </w14:textFill>
              </w:rPr>
              <w:t>50%。</w:t>
            </w:r>
            <w:r>
              <w:rPr>
                <w:rFonts w:ascii="黑体" w:hAnsi="黑体" w:eastAsia="黑体" w:cs="黑体"/>
                <w:sz w:val="18"/>
              </w:rPr>
              <w:br w:type="textWrapping"/>
            </w:r>
            <w:r>
              <w:rPr>
                <w:rFonts w:ascii="黑体" w:hAnsi="黑体" w:eastAsia="黑体" w:cs="黑体"/>
                <w:sz w:val="18"/>
              </w:rPr>
              <w:t>（1）投资者认购或申购确认后可能导致其持有份额超过产品总份额50%的，管理人有权拒绝或暂停认购、申购。</w:t>
            </w:r>
            <w:r>
              <w:rPr>
                <w:rFonts w:ascii="黑体" w:hAnsi="黑体" w:eastAsia="黑体" w:cs="黑体"/>
                <w:sz w:val="18"/>
              </w:rPr>
              <w:br w:type="textWrapping"/>
            </w:r>
            <w:r>
              <w:rPr>
                <w:rFonts w:ascii="黑体" w:hAnsi="黑体" w:eastAsia="黑体" w:cs="黑体"/>
                <w:sz w:val="18"/>
              </w:rPr>
              <w:t>（2）非因管理人主观因素导致突破该比例限制的，在单一投资者持有比例降至50%以下之前，管理人不再接受该投资者对本产品的认购、申购申请。</w:t>
            </w:r>
          </w:p>
        </w:tc>
      </w:tr>
      <w:tr w14:paraId="61C7A9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FAD9F08">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74" w:type="dxa"/>
            <w:shd w:val="solid" w:color="FFFFFF" w:fill="FFFFFF"/>
            <w:vAlign w:val="center"/>
          </w:tcPr>
          <w:p w14:paraId="48DE0C83">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14:paraId="0B9663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9192657">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74" w:type="dxa"/>
            <w:shd w:val="solid" w:color="FFFFFF" w:fill="FFFFFF"/>
            <w:vAlign w:val="center"/>
          </w:tcPr>
          <w:p w14:paraId="0C1B11E6">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14:textFill>
                  <w14:solidFill>
                    <w14:schemeClr w14:val="tx1"/>
                  </w14:solidFill>
                </w14:textFill>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14:paraId="6F486CB3">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w:t>
            </w:r>
            <w:r>
              <w:rPr>
                <w:rFonts w:asciiTheme="majorEastAsia" w:hAnsiTheme="majorEastAsia" w:eastAsiaTheme="majorEastAsia"/>
                <w:bCs/>
                <w:sz w:val="18"/>
                <w:szCs w:val="18"/>
              </w:rPr>
              <w:t>的费用和税收。</w:t>
            </w:r>
          </w:p>
          <w:p w14:paraId="39F134BE">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产品终止日</w:t>
            </w:r>
            <w:r>
              <w:rPr>
                <w:rFonts w:asciiTheme="majorEastAsia" w:hAnsiTheme="majorEastAsia" w:eastAsiaTheme="majorEastAsia"/>
                <w:bCs/>
                <w:sz w:val="18"/>
                <w:szCs w:val="18"/>
              </w:rPr>
              <w:t>产品份额净值为基础进行利益分配。</w:t>
            </w:r>
          </w:p>
          <w:p w14:paraId="67267A33">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lang w:val="en-US" w:eastAsia="zh-CN"/>
              </w:rPr>
              <w:t>4.理财产品份额净值四舍五入保留5位小数。</w:t>
            </w:r>
          </w:p>
        </w:tc>
      </w:tr>
      <w:tr w14:paraId="50A09E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03A9E738">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74" w:type="dxa"/>
            <w:shd w:val="solid" w:color="FFFFFF" w:fill="FFFFFF"/>
            <w:vAlign w:val="center"/>
          </w:tcPr>
          <w:p w14:paraId="2D722E19">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Theme="majorEastAsia" w:hAnsiTheme="majorEastAsia" w:eastAsiaTheme="majorEastAsia"/>
                <w:bCs/>
                <w:kern w:val="0"/>
                <w:sz w:val="18"/>
                <w:szCs w:val="18"/>
              </w:rPr>
            </w:pPr>
            <w:r>
              <w:rPr>
                <w:rFonts w:ascii="宋体" w:hAnsi="宋体" w:eastAsia="宋体" w:cs="宋体"/>
                <w:sz w:val="18"/>
              </w:rPr>
              <w:t>1.业绩比较基准的设置</w:t>
            </w:r>
            <w:r>
              <w:rPr>
                <w:rFonts w:ascii="宋体" w:hAnsi="宋体" w:eastAsia="宋体" w:cs="宋体"/>
                <w:sz w:val="18"/>
              </w:rPr>
              <w:br w:type="textWrapping"/>
            </w:r>
            <w:r>
              <w:rPr>
                <w:rFonts w:ascii="宋体" w:hAnsi="宋体" w:eastAsia="宋体" w:cs="宋体"/>
                <w:sz w:val="18"/>
              </w:rPr>
              <w:t>■ 产品管理人设置业绩比较基准。</w:t>
            </w:r>
            <w:r>
              <w:rPr>
                <w:rFonts w:ascii="宋体" w:hAnsi="宋体" w:eastAsia="宋体" w:cs="宋体"/>
                <w:sz w:val="18"/>
              </w:rPr>
              <w:br w:type="textWrapping"/>
            </w:r>
            <w:r>
              <w:rPr>
                <w:rFonts w:ascii="宋体" w:hAnsi="宋体" w:eastAsia="宋体" w:cs="宋体"/>
                <w:sz w:val="18"/>
              </w:rPr>
              <w:t>（1）业绩比较基准的说明：【以一年期定期存款利率为无风险利率，基于当前对未来市场的判断，根据拟投资债权类资产的信用利差、久期敞口以及流动性溢价，预判组合的波动幅度，设定业绩比较基准】。</w:t>
            </w:r>
            <w:r>
              <w:rPr>
                <w:rFonts w:ascii="宋体" w:hAnsi="宋体" w:eastAsia="宋体" w:cs="宋体"/>
                <w:sz w:val="18"/>
              </w:rPr>
              <w:br w:type="textWrapping"/>
            </w:r>
            <w:r>
              <w:rPr>
                <w:rFonts w:ascii="宋体" w:hAnsi="宋体" w:eastAsia="宋体" w:cs="宋体"/>
                <w:sz w:val="18"/>
              </w:rPr>
              <w:t>（2）业绩比较基准的设定：管理人对本产品设定业绩比较基准：</w:t>
            </w:r>
            <w:r>
              <w:rPr>
                <w:rFonts w:ascii="宋体" w:hAnsi="宋体" w:eastAsia="宋体" w:cs="宋体"/>
                <w:sz w:val="18"/>
              </w:rPr>
              <w:br w:type="textWrapping"/>
            </w:r>
            <w:r>
              <w:rPr>
                <w:rFonts w:ascii="宋体" w:hAnsi="宋体" w:eastAsia="宋体" w:cs="宋体"/>
                <w:sz w:val="18"/>
              </w:rPr>
              <w:t>年化【2.75%-3.25%】。（适用【A】类份额)</w:t>
            </w:r>
            <w:r>
              <w:rPr>
                <w:rFonts w:ascii="宋体" w:hAnsi="宋体" w:eastAsia="宋体" w:cs="宋体"/>
                <w:sz w:val="18"/>
              </w:rPr>
              <w:br w:type="textWrapping"/>
            </w:r>
            <w:r>
              <w:rPr>
                <w:rFonts w:ascii="宋体" w:hAnsi="宋体" w:eastAsia="宋体" w:cs="宋体"/>
                <w:sz w:val="18"/>
              </w:rPr>
              <w:t>年化【2.7%-3.2%】。（适用【B】类份额)</w:t>
            </w:r>
            <w:r>
              <w:rPr>
                <w:rFonts w:ascii="宋体" w:hAnsi="宋体" w:eastAsia="宋体" w:cs="宋体"/>
                <w:sz w:val="18"/>
              </w:rPr>
              <w:br w:type="textWrapping"/>
            </w:r>
            <w:r>
              <w:rPr>
                <w:rFonts w:ascii="宋体" w:hAnsi="宋体" w:eastAsia="宋体" w:cs="宋体"/>
                <w:sz w:val="18"/>
              </w:rPr>
              <w:t>年化【2.65%-3.15%】。（适用【C】类份额)</w:t>
            </w:r>
            <w:r>
              <w:rPr>
                <w:rFonts w:ascii="宋体" w:hAnsi="宋体" w:eastAsia="宋体" w:cs="宋体"/>
                <w:sz w:val="18"/>
              </w:rPr>
              <w:br w:type="textWrapping"/>
            </w:r>
            <w:r>
              <w:rPr>
                <w:rFonts w:ascii="宋体" w:hAnsi="宋体" w:eastAsia="宋体" w:cs="宋体"/>
                <w:sz w:val="18"/>
              </w:rPr>
              <w:t>年化【2.6%-3.1%】。（适用【D】类份额)</w:t>
            </w:r>
            <w:r>
              <w:rPr>
                <w:rFonts w:ascii="宋体" w:hAnsi="宋体" w:eastAsia="宋体" w:cs="宋体"/>
                <w:sz w:val="18"/>
              </w:rPr>
              <w:br w:type="textWrapping"/>
            </w:r>
            <w:r>
              <w:rPr>
                <w:rFonts w:ascii="宋体" w:hAnsi="宋体" w:eastAsia="宋体" w:cs="宋体"/>
                <w:sz w:val="18"/>
              </w:rPr>
              <w:t>年化【2.5%-3%】。（适用【E】类份额)</w:t>
            </w:r>
            <w:r>
              <w:rPr>
                <w:rFonts w:ascii="宋体" w:hAnsi="宋体" w:eastAsia="宋体" w:cs="宋体"/>
                <w:sz w:val="18"/>
              </w:rPr>
              <w:br w:type="textWrapping"/>
            </w:r>
            <w:r>
              <w:rPr>
                <w:rFonts w:ascii="宋体" w:hAnsi="宋体" w:eastAsia="宋体" w:cs="宋体"/>
                <w:sz w:val="18"/>
              </w:rPr>
              <w:t>□ 产品管理人不设置业绩比较基准。</w:t>
            </w:r>
          </w:p>
          <w:p w14:paraId="3188F703">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2.业绩比较基准的提示：</w:t>
            </w:r>
          </w:p>
          <w:p w14:paraId="3E1B24ED">
            <w:pPr>
              <w:spacing w:line="360" w:lineRule="auto"/>
              <w:jc w:val="left"/>
              <w:rPr>
                <w:rFonts w:asciiTheme="majorEastAsia" w:hAnsiTheme="majorEastAsia" w:eastAsiaTheme="majorEastAsia"/>
                <w:b/>
                <w:bCs/>
                <w:sz w:val="18"/>
                <w:szCs w:val="18"/>
              </w:rPr>
            </w:pPr>
            <w:r>
              <w:rPr>
                <w:rFonts w:hint="eastAsia" w:asciiTheme="majorEastAsia" w:hAnsiTheme="majorEastAsia"/>
                <w:b/>
                <w:sz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tc>
      </w:tr>
      <w:tr w14:paraId="093A93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F8DDC62">
            <w:pPr>
              <w:spacing w:line="360" w:lineRule="auto"/>
              <w:jc w:val="left"/>
              <w:rPr>
                <w:sz w:val="18"/>
                <w:szCs w:val="18"/>
              </w:rPr>
            </w:pPr>
            <w:r>
              <w:rPr>
                <w:rFonts w:hint="eastAsia"/>
                <w:sz w:val="18"/>
                <w:szCs w:val="18"/>
              </w:rPr>
              <w:t>★</w:t>
            </w:r>
            <w:r>
              <w:rPr>
                <w:rFonts w:hint="eastAsia"/>
                <w:b/>
                <w:sz w:val="18"/>
                <w:szCs w:val="18"/>
              </w:rPr>
              <w:t>业绩报酬计提</w:t>
            </w:r>
            <w:r>
              <w:rPr>
                <w:rFonts w:ascii="宋体" w:hAnsi="宋体"/>
                <w:b/>
                <w:sz w:val="18"/>
                <w:szCs w:val="18"/>
              </w:rPr>
              <w:t>基准</w:t>
            </w:r>
          </w:p>
        </w:tc>
        <w:tc>
          <w:tcPr>
            <w:tcW w:w="7674" w:type="dxa"/>
            <w:shd w:val="solid" w:color="FFFFFF" w:fill="FFFFFF"/>
            <w:vAlign w:val="center"/>
          </w:tcPr>
          <w:p w14:paraId="1DD7315F">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rPr>
              <w:t>1.业绩报酬计提基准的设置</w:t>
            </w:r>
            <w:r>
              <w:rPr>
                <w:rFonts w:ascii="宋体" w:hAnsi="宋体" w:eastAsia="宋体" w:cs="宋体"/>
                <w:sz w:val="18"/>
              </w:rPr>
              <w:br w:type="textWrapping"/>
            </w:r>
            <w:r>
              <w:rPr>
                <w:rFonts w:ascii="宋体" w:hAnsi="宋体" w:eastAsia="宋体" w:cs="宋体"/>
                <w:sz w:val="18"/>
              </w:rPr>
              <w:t>■ 产品管理人设置业绩报酬计提基准。</w:t>
            </w:r>
            <w:r>
              <w:rPr>
                <w:rFonts w:ascii="宋体" w:hAnsi="宋体" w:eastAsia="宋体" w:cs="宋体"/>
                <w:sz w:val="18"/>
              </w:rPr>
              <w:br w:type="textWrapping"/>
            </w:r>
            <w:r>
              <w:rPr>
                <w:rFonts w:ascii="宋体" w:hAnsi="宋体" w:eastAsia="宋体" w:cs="宋体"/>
                <w:sz w:val="18"/>
              </w:rPr>
              <w:t>业绩报酬计提基准的设定：管理人对本产品设定业绩报酬计提基准：</w:t>
            </w:r>
            <w:r>
              <w:rPr>
                <w:rFonts w:ascii="宋体" w:hAnsi="宋体" w:eastAsia="宋体" w:cs="宋体"/>
                <w:sz w:val="18"/>
              </w:rPr>
              <w:br w:type="textWrapping"/>
            </w:r>
            <w:r>
              <w:rPr>
                <w:rFonts w:ascii="宋体" w:hAnsi="宋体" w:eastAsia="宋体" w:cs="宋体"/>
                <w:sz w:val="18"/>
              </w:rPr>
              <w:t>年化【3%】。（适用【A】类份额)</w:t>
            </w:r>
            <w:r>
              <w:rPr>
                <w:rFonts w:ascii="宋体" w:hAnsi="宋体" w:eastAsia="宋体" w:cs="宋体"/>
                <w:sz w:val="18"/>
              </w:rPr>
              <w:br w:type="textWrapping"/>
            </w:r>
            <w:r>
              <w:rPr>
                <w:rFonts w:ascii="宋体" w:hAnsi="宋体" w:eastAsia="宋体" w:cs="宋体"/>
                <w:sz w:val="18"/>
              </w:rPr>
              <w:t>年化【2.95%】。（适用【B】类份额)</w:t>
            </w:r>
            <w:r>
              <w:rPr>
                <w:rFonts w:ascii="宋体" w:hAnsi="宋体" w:eastAsia="宋体" w:cs="宋体"/>
                <w:sz w:val="18"/>
              </w:rPr>
              <w:br w:type="textWrapping"/>
            </w:r>
            <w:r>
              <w:rPr>
                <w:rFonts w:ascii="宋体" w:hAnsi="宋体" w:eastAsia="宋体" w:cs="宋体"/>
                <w:sz w:val="18"/>
              </w:rPr>
              <w:t>年化【2.9%】。（适用【C】类份额)</w:t>
            </w:r>
            <w:r>
              <w:rPr>
                <w:rFonts w:ascii="宋体" w:hAnsi="宋体" w:eastAsia="宋体" w:cs="宋体"/>
                <w:sz w:val="18"/>
              </w:rPr>
              <w:br w:type="textWrapping"/>
            </w:r>
            <w:r>
              <w:rPr>
                <w:rFonts w:ascii="宋体" w:hAnsi="宋体" w:eastAsia="宋体" w:cs="宋体"/>
                <w:sz w:val="18"/>
              </w:rPr>
              <w:t>年化【2.85%】。（适用【D】类份额)</w:t>
            </w:r>
            <w:r>
              <w:rPr>
                <w:rFonts w:ascii="宋体" w:hAnsi="宋体" w:eastAsia="宋体" w:cs="宋体"/>
                <w:sz w:val="18"/>
              </w:rPr>
              <w:br w:type="textWrapping"/>
            </w:r>
            <w:r>
              <w:rPr>
                <w:rFonts w:ascii="宋体" w:hAnsi="宋体" w:eastAsia="宋体" w:cs="宋体"/>
                <w:sz w:val="18"/>
              </w:rPr>
              <w:t>年化【2.75%】。（适用【E】类份额)</w:t>
            </w:r>
            <w:r>
              <w:rPr>
                <w:rFonts w:ascii="宋体" w:hAnsi="宋体" w:eastAsia="宋体" w:cs="宋体"/>
                <w:sz w:val="18"/>
              </w:rPr>
              <w:br w:type="textWrapping"/>
            </w:r>
            <w:r>
              <w:rPr>
                <w:rFonts w:ascii="宋体" w:hAnsi="宋体" w:eastAsia="宋体" w:cs="宋体"/>
                <w:sz w:val="18"/>
              </w:rPr>
              <w:t>□ 产品管理人不设置业绩报酬计提基准。</w:t>
            </w:r>
          </w:p>
          <w:p w14:paraId="1A29A4F8">
            <w:pPr>
              <w:spacing w:line="360" w:lineRule="auto"/>
              <w:jc w:val="left"/>
              <w:rPr>
                <w:rFonts w:ascii="宋体" w:hAnsi="宋体"/>
                <w:bCs/>
                <w:sz w:val="18"/>
                <w:szCs w:val="18"/>
              </w:rPr>
            </w:pPr>
            <w:r>
              <w:rPr>
                <w:rFonts w:ascii="宋体" w:hAnsi="宋体"/>
                <w:bCs/>
                <w:sz w:val="18"/>
                <w:szCs w:val="18"/>
              </w:rPr>
              <w:t>2.业绩报酬计提基准的提示</w:t>
            </w:r>
            <w:r>
              <w:rPr>
                <w:rFonts w:hint="eastAsia" w:ascii="宋体" w:hAnsi="宋体"/>
                <w:bCs/>
                <w:sz w:val="18"/>
                <w:szCs w:val="18"/>
              </w:rPr>
              <w:t>：</w:t>
            </w:r>
          </w:p>
          <w:p w14:paraId="67BB6599">
            <w:pPr>
              <w:autoSpaceDE w:val="0"/>
              <w:autoSpaceDN w:val="0"/>
              <w:adjustRightInd w:val="0"/>
              <w:spacing w:line="360" w:lineRule="auto"/>
              <w:jc w:val="left"/>
              <w:rPr>
                <w:rFonts w:ascii="黑体" w:hAnsi="黑体" w:eastAsia="黑体"/>
                <w:sz w:val="18"/>
              </w:rPr>
            </w:pPr>
            <w:r>
              <w:rPr>
                <w:rFonts w:hint="eastAsia" w:ascii="黑体" w:hAnsi="黑体" w:eastAsia="黑体"/>
                <w:sz w:val="18"/>
              </w:rPr>
              <w:t>（</w:t>
            </w:r>
            <w:r>
              <w:rPr>
                <w:rFonts w:ascii="黑体" w:hAnsi="黑体" w:eastAsia="黑体"/>
                <w:sz w:val="18"/>
              </w:rPr>
              <w:t>1）</w:t>
            </w:r>
            <w:r>
              <w:rPr>
                <w:rFonts w:hint="eastAsia" w:ascii="黑体" w:hAnsi="黑体" w:eastAsia="黑体"/>
                <w:sz w:val="18"/>
                <w:szCs w:val="18"/>
              </w:rPr>
              <w:t>★</w:t>
            </w:r>
            <w:r>
              <w:rPr>
                <w:rFonts w:hint="eastAsia" w:ascii="黑体" w:hAnsi="黑体" w:eastAsia="黑体"/>
                <w:sz w:val="18"/>
              </w:rPr>
              <w:t>业绩报酬计提基准仅作为管理人计算超额业绩报酬的参照标准</w:t>
            </w:r>
            <w:r>
              <w:rPr>
                <w:rFonts w:hint="eastAsia" w:ascii="黑体" w:hAnsi="黑体" w:eastAsia="黑体"/>
                <w:bCs/>
                <w:sz w:val="18"/>
                <w:szCs w:val="18"/>
              </w:rPr>
              <w:t>。业绩报酬计提基准不是预期收益率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14:paraId="6AE7E4BA">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4BB54EB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791A1D72">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74" w:type="dxa"/>
            <w:shd w:val="solid" w:color="FFFFFF" w:fill="FFFFFF"/>
            <w:vAlign w:val="center"/>
          </w:tcPr>
          <w:p w14:paraId="4EC08FB1">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14:paraId="111748E7">
            <w:pPr>
              <w:spacing w:line="360" w:lineRule="auto"/>
              <w:jc w:val="left"/>
              <w:rPr>
                <w:rFonts w:hAnsi="宋体"/>
                <w:bCs/>
                <w:sz w:val="18"/>
                <w:szCs w:val="18"/>
              </w:rPr>
            </w:pPr>
            <w:r>
              <w:rPr>
                <w:rFonts w:hint="eastAsia" w:hAnsi="宋体"/>
                <w:bCs/>
                <w:sz w:val="18"/>
                <w:szCs w:val="18"/>
              </w:rPr>
              <w:t>2</w:t>
            </w:r>
            <w:r>
              <w:rPr>
                <w:rFonts w:hAnsi="宋体"/>
                <w:bCs/>
                <w:sz w:val="18"/>
                <w:szCs w:val="18"/>
              </w:rPr>
              <w:t>.具体理财产品利益分配</w:t>
            </w:r>
            <w:r>
              <w:rPr>
                <w:rFonts w:hint="eastAsia" w:hAnsi="宋体"/>
                <w:bCs/>
                <w:sz w:val="18"/>
                <w:szCs w:val="18"/>
              </w:rPr>
              <w:t>详见《产品说明书》“第八条 理财产品的利益分配”。</w:t>
            </w:r>
          </w:p>
        </w:tc>
      </w:tr>
      <w:tr w14:paraId="44B516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1C722B0">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74" w:type="dxa"/>
            <w:shd w:val="solid" w:color="FFFFFF" w:fill="FFFFFF"/>
            <w:vAlign w:val="center"/>
          </w:tcPr>
          <w:p w14:paraId="13CF02FA">
            <w:pPr>
              <w:keepNext w:val="0"/>
              <w:keepLines w:val="0"/>
              <w:suppressLineNumbers w:val="0"/>
              <w:spacing w:before="0" w:beforeAutospacing="0" w:after="0" w:afterAutospacing="0" w:line="360" w:lineRule="auto"/>
              <w:ind w:left="0" w:right="0"/>
              <w:rPr>
                <w:rFonts w:hint="eastAsia" w:ascii="黑体" w:hAnsi="黑体" w:eastAsia="黑体"/>
                <w:bCs/>
                <w:sz w:val="18"/>
                <w:szCs w:val="18"/>
              </w:rPr>
            </w:pPr>
            <w:r>
              <w:rPr>
                <w:rFonts w:ascii="黑体" w:hAnsi="黑体" w:eastAsia="黑体" w:cs="黑体"/>
                <w:sz w:val="18"/>
              </w:rPr>
              <w:t>1.理财产品的费率标准</w:t>
            </w:r>
            <w:r>
              <w:rPr>
                <w:rFonts w:ascii="黑体" w:hAnsi="黑体" w:eastAsia="黑体" w:cs="黑体"/>
                <w:sz w:val="18"/>
              </w:rPr>
              <w:br w:type="textWrapping"/>
            </w:r>
            <w:r>
              <w:rPr>
                <w:rFonts w:ascii="黑体" w:hAnsi="黑体" w:eastAsia="黑体" w:cs="黑体"/>
                <w:sz w:val="18"/>
              </w:rPr>
              <w:t>（1）认购费：</w:t>
            </w:r>
            <w:r>
              <w:rPr>
                <w:rFonts w:ascii="黑体" w:hAnsi="黑体" w:eastAsia="黑体" w:cs="黑体"/>
                <w:sz w:val="18"/>
              </w:rPr>
              <w:br w:type="textWrapping"/>
            </w:r>
            <w:r>
              <w:rPr>
                <w:rFonts w:ascii="黑体" w:hAnsi="黑体" w:eastAsia="黑体" w:cs="黑体"/>
                <w:sz w:val="18"/>
              </w:rPr>
              <w:t>【/】。（适用【A】类份额）</w:t>
            </w:r>
            <w:r>
              <w:rPr>
                <w:rFonts w:ascii="黑体" w:hAnsi="黑体" w:eastAsia="黑体" w:cs="黑体"/>
                <w:sz w:val="18"/>
              </w:rPr>
              <w:br w:type="textWrapping"/>
            </w:r>
            <w:r>
              <w:rPr>
                <w:rFonts w:ascii="黑体" w:hAnsi="黑体" w:eastAsia="黑体" w:cs="黑体"/>
                <w:sz w:val="18"/>
              </w:rPr>
              <w:t>【/】。（适用【B】类份额）</w:t>
            </w:r>
            <w:r>
              <w:rPr>
                <w:rFonts w:ascii="黑体" w:hAnsi="黑体" w:eastAsia="黑体" w:cs="黑体"/>
                <w:sz w:val="18"/>
              </w:rPr>
              <w:br w:type="textWrapping"/>
            </w:r>
            <w:r>
              <w:rPr>
                <w:rFonts w:ascii="黑体" w:hAnsi="黑体" w:eastAsia="黑体" w:cs="黑体"/>
                <w:sz w:val="18"/>
              </w:rPr>
              <w:t>【/】。（适用【C】类份额）</w:t>
            </w:r>
            <w:r>
              <w:rPr>
                <w:rFonts w:ascii="黑体" w:hAnsi="黑体" w:eastAsia="黑体" w:cs="黑体"/>
                <w:sz w:val="18"/>
              </w:rPr>
              <w:br w:type="textWrapping"/>
            </w:r>
            <w:r>
              <w:rPr>
                <w:rFonts w:ascii="黑体" w:hAnsi="黑体" w:eastAsia="黑体" w:cs="黑体"/>
                <w:sz w:val="18"/>
              </w:rPr>
              <w:t>【/】。（适用【D】类份额）</w:t>
            </w:r>
            <w:r>
              <w:rPr>
                <w:rFonts w:ascii="黑体" w:hAnsi="黑体" w:eastAsia="黑体" w:cs="黑体"/>
                <w:sz w:val="18"/>
              </w:rPr>
              <w:br w:type="textWrapping"/>
            </w:r>
            <w:r>
              <w:rPr>
                <w:rFonts w:ascii="黑体" w:hAnsi="黑体" w:eastAsia="黑体" w:cs="黑体"/>
                <w:sz w:val="18"/>
              </w:rPr>
              <w:t>【/】。（适用【E】类份额）</w:t>
            </w:r>
            <w:r>
              <w:rPr>
                <w:rFonts w:ascii="黑体" w:hAnsi="黑体" w:eastAsia="黑体" w:cs="黑体"/>
                <w:sz w:val="18"/>
              </w:rPr>
              <w:br w:type="textWrapping"/>
            </w:r>
            <w:r>
              <w:rPr>
                <w:rFonts w:ascii="黑体" w:hAnsi="黑体" w:eastAsia="黑体" w:cs="黑体"/>
                <w:sz w:val="18"/>
              </w:rPr>
              <w:t>（2）销售服务费：</w:t>
            </w:r>
            <w:r>
              <w:rPr>
                <w:rFonts w:ascii="黑体" w:hAnsi="黑体" w:eastAsia="黑体" w:cs="黑体"/>
                <w:sz w:val="18"/>
              </w:rPr>
              <w:br w:type="textWrapping"/>
            </w:r>
            <w:r>
              <w:rPr>
                <w:rFonts w:ascii="黑体" w:hAnsi="黑体" w:eastAsia="黑体" w:cs="黑体"/>
                <w:sz w:val="18"/>
              </w:rPr>
              <w:t>年化费率【0.05%】。（适用【A】类份额）</w:t>
            </w:r>
            <w:r>
              <w:rPr>
                <w:rFonts w:ascii="黑体" w:hAnsi="黑体" w:eastAsia="黑体" w:cs="黑体"/>
                <w:sz w:val="18"/>
              </w:rPr>
              <w:br w:type="textWrapping"/>
            </w:r>
            <w:r>
              <w:rPr>
                <w:rFonts w:ascii="黑体" w:hAnsi="黑体" w:eastAsia="黑体" w:cs="黑体"/>
                <w:sz w:val="18"/>
              </w:rPr>
              <w:t>年化费率【0.1%】。（适用【B】类份额）</w:t>
            </w:r>
            <w:r>
              <w:rPr>
                <w:rFonts w:ascii="黑体" w:hAnsi="黑体" w:eastAsia="黑体" w:cs="黑体"/>
                <w:sz w:val="18"/>
              </w:rPr>
              <w:br w:type="textWrapping"/>
            </w:r>
            <w:r>
              <w:rPr>
                <w:rFonts w:ascii="黑体" w:hAnsi="黑体" w:eastAsia="黑体" w:cs="黑体"/>
                <w:sz w:val="18"/>
              </w:rPr>
              <w:t>年化费率【0.15%】。（适用【C】类份额）</w:t>
            </w:r>
            <w:r>
              <w:rPr>
                <w:rFonts w:ascii="黑体" w:hAnsi="黑体" w:eastAsia="黑体" w:cs="黑体"/>
                <w:sz w:val="18"/>
              </w:rPr>
              <w:br w:type="textWrapping"/>
            </w:r>
            <w:r>
              <w:rPr>
                <w:rFonts w:ascii="黑体" w:hAnsi="黑体" w:eastAsia="黑体" w:cs="黑体"/>
                <w:sz w:val="18"/>
              </w:rPr>
              <w:t>年化费率【0.2%】。（适用【D】类份额）</w:t>
            </w:r>
            <w:r>
              <w:rPr>
                <w:rFonts w:ascii="黑体" w:hAnsi="黑体" w:eastAsia="黑体" w:cs="黑体"/>
                <w:sz w:val="18"/>
              </w:rPr>
              <w:br w:type="textWrapping"/>
            </w:r>
            <w:r>
              <w:rPr>
                <w:rFonts w:ascii="黑体" w:hAnsi="黑体" w:eastAsia="黑体" w:cs="黑体"/>
                <w:sz w:val="18"/>
              </w:rPr>
              <w:t>年化费率【0.3%】。（适用【E】类份额）</w:t>
            </w:r>
            <w:r>
              <w:rPr>
                <w:rFonts w:ascii="黑体" w:hAnsi="黑体" w:eastAsia="黑体" w:cs="黑体"/>
                <w:sz w:val="18"/>
              </w:rPr>
              <w:br w:type="textWrapping"/>
            </w:r>
            <w:r>
              <w:rPr>
                <w:rFonts w:ascii="黑体" w:hAnsi="黑体" w:eastAsia="黑体" w:cs="黑体"/>
                <w:sz w:val="18"/>
              </w:rPr>
              <w:t>（3）投资管理费：年化费率【0.05%】</w:t>
            </w:r>
            <w:r>
              <w:rPr>
                <w:rFonts w:ascii="黑体" w:hAnsi="黑体" w:eastAsia="黑体" w:cs="黑体"/>
                <w:sz w:val="18"/>
              </w:rPr>
              <w:br w:type="textWrapping"/>
            </w:r>
            <w:r>
              <w:rPr>
                <w:rFonts w:ascii="黑体" w:hAnsi="黑体" w:eastAsia="黑体" w:cs="黑体"/>
                <w:sz w:val="18"/>
              </w:rPr>
              <w:t>（4）产品托管费：年化费率【0.02%】</w:t>
            </w:r>
            <w:r>
              <w:rPr>
                <w:rFonts w:ascii="黑体" w:hAnsi="黑体" w:eastAsia="黑体" w:cs="黑体"/>
                <w:sz w:val="18"/>
              </w:rPr>
              <w:br w:type="textWrapping"/>
            </w:r>
            <w:r>
              <w:rPr>
                <w:rFonts w:ascii="黑体" w:hAnsi="黑体" w:eastAsia="黑体" w:cs="黑体"/>
                <w:sz w:val="18"/>
              </w:rPr>
              <w:t>（5）超额业绩报酬：</w:t>
            </w:r>
            <w:r>
              <w:rPr>
                <w:rFonts w:ascii="黑体" w:hAnsi="黑体" w:eastAsia="黑体" w:cs="黑体"/>
                <w:sz w:val="18"/>
              </w:rPr>
              <w:br w:type="textWrapping"/>
            </w:r>
            <w:r>
              <w:rPr>
                <w:rFonts w:ascii="黑体" w:hAnsi="黑体" w:eastAsia="黑体" w:cs="黑体"/>
                <w:sz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0B928119">
            <w:pPr>
              <w:spacing w:line="360" w:lineRule="auto"/>
              <w:rPr>
                <w:rFonts w:hint="eastAsia" w:ascii="黑体" w:hAnsi="黑体" w:eastAsia="黑体"/>
                <w:bCs/>
                <w:sz w:val="18"/>
                <w:szCs w:val="18"/>
              </w:rPr>
            </w:pPr>
            <w:r>
              <w:rPr>
                <w:rFonts w:hint="eastAsia" w:ascii="黑体" w:hAnsi="黑体" w:eastAsia="黑体"/>
                <w:bCs/>
                <w:sz w:val="18"/>
                <w:szCs w:val="18"/>
              </w:rPr>
              <w:t>2.以上费用金额均按照四舍五入方法，保留到小数点后2位。</w:t>
            </w:r>
          </w:p>
          <w:p w14:paraId="790BE6D2">
            <w:pPr>
              <w:spacing w:line="360" w:lineRule="auto"/>
              <w:rPr>
                <w:rFonts w:ascii="黑体" w:hAnsi="黑体" w:eastAsia="黑体"/>
                <w:bCs/>
                <w:sz w:val="18"/>
                <w:szCs w:val="18"/>
              </w:rPr>
            </w:pPr>
            <w:r>
              <w:rPr>
                <w:rFonts w:hint="eastAsia" w:ascii="黑体" w:hAnsi="黑体" w:eastAsia="黑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4BEA11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57F0186">
            <w:pPr>
              <w:spacing w:line="360" w:lineRule="auto"/>
              <w:jc w:val="left"/>
              <w:rPr>
                <w:rFonts w:hAnsi="宋体"/>
                <w:sz w:val="18"/>
                <w:szCs w:val="18"/>
              </w:rPr>
            </w:pPr>
            <w:r>
              <w:rPr>
                <w:rFonts w:hint="eastAsia" w:ascii="宋体" w:hAnsi="宋体"/>
                <w:b/>
                <w:bCs/>
                <w:kern w:val="0"/>
                <w:sz w:val="18"/>
                <w:szCs w:val="18"/>
              </w:rPr>
              <w:t>税收</w:t>
            </w:r>
          </w:p>
        </w:tc>
        <w:tc>
          <w:tcPr>
            <w:tcW w:w="7674" w:type="dxa"/>
            <w:shd w:val="solid" w:color="FFFFFF" w:fill="FFFFFF"/>
            <w:vAlign w:val="center"/>
          </w:tcPr>
          <w:p w14:paraId="086D30B1">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14:paraId="49FBEC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CDCA949">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74" w:type="dxa"/>
            <w:shd w:val="solid" w:color="FFFFFF" w:fill="FFFFFF"/>
            <w:vAlign w:val="center"/>
          </w:tcPr>
          <w:p w14:paraId="312A3E2F">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14:paraId="696B51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F7A30AD">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74" w:type="dxa"/>
            <w:shd w:val="solid" w:color="FFFFFF" w:fill="FFFFFF"/>
            <w:vAlign w:val="center"/>
          </w:tcPr>
          <w:p w14:paraId="3EDF945E">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tbl>
    <w:p w14:paraId="099F7CB1">
      <w:pPr>
        <w:pStyle w:val="14"/>
        <w:spacing w:line="360" w:lineRule="auto"/>
        <w:rPr>
          <w:rFonts w:hAnsi="宋体"/>
          <w:sz w:val="18"/>
          <w:szCs w:val="18"/>
        </w:rPr>
      </w:pPr>
    </w:p>
    <w:p w14:paraId="2472086D">
      <w:pPr>
        <w:widowControl/>
        <w:spacing w:line="360" w:lineRule="auto"/>
        <w:jc w:val="left"/>
        <w:rPr>
          <w:rFonts w:ascii="宋体" w:hAnsi="宋体"/>
          <w:color w:val="000000"/>
          <w:kern w:val="0"/>
          <w:sz w:val="18"/>
          <w:szCs w:val="18"/>
        </w:rPr>
      </w:pPr>
      <w:r>
        <w:rPr>
          <w:rFonts w:hAnsi="宋体"/>
          <w:sz w:val="18"/>
          <w:szCs w:val="18"/>
        </w:rPr>
        <w:br w:type="page"/>
      </w:r>
    </w:p>
    <w:p w14:paraId="491623BB">
      <w:pPr>
        <w:pStyle w:val="2"/>
        <w:spacing w:before="0" w:after="0" w:line="360" w:lineRule="auto"/>
        <w:jc w:val="center"/>
        <w:rPr>
          <w:rFonts w:ascii="Times New Roman"/>
          <w:sz w:val="30"/>
        </w:rPr>
      </w:pPr>
      <w:bookmarkStart w:id="70" w:name="_Toc79154666"/>
      <w:bookmarkStart w:id="71" w:name="_Toc176189755"/>
      <w:r>
        <w:rPr>
          <w:rFonts w:ascii="Times New Roman"/>
          <w:sz w:val="30"/>
        </w:rPr>
        <w:t>第</w:t>
      </w:r>
      <w:r>
        <w:rPr>
          <w:rFonts w:hint="eastAsia" w:ascii="Times New Roman"/>
          <w:sz w:val="30"/>
        </w:rPr>
        <w:t>三条</w:t>
      </w:r>
      <w:r>
        <w:rPr>
          <w:rFonts w:ascii="Times New Roman"/>
          <w:sz w:val="30"/>
        </w:rPr>
        <w:t xml:space="preserve">  </w:t>
      </w:r>
      <w:bookmarkStart w:id="72" w:name="_Toc79392573"/>
      <w:r>
        <w:rPr>
          <w:rFonts w:hint="eastAsia" w:ascii="Times New Roman"/>
          <w:sz w:val="30"/>
        </w:rPr>
        <w:t>理财产品的认购</w:t>
      </w:r>
      <w:bookmarkEnd w:id="70"/>
      <w:bookmarkEnd w:id="71"/>
    </w:p>
    <w:p w14:paraId="204D3635">
      <w:pPr>
        <w:spacing w:line="360" w:lineRule="auto"/>
        <w:ind w:firstLine="361" w:firstLineChars="200"/>
        <w:rPr>
          <w:rFonts w:asciiTheme="minorEastAsia" w:hAnsiTheme="minorEastAsia"/>
          <w:b/>
          <w:bCs/>
          <w:sz w:val="18"/>
          <w:szCs w:val="18"/>
        </w:rPr>
      </w:pPr>
      <w:bookmarkStart w:id="73" w:name="_Hlt88031774"/>
      <w:bookmarkEnd w:id="73"/>
      <w:bookmarkStart w:id="74" w:name="_Hlt88031741"/>
      <w:r>
        <w:rPr>
          <w:rFonts w:hint="eastAsia" w:asciiTheme="minorEastAsia" w:hAnsiTheme="minorEastAsia"/>
          <w:b/>
          <w:bCs/>
          <w:sz w:val="18"/>
          <w:szCs w:val="18"/>
        </w:rPr>
        <w:t>（一）理财产品的认购</w:t>
      </w:r>
    </w:p>
    <w:p w14:paraId="31472906">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14:paraId="7675D3A0">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14:paraId="657333A5">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14:paraId="6DB133C5">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14:paraId="18D654CC">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14:paraId="791053BB">
      <w:pPr>
        <w:pStyle w:val="1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14:paraId="14EDA89C">
      <w:pPr>
        <w:pStyle w:val="1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68ECE9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5112C1EB">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14:paraId="7A8234A8">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14:paraId="66C76D1D">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14:paraId="26E844E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6AF5090B">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14:paraId="6D848DF0">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14:paraId="308A3C53">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14:paraId="1134B61E">
      <w:pPr>
        <w:spacing w:line="360" w:lineRule="auto"/>
        <w:ind w:firstLine="360" w:firstLineChars="200"/>
        <w:rPr>
          <w:rFonts w:asciiTheme="minorEastAsia" w:hAnsiTheme="minorEastAsia"/>
          <w:bCs/>
          <w:kern w:val="0"/>
          <w:sz w:val="18"/>
          <w:szCs w:val="18"/>
        </w:rPr>
      </w:pPr>
      <w:r>
        <w:rPr>
          <w:rFonts w:hint="eastAsia" w:asciiTheme="minorEastAsia" w:hAnsiTheme="minorEastAsia"/>
          <w:bCs/>
          <w:sz w:val="18"/>
          <w:szCs w:val="18"/>
        </w:rPr>
        <w:t>认购期/募集期内投资者可</w:t>
      </w:r>
      <w:r>
        <w:rPr>
          <w:rFonts w:hint="eastAsia" w:asciiTheme="minorEastAsia" w:hAnsiTheme="minorEastAsia"/>
          <w:bCs/>
          <w:kern w:val="0"/>
          <w:sz w:val="18"/>
          <w:szCs w:val="18"/>
        </w:rPr>
        <w:t>提交认购申请</w:t>
      </w:r>
      <w:r>
        <w:rPr>
          <w:rFonts w:hint="eastAsia" w:asciiTheme="minorEastAsia" w:hAnsiTheme="minorEastAsia"/>
          <w:bCs/>
          <w:sz w:val="18"/>
          <w:szCs w:val="18"/>
        </w:rPr>
        <w:t>。</w:t>
      </w:r>
      <w:r>
        <w:rPr>
          <w:rFonts w:hint="eastAsia" w:asciiTheme="minorEastAsia" w:hAnsiTheme="minorEastAsia"/>
          <w:bCs/>
          <w:kern w:val="0"/>
          <w:sz w:val="18"/>
          <w:szCs w:val="18"/>
        </w:rPr>
        <w:t>提交认购申请并不代表认购成功，产品管理人将在认购确认日确认投资者是否认购成功，是否成功以管理人的确认结果为准。</w:t>
      </w:r>
    </w:p>
    <w:p w14:paraId="48349CC7">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14:paraId="705F9716">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14:paraId="55F88737">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14:paraId="1EAF57E9">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14:paraId="1AE7D5DE">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14:paraId="39DC3621">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14:paraId="575D9B36">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14:paraId="08C7BA0A">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14:paraId="41B18697">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14:paraId="60EFD2D0">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14:paraId="74604F8E">
      <w:pPr>
        <w:pStyle w:val="1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14:paraId="2B209251">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28685AA6">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14:paraId="6469ED9A">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11E714A1">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14:paraId="73D18A32">
      <w:pPr>
        <w:pStyle w:val="14"/>
        <w:spacing w:line="360" w:lineRule="auto"/>
        <w:ind w:firstLine="360" w:firstLineChars="200"/>
        <w:rPr>
          <w:rFonts w:hint="eastAsia" w:asciiTheme="minorEastAsia" w:hAnsiTheme="minorEastAsia" w:eastAsiaTheme="minorEastAsia"/>
          <w:b w:val="0"/>
          <w:bCs/>
          <w:color w:val="auto"/>
          <w:sz w:val="18"/>
          <w:szCs w:val="18"/>
        </w:rPr>
      </w:pPr>
      <w:r>
        <w:rPr>
          <w:rFonts w:hint="eastAsia" w:asciiTheme="minorEastAsia" w:hAnsiTheme="minorEastAsia" w:eastAsiaTheme="minorEastAsia"/>
          <w:b w:val="0"/>
          <w:bCs/>
          <w:color w:val="auto"/>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p>
    <w:p w14:paraId="002DC22D">
      <w:pPr>
        <w:pStyle w:val="1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14:paraId="6DF4E0FE">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14:paraId="73CA5D2F">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14:paraId="215D5E86">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14:paraId="003E2679">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14:paraId="00BC9C38">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14:paraId="5509E0FF">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14:paraId="0D68E623">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14:paraId="235E41D1">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14:paraId="48AF8C6C">
      <w:pPr>
        <w:pStyle w:val="1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14:paraId="4FA3832A">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14:paraId="3CDB05A2">
      <w:pPr>
        <w:pStyle w:val="1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14:paraId="24625461">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14:paraId="60DC7F87">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bookmarkEnd w:id="72"/>
    <w:bookmarkEnd w:id="74"/>
    <w:p w14:paraId="6EAF391F">
      <w:pPr>
        <w:pStyle w:val="2"/>
        <w:spacing w:before="0" w:after="0" w:line="360" w:lineRule="auto"/>
        <w:jc w:val="center"/>
        <w:rPr>
          <w:rFonts w:ascii="Times New Roman"/>
          <w:sz w:val="30"/>
        </w:rPr>
      </w:pPr>
      <w:bookmarkStart w:id="75" w:name="_Toc4771"/>
      <w:bookmarkStart w:id="76" w:name="_Toc176189756"/>
      <w:bookmarkStart w:id="77" w:name="_Toc29948"/>
      <w:bookmarkStart w:id="78" w:name="_Toc79154668"/>
      <w:bookmarkStart w:id="79" w:name="_Toc7151"/>
      <w:bookmarkStart w:id="80" w:name="_Toc74065741"/>
      <w:bookmarkStart w:id="81" w:name="_Toc90742321"/>
      <w:bookmarkStart w:id="82" w:name="_Toc3266"/>
      <w:bookmarkStart w:id="83" w:name="_Toc29784"/>
      <w:bookmarkStart w:id="84" w:name="_Toc22074"/>
      <w:bookmarkStart w:id="85" w:name="_Toc90742688"/>
      <w:bookmarkStart w:id="86" w:name="_Toc27226"/>
      <w:bookmarkStart w:id="87" w:name="_Toc15203"/>
      <w:bookmarkStart w:id="88" w:name="_Toc90742390"/>
      <w:bookmarkStart w:id="89" w:name="_Toc16265"/>
      <w:bookmarkStart w:id="90" w:name="_Toc6714"/>
      <w:bookmarkStart w:id="91" w:name="_Toc27189"/>
      <w:r>
        <w:rPr>
          <w:rFonts w:ascii="Times New Roman"/>
          <w:sz w:val="30"/>
        </w:rPr>
        <w:t>第</w:t>
      </w:r>
      <w:r>
        <w:rPr>
          <w:rFonts w:hint="eastAsia" w:ascii="Times New Roman"/>
          <w:sz w:val="30"/>
        </w:rPr>
        <w:t>四条</w:t>
      </w:r>
      <w:r>
        <w:rPr>
          <w:rFonts w:ascii="Times New Roman"/>
          <w:sz w:val="30"/>
        </w:rPr>
        <w:t xml:space="preserve">  </w:t>
      </w:r>
      <w:r>
        <w:rPr>
          <w:rFonts w:hint="eastAsia" w:ascii="Times New Roman"/>
          <w:sz w:val="30"/>
        </w:rPr>
        <w:t>理财产品的申购与赎回</w:t>
      </w:r>
      <w:bookmarkEnd w:id="75"/>
      <w:bookmarkEnd w:id="76"/>
    </w:p>
    <w:p w14:paraId="1CA16FF8">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本产品为封闭式产品，不设置申购与赎回。</w:t>
      </w:r>
    </w:p>
    <w:p w14:paraId="39DD1922">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p w14:paraId="37040C50">
      <w:pPr>
        <w:pStyle w:val="2"/>
        <w:spacing w:before="0" w:after="0" w:line="360" w:lineRule="auto"/>
        <w:jc w:val="center"/>
        <w:rPr>
          <w:rFonts w:ascii="Times New Roman"/>
          <w:sz w:val="30"/>
        </w:rPr>
      </w:pPr>
      <w:bookmarkStart w:id="92" w:name="_Toc176189757"/>
      <w:r>
        <w:rPr>
          <w:rFonts w:ascii="Times New Roman"/>
          <w:sz w:val="30"/>
        </w:rPr>
        <w:t>第五</w:t>
      </w:r>
      <w:r>
        <w:rPr>
          <w:rFonts w:hint="eastAsia" w:ascii="Times New Roman"/>
          <w:sz w:val="30"/>
        </w:rPr>
        <w:t>条</w:t>
      </w:r>
      <w:r>
        <w:rPr>
          <w:rFonts w:ascii="Times New Roman"/>
          <w:sz w:val="30"/>
        </w:rPr>
        <w:t xml:space="preserve">  </w:t>
      </w:r>
      <w:r>
        <w:rPr>
          <w:rFonts w:hint="eastAsia" w:ascii="Times New Roman"/>
          <w:sz w:val="30"/>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0636E934">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14:paraId="653314E2">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 w14:paraId="35827CAA">
      <w:pPr>
        <w:pStyle w:val="1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14:paraId="33E49F36">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14:paraId="09CC0C9E">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14:paraId="61467273">
      <w:pPr>
        <w:pStyle w:val="14"/>
        <w:spacing w:line="360" w:lineRule="auto"/>
        <w:ind w:firstLine="360" w:firstLineChars="200"/>
        <w:rPr>
          <w:rFonts w:hint="eastAsia" w:asciiTheme="majorEastAsia" w:hAnsiTheme="majorEastAsia" w:eastAsiaTheme="majorEastAsia"/>
          <w:bCs/>
          <w:color w:val="auto"/>
          <w:sz w:val="18"/>
          <w:szCs w:val="18"/>
          <w:lang w:eastAsia="zh-CN"/>
        </w:rPr>
      </w:pPr>
      <w:r>
        <w:rPr>
          <w:rFonts w:ascii="宋体" w:hAnsi="宋体" w:eastAsia="宋体" w:cs="宋体"/>
          <w:sz w:val="18"/>
        </w:rPr>
        <w:t>【（1）银行存款、债券逆回购、货币基金等货币市场工具及其它银行间和交易所资金融通工具；</w:t>
      </w:r>
      <w:r>
        <w:rPr>
          <w:rFonts w:ascii="宋体" w:hAnsi="宋体" w:eastAsia="宋体" w:cs="宋体"/>
          <w:sz w:val="18"/>
        </w:rPr>
        <w:br w:type="textWrapping"/>
      </w:r>
      <w:r>
        <w:rPr>
          <w:rFonts w:ascii="宋体" w:hAnsi="宋体" w:eastAsia="宋体" w:cs="宋体"/>
          <w:sz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r>
        <w:rPr>
          <w:rFonts w:ascii="宋体" w:hAnsi="宋体" w:eastAsia="宋体" w:cs="宋体"/>
          <w:sz w:val="18"/>
        </w:rPr>
        <w:br w:type="textWrapping"/>
      </w:r>
      <w:r>
        <w:rPr>
          <w:rFonts w:ascii="宋体" w:hAnsi="宋体" w:eastAsia="宋体" w:cs="宋体"/>
          <w:sz w:val="18"/>
        </w:rPr>
        <w:t>（3）以套期保值为目的的国债期货、利率互换、信用风险缓释工具、债券借贷。</w:t>
      </w:r>
      <w:r>
        <w:rPr>
          <w:rFonts w:ascii="宋体" w:hAnsi="宋体" w:eastAsia="宋体" w:cs="宋体"/>
          <w:sz w:val="18"/>
        </w:rPr>
        <w:br w:type="textWrapping"/>
      </w:r>
      <w:r>
        <w:rPr>
          <w:rFonts w:ascii="宋体" w:hAnsi="宋体" w:eastAsia="宋体" w:cs="宋体"/>
          <w:sz w:val="18"/>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rPr>
        <w:br w:type="textWrapping"/>
      </w:r>
      <w:r>
        <w:rPr>
          <w:rFonts w:ascii="宋体" w:hAnsi="宋体" w:eastAsia="宋体" w:cs="宋体"/>
          <w:sz w:val="18"/>
        </w:rPr>
        <w:t>（5）其他风险不高于前述资产的资产。】</w:t>
      </w:r>
    </w:p>
    <w:p w14:paraId="210C0A36">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3AD791E8">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14:paraId="71E37F96">
      <w:pPr>
        <w:pStyle w:val="14"/>
        <w:spacing w:line="360" w:lineRule="auto"/>
        <w:ind w:firstLine="360" w:firstLineChars="200"/>
        <w:jc w:val="both"/>
        <w:rPr>
          <w:rFonts w:hint="eastAsia" w:asciiTheme="majorEastAsia" w:hAnsiTheme="majorEastAsia" w:eastAsiaTheme="majorEastAsia"/>
          <w:bCs/>
          <w:sz w:val="18"/>
          <w:szCs w:val="18"/>
          <w:lang w:eastAsia="zh-CN"/>
        </w:rPr>
      </w:pPr>
      <w:r>
        <w:rPr>
          <w:rFonts w:ascii="宋体" w:hAnsi="宋体" w:eastAsia="宋体" w:cs="宋体"/>
          <w:sz w:val="18"/>
        </w:rPr>
        <w:t xml:space="preserve">【（1）本产品投资于债权类资产的比例不低于产品总资产的80%。 </w:t>
      </w:r>
      <w:r>
        <w:rPr>
          <w:rFonts w:ascii="宋体" w:hAnsi="宋体" w:eastAsia="宋体" w:cs="宋体"/>
          <w:sz w:val="18"/>
        </w:rPr>
        <w:br w:type="textWrapping"/>
      </w:r>
      <w:r>
        <w:rPr>
          <w:rFonts w:ascii="宋体" w:hAnsi="宋体" w:eastAsia="宋体" w:cs="宋体"/>
          <w:sz w:val="18"/>
        </w:rPr>
        <w:t>（2）国债期货、利率互换、信用风险缓释工具等衍生品占产品总资产比例低于5%。】</w:t>
      </w:r>
    </w:p>
    <w:p w14:paraId="68A4EB25">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34662998">
      <w:pPr>
        <w:autoSpaceDE w:val="0"/>
        <w:autoSpaceDN w:val="0"/>
        <w:adjustRightInd w:val="0"/>
        <w:spacing w:line="360" w:lineRule="auto"/>
        <w:ind w:firstLine="361"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
          <w:bCs/>
          <w:sz w:val="18"/>
          <w:szCs w:val="18"/>
        </w:rPr>
        <w:t>注：本产品可能投资不存在活跃交易市场，并且需要采用估值技术确定公允价值的资产，且投资上述资产的比例达到理财产品净资产</w:t>
      </w:r>
      <w:r>
        <w:rPr>
          <w:rFonts w:asciiTheme="majorEastAsia" w:hAnsiTheme="majorEastAsia" w:eastAsiaTheme="majorEastAsia"/>
          <w:b/>
          <w:bCs/>
          <w:sz w:val="18"/>
          <w:szCs w:val="18"/>
        </w:rPr>
        <w:t>50%以上。</w:t>
      </w:r>
    </w:p>
    <w:p w14:paraId="46779142">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14:paraId="351CC354">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w:t>
      </w:r>
      <w:r>
        <w:rPr>
          <w:rFonts w:asciiTheme="majorEastAsia" w:hAnsiTheme="majorEastAsia" w:eastAsiaTheme="majorEastAsia"/>
          <w:bCs/>
          <w:sz w:val="18"/>
          <w:szCs w:val="18"/>
        </w:rPr>
        <w:t>销售文件</w:t>
      </w:r>
      <w:r>
        <w:rPr>
          <w:rFonts w:hint="eastAsia" w:asciiTheme="majorEastAsia" w:hAnsiTheme="majorEastAsia" w:eastAsiaTheme="majorEastAsia"/>
          <w:bCs/>
          <w:sz w:val="18"/>
          <w:szCs w:val="18"/>
        </w:rPr>
        <w:t>约定投资组合比例限制进行变更的，以变更后的规定为准。</w:t>
      </w:r>
    </w:p>
    <w:p w14:paraId="4593A0FF">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14:paraId="21DF2F5B">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w:t>
      </w:r>
      <w:r>
        <w:rPr>
          <w:rFonts w:asciiTheme="majorEastAsia" w:hAnsiTheme="majorEastAsia" w:eastAsiaTheme="majorEastAsia"/>
          <w:bCs/>
          <w:sz w:val="18"/>
          <w:szCs w:val="18"/>
        </w:rPr>
        <w:t>销售文件的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14:paraId="48D53F90">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14:paraId="46984FE8">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bCs/>
          <w:sz w:val="18"/>
          <w:szCs w:val="18"/>
        </w:rPr>
        <w:t>无需投资者</w:t>
      </w:r>
      <w:r>
        <w:rPr>
          <w:rFonts w:hint="eastAsia" w:ascii="黑体" w:hAnsi="黑体" w:eastAsia="黑体"/>
          <w:bCs/>
          <w:sz w:val="18"/>
          <w:szCs w:val="18"/>
        </w:rPr>
        <w:t>书面</w:t>
      </w:r>
      <w:r>
        <w:rPr>
          <w:rFonts w:ascii="黑体" w:hAnsi="黑体" w:eastAsia="黑体"/>
          <w:bCs/>
          <w:sz w:val="18"/>
          <w:szCs w:val="18"/>
        </w:rPr>
        <w:t>同意</w:t>
      </w:r>
      <w:r>
        <w:rPr>
          <w:rFonts w:hint="eastAsia" w:ascii="黑体" w:hAnsi="黑体" w:eastAsia="黑体"/>
          <w:bCs/>
          <w:sz w:val="18"/>
          <w:szCs w:val="18"/>
        </w:rPr>
        <w:t>。</w:t>
      </w:r>
    </w:p>
    <w:p w14:paraId="3FD03692">
      <w:pPr>
        <w:pStyle w:val="1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按照本销售文件及其他相关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14:paraId="6C71DB93">
      <w:pPr>
        <w:pStyle w:val="14"/>
        <w:spacing w:line="360" w:lineRule="auto"/>
        <w:ind w:firstLine="271" w:firstLineChars="150"/>
      </w:pPr>
      <w:r>
        <w:rPr>
          <w:rFonts w:hint="eastAsia" w:asciiTheme="majorEastAsia" w:hAnsiTheme="majorEastAsia" w:eastAsiaTheme="majorEastAsia"/>
          <w:b/>
          <w:color w:val="auto"/>
          <w:sz w:val="18"/>
          <w:szCs w:val="18"/>
        </w:rPr>
        <w:t>（三）投资限制</w:t>
      </w:r>
    </w:p>
    <w:p w14:paraId="52EAFF2E">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14:paraId="57F9E809">
      <w:pPr>
        <w:spacing w:line="360" w:lineRule="auto"/>
        <w:ind w:firstLine="360" w:firstLineChars="200"/>
        <w:rPr>
          <w:rFonts w:asciiTheme="majorEastAsia" w:hAnsiTheme="majorEastAsia" w:eastAsiaTheme="majorEastAsia"/>
          <w:bCs/>
          <w:sz w:val="18"/>
          <w:szCs w:val="18"/>
        </w:rPr>
      </w:pPr>
      <w:r>
        <w:rPr>
          <w:rFonts w:ascii="宋体" w:hAnsi="宋体" w:eastAsia="宋体" w:cs="宋体"/>
          <w:sz w:val="18"/>
        </w:rPr>
        <w:t>（1）本产品投资单只证券或者单只公募证券投资基金的市值不得超过该理财产品净资产的10%。</w:t>
      </w:r>
      <w:r>
        <w:rPr>
          <w:rFonts w:ascii="宋体" w:hAnsi="宋体" w:eastAsia="宋体" w:cs="宋体"/>
          <w:sz w:val="18"/>
        </w:rPr>
        <w:br w:type="textWrapping"/>
      </w:r>
      <w:r>
        <w:rPr>
          <w:rFonts w:ascii="宋体" w:hAnsi="宋体" w:eastAsia="宋体" w:cs="宋体"/>
          <w:sz w:val="18"/>
        </w:rPr>
        <w:t>（2）本产品管理人全部公募理财产品持有单只证券或单只公募证券投资基金的市值，不得超过该证券市值或该公募证券投资基金市值的30%。</w:t>
      </w:r>
      <w:r>
        <w:rPr>
          <w:rFonts w:ascii="宋体" w:hAnsi="宋体" w:eastAsia="宋体" w:cs="宋体"/>
          <w:sz w:val="18"/>
        </w:rPr>
        <w:br w:type="textWrapping"/>
      </w:r>
      <w:r>
        <w:rPr>
          <w:rFonts w:ascii="宋体" w:hAnsi="宋体" w:eastAsia="宋体" w:cs="宋体"/>
          <w:sz w:val="18"/>
        </w:rPr>
        <w:t>（3）本产品管理人全部理财产品持有单一上市公司发行的股票，不得超过该上市公司可流通股票的30%。</w:t>
      </w:r>
      <w:r>
        <w:rPr>
          <w:rFonts w:ascii="宋体" w:hAnsi="宋体" w:eastAsia="宋体" w:cs="宋体"/>
          <w:sz w:val="18"/>
        </w:rPr>
        <w:br w:type="textWrapping"/>
      </w:r>
      <w:r>
        <w:rPr>
          <w:rFonts w:ascii="宋体" w:hAnsi="宋体" w:eastAsia="宋体" w:cs="宋体"/>
          <w:sz w:val="18"/>
        </w:rPr>
        <w:t>（4）本产品管理人全部开放式公募理财产品投资单一上市公司发行的股票不得超过该上市公司可流通股票的15%。</w:t>
      </w:r>
      <w:r>
        <w:rPr>
          <w:rFonts w:ascii="宋体" w:hAnsi="宋体" w:eastAsia="宋体" w:cs="宋体"/>
          <w:sz w:val="18"/>
        </w:rPr>
        <w:br w:type="textWrapping"/>
      </w:r>
      <w:r>
        <w:rPr>
          <w:rFonts w:ascii="宋体" w:hAnsi="宋体" w:eastAsia="宋体" w:cs="宋体"/>
          <w:sz w:val="18"/>
        </w:rPr>
        <w:t>（5）本产品因为流动性需要可开展存单质押、债券正回购等融资业务，本产品总资产不超过净资产的200%。</w:t>
      </w:r>
    </w:p>
    <w:p w14:paraId="0A1A126C">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4236A26A">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14:paraId="57ED5D52">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76CEBE57">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14:paraId="20104FBC">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14:paraId="2D72E777">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14:paraId="3EB56469">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14:paraId="7B164461">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如果法律法规对本销售文件约定的投资限制进行变更的，以变更后的规定为准。</w:t>
      </w:r>
    </w:p>
    <w:p w14:paraId="2F95A784">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14:paraId="5B1B6622">
      <w:pPr>
        <w:pStyle w:val="14"/>
        <w:spacing w:line="360" w:lineRule="auto"/>
        <w:ind w:firstLine="360" w:firstLineChars="200"/>
        <w:rPr>
          <w:rFonts w:asciiTheme="majorEastAsia" w:hAnsiTheme="majorEastAsia" w:eastAsiaTheme="majorEastAsia"/>
          <w:sz w:val="18"/>
          <w:szCs w:val="18"/>
        </w:rPr>
      </w:pPr>
      <w:r>
        <w:rPr>
          <w:rFonts w:hint="eastAsia" w:asciiTheme="majorEastAsia" w:hAnsiTheme="majorEastAsia" w:eastAsiaTheme="majorEastAsia"/>
          <w:sz w:val="18"/>
          <w:szCs w:val="18"/>
        </w:rPr>
        <w:t>【</w:t>
      </w:r>
      <w:r>
        <w:rPr>
          <w:rFonts w:hint="eastAsia" w:asciiTheme="majorEastAsia" w:hAnsiTheme="majorEastAsia" w:eastAsiaTheme="majorEastAsia"/>
          <w:bCs/>
          <w:sz w:val="18"/>
          <w:szCs w:val="18"/>
        </w:rPr>
        <w:t>通过对经济基本面、企业盈利、无风险利率水平、资金面等因素进行定性和定量分析，根据产品的业绩目标和回撤目标制定各个阶段产品资产投资比例。</w:t>
      </w:r>
      <w:r>
        <w:rPr>
          <w:rFonts w:hint="eastAsia" w:asciiTheme="majorEastAsia" w:hAnsiTheme="majorEastAsia" w:eastAsiaTheme="majorEastAsia"/>
          <w:sz w:val="18"/>
          <w:szCs w:val="18"/>
        </w:rPr>
        <w:t>】</w:t>
      </w:r>
    </w:p>
    <w:p w14:paraId="4771A0DB">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sz w:val="18"/>
          <w:szCs w:val="18"/>
        </w:rPr>
        <w:br w:type="page"/>
      </w:r>
    </w:p>
    <w:p w14:paraId="39E82682">
      <w:pPr>
        <w:pStyle w:val="2"/>
        <w:spacing w:before="0" w:after="0" w:line="360" w:lineRule="auto"/>
        <w:jc w:val="center"/>
        <w:rPr>
          <w:rFonts w:ascii="Times New Roman"/>
          <w:sz w:val="30"/>
        </w:rPr>
      </w:pPr>
      <w:bookmarkStart w:id="93" w:name="_Toc1823"/>
      <w:bookmarkStart w:id="94" w:name="_Toc26986"/>
      <w:bookmarkStart w:id="95" w:name="_Toc18329"/>
      <w:bookmarkStart w:id="96" w:name="_Toc141703885"/>
      <w:bookmarkStart w:id="97" w:name="_Toc4741"/>
      <w:bookmarkStart w:id="98" w:name="_Toc79154669"/>
      <w:bookmarkStart w:id="99" w:name="_Toc18526"/>
      <w:bookmarkStart w:id="100" w:name="_Toc74065742"/>
      <w:bookmarkStart w:id="101" w:name="_Toc139991735"/>
      <w:bookmarkStart w:id="102" w:name="_Toc21988"/>
      <w:bookmarkStart w:id="103" w:name="_Toc18797"/>
      <w:bookmarkStart w:id="104" w:name="_Toc17912"/>
      <w:bookmarkStart w:id="105" w:name="_Toc176189758"/>
      <w:bookmarkStart w:id="106" w:name="_Toc14893"/>
      <w:bookmarkStart w:id="107" w:name="_Toc7848"/>
      <w:r>
        <w:rPr>
          <w:rFonts w:ascii="Times New Roman"/>
          <w:sz w:val="30"/>
        </w:rPr>
        <w:t>第六</w:t>
      </w:r>
      <w:r>
        <w:rPr>
          <w:rFonts w:hint="eastAsia" w:ascii="Times New Roman"/>
          <w:sz w:val="30"/>
        </w:rPr>
        <w:t>条</w:t>
      </w:r>
      <w:r>
        <w:rPr>
          <w:rFonts w:ascii="Times New Roman"/>
          <w:sz w:val="30"/>
        </w:rPr>
        <w:t xml:space="preserve">  </w:t>
      </w:r>
      <w:r>
        <w:rPr>
          <w:rFonts w:hint="eastAsia" w:ascii="Times New Roman"/>
          <w:sz w:val="30"/>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0F29FD0F">
      <w:pPr>
        <w:pStyle w:val="14"/>
        <w:spacing w:line="360" w:lineRule="auto"/>
        <w:ind w:firstLine="361" w:firstLineChars="200"/>
        <w:rPr>
          <w:rFonts w:asciiTheme="majorEastAsia" w:hAnsiTheme="majorEastAsia" w:eastAsiaTheme="majorEastAsia"/>
          <w:b/>
          <w:color w:val="auto"/>
          <w:sz w:val="18"/>
          <w:szCs w:val="18"/>
        </w:rPr>
      </w:pPr>
      <w:bookmarkStart w:id="108" w:name="_Hlk490214295"/>
      <w:r>
        <w:rPr>
          <w:rFonts w:hint="eastAsia" w:asciiTheme="majorEastAsia" w:hAnsiTheme="majorEastAsia" w:eastAsiaTheme="majorEastAsia"/>
          <w:b/>
          <w:color w:val="auto"/>
          <w:sz w:val="18"/>
          <w:szCs w:val="18"/>
        </w:rPr>
        <w:t>（一）理财产品的资产的保管和处分</w:t>
      </w:r>
    </w:p>
    <w:p w14:paraId="6507F3B3">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14:paraId="44596183">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14:paraId="6BF46E01">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6678D28D">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14:paraId="794922F0">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14:paraId="0FD597C6">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14:paraId="0773ED20">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108"/>
    <w:p w14:paraId="6FE87562">
      <w:pPr>
        <w:pStyle w:val="2"/>
        <w:spacing w:before="0" w:after="0" w:line="360" w:lineRule="auto"/>
        <w:jc w:val="center"/>
        <w:rPr>
          <w:rFonts w:ascii="Times New Roman"/>
          <w:sz w:val="30"/>
        </w:rPr>
      </w:pPr>
      <w:bookmarkStart w:id="109" w:name="_Toc123051452"/>
      <w:bookmarkStart w:id="110" w:name="_Toc1427"/>
      <w:bookmarkStart w:id="111" w:name="_Toc17244"/>
      <w:bookmarkStart w:id="112" w:name="_Toc74065743"/>
      <w:bookmarkStart w:id="113" w:name="_Toc79392606"/>
      <w:bookmarkStart w:id="114" w:name="_Toc98560352"/>
      <w:bookmarkStart w:id="115" w:name="_Toc610"/>
      <w:bookmarkStart w:id="116" w:name="_Toc1270"/>
      <w:bookmarkStart w:id="117" w:name="_Toc176189759"/>
      <w:bookmarkStart w:id="118" w:name="_Toc23822"/>
      <w:bookmarkStart w:id="119" w:name="_Toc141703886"/>
      <w:bookmarkStart w:id="120" w:name="_Toc79154670"/>
      <w:bookmarkStart w:id="121" w:name="_Toc48649707"/>
      <w:bookmarkStart w:id="122" w:name="_Toc20733"/>
      <w:bookmarkStart w:id="123" w:name="_Toc123112234"/>
      <w:bookmarkStart w:id="124" w:name="_Toc23261"/>
      <w:bookmarkStart w:id="125" w:name="_Toc7920"/>
      <w:bookmarkStart w:id="126" w:name="_Toc10463"/>
      <w:bookmarkStart w:id="127" w:name="_Toc139991736"/>
      <w:bookmarkStart w:id="128" w:name="_Toc123102453"/>
      <w:bookmarkStart w:id="129" w:name="_Toc4003"/>
      <w:r>
        <w:rPr>
          <w:rFonts w:ascii="Times New Roman"/>
          <w:sz w:val="30"/>
        </w:rPr>
        <w:t>第七</w:t>
      </w:r>
      <w:r>
        <w:rPr>
          <w:rFonts w:hint="eastAsia" w:ascii="Times New Roman"/>
          <w:sz w:val="30"/>
        </w:rPr>
        <w:t>条</w:t>
      </w:r>
      <w:r>
        <w:rPr>
          <w:rFonts w:ascii="Times New Roman"/>
          <w:sz w:val="30"/>
        </w:rPr>
        <w:t xml:space="preserve">  </w:t>
      </w:r>
      <w:r>
        <w:rPr>
          <w:rFonts w:hint="eastAsia" w:ascii="Times New Roman"/>
          <w:sz w:val="30"/>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3E0196B1">
      <w:pPr>
        <w:pStyle w:val="1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14:paraId="40EE49EE">
      <w:pPr>
        <w:pStyle w:val="14"/>
        <w:spacing w:line="360" w:lineRule="auto"/>
        <w:ind w:firstLine="361" w:firstLineChars="200"/>
        <w:rPr>
          <w:rFonts w:hAnsi="宋体"/>
          <w:b/>
          <w:bCs/>
          <w:sz w:val="18"/>
          <w:szCs w:val="18"/>
        </w:rPr>
      </w:pPr>
      <w:r>
        <w:rPr>
          <w:rFonts w:hint="eastAsia" w:hAnsi="宋体"/>
          <w:b/>
          <w:bCs/>
          <w:sz w:val="18"/>
          <w:szCs w:val="18"/>
        </w:rPr>
        <w:t>（一）估值目的</w:t>
      </w:r>
    </w:p>
    <w:p w14:paraId="6D384C81">
      <w:pPr>
        <w:pStyle w:val="14"/>
        <w:spacing w:line="360" w:lineRule="auto"/>
        <w:ind w:firstLine="360" w:firstLineChars="200"/>
        <w:rPr>
          <w:rFonts w:hAnsi="宋体"/>
          <w:sz w:val="18"/>
          <w:szCs w:val="18"/>
        </w:rPr>
      </w:pPr>
      <w:r>
        <w:rPr>
          <w:rFonts w:hint="eastAsia" w:hAnsi="宋体"/>
          <w:sz w:val="18"/>
          <w:szCs w:val="18"/>
        </w:rPr>
        <w:t>理财资产估值的目的是客观、准确地反映理财资产是否保值、增值。</w:t>
      </w:r>
    </w:p>
    <w:p w14:paraId="324755A0">
      <w:pPr>
        <w:pStyle w:val="14"/>
        <w:spacing w:line="360" w:lineRule="auto"/>
        <w:ind w:firstLine="361" w:firstLineChars="200"/>
        <w:rPr>
          <w:rFonts w:hAnsi="宋体"/>
          <w:b/>
          <w:bCs/>
          <w:sz w:val="18"/>
          <w:szCs w:val="18"/>
        </w:rPr>
      </w:pPr>
      <w:r>
        <w:rPr>
          <w:rFonts w:hint="eastAsia" w:hAnsi="宋体"/>
          <w:b/>
          <w:bCs/>
          <w:sz w:val="18"/>
          <w:szCs w:val="18"/>
        </w:rPr>
        <w:t>（二）估值频率</w:t>
      </w:r>
    </w:p>
    <w:p w14:paraId="24E72CE5">
      <w:pPr>
        <w:pStyle w:val="14"/>
        <w:spacing w:line="360" w:lineRule="auto"/>
        <w:ind w:firstLine="450" w:firstLineChars="250"/>
        <w:rPr>
          <w:sz w:val="18"/>
          <w:szCs w:val="18"/>
        </w:rPr>
      </w:pPr>
      <w:r>
        <w:rPr>
          <w:rFonts w:hint="eastAsia" w:hAnsi="宋体"/>
          <w:sz w:val="18"/>
          <w:szCs w:val="18"/>
        </w:rPr>
        <w:t>本产品存续期间，每【</w:t>
      </w:r>
      <w:r>
        <w:rPr>
          <w:rFonts w:hint="eastAsia" w:hAnsi="宋体"/>
          <w:sz w:val="18"/>
          <w:szCs w:val="18"/>
          <w:lang w:val="en-US" w:eastAsia="zh-CN"/>
        </w:rPr>
        <w:t>周</w:t>
      </w:r>
      <w:r>
        <w:rPr>
          <w:rFonts w:hint="eastAsia" w:hAnsi="宋体"/>
          <w:sz w:val="18"/>
          <w:szCs w:val="18"/>
        </w:rPr>
        <w:t>】进行一次估值。如遇产品到期日、季度末、半年度末、年度末等时间节点管理人将增加估值日。</w:t>
      </w:r>
    </w:p>
    <w:p w14:paraId="2EAF0F81">
      <w:pPr>
        <w:pStyle w:val="14"/>
        <w:spacing w:line="360" w:lineRule="auto"/>
        <w:ind w:firstLine="452" w:firstLineChars="250"/>
        <w:rPr>
          <w:rFonts w:hAnsi="宋体"/>
          <w:b/>
          <w:bCs/>
          <w:sz w:val="18"/>
          <w:szCs w:val="18"/>
        </w:rPr>
      </w:pPr>
      <w:r>
        <w:rPr>
          <w:rFonts w:hint="eastAsia" w:hAnsi="宋体"/>
          <w:b/>
          <w:bCs/>
          <w:sz w:val="18"/>
          <w:szCs w:val="18"/>
        </w:rPr>
        <w:t>（三）估值对象</w:t>
      </w:r>
    </w:p>
    <w:p w14:paraId="71F99CF3">
      <w:pPr>
        <w:pStyle w:val="14"/>
        <w:spacing w:line="360" w:lineRule="auto"/>
        <w:ind w:firstLine="360" w:firstLineChars="200"/>
        <w:rPr>
          <w:rFonts w:hAnsi="宋体"/>
          <w:sz w:val="18"/>
          <w:szCs w:val="18"/>
        </w:rPr>
      </w:pPr>
      <w:r>
        <w:rPr>
          <w:rFonts w:hint="eastAsia" w:hAnsi="宋体"/>
          <w:sz w:val="18"/>
          <w:szCs w:val="18"/>
        </w:rPr>
        <w:t>本产品所拥有的各类证券、资产管理产品、银行存款、应收款项、其它投资等资产及负债。</w:t>
      </w:r>
    </w:p>
    <w:p w14:paraId="2D92579A">
      <w:pPr>
        <w:pStyle w:val="14"/>
        <w:spacing w:line="360" w:lineRule="auto"/>
        <w:ind w:firstLine="452" w:firstLineChars="250"/>
        <w:rPr>
          <w:rFonts w:hAnsi="宋体"/>
          <w:b/>
          <w:bCs/>
          <w:sz w:val="18"/>
          <w:szCs w:val="18"/>
        </w:rPr>
      </w:pPr>
      <w:r>
        <w:rPr>
          <w:rFonts w:hint="eastAsia" w:hAnsi="宋体"/>
          <w:b/>
          <w:bCs/>
          <w:sz w:val="18"/>
          <w:szCs w:val="18"/>
        </w:rPr>
        <w:t>（四）估值方法</w:t>
      </w:r>
    </w:p>
    <w:p w14:paraId="432F7E14">
      <w:pPr>
        <w:pStyle w:val="14"/>
        <w:spacing w:line="360" w:lineRule="auto"/>
        <w:ind w:firstLine="360" w:firstLineChars="200"/>
        <w:rPr>
          <w:rFonts w:hAnsi="宋体"/>
          <w:bCs/>
          <w:sz w:val="18"/>
          <w:szCs w:val="18"/>
        </w:rPr>
      </w:pPr>
      <w:r>
        <w:rPr>
          <w:rFonts w:hAnsi="宋体"/>
          <w:bCs/>
          <w:sz w:val="18"/>
          <w:szCs w:val="18"/>
        </w:rPr>
        <w:t>1.标准化债权类资产估值</w:t>
      </w:r>
    </w:p>
    <w:p w14:paraId="55B20186">
      <w:pPr>
        <w:pStyle w:val="14"/>
        <w:spacing w:line="360" w:lineRule="auto"/>
        <w:ind w:firstLine="360" w:firstLineChars="200"/>
        <w:rPr>
          <w:rFonts w:hAnsi="宋体"/>
          <w:sz w:val="18"/>
          <w:szCs w:val="18"/>
        </w:rPr>
      </w:pPr>
      <w:r>
        <w:rPr>
          <w:rFonts w:hint="eastAsia" w:hAnsi="宋体"/>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14:paraId="6816052C">
      <w:pPr>
        <w:pStyle w:val="14"/>
        <w:spacing w:line="360" w:lineRule="auto"/>
        <w:ind w:firstLine="360" w:firstLineChars="200"/>
        <w:rPr>
          <w:rFonts w:hAnsi="宋体"/>
          <w:sz w:val="18"/>
          <w:szCs w:val="18"/>
        </w:rPr>
      </w:pPr>
      <w:r>
        <w:rPr>
          <w:rFonts w:hint="eastAsia" w:hAnsi="宋体"/>
          <w:sz w:val="18"/>
          <w:szCs w:val="18"/>
        </w:rPr>
        <w:t>（1）投资以收取合同现金流量为目的并持有到期的标准化债权类资产，可使用摊余成本计量。</w:t>
      </w:r>
    </w:p>
    <w:p w14:paraId="0100B3CE">
      <w:pPr>
        <w:pStyle w:val="14"/>
        <w:spacing w:line="360" w:lineRule="auto"/>
        <w:ind w:firstLine="360" w:firstLineChars="200"/>
        <w:rPr>
          <w:rFonts w:hAnsi="宋体"/>
          <w:sz w:val="18"/>
          <w:szCs w:val="18"/>
        </w:rPr>
      </w:pPr>
      <w:r>
        <w:rPr>
          <w:rFonts w:hint="eastAsia" w:hAnsi="宋体"/>
          <w:sz w:val="18"/>
          <w:szCs w:val="18"/>
        </w:rPr>
        <w:t>（2）除（1）以外的标准化债权类资产以公允价值计量，主要依据为第三方估值机构提供的价格数据。第三方估值机构包括：中央国债登记结算公司和中证指数有限公司。</w:t>
      </w:r>
    </w:p>
    <w:p w14:paraId="143887DE">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3</w:t>
      </w:r>
      <w:r>
        <w:rPr>
          <w:rFonts w:hint="eastAsia" w:hAnsi="宋体"/>
          <w:sz w:val="18"/>
          <w:szCs w:val="18"/>
        </w:rPr>
        <w:t>）对已发行但未上市流通，且第三方估值机构未提供估值数据的标准化债权类资产，</w:t>
      </w:r>
      <w:r>
        <w:rPr>
          <w:rFonts w:hint="eastAsia" w:asciiTheme="majorEastAsia" w:hAnsiTheme="majorEastAsia" w:eastAsiaTheme="majorEastAsia"/>
          <w:bCs/>
          <w:color w:val="auto"/>
          <w:sz w:val="18"/>
          <w:szCs w:val="18"/>
        </w:rPr>
        <w:t>采用当前情况下适用并且有足够可利用数据和其他信息支持的估值技术确定其公允价值。</w:t>
      </w:r>
    </w:p>
    <w:p w14:paraId="51F01305">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4</w:t>
      </w:r>
      <w:r>
        <w:rPr>
          <w:rFonts w:hint="eastAsia" w:hAnsi="宋体"/>
          <w:sz w:val="18"/>
          <w:szCs w:val="18"/>
        </w:rPr>
        <w:t>）</w:t>
      </w:r>
      <w:r>
        <w:rPr>
          <w:rFonts w:hint="eastAsia" w:asciiTheme="majorEastAsia" w:hAnsiTheme="majorEastAsia" w:eastAsiaTheme="majorEastAsia"/>
          <w:bCs/>
          <w:color w:val="auto"/>
          <w:sz w:val="18"/>
          <w:szCs w:val="18"/>
        </w:rPr>
        <w:t>对于</w:t>
      </w:r>
      <w:r>
        <w:rPr>
          <w:rFonts w:asciiTheme="majorEastAsia" w:hAnsiTheme="majorEastAsia" w:eastAsiaTheme="majorEastAsia"/>
          <w:bCs/>
          <w:color w:val="auto"/>
          <w:sz w:val="18"/>
          <w:szCs w:val="18"/>
        </w:rPr>
        <w:t>同时在多个不同市场交易的标准化债权类资产，</w:t>
      </w:r>
      <w:r>
        <w:rPr>
          <w:rFonts w:hint="eastAsia" w:asciiTheme="majorEastAsia" w:hAnsiTheme="majorEastAsia" w:eastAsiaTheme="majorEastAsia"/>
          <w:bCs/>
          <w:color w:val="auto"/>
          <w:sz w:val="18"/>
          <w:szCs w:val="18"/>
        </w:rPr>
        <w:t>按照其</w:t>
      </w:r>
      <w:r>
        <w:rPr>
          <w:rFonts w:hint="eastAsia" w:hAnsi="宋体"/>
          <w:sz w:val="18"/>
          <w:szCs w:val="18"/>
        </w:rPr>
        <w:t>所处的市场及相应的估值标准，分别进行估值。</w:t>
      </w:r>
    </w:p>
    <w:p w14:paraId="04320B85">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color w:val="auto"/>
          <w:sz w:val="18"/>
        </w:rPr>
        <w:t>2.</w:t>
      </w:r>
      <w:r>
        <w:rPr>
          <w:rFonts w:hint="eastAsia" w:asciiTheme="majorEastAsia" w:hAnsiTheme="majorEastAsia" w:eastAsiaTheme="majorEastAsia"/>
          <w:bCs/>
          <w:color w:val="auto"/>
          <w:sz w:val="18"/>
          <w:szCs w:val="18"/>
        </w:rPr>
        <w:t>境外债券</w:t>
      </w:r>
    </w:p>
    <w:p w14:paraId="1E5204E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14:paraId="4940C50C">
      <w:pPr>
        <w:pStyle w:val="14"/>
        <w:spacing w:line="360" w:lineRule="auto"/>
        <w:ind w:firstLine="360" w:firstLineChars="200"/>
        <w:rPr>
          <w:rFonts w:hAnsi="宋体"/>
          <w:sz w:val="18"/>
          <w:szCs w:val="18"/>
        </w:rPr>
      </w:pPr>
      <w:r>
        <w:rPr>
          <w:rFonts w:hAnsi="宋体"/>
          <w:bCs/>
          <w:sz w:val="18"/>
          <w:szCs w:val="18"/>
        </w:rPr>
        <w:t>3.非标准化债权类资产</w:t>
      </w:r>
    </w:p>
    <w:p w14:paraId="04B90870">
      <w:pPr>
        <w:pStyle w:val="14"/>
        <w:spacing w:line="360" w:lineRule="auto"/>
        <w:ind w:firstLine="360" w:firstLineChars="200"/>
        <w:rPr>
          <w:rFonts w:hAnsi="宋体"/>
          <w:sz w:val="18"/>
          <w:szCs w:val="18"/>
        </w:rPr>
      </w:pPr>
      <w:r>
        <w:rPr>
          <w:rFonts w:hint="eastAsia" w:hAnsi="宋体"/>
          <w:sz w:val="18"/>
          <w:szCs w:val="18"/>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577BAADD">
      <w:pPr>
        <w:pStyle w:val="14"/>
        <w:spacing w:line="360" w:lineRule="auto"/>
        <w:ind w:firstLine="360" w:firstLineChars="200"/>
        <w:rPr>
          <w:rFonts w:hAnsi="宋体"/>
          <w:bCs/>
          <w:sz w:val="18"/>
          <w:szCs w:val="18"/>
        </w:rPr>
      </w:pPr>
      <w:r>
        <w:rPr>
          <w:rFonts w:hAnsi="宋体"/>
          <w:bCs/>
          <w:sz w:val="18"/>
          <w:szCs w:val="18"/>
        </w:rPr>
        <w:t>4.上市公司股票估值</w:t>
      </w:r>
    </w:p>
    <w:p w14:paraId="22DF06B7">
      <w:pPr>
        <w:pStyle w:val="14"/>
        <w:spacing w:line="360" w:lineRule="auto"/>
        <w:ind w:firstLine="360" w:firstLineChars="200"/>
        <w:rPr>
          <w:rFonts w:hAnsi="宋体"/>
          <w:sz w:val="18"/>
          <w:szCs w:val="18"/>
        </w:rPr>
      </w:pPr>
      <w:r>
        <w:rPr>
          <w:rFonts w:hint="eastAsia" w:hAnsi="宋体"/>
          <w:sz w:val="18"/>
          <w:szCs w:val="18"/>
        </w:rPr>
        <w:t>上市公司股票包括正常流通普通股、流通受限股票、长期停牌股票和新发行未上市股票。具体估值方法如下：</w:t>
      </w:r>
    </w:p>
    <w:p w14:paraId="210AFD4A">
      <w:pPr>
        <w:pStyle w:val="14"/>
        <w:spacing w:line="360" w:lineRule="auto"/>
        <w:ind w:firstLine="360" w:firstLineChars="200"/>
        <w:rPr>
          <w:rFonts w:hAnsi="宋体"/>
          <w:sz w:val="18"/>
          <w:szCs w:val="18"/>
        </w:rPr>
      </w:pPr>
      <w:r>
        <w:rPr>
          <w:rFonts w:hint="eastAsia" w:hAnsi="宋体"/>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7E182E68">
      <w:pPr>
        <w:pStyle w:val="14"/>
        <w:spacing w:line="360" w:lineRule="auto"/>
        <w:ind w:firstLine="360" w:firstLineChars="200"/>
        <w:rPr>
          <w:rFonts w:hAnsi="宋体"/>
          <w:sz w:val="18"/>
          <w:szCs w:val="18"/>
        </w:rPr>
      </w:pPr>
      <w:r>
        <w:rPr>
          <w:rFonts w:hint="eastAsia" w:hAnsi="宋体"/>
          <w:sz w:val="18"/>
          <w:szCs w:val="18"/>
        </w:rPr>
        <w:t>（2）送股、转增股、配股和公开增发新股等发行未上市的股票，按估值日在证券交易所上市的同一股票的收盘价或最近交易日的收盘价确定公允价值。</w:t>
      </w:r>
    </w:p>
    <w:p w14:paraId="2495E4B3">
      <w:pPr>
        <w:pStyle w:val="14"/>
        <w:spacing w:line="360" w:lineRule="auto"/>
        <w:ind w:firstLine="360" w:firstLineChars="200"/>
        <w:rPr>
          <w:rFonts w:hAnsi="宋体"/>
          <w:sz w:val="18"/>
          <w:szCs w:val="18"/>
        </w:rPr>
      </w:pPr>
      <w:r>
        <w:rPr>
          <w:rFonts w:hint="eastAsia" w:hAnsi="宋体"/>
          <w:sz w:val="18"/>
          <w:szCs w:val="18"/>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26371390">
      <w:pPr>
        <w:pStyle w:val="14"/>
        <w:spacing w:line="360" w:lineRule="auto"/>
        <w:ind w:firstLine="360" w:firstLineChars="200"/>
        <w:rPr>
          <w:rFonts w:hAnsi="宋体"/>
          <w:sz w:val="18"/>
          <w:szCs w:val="18"/>
        </w:rPr>
      </w:pPr>
      <w:r>
        <w:rPr>
          <w:rFonts w:hint="eastAsia" w:hAnsi="宋体"/>
          <w:sz w:val="18"/>
          <w:szCs w:val="18"/>
        </w:rPr>
        <w:t>（4）长期停牌股票，根据停牌原因、停牌时间及停牌公司公告等信息，采用估值技术确定公允价值。</w:t>
      </w:r>
    </w:p>
    <w:p w14:paraId="05428C2A">
      <w:pPr>
        <w:pStyle w:val="14"/>
        <w:spacing w:line="360" w:lineRule="auto"/>
        <w:ind w:firstLine="360" w:firstLineChars="200"/>
        <w:rPr>
          <w:rFonts w:hAnsi="宋体"/>
          <w:sz w:val="18"/>
          <w:szCs w:val="18"/>
        </w:rPr>
      </w:pPr>
      <w:r>
        <w:rPr>
          <w:rFonts w:hint="eastAsia" w:hAnsi="宋体"/>
          <w:sz w:val="18"/>
          <w:szCs w:val="18"/>
        </w:rPr>
        <w:t>（5）新发行未上市股票，如果发行日后未发生影响公允价值计量的重大事件的，应采用发行价作为公允价值的最佳估计，已发生影响公允价值计量重大事件的应采用估值技术确定公允价值。</w:t>
      </w:r>
    </w:p>
    <w:p w14:paraId="5C227FBC">
      <w:pPr>
        <w:pStyle w:val="14"/>
        <w:spacing w:line="360" w:lineRule="auto"/>
        <w:ind w:firstLine="360" w:firstLineChars="200"/>
        <w:rPr>
          <w:rFonts w:hAnsi="宋体"/>
          <w:bCs/>
          <w:sz w:val="18"/>
          <w:szCs w:val="18"/>
        </w:rPr>
      </w:pPr>
      <w:r>
        <w:rPr>
          <w:rFonts w:hAnsi="宋体"/>
          <w:bCs/>
          <w:sz w:val="18"/>
          <w:szCs w:val="18"/>
        </w:rPr>
        <w:t>5.未上市公司股权</w:t>
      </w:r>
    </w:p>
    <w:p w14:paraId="040E1F60">
      <w:pPr>
        <w:pStyle w:val="14"/>
        <w:spacing w:line="360" w:lineRule="auto"/>
        <w:ind w:firstLine="360" w:firstLineChars="200"/>
        <w:rPr>
          <w:rFonts w:hAnsi="宋体"/>
          <w:sz w:val="18"/>
          <w:szCs w:val="18"/>
        </w:rPr>
      </w:pPr>
      <w:r>
        <w:rPr>
          <w:rFonts w:hint="eastAsia" w:hAnsi="宋体"/>
          <w:sz w:val="18"/>
          <w:szCs w:val="18"/>
        </w:rPr>
        <w:t>以公允价值计量，应综合考虑被评估企业实际情况、市场交易情况及其他可获得的信息，采用市场法、收益法、重置成本法等估值技术，结合流动性折扣等因素评估公允价值</w:t>
      </w:r>
      <w:r>
        <w:rPr>
          <w:rFonts w:hAnsi="宋体"/>
          <w:sz w:val="18"/>
          <w:szCs w:val="18"/>
        </w:rPr>
        <w:t>；或采用第三方估值机构提供的价格数据确认公允价值</w:t>
      </w:r>
      <w:r>
        <w:rPr>
          <w:rFonts w:hint="eastAsia" w:hAnsi="宋体"/>
          <w:sz w:val="18"/>
          <w:szCs w:val="18"/>
        </w:rPr>
        <w:t>。</w:t>
      </w:r>
    </w:p>
    <w:p w14:paraId="78976BBC">
      <w:pPr>
        <w:pStyle w:val="14"/>
        <w:spacing w:line="360" w:lineRule="auto"/>
        <w:ind w:firstLine="360" w:firstLineChars="200"/>
        <w:rPr>
          <w:rFonts w:hAnsi="宋体"/>
          <w:bCs/>
          <w:sz w:val="18"/>
          <w:szCs w:val="18"/>
        </w:rPr>
      </w:pPr>
      <w:r>
        <w:rPr>
          <w:rFonts w:hAnsi="宋体"/>
          <w:bCs/>
          <w:sz w:val="18"/>
          <w:szCs w:val="18"/>
        </w:rPr>
        <w:t>6.优先股</w:t>
      </w:r>
    </w:p>
    <w:p w14:paraId="12CA08D8">
      <w:pPr>
        <w:pStyle w:val="14"/>
        <w:spacing w:line="360" w:lineRule="auto"/>
        <w:ind w:firstLine="360" w:firstLineChars="200"/>
        <w:rPr>
          <w:rFonts w:hAnsi="宋体"/>
          <w:sz w:val="18"/>
          <w:szCs w:val="18"/>
        </w:rPr>
      </w:pPr>
      <w:r>
        <w:rPr>
          <w:rFonts w:hint="eastAsia" w:hAnsi="宋体"/>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00E912FF">
      <w:pPr>
        <w:pStyle w:val="14"/>
        <w:spacing w:line="360" w:lineRule="auto"/>
        <w:ind w:firstLine="360" w:firstLineChars="200"/>
        <w:rPr>
          <w:rFonts w:hAnsi="宋体"/>
          <w:bCs/>
          <w:sz w:val="18"/>
          <w:szCs w:val="18"/>
        </w:rPr>
      </w:pPr>
      <w:r>
        <w:rPr>
          <w:rFonts w:hAnsi="宋体"/>
          <w:bCs/>
          <w:sz w:val="18"/>
          <w:szCs w:val="18"/>
        </w:rPr>
        <w:t>7.证券投资基金估值</w:t>
      </w:r>
    </w:p>
    <w:p w14:paraId="2DE88C1F">
      <w:pPr>
        <w:pStyle w:val="14"/>
        <w:spacing w:line="360" w:lineRule="auto"/>
        <w:ind w:firstLine="360" w:firstLineChars="200"/>
        <w:rPr>
          <w:rFonts w:hAnsi="宋体"/>
          <w:sz w:val="18"/>
          <w:szCs w:val="18"/>
        </w:rPr>
      </w:pPr>
      <w:r>
        <w:rPr>
          <w:rFonts w:hint="eastAsia" w:hAnsi="宋体"/>
          <w:sz w:val="18"/>
          <w:szCs w:val="18"/>
        </w:rPr>
        <w:t>（1）非上市基金估值</w:t>
      </w:r>
    </w:p>
    <w:p w14:paraId="7CB983B1">
      <w:pPr>
        <w:pStyle w:val="14"/>
        <w:spacing w:line="360" w:lineRule="auto"/>
        <w:ind w:firstLine="360" w:firstLineChars="200"/>
        <w:rPr>
          <w:rFonts w:hAnsi="宋体"/>
          <w:sz w:val="18"/>
          <w:szCs w:val="18"/>
        </w:rPr>
      </w:pPr>
      <w:r>
        <w:rPr>
          <w:rFonts w:hint="eastAsia" w:hAnsi="宋体"/>
          <w:sz w:val="18"/>
          <w:szCs w:val="18"/>
        </w:rPr>
        <w:t>1)本产品投资的境内非货币市场基金，按所投资基金估值日的基金份额净值估值；估值日基金净值未公布的，以基金管理人最近公布的基金份额净值计算。</w:t>
      </w:r>
    </w:p>
    <w:p w14:paraId="4DC4869E">
      <w:pPr>
        <w:pStyle w:val="14"/>
        <w:spacing w:line="360" w:lineRule="auto"/>
        <w:ind w:firstLine="360" w:firstLineChars="200"/>
        <w:rPr>
          <w:rFonts w:hAnsi="宋体"/>
          <w:sz w:val="18"/>
          <w:szCs w:val="18"/>
        </w:rPr>
      </w:pPr>
      <w:r>
        <w:rPr>
          <w:rFonts w:hint="eastAsia" w:hAnsi="宋体"/>
          <w:sz w:val="18"/>
          <w:szCs w:val="18"/>
        </w:rPr>
        <w:t>2)本产品投资的境内货币市场基金，按所投资基金前一估值日后至估值日期间（含节假日）的万份收益计提估值日基金收益；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14:paraId="33CA16A0">
      <w:pPr>
        <w:pStyle w:val="14"/>
        <w:spacing w:line="360" w:lineRule="auto"/>
        <w:ind w:firstLine="360" w:firstLineChars="200"/>
        <w:rPr>
          <w:rFonts w:hAnsi="宋体"/>
          <w:sz w:val="18"/>
          <w:szCs w:val="18"/>
        </w:rPr>
      </w:pPr>
      <w:r>
        <w:rPr>
          <w:rFonts w:hint="eastAsia" w:hAnsi="宋体"/>
          <w:sz w:val="18"/>
          <w:szCs w:val="18"/>
        </w:rPr>
        <w:t>（2）上市基金估值</w:t>
      </w:r>
    </w:p>
    <w:p w14:paraId="17B4B234">
      <w:pPr>
        <w:pStyle w:val="14"/>
        <w:spacing w:line="360" w:lineRule="auto"/>
        <w:ind w:firstLine="360" w:firstLineChars="200"/>
        <w:rPr>
          <w:rFonts w:hAnsi="宋体"/>
          <w:sz w:val="18"/>
          <w:szCs w:val="18"/>
        </w:rPr>
      </w:pPr>
      <w:r>
        <w:rPr>
          <w:rFonts w:hint="eastAsia" w:hAnsi="宋体"/>
          <w:sz w:val="18"/>
          <w:szCs w:val="18"/>
        </w:rPr>
        <w:t>1)本产品投资的ETF基金、境内上市定期开放式基金、封闭式基金，按照所投资基金估值日的收盘价估值；估值日无交易的，以最近交易日的收盘价估值。</w:t>
      </w:r>
    </w:p>
    <w:p w14:paraId="18165D01">
      <w:pPr>
        <w:pStyle w:val="14"/>
        <w:spacing w:line="360" w:lineRule="auto"/>
        <w:ind w:firstLine="360" w:firstLineChars="200"/>
        <w:rPr>
          <w:rFonts w:hAnsi="宋体"/>
          <w:sz w:val="18"/>
          <w:szCs w:val="18"/>
        </w:rPr>
      </w:pPr>
      <w:r>
        <w:rPr>
          <w:rFonts w:hint="eastAsia" w:hAnsi="宋体"/>
          <w:sz w:val="18"/>
          <w:szCs w:val="18"/>
        </w:rPr>
        <w:t>2)本产品投资的境内上市开放式基金（LOF），按所投资基金估值日的基金份额净值估值；估值日基金净值未公布的，以基金管理人最近公布的基金份额净值计算。</w:t>
      </w:r>
    </w:p>
    <w:p w14:paraId="41765C65">
      <w:pPr>
        <w:pStyle w:val="14"/>
        <w:spacing w:line="360" w:lineRule="auto"/>
        <w:ind w:firstLine="360" w:firstLineChars="200"/>
        <w:rPr>
          <w:rFonts w:hAnsi="宋体"/>
          <w:sz w:val="18"/>
          <w:szCs w:val="18"/>
        </w:rPr>
      </w:pPr>
      <w:r>
        <w:rPr>
          <w:rFonts w:hint="eastAsia" w:hAnsi="宋体"/>
          <w:sz w:val="18"/>
          <w:szCs w:val="18"/>
        </w:rPr>
        <w:t>3)本产品投资的境内上市交易型货币市场基金，如所投资基金披露份额净值，则按所投资基金估值日的份额净值估值</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hint="eastAsia" w:hAnsi="宋体"/>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14:paraId="2E1D6C26">
      <w:pPr>
        <w:pStyle w:val="14"/>
        <w:spacing w:line="360" w:lineRule="auto"/>
        <w:ind w:firstLine="360" w:firstLineChars="200"/>
        <w:rPr>
          <w:rFonts w:hAnsi="宋体"/>
          <w:bCs/>
          <w:sz w:val="18"/>
          <w:szCs w:val="18"/>
        </w:rPr>
      </w:pPr>
      <w:r>
        <w:rPr>
          <w:rFonts w:hAnsi="宋体"/>
          <w:bCs/>
          <w:sz w:val="18"/>
          <w:szCs w:val="18"/>
        </w:rPr>
        <w:t>8.其他资产管理产品的估值</w:t>
      </w:r>
    </w:p>
    <w:p w14:paraId="505E55DC">
      <w:pPr>
        <w:pStyle w:val="14"/>
        <w:spacing w:line="360" w:lineRule="auto"/>
        <w:ind w:firstLine="360" w:firstLineChars="200"/>
        <w:rPr>
          <w:rFonts w:hAnsi="宋体"/>
          <w:sz w:val="18"/>
          <w:szCs w:val="18"/>
        </w:rPr>
      </w:pPr>
      <w:r>
        <w:rPr>
          <w:rFonts w:hint="eastAsia" w:hAnsi="宋体"/>
          <w:sz w:val="18"/>
          <w:szCs w:val="18"/>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588AC4DA">
      <w:pPr>
        <w:pStyle w:val="14"/>
        <w:spacing w:line="360" w:lineRule="auto"/>
        <w:ind w:firstLine="360" w:firstLineChars="200"/>
        <w:rPr>
          <w:rFonts w:hAnsi="宋体"/>
          <w:bCs/>
          <w:sz w:val="18"/>
          <w:szCs w:val="18"/>
        </w:rPr>
      </w:pPr>
      <w:r>
        <w:rPr>
          <w:rFonts w:hAnsi="宋体"/>
          <w:bCs/>
          <w:sz w:val="18"/>
          <w:szCs w:val="18"/>
        </w:rPr>
        <w:t>9.衍生金融工具估值</w:t>
      </w:r>
    </w:p>
    <w:p w14:paraId="067F0AB8">
      <w:pPr>
        <w:pStyle w:val="14"/>
        <w:spacing w:line="360" w:lineRule="auto"/>
        <w:ind w:firstLine="360" w:firstLineChars="200"/>
        <w:rPr>
          <w:rFonts w:asciiTheme="minorEastAsia" w:hAnsiTheme="minorEastAsia" w:eastAsiaTheme="minorEastAsia"/>
          <w:bCs/>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1</w:t>
      </w:r>
      <w:r>
        <w:rPr>
          <w:rFonts w:hint="eastAsia" w:asciiTheme="minorEastAsia" w:hAnsiTheme="minorEastAsia" w:eastAsiaTheme="minorEastAsia"/>
          <w:bCs/>
          <w:sz w:val="18"/>
          <w:szCs w:val="18"/>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34DD1770">
      <w:pPr>
        <w:pStyle w:val="14"/>
        <w:spacing w:line="360" w:lineRule="auto"/>
        <w:ind w:firstLine="360" w:firstLineChars="200"/>
        <w:rPr>
          <w:rFonts w:hAnsi="宋体"/>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2</w:t>
      </w:r>
      <w:r>
        <w:rPr>
          <w:rFonts w:hint="eastAsia" w:asciiTheme="minorEastAsia" w:hAnsiTheme="minorEastAsia" w:eastAsiaTheme="minorEastAsia"/>
          <w:bCs/>
          <w:sz w:val="18"/>
          <w:szCs w:val="18"/>
        </w:rPr>
        <w:t>）对于非交易所交易的衍生金融工具，可依据第三方机构提供的价格数据或采取相应衍生金融工具估值模型确定公允价值。</w:t>
      </w:r>
    </w:p>
    <w:p w14:paraId="4CD016AB">
      <w:pPr>
        <w:pStyle w:val="14"/>
        <w:spacing w:line="360" w:lineRule="auto"/>
        <w:ind w:firstLine="360" w:firstLineChars="200"/>
        <w:rPr>
          <w:rFonts w:hAnsi="宋体"/>
          <w:bCs/>
          <w:sz w:val="18"/>
          <w:szCs w:val="18"/>
        </w:rPr>
      </w:pPr>
      <w:r>
        <w:rPr>
          <w:rFonts w:hAnsi="宋体"/>
          <w:bCs/>
          <w:sz w:val="18"/>
          <w:szCs w:val="18"/>
        </w:rPr>
        <w:t>10.存款、拆借、回购等货币市场工具的估值</w:t>
      </w:r>
    </w:p>
    <w:p w14:paraId="26530106">
      <w:pPr>
        <w:pStyle w:val="14"/>
        <w:spacing w:line="360" w:lineRule="auto"/>
        <w:ind w:firstLine="360" w:firstLineChars="200"/>
        <w:rPr>
          <w:rFonts w:hAnsi="宋体"/>
          <w:sz w:val="18"/>
          <w:szCs w:val="18"/>
        </w:rPr>
      </w:pPr>
      <w:r>
        <w:rPr>
          <w:rFonts w:hint="eastAsia" w:hAnsi="宋体"/>
          <w:sz w:val="18"/>
          <w:szCs w:val="18"/>
        </w:rPr>
        <w:t>以本金列示，按商定利率在实际持有期间内逐日计提利息。如有估值技术能更准确反映其公允价值的，采用估值技术进行估值。</w:t>
      </w:r>
    </w:p>
    <w:p w14:paraId="764F62A0">
      <w:pPr>
        <w:pStyle w:val="14"/>
        <w:spacing w:line="360" w:lineRule="auto"/>
        <w:ind w:firstLine="360" w:firstLineChars="200"/>
        <w:rPr>
          <w:rFonts w:hAnsi="宋体"/>
          <w:sz w:val="18"/>
          <w:szCs w:val="18"/>
        </w:rPr>
      </w:pPr>
      <w:r>
        <w:rPr>
          <w:rFonts w:hint="eastAsia" w:hAnsi="宋体"/>
          <w:sz w:val="18"/>
          <w:szCs w:val="18"/>
        </w:rPr>
        <w:t>1</w:t>
      </w:r>
      <w:r>
        <w:rPr>
          <w:rFonts w:hAnsi="宋体"/>
          <w:sz w:val="18"/>
          <w:szCs w:val="18"/>
        </w:rPr>
        <w:t>1</w:t>
      </w:r>
      <w:r>
        <w:rPr>
          <w:rFonts w:hint="eastAsia" w:hAnsi="宋体"/>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3EFE5CE3">
      <w:pPr>
        <w:pStyle w:val="14"/>
        <w:spacing w:line="360" w:lineRule="auto"/>
        <w:ind w:firstLine="360" w:firstLineChars="200"/>
        <w:rPr>
          <w:rFonts w:ascii="黑体" w:hAnsi="黑体" w:eastAsia="黑体"/>
          <w:sz w:val="18"/>
          <w:szCs w:val="18"/>
        </w:rPr>
      </w:pPr>
      <w:r>
        <w:rPr>
          <w:rFonts w:ascii="黑体" w:hAnsi="黑体" w:eastAsia="黑体"/>
          <w:sz w:val="18"/>
          <w:szCs w:val="18"/>
        </w:rPr>
        <w:t>12.★估值方法的调整</w:t>
      </w:r>
    </w:p>
    <w:p w14:paraId="0EB0314A">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若因相关法律法规以及监管部门有规定，需要调整估值方法的，管理人应按相关规定要求使用调整后的估值方法进行估值。</w:t>
      </w:r>
    </w:p>
    <w:p w14:paraId="7B21D0DF">
      <w:pPr>
        <w:pStyle w:val="14"/>
        <w:spacing w:line="360" w:lineRule="auto"/>
        <w:ind w:firstLine="361" w:firstLineChars="200"/>
        <w:rPr>
          <w:rFonts w:hAnsi="宋体"/>
          <w:b/>
          <w:bCs/>
          <w:sz w:val="18"/>
          <w:szCs w:val="18"/>
        </w:rPr>
      </w:pPr>
      <w:r>
        <w:rPr>
          <w:rFonts w:hint="eastAsia" w:hAnsi="宋体"/>
          <w:b/>
          <w:bCs/>
          <w:sz w:val="18"/>
          <w:szCs w:val="18"/>
        </w:rPr>
        <w:t>（五）估值程序</w:t>
      </w:r>
    </w:p>
    <w:p w14:paraId="1711E31D">
      <w:pPr>
        <w:pStyle w:val="14"/>
        <w:spacing w:line="360" w:lineRule="auto"/>
        <w:ind w:firstLine="360" w:firstLineChars="200"/>
        <w:rPr>
          <w:rFonts w:hAnsi="宋体"/>
          <w:sz w:val="18"/>
          <w:szCs w:val="18"/>
        </w:rPr>
      </w:pPr>
      <w:r>
        <w:rPr>
          <w:rFonts w:hint="eastAsia" w:hAnsi="宋体"/>
          <w:sz w:val="18"/>
          <w:szCs w:val="18"/>
        </w:rPr>
        <w:t>1.产品份额净值是按照估值日产品资产净值除以当日产品总份额计算。国家另有规定的，从其规定。</w:t>
      </w:r>
    </w:p>
    <w:p w14:paraId="3E3A9078">
      <w:pPr>
        <w:pStyle w:val="14"/>
        <w:spacing w:line="360" w:lineRule="auto"/>
        <w:ind w:firstLine="360" w:firstLineChars="200"/>
        <w:rPr>
          <w:rFonts w:hAnsi="宋体"/>
          <w:sz w:val="18"/>
          <w:szCs w:val="18"/>
        </w:rPr>
      </w:pPr>
      <w:r>
        <w:rPr>
          <w:rFonts w:hint="eastAsia" w:hAnsi="宋体"/>
          <w:sz w:val="18"/>
          <w:szCs w:val="18"/>
        </w:rPr>
        <w:t xml:space="preserve">2.产品管理人对理财资产估值后，将产品份额净值发送产品托管人，经产品托管人复核无误后，由产品管理人按规定对外公布。 </w:t>
      </w:r>
    </w:p>
    <w:p w14:paraId="215006A9">
      <w:pPr>
        <w:pStyle w:val="14"/>
        <w:spacing w:line="360" w:lineRule="auto"/>
        <w:ind w:firstLine="360" w:firstLineChars="200"/>
        <w:rPr>
          <w:rFonts w:hAnsi="宋体"/>
          <w:sz w:val="18"/>
          <w:szCs w:val="18"/>
        </w:rPr>
      </w:pPr>
      <w:r>
        <w:rPr>
          <w:rFonts w:hint="eastAsia" w:hAnsi="宋体"/>
          <w:sz w:val="18"/>
          <w:szCs w:val="18"/>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01DF3EE0">
      <w:pPr>
        <w:pStyle w:val="14"/>
        <w:spacing w:line="360" w:lineRule="auto"/>
        <w:ind w:firstLine="361" w:firstLineChars="200"/>
        <w:rPr>
          <w:rFonts w:hAnsi="宋体"/>
          <w:b/>
          <w:bCs/>
          <w:sz w:val="18"/>
          <w:szCs w:val="18"/>
        </w:rPr>
      </w:pPr>
      <w:r>
        <w:rPr>
          <w:rFonts w:hint="eastAsia" w:hAnsi="宋体"/>
          <w:b/>
          <w:bCs/>
          <w:sz w:val="18"/>
          <w:szCs w:val="18"/>
        </w:rPr>
        <w:t>（六）估值主体</w:t>
      </w:r>
    </w:p>
    <w:p w14:paraId="6FA1D9D8">
      <w:pPr>
        <w:pStyle w:val="14"/>
        <w:spacing w:line="360" w:lineRule="auto"/>
        <w:ind w:firstLine="360" w:firstLineChars="200"/>
        <w:rPr>
          <w:rFonts w:hAnsi="宋体"/>
          <w:sz w:val="18"/>
          <w:szCs w:val="18"/>
        </w:rPr>
      </w:pPr>
      <w:r>
        <w:rPr>
          <w:rFonts w:hint="eastAsia" w:hAnsi="宋体"/>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7A74672F">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14:paraId="0B056CAA">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14:paraId="123706A7">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14:paraId="1116B1D3">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14:paraId="38DDCEFF">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14:paraId="77F2B011">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14:paraId="20B4B2AE">
      <w:pPr>
        <w:widowControl/>
        <w:spacing w:line="360" w:lineRule="auto"/>
        <w:jc w:val="left"/>
        <w:rPr>
          <w:rFonts w:ascii="宋体" w:hAnsi="宋体"/>
          <w:kern w:val="0"/>
          <w:sz w:val="18"/>
          <w:szCs w:val="18"/>
        </w:rPr>
      </w:pPr>
      <w:r>
        <w:rPr>
          <w:rFonts w:hAnsi="宋体"/>
          <w:sz w:val="18"/>
          <w:szCs w:val="18"/>
        </w:rPr>
        <w:br w:type="page"/>
      </w:r>
    </w:p>
    <w:p w14:paraId="623971C5">
      <w:pPr>
        <w:pStyle w:val="2"/>
        <w:spacing w:before="0" w:after="0" w:line="360" w:lineRule="auto"/>
        <w:ind w:left="60" w:firstLine="10"/>
        <w:jc w:val="center"/>
        <w:rPr>
          <w:rFonts w:ascii="Times New Roman"/>
          <w:sz w:val="30"/>
        </w:rPr>
      </w:pPr>
      <w:bookmarkStart w:id="130" w:name="_Hlt70481650"/>
      <w:bookmarkEnd w:id="130"/>
      <w:bookmarkStart w:id="131" w:name="_Toc3601"/>
      <w:bookmarkStart w:id="132" w:name="_Toc98560353"/>
      <w:bookmarkStart w:id="133" w:name="_Toc31235"/>
      <w:bookmarkStart w:id="134" w:name="_Toc79154671"/>
      <w:bookmarkStart w:id="135" w:name="_Toc123112235"/>
      <w:bookmarkStart w:id="136" w:name="_Toc31644"/>
      <w:bookmarkStart w:id="137" w:name="_Toc14835"/>
      <w:bookmarkStart w:id="138" w:name="_Toc123051453"/>
      <w:bookmarkStart w:id="139" w:name="_Toc176189760"/>
      <w:bookmarkStart w:id="140" w:name="_Toc29251"/>
      <w:bookmarkStart w:id="141" w:name="_Toc31653"/>
      <w:bookmarkStart w:id="142" w:name="_Toc12245"/>
      <w:bookmarkStart w:id="143" w:name="_Toc141703887"/>
      <w:bookmarkStart w:id="144" w:name="_Toc74065744"/>
      <w:bookmarkStart w:id="145" w:name="_Toc6405"/>
      <w:bookmarkStart w:id="146" w:name="_Toc139991737"/>
      <w:bookmarkStart w:id="147" w:name="_Toc123102454"/>
      <w:bookmarkStart w:id="148" w:name="_Toc26207"/>
      <w:bookmarkStart w:id="149" w:name="_Toc15143"/>
      <w:r>
        <w:rPr>
          <w:rFonts w:ascii="Times New Roman"/>
          <w:sz w:val="30"/>
        </w:rPr>
        <w:t>第八</w:t>
      </w:r>
      <w:r>
        <w:rPr>
          <w:rFonts w:hint="eastAsia" w:ascii="Times New Roman"/>
          <w:sz w:val="30"/>
        </w:rPr>
        <w:t>条</w:t>
      </w:r>
      <w:r>
        <w:rPr>
          <w:rFonts w:ascii="Times New Roman"/>
          <w:sz w:val="30"/>
        </w:rPr>
        <w:t xml:space="preserve">  </w:t>
      </w:r>
      <w:r>
        <w:rPr>
          <w:rFonts w:hint="eastAsia" w:ascii="Times New Roman"/>
          <w:sz w:val="30"/>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23711668"/>
      <w:bookmarkStart w:id="152" w:name="_Toc15118234"/>
      <w:bookmarkStart w:id="153" w:name="_Toc79392580"/>
      <w:bookmarkStart w:id="154" w:name="_Toc57530239"/>
    </w:p>
    <w:p w14:paraId="72F2B85D">
      <w:pPr>
        <w:pStyle w:val="1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14:paraId="3B02D109">
      <w:pPr>
        <w:pStyle w:val="1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14:paraId="234825F3">
      <w:pPr>
        <w:pStyle w:val="1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14:paraId="6FF14376">
      <w:pPr>
        <w:pStyle w:val="1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14:paraId="11EB3C0C">
      <w:pPr>
        <w:pStyle w:val="1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14:paraId="0D41086A">
      <w:pPr>
        <w:pStyle w:val="1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14:paraId="059DD11F">
      <w:pPr>
        <w:pStyle w:val="1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14:paraId="27E5B377">
      <w:pPr>
        <w:pStyle w:val="1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14:paraId="63289826">
      <w:pPr>
        <w:pStyle w:val="14"/>
        <w:spacing w:line="360" w:lineRule="auto"/>
        <w:ind w:firstLine="360" w:firstLineChars="200"/>
        <w:rPr>
          <w:rFonts w:hAnsi="宋体"/>
          <w:bCs/>
          <w:color w:val="auto"/>
          <w:sz w:val="18"/>
          <w:szCs w:val="18"/>
        </w:rPr>
      </w:pPr>
      <w:r>
        <w:rPr>
          <w:rFonts w:hAnsi="宋体"/>
          <w:bCs/>
          <w:color w:val="auto"/>
          <w:sz w:val="18"/>
          <w:szCs w:val="18"/>
        </w:rPr>
        <w:t>1.分配方案要点：</w:t>
      </w:r>
    </w:p>
    <w:p w14:paraId="5A2F0427">
      <w:pPr>
        <w:pStyle w:val="1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14:paraId="7F83E9BE">
      <w:pPr>
        <w:pStyle w:val="1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14:paraId="4123F7FE">
      <w:pPr>
        <w:pStyle w:val="1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14:paraId="6B525EB8">
      <w:pPr>
        <w:pStyle w:val="1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14:paraId="6E7633A4">
      <w:pPr>
        <w:spacing w:line="360" w:lineRule="auto"/>
        <w:ind w:firstLine="360"/>
        <w:rPr>
          <w:rFonts w:ascii="宋体" w:hAnsi="宋体"/>
          <w:b/>
          <w:sz w:val="18"/>
          <w:szCs w:val="18"/>
        </w:rPr>
      </w:pPr>
      <w:r>
        <w:rPr>
          <w:rFonts w:hint="eastAsia" w:ascii="宋体" w:hAnsi="宋体"/>
          <w:b/>
          <w:kern w:val="0"/>
          <w:sz w:val="18"/>
          <w:szCs w:val="18"/>
        </w:rPr>
        <w:t>（四）理财利益的分配</w:t>
      </w:r>
    </w:p>
    <w:p w14:paraId="3263E8C7">
      <w:pPr>
        <w:pStyle w:val="14"/>
        <w:spacing w:line="360" w:lineRule="auto"/>
        <w:ind w:firstLine="360" w:firstLineChars="200"/>
        <w:rPr>
          <w:rFonts w:hAnsi="宋体"/>
          <w:color w:val="auto"/>
          <w:sz w:val="18"/>
          <w:szCs w:val="18"/>
        </w:rPr>
      </w:pPr>
      <w:r>
        <w:rPr>
          <w:rFonts w:hint="eastAsia" w:hAnsi="宋体"/>
          <w:color w:val="auto"/>
          <w:sz w:val="18"/>
          <w:szCs w:val="18"/>
        </w:rPr>
        <w:t>1.理财利益的分配日</w:t>
      </w:r>
    </w:p>
    <w:p w14:paraId="691D030E">
      <w:pPr>
        <w:pStyle w:val="1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14:paraId="4EAC8DF8">
      <w:pPr>
        <w:pStyle w:val="1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14:paraId="7B2FF562">
      <w:pPr>
        <w:pStyle w:val="1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 w14:paraId="5C9A0220">
      <w:pPr>
        <w:widowControl/>
        <w:spacing w:line="360" w:lineRule="auto"/>
        <w:jc w:val="left"/>
        <w:rPr>
          <w:rFonts w:ascii="宋体" w:hAnsi="宋体"/>
          <w:kern w:val="0"/>
          <w:sz w:val="18"/>
          <w:szCs w:val="18"/>
        </w:rPr>
      </w:pPr>
      <w:r>
        <w:rPr>
          <w:rFonts w:hAnsi="宋体"/>
          <w:sz w:val="18"/>
          <w:szCs w:val="18"/>
        </w:rPr>
        <w:br w:type="page"/>
      </w:r>
    </w:p>
    <w:bookmarkEnd w:id="151"/>
    <w:bookmarkEnd w:id="152"/>
    <w:bookmarkEnd w:id="153"/>
    <w:bookmarkEnd w:id="154"/>
    <w:p w14:paraId="415A6154">
      <w:pPr>
        <w:pStyle w:val="2"/>
        <w:spacing w:before="0" w:after="0" w:line="360" w:lineRule="auto"/>
        <w:jc w:val="center"/>
        <w:rPr>
          <w:rFonts w:ascii="Times New Roman"/>
          <w:sz w:val="30"/>
        </w:rPr>
      </w:pPr>
      <w:bookmarkStart w:id="155" w:name="_Hlt88897298"/>
      <w:bookmarkEnd w:id="155"/>
      <w:bookmarkStart w:id="156" w:name="_Hlt88825574"/>
      <w:bookmarkEnd w:id="156"/>
      <w:bookmarkStart w:id="157" w:name="_Toc79392583"/>
      <w:bookmarkStart w:id="158" w:name="_Toc123051454"/>
      <w:bookmarkStart w:id="159" w:name="_Toc139991738"/>
      <w:bookmarkStart w:id="160" w:name="_Toc123112236"/>
      <w:bookmarkStart w:id="161" w:name="_Toc6447"/>
      <w:bookmarkStart w:id="162" w:name="_Toc3771"/>
      <w:bookmarkStart w:id="163" w:name="_Toc141703888"/>
      <w:bookmarkStart w:id="164" w:name="_Toc79154672"/>
      <w:bookmarkStart w:id="165" w:name="_Toc3321"/>
      <w:bookmarkStart w:id="166" w:name="_Toc11030"/>
      <w:bookmarkStart w:id="167" w:name="_Toc123102455"/>
      <w:bookmarkStart w:id="168" w:name="_Toc176189761"/>
      <w:bookmarkStart w:id="169" w:name="_Toc25783"/>
      <w:bookmarkStart w:id="170" w:name="_Toc18567"/>
      <w:bookmarkStart w:id="171" w:name="_Toc74065745"/>
      <w:bookmarkStart w:id="172" w:name="_Toc7058"/>
      <w:bookmarkStart w:id="173" w:name="_Toc98560354"/>
      <w:bookmarkStart w:id="174" w:name="_Toc4559"/>
      <w:bookmarkStart w:id="175" w:name="_Toc10650"/>
      <w:bookmarkStart w:id="176" w:name="_Toc9706"/>
      <w:r>
        <w:rPr>
          <w:rFonts w:ascii="Times New Roman"/>
          <w:sz w:val="30"/>
        </w:rPr>
        <w:t>第九</w:t>
      </w:r>
      <w:r>
        <w:rPr>
          <w:rFonts w:hint="eastAsia" w:ascii="Times New Roman"/>
          <w:sz w:val="30"/>
        </w:rPr>
        <w:t>条</w:t>
      </w:r>
      <w:r>
        <w:rPr>
          <w:rFonts w:ascii="Times New Roman"/>
          <w:sz w:val="30"/>
        </w:rPr>
        <w:t xml:space="preserve">  </w:t>
      </w:r>
      <w:r>
        <w:rPr>
          <w:rFonts w:hint="eastAsia" w:ascii="Times New Roman"/>
          <w:sz w:val="30"/>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190195C5">
      <w:pPr>
        <w:pStyle w:val="14"/>
        <w:spacing w:line="360" w:lineRule="auto"/>
        <w:ind w:firstLine="361" w:firstLineChars="200"/>
        <w:rPr>
          <w:rFonts w:hint="eastAsia" w:ascii="黑体" w:hAnsi="黑体" w:eastAsia="黑体" w:cs="黑体"/>
          <w:b/>
          <w:color w:val="auto"/>
          <w:sz w:val="18"/>
          <w:szCs w:val="18"/>
        </w:rPr>
      </w:pPr>
      <w:r>
        <w:rPr>
          <w:rFonts w:hint="eastAsia" w:ascii="黑体" w:hAnsi="黑体" w:eastAsia="黑体" w:cs="黑体"/>
          <w:b/>
          <w:color w:val="auto"/>
          <w:sz w:val="18"/>
          <w:szCs w:val="18"/>
        </w:rPr>
        <w:t>（一）理财产品的费用</w:t>
      </w:r>
    </w:p>
    <w:p w14:paraId="7F152FE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4540A13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674CC99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6AF164C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7A1D427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23C010D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2FD9DF9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4A1E5BB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624E2E0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49CAB5A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7A96EC3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6CFD53E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70C518DB">
      <w:pPr>
        <w:pStyle w:val="14"/>
        <w:spacing w:line="360" w:lineRule="auto"/>
        <w:ind w:firstLine="360" w:firstLineChars="200"/>
        <w:rPr>
          <w:rFonts w:hint="eastAsia" w:ascii="黑体" w:hAnsi="黑体" w:eastAsia="黑体" w:cs="黑体"/>
          <w:color w:val="auto"/>
          <w:kern w:val="2"/>
          <w:sz w:val="18"/>
          <w:szCs w:val="18"/>
        </w:rPr>
      </w:pPr>
      <w:r>
        <w:rPr>
          <w:rFonts w:ascii="宋体" w:hAnsi="宋体" w:eastAsia="宋体" w:cs="宋体"/>
          <w:sz w:val="18"/>
        </w:rPr>
        <w:t>本产品的销售服务费按前一日理财资产净值与销售服务费每日费率每日计提。销售服务费的计算方法如下：</w:t>
      </w:r>
      <w:r>
        <w:rPr>
          <w:rFonts w:ascii="宋体" w:hAnsi="宋体" w:eastAsia="宋体" w:cs="宋体"/>
          <w:sz w:val="18"/>
        </w:rPr>
        <w:br w:type="textWrapping"/>
      </w:r>
      <w:r>
        <w:rPr>
          <w:rFonts w:ascii="宋体" w:hAnsi="宋体" w:eastAsia="宋体" w:cs="宋体"/>
          <w:sz w:val="18"/>
        </w:rPr>
        <w:t xml:space="preserve">  H＝E×销售服务费年费率÷365</w:t>
      </w:r>
      <w:r>
        <w:rPr>
          <w:rFonts w:ascii="宋体" w:hAnsi="宋体" w:eastAsia="宋体" w:cs="宋体"/>
          <w:sz w:val="18"/>
        </w:rPr>
        <w:br w:type="textWrapping"/>
      </w:r>
      <w:r>
        <w:rPr>
          <w:rFonts w:ascii="宋体" w:hAnsi="宋体" w:eastAsia="宋体" w:cs="宋体"/>
          <w:sz w:val="18"/>
        </w:rPr>
        <w:t xml:space="preserve">  H为每日应计提的销售服务费</w:t>
      </w:r>
      <w:r>
        <w:rPr>
          <w:rFonts w:ascii="宋体" w:hAnsi="宋体" w:eastAsia="宋体" w:cs="宋体"/>
          <w:sz w:val="18"/>
        </w:rPr>
        <w:br w:type="textWrapping"/>
      </w:r>
      <w:r>
        <w:rPr>
          <w:rFonts w:ascii="宋体" w:hAnsi="宋体" w:eastAsia="宋体" w:cs="宋体"/>
          <w:sz w:val="18"/>
        </w:rPr>
        <w:t xml:space="preserve">  E为前一日的理财资产净值</w:t>
      </w:r>
      <w:r>
        <w:rPr>
          <w:rFonts w:ascii="宋体" w:hAnsi="宋体" w:eastAsia="宋体" w:cs="宋体"/>
          <w:sz w:val="18"/>
        </w:rPr>
        <w:br w:type="textWrapping"/>
      </w:r>
      <w:r>
        <w:rPr>
          <w:rFonts w:ascii="宋体" w:hAnsi="宋体" w:eastAsia="宋体" w:cs="宋体"/>
          <w:sz w:val="18"/>
        </w:rPr>
        <w:t xml:space="preserve">  销售服务费依照上述约定，从理财财产中支付。费率具体数值以《产品说明书》“第二条 理财产品基本情况”为准。</w:t>
      </w:r>
    </w:p>
    <w:p w14:paraId="01D69A9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7301983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7AD18EB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712AAEB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7526A2B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358E315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51C6B21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4C6BF1AC">
      <w:pPr>
        <w:widowControl/>
        <w:spacing w:line="360" w:lineRule="auto"/>
        <w:ind w:left="0" w:leftChars="0" w:firstLine="360" w:firstLineChars="200"/>
        <w:jc w:val="left"/>
        <w:rPr>
          <w:rFonts w:hint="eastAsia" w:ascii="黑体" w:hAnsi="黑体" w:eastAsia="黑体" w:cs="黑体"/>
          <w:sz w:val="18"/>
          <w:szCs w:val="18"/>
        </w:rPr>
      </w:pPr>
      <w:r>
        <w:rPr>
          <w:rFonts w:ascii="宋体" w:hAnsi="宋体" w:eastAsia="宋体" w:cs="宋体"/>
          <w:sz w:val="18"/>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rPr>
        <w:br w:type="textWrapping"/>
      </w:r>
      <w:r>
        <w:rPr>
          <w:rFonts w:ascii="宋体" w:hAnsi="宋体" w:eastAsia="宋体" w:cs="宋体"/>
          <w:sz w:val="18"/>
        </w:rPr>
        <w:t xml:space="preserve">    业绩报酬计提基准的设置、超额业绩报酬的具体比例数值以《产品说明书》“第二条 理财产品基本情况”为准。</w:t>
      </w:r>
      <w:r>
        <w:rPr>
          <w:rFonts w:ascii="宋体" w:hAnsi="宋体" w:eastAsia="宋体" w:cs="宋体"/>
          <w:sz w:val="18"/>
        </w:rPr>
        <w:br w:type="textWrapping"/>
      </w:r>
      <w:r>
        <w:rPr>
          <w:rFonts w:ascii="宋体" w:hAnsi="宋体" w:eastAsia="宋体" w:cs="宋体"/>
          <w:sz w:val="18"/>
        </w:rPr>
        <w:t xml:space="preserve">    1）收取超额业绩报酬的原则：</w:t>
      </w:r>
      <w:r>
        <w:rPr>
          <w:rFonts w:ascii="宋体" w:hAnsi="宋体" w:eastAsia="宋体" w:cs="宋体"/>
          <w:sz w:val="18"/>
        </w:rPr>
        <w:br w:type="textWrapping"/>
      </w:r>
      <w:r>
        <w:rPr>
          <w:rFonts w:ascii="宋体" w:hAnsi="宋体" w:eastAsia="宋体" w:cs="宋体"/>
          <w:sz w:val="18"/>
        </w:rPr>
        <w:t xml:space="preserve">    ①按投资者每份产品份额分别计算年化收益率并计提超额业绩报酬；</w:t>
      </w:r>
      <w:r>
        <w:rPr>
          <w:rFonts w:ascii="宋体" w:hAnsi="宋体" w:eastAsia="宋体" w:cs="宋体"/>
          <w:sz w:val="18"/>
        </w:rPr>
        <w:br w:type="textWrapping"/>
      </w:r>
      <w:r>
        <w:rPr>
          <w:rFonts w:ascii="宋体" w:hAnsi="宋体" w:eastAsia="宋体" w:cs="宋体"/>
          <w:sz w:val="18"/>
        </w:rPr>
        <w:t xml:space="preserve">    ②在超额业绩报酬计提日，本产品对符合超额业绩报酬提取条件的产品份额计提超额业绩报酬；</w:t>
      </w:r>
      <w:r>
        <w:rPr>
          <w:rFonts w:ascii="宋体" w:hAnsi="宋体" w:eastAsia="宋体" w:cs="宋体"/>
          <w:sz w:val="18"/>
        </w:rPr>
        <w:br w:type="textWrapping"/>
      </w:r>
      <w:r>
        <w:rPr>
          <w:rFonts w:ascii="宋体" w:hAnsi="宋体" w:eastAsia="宋体" w:cs="宋体"/>
          <w:sz w:val="18"/>
        </w:rPr>
        <w:t xml:space="preserve">    ③在产品终止日提取超额业绩报酬的，超额业绩报酬从清算资金中扣除；</w:t>
      </w:r>
      <w:r>
        <w:rPr>
          <w:rFonts w:ascii="宋体" w:hAnsi="宋体" w:eastAsia="宋体" w:cs="宋体"/>
          <w:sz w:val="18"/>
        </w:rPr>
        <w:br w:type="textWrapping"/>
      </w:r>
      <w:r>
        <w:rPr>
          <w:rFonts w:ascii="宋体" w:hAnsi="宋体" w:eastAsia="宋体" w:cs="宋体"/>
          <w:sz w:val="18"/>
        </w:rPr>
        <w:t xml:space="preserve">    2）超额业绩报酬计提方法</w:t>
      </w:r>
      <w:r>
        <w:rPr>
          <w:rFonts w:ascii="宋体" w:hAnsi="宋体" w:eastAsia="宋体" w:cs="宋体"/>
          <w:sz w:val="18"/>
        </w:rPr>
        <w:br w:type="textWrapping"/>
      </w:r>
      <w:r>
        <w:rPr>
          <w:rFonts w:ascii="宋体" w:hAnsi="宋体" w:eastAsia="宋体" w:cs="宋体"/>
          <w:sz w:val="18"/>
        </w:rPr>
        <w:t xml:space="preserve">    ①超额业绩报酬计提起始日</w:t>
      </w:r>
      <w:r>
        <w:rPr>
          <w:rFonts w:ascii="宋体" w:hAnsi="宋体" w:eastAsia="宋体" w:cs="宋体"/>
          <w:sz w:val="18"/>
        </w:rPr>
        <w:br w:type="textWrapping"/>
      </w:r>
      <w:r>
        <w:rPr>
          <w:rFonts w:ascii="宋体" w:hAnsi="宋体" w:eastAsia="宋体" w:cs="宋体"/>
          <w:sz w:val="18"/>
        </w:rPr>
        <w:t xml:space="preserve">    每份产品份额超额业绩报酬计提起始日为：募集期内认购的产品份额，以产品成立日为该份产品份额超额业绩报酬计提起始日。</w:t>
      </w:r>
      <w:r>
        <w:rPr>
          <w:rFonts w:ascii="宋体" w:hAnsi="宋体" w:eastAsia="宋体" w:cs="宋体"/>
          <w:sz w:val="18"/>
        </w:rPr>
        <w:br w:type="textWrapping"/>
      </w:r>
      <w:r>
        <w:rPr>
          <w:rFonts w:ascii="宋体" w:hAnsi="宋体" w:eastAsia="宋体" w:cs="宋体"/>
          <w:sz w:val="18"/>
        </w:rPr>
        <w:t xml:space="preserve">    ②超额业绩报酬计提日</w:t>
      </w:r>
      <w:r>
        <w:rPr>
          <w:rFonts w:ascii="宋体" w:hAnsi="宋体" w:eastAsia="宋体" w:cs="宋体"/>
          <w:sz w:val="18"/>
        </w:rPr>
        <w:br w:type="textWrapping"/>
      </w:r>
      <w:r>
        <w:rPr>
          <w:rFonts w:ascii="宋体" w:hAnsi="宋体" w:eastAsia="宋体" w:cs="宋体"/>
          <w:sz w:val="18"/>
        </w:rPr>
        <w:t xml:space="preserve">    每份产品份额超额业绩报酬每日计提，产品终止日结算。</w:t>
      </w:r>
      <w:r>
        <w:rPr>
          <w:rFonts w:ascii="宋体" w:hAnsi="宋体" w:eastAsia="宋体" w:cs="宋体"/>
          <w:sz w:val="18"/>
        </w:rPr>
        <w:br w:type="textWrapping"/>
      </w:r>
      <w:r>
        <w:rPr>
          <w:rFonts w:ascii="宋体" w:hAnsi="宋体" w:eastAsia="宋体" w:cs="宋体"/>
          <w:sz w:val="18"/>
        </w:rPr>
        <w:t xml:space="preserve">    ③超额业绩报酬的计算</w:t>
      </w:r>
      <w:r>
        <w:rPr>
          <w:rFonts w:ascii="宋体" w:hAnsi="宋体" w:eastAsia="宋体" w:cs="宋体"/>
          <w:sz w:val="18"/>
        </w:rPr>
        <w:br w:type="textWrapping"/>
      </w:r>
      <w:r>
        <w:rPr>
          <w:rFonts w:ascii="宋体" w:hAnsi="宋体" w:eastAsia="宋体" w:cs="宋体"/>
          <w:sz w:val="18"/>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rPr>
        <w:br w:type="textWrapping"/>
      </w:r>
      <w:r>
        <w:rPr>
          <w:rFonts w:ascii="宋体" w:hAnsi="宋体" w:eastAsia="宋体" w:cs="宋体"/>
          <w:sz w:val="18"/>
        </w:rPr>
        <w:t xml:space="preserve">    当R≤当前业绩报酬计提基准，超额业绩报酬=0；</w:t>
      </w:r>
      <w:r>
        <w:rPr>
          <w:rFonts w:ascii="宋体" w:hAnsi="宋体" w:eastAsia="宋体" w:cs="宋体"/>
          <w:sz w:val="18"/>
        </w:rPr>
        <w:br w:type="textWrapping"/>
      </w:r>
      <w:r>
        <w:rPr>
          <w:rFonts w:ascii="宋体" w:hAnsi="宋体" w:eastAsia="宋体" w:cs="宋体"/>
          <w:sz w:val="18"/>
        </w:rPr>
        <w:t xml:space="preserve">    当R＞当前业绩报酬计提基准，超额业绩报酬=产品终止时投资者持有的产品份额×产品成立日产品份额净值×（R-当前业绩报酬计提基准）×N×D/365。</w:t>
      </w:r>
    </w:p>
    <w:p w14:paraId="10BFB31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2E08FCE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0608FB1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131B8FF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639B410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60DAFAD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19B7591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7C6D118C">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1258778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76E21585">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27E14806">
      <w:pPr>
        <w:pStyle w:val="14"/>
        <w:spacing w:line="360" w:lineRule="auto"/>
        <w:ind w:firstLine="360" w:firstLineChars="200"/>
        <w:rPr>
          <w:rFonts w:hint="eastAsia" w:ascii="黑体" w:hAnsi="黑体" w:eastAsia="黑体" w:cs="黑体"/>
          <w:color w:val="auto"/>
          <w:sz w:val="18"/>
        </w:rPr>
      </w:pPr>
      <w:r>
        <w:rPr>
          <w:rFonts w:hint="eastAsia" w:ascii="黑体" w:hAnsi="黑体" w:eastAsia="黑体" w:cs="黑体"/>
          <w:color w:val="auto"/>
          <w:sz w:val="18"/>
        </w:rPr>
        <w:t>3.</w:t>
      </w:r>
      <w:r>
        <w:rPr>
          <w:rFonts w:hint="eastAsia" w:ascii="黑体" w:hAnsi="黑体" w:eastAsia="黑体" w:cs="黑体"/>
          <w:color w:val="auto"/>
          <w:sz w:val="18"/>
          <w:szCs w:val="18"/>
        </w:rPr>
        <w:t>★理财产品费用</w:t>
      </w:r>
      <w:r>
        <w:rPr>
          <w:rFonts w:hint="eastAsia" w:ascii="黑体" w:hAnsi="黑体" w:eastAsia="黑体" w:cs="黑体"/>
          <w:color w:val="auto"/>
          <w:sz w:val="18"/>
        </w:rPr>
        <w:t>的调整</w:t>
      </w:r>
    </w:p>
    <w:p w14:paraId="5118C6CA">
      <w:pPr>
        <w:pStyle w:val="14"/>
        <w:spacing w:line="360" w:lineRule="auto"/>
        <w:ind w:firstLine="360" w:firstLineChars="200"/>
        <w:rPr>
          <w:rFonts w:hint="eastAsia" w:ascii="黑体" w:hAnsi="黑体" w:eastAsia="黑体" w:cs="黑体"/>
          <w:b/>
          <w:color w:val="auto"/>
          <w:sz w:val="18"/>
        </w:rPr>
      </w:pPr>
      <w:r>
        <w:rPr>
          <w:rFonts w:hint="eastAsia" w:ascii="黑体" w:hAnsi="黑体" w:eastAsia="黑体" w:cs="黑体"/>
          <w:color w:val="auto"/>
          <w:sz w:val="18"/>
        </w:rPr>
        <w:t>产品管理人有权</w:t>
      </w:r>
      <w:r>
        <w:rPr>
          <w:rFonts w:hint="eastAsia" w:ascii="黑体" w:hAnsi="黑体" w:eastAsia="黑体" w:cs="黑体"/>
          <w:color w:val="auto"/>
          <w:sz w:val="18"/>
          <w:szCs w:val="18"/>
        </w:rPr>
        <w:t>根据相关法律和国家政策规定，</w:t>
      </w:r>
      <w:r>
        <w:rPr>
          <w:rFonts w:hint="eastAsia" w:ascii="黑体" w:hAnsi="黑体" w:eastAsia="黑体" w:cs="黑体"/>
          <w:color w:val="auto"/>
          <w:sz w:val="18"/>
        </w:rPr>
        <w:t>对理财产品费用的收费项目、收费条件、收费标准和收费方式等进行调整。产品管理人对费用的调整</w:t>
      </w:r>
      <w:r>
        <w:rPr>
          <w:rFonts w:hint="eastAsia" w:ascii="黑体" w:hAnsi="黑体" w:eastAsia="黑体" w:cs="黑体"/>
          <w:bCs/>
          <w:color w:val="auto"/>
          <w:sz w:val="18"/>
        </w:rPr>
        <w:t>将依本产品说明书的“理财产品的信息披露”条款约定进行公告。</w:t>
      </w:r>
    </w:p>
    <w:p w14:paraId="4E3F61D3">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14:paraId="4F5B90B6">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7EBA04D7">
      <w:pPr>
        <w:pStyle w:val="2"/>
        <w:spacing w:line="360" w:lineRule="auto"/>
        <w:jc w:val="center"/>
      </w:pPr>
      <w:bookmarkStart w:id="177" w:name="_Toc3963"/>
      <w:bookmarkStart w:id="178" w:name="_Toc1745"/>
      <w:r>
        <w:br w:type="page"/>
      </w:r>
      <w:bookmarkStart w:id="179" w:name="_Toc31821"/>
      <w:bookmarkStart w:id="180" w:name="_Toc123112237"/>
      <w:bookmarkStart w:id="181" w:name="_Toc10398"/>
      <w:bookmarkStart w:id="182" w:name="_Toc16164"/>
      <w:bookmarkStart w:id="183" w:name="_Toc3080"/>
      <w:bookmarkStart w:id="184" w:name="_Toc123051455"/>
      <w:bookmarkStart w:id="185" w:name="_Toc79154673"/>
      <w:bookmarkStart w:id="186" w:name="_Toc18206"/>
      <w:bookmarkStart w:id="187" w:name="_Toc141703889"/>
      <w:bookmarkStart w:id="188" w:name="_Toc3572"/>
      <w:bookmarkStart w:id="189" w:name="_Toc21735"/>
      <w:bookmarkStart w:id="190" w:name="_Toc176189762"/>
      <w:bookmarkStart w:id="191" w:name="_Toc74065746"/>
      <w:bookmarkStart w:id="192" w:name="_Toc139991739"/>
      <w:bookmarkStart w:id="193" w:name="_Toc725"/>
      <w:bookmarkStart w:id="194" w:name="_Toc98560355"/>
      <w:bookmarkStart w:id="195" w:name="_Toc123102456"/>
      <w:r>
        <w:rPr>
          <w:rFonts w:hint="eastAsia"/>
          <w:sz w:val="30"/>
        </w:rPr>
        <w:t>第</w:t>
      </w:r>
      <w:r>
        <w:rPr>
          <w:sz w:val="30"/>
        </w:rPr>
        <w:t>十</w:t>
      </w:r>
      <w:r>
        <w:rPr>
          <w:rFonts w:hint="eastAsia"/>
          <w:sz w:val="30"/>
        </w:rPr>
        <w:t>条</w:t>
      </w:r>
      <w:r>
        <w:rPr>
          <w:sz w:val="30"/>
        </w:rPr>
        <w:t xml:space="preserve">  </w:t>
      </w:r>
      <w:r>
        <w:rPr>
          <w:rFonts w:hint="eastAsia"/>
          <w:sz w:val="30"/>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24333BDB">
      <w:pPr>
        <w:spacing w:line="360" w:lineRule="auto"/>
        <w:ind w:firstLine="361" w:firstLineChars="200"/>
        <w:rPr>
          <w:rFonts w:asciiTheme="majorEastAsia" w:hAnsiTheme="majorEastAsia" w:eastAsiaTheme="majorEastAsia"/>
          <w:b/>
          <w:bCs/>
          <w:sz w:val="18"/>
          <w:szCs w:val="18"/>
        </w:rPr>
      </w:pPr>
      <w:bookmarkStart w:id="196" w:name="_Toc57530252"/>
      <w:bookmarkStart w:id="197" w:name="_Toc79392593"/>
      <w:bookmarkStart w:id="198" w:name="_Toc15118245"/>
      <w:r>
        <w:rPr>
          <w:rFonts w:hint="eastAsia" w:asciiTheme="majorEastAsia" w:hAnsiTheme="majorEastAsia" w:eastAsiaTheme="majorEastAsia"/>
          <w:b/>
          <w:bCs/>
          <w:sz w:val="18"/>
          <w:szCs w:val="18"/>
        </w:rPr>
        <w:t>（一）理财产品的终止</w:t>
      </w:r>
    </w:p>
    <w:p w14:paraId="5185750C">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14:paraId="517440B8">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14:paraId="58BC5069">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14:paraId="7425D830">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14:paraId="501551A3">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14:paraId="1E55946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14:paraId="5865BB2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14:paraId="723F7B04">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14:paraId="26294A51">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14:paraId="14605C7F">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14:paraId="495B1CA8">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14:paraId="07078DE5">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14:paraId="1B08D1D5">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14:paraId="079A1427">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14:paraId="6A4F85FA">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14:paraId="4257C6B7">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14:paraId="2592FBF6">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14:paraId="062C7F4B">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14:paraId="714CAFB4">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14:paraId="0B240C60">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p>
    <w:p w14:paraId="3C530483">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14:paraId="276FA8FF">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终止部分产品份额，同时根据产品最新的理财产品份额净值和份额计算并支付投资者相应的理财利益，投资者所持有的理财产品份额则按比例注销。</w:t>
      </w:r>
    </w:p>
    <w:p w14:paraId="775BED2C">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部分终止的利益分配：产品管理人将依照销售文件公布部分终止日并指定利益分配日（一般为部分终止日之后的【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14:paraId="38CC1CDF">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实际到账日之间产生的利息（如有），归投资者所有。</w:t>
      </w:r>
    </w:p>
    <w:p w14:paraId="23BA3CB9">
      <w:pPr>
        <w:spacing w:line="360" w:lineRule="auto"/>
        <w:ind w:firstLine="360" w:firstLineChars="200"/>
        <w:rPr>
          <w:rFonts w:hint="eastAsia"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4600C13A">
      <w:pPr>
        <w:spacing w:line="360" w:lineRule="auto"/>
        <w:ind w:firstLine="360" w:firstLineChars="200"/>
        <w:rPr>
          <w:rFonts w:hint="eastAsia" w:asciiTheme="majorEastAsia" w:hAnsiTheme="majorEastAsia" w:eastAsiaTheme="majorEastAsia"/>
          <w:bCs/>
          <w:sz w:val="18"/>
          <w:szCs w:val="18"/>
        </w:rPr>
      </w:pPr>
      <w:r>
        <w:rPr>
          <w:rFonts w:hint="default" w:asciiTheme="majorEastAsia" w:hAnsiTheme="majorEastAsia" w:eastAsiaTheme="majorEastAsia"/>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Theme="majorEastAsia" w:hAnsiTheme="majorEastAsia" w:eastAsiaTheme="majorEastAsia"/>
          <w:bCs/>
          <w:sz w:val="18"/>
          <w:szCs w:val="18"/>
        </w:rPr>
        <w:t>【5】</w:t>
      </w:r>
      <w:r>
        <w:rPr>
          <w:rFonts w:hint="default" w:asciiTheme="majorEastAsia" w:hAnsiTheme="majorEastAsia" w:eastAsiaTheme="majorEastAsia"/>
          <w:bCs/>
          <w:sz w:val="18"/>
          <w:szCs w:val="18"/>
          <w:lang w:val="en-US" w:eastAsia="zh-CN"/>
        </w:rPr>
        <w:t>个工作日内按投资者持有的理财产品份额比例向投资者进行再次分配。</w:t>
      </w:r>
    </w:p>
    <w:bookmarkEnd w:id="196"/>
    <w:bookmarkEnd w:id="197"/>
    <w:bookmarkEnd w:id="198"/>
    <w:p w14:paraId="48DFC4E4">
      <w:pPr>
        <w:pStyle w:val="2"/>
        <w:spacing w:before="0" w:after="0" w:line="360" w:lineRule="auto"/>
        <w:jc w:val="center"/>
        <w:rPr>
          <w:rFonts w:ascii="Times New Roman"/>
          <w:sz w:val="30"/>
        </w:rPr>
      </w:pPr>
      <w:r>
        <w:rPr>
          <w:rFonts w:ascii="Times New Roman"/>
          <w:b w:val="0"/>
          <w:bCs w:val="0"/>
          <w:kern w:val="2"/>
        </w:rPr>
        <w:br w:type="page"/>
      </w:r>
      <w:bookmarkStart w:id="199" w:name="_Toc21237"/>
      <w:bookmarkStart w:id="200" w:name="_Toc123051456"/>
      <w:bookmarkStart w:id="201" w:name="_Toc74065747"/>
      <w:bookmarkStart w:id="202" w:name="_Toc8791"/>
      <w:bookmarkStart w:id="203" w:name="_Toc98560356"/>
      <w:bookmarkStart w:id="204" w:name="_Toc17920"/>
      <w:bookmarkStart w:id="205" w:name="_Toc32584"/>
      <w:bookmarkStart w:id="206" w:name="_Toc17198"/>
      <w:bookmarkStart w:id="207" w:name="_Toc79392622"/>
      <w:bookmarkStart w:id="208" w:name="_Toc123102457"/>
      <w:bookmarkStart w:id="209" w:name="_Toc32092"/>
      <w:bookmarkStart w:id="210" w:name="_Toc139991740"/>
      <w:bookmarkStart w:id="211" w:name="_Toc3329"/>
      <w:bookmarkStart w:id="212" w:name="_Toc176189763"/>
      <w:bookmarkStart w:id="213" w:name="_Toc5170"/>
      <w:bookmarkStart w:id="214" w:name="_Toc739"/>
      <w:bookmarkStart w:id="215" w:name="_Toc29408"/>
      <w:bookmarkStart w:id="216" w:name="_Toc141703890"/>
      <w:bookmarkStart w:id="217" w:name="_Toc123112238"/>
      <w:bookmarkStart w:id="218" w:name="_Toc48649708"/>
      <w:bookmarkStart w:id="219" w:name="_Toc79154674"/>
      <w:r>
        <w:rPr>
          <w:rFonts w:ascii="Times New Roman"/>
          <w:sz w:val="30"/>
        </w:rPr>
        <w:t>第十一</w:t>
      </w:r>
      <w:r>
        <w:rPr>
          <w:rFonts w:hint="eastAsia" w:ascii="Times New Roman"/>
          <w:sz w:val="30"/>
        </w:rPr>
        <w:t>条</w:t>
      </w:r>
      <w:r>
        <w:rPr>
          <w:rFonts w:ascii="Times New Roman"/>
          <w:sz w:val="30"/>
        </w:rPr>
        <w:t xml:space="preserve">  </w:t>
      </w:r>
      <w:r>
        <w:rPr>
          <w:rFonts w:hint="eastAsia" w:ascii="Times New Roman"/>
          <w:sz w:val="30"/>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12B3EDBA">
      <w:pPr>
        <w:spacing w:line="360" w:lineRule="auto"/>
        <w:ind w:firstLine="361"/>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14:paraId="56F4F307">
      <w:pPr>
        <w:spacing w:line="360" w:lineRule="auto"/>
        <w:ind w:firstLine="36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14:paraId="110FBF23">
      <w:pPr>
        <w:spacing w:line="360" w:lineRule="auto"/>
        <w:ind w:firstLine="361"/>
        <w:rPr>
          <w:rFonts w:ascii="宋体" w:hAnsi="宋体"/>
          <w:b/>
          <w:bCs/>
          <w:sz w:val="18"/>
          <w:szCs w:val="18"/>
        </w:rPr>
      </w:pPr>
      <w:r>
        <w:rPr>
          <w:rFonts w:hint="eastAsia" w:ascii="宋体" w:hAnsi="宋体"/>
          <w:b/>
          <w:bCs/>
          <w:sz w:val="18"/>
          <w:szCs w:val="18"/>
        </w:rPr>
        <w:t>（二）信息披露的渠道</w:t>
      </w:r>
    </w:p>
    <w:p w14:paraId="0232091A">
      <w:pPr>
        <w:spacing w:line="360" w:lineRule="auto"/>
        <w:ind w:firstLine="36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。本理财产品认购期和存续期间，产品管理人将通过产品管理人或销售机构的信息披露渠道开展理财产品的信息披露工作。请投资者及时关注。</w:t>
      </w:r>
    </w:p>
    <w:p w14:paraId="69C264C9">
      <w:pPr>
        <w:spacing w:line="360" w:lineRule="auto"/>
        <w:ind w:firstLine="36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14:paraId="573A2C37">
      <w:pPr>
        <w:spacing w:line="360" w:lineRule="auto"/>
        <w:ind w:firstLine="36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14:paraId="3226CEF9">
      <w:pPr>
        <w:spacing w:line="360" w:lineRule="auto"/>
        <w:ind w:firstLine="36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14:paraId="7AC6B68E">
      <w:pPr>
        <w:spacing w:line="360" w:lineRule="auto"/>
        <w:ind w:firstLine="361"/>
        <w:rPr>
          <w:rFonts w:ascii="宋体" w:hAnsi="宋体"/>
          <w:b/>
          <w:bCs/>
          <w:sz w:val="18"/>
          <w:szCs w:val="18"/>
        </w:rPr>
      </w:pPr>
      <w:r>
        <w:rPr>
          <w:rFonts w:hint="eastAsia" w:ascii="宋体" w:hAnsi="宋体"/>
          <w:b/>
          <w:bCs/>
          <w:sz w:val="18"/>
          <w:szCs w:val="18"/>
        </w:rPr>
        <w:t>（三）信息披露的内容</w:t>
      </w:r>
    </w:p>
    <w:p w14:paraId="58559DD1">
      <w:pPr>
        <w:spacing w:line="360" w:lineRule="auto"/>
        <w:ind w:firstLine="36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67283E34">
      <w:pPr>
        <w:spacing w:line="360" w:lineRule="auto"/>
        <w:ind w:firstLine="361"/>
        <w:rPr>
          <w:rFonts w:ascii="宋体" w:hAnsi="宋体"/>
          <w:b/>
          <w:bCs/>
          <w:sz w:val="18"/>
          <w:szCs w:val="18"/>
        </w:rPr>
      </w:pPr>
      <w:r>
        <w:rPr>
          <w:rFonts w:hint="eastAsia" w:ascii="宋体" w:hAnsi="宋体"/>
          <w:b/>
          <w:bCs/>
          <w:sz w:val="18"/>
          <w:szCs w:val="18"/>
        </w:rPr>
        <w:t>（四）信息披露的频率和时间</w:t>
      </w:r>
    </w:p>
    <w:p w14:paraId="7E630847">
      <w:pPr>
        <w:spacing w:line="360" w:lineRule="auto"/>
        <w:ind w:firstLine="360"/>
        <w:rPr>
          <w:rFonts w:ascii="宋体" w:hAnsi="宋体"/>
          <w:bCs/>
          <w:sz w:val="18"/>
          <w:szCs w:val="18"/>
        </w:rPr>
      </w:pPr>
      <w:r>
        <w:rPr>
          <w:rFonts w:ascii="宋体" w:hAnsi="宋体"/>
          <w:bCs/>
          <w:sz w:val="18"/>
          <w:szCs w:val="18"/>
        </w:rPr>
        <w:t>1.产品成立公告</w:t>
      </w:r>
    </w:p>
    <w:p w14:paraId="3457A850">
      <w:pPr>
        <w:spacing w:line="360" w:lineRule="auto"/>
        <w:ind w:firstLine="36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14:paraId="719976B7">
      <w:pPr>
        <w:spacing w:line="360" w:lineRule="auto"/>
        <w:ind w:firstLine="36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14:paraId="601FB2CB">
      <w:pPr>
        <w:spacing w:line="360" w:lineRule="auto"/>
        <w:ind w:firstLine="36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14:paraId="7B0811BB">
      <w:pPr>
        <w:spacing w:line="360" w:lineRule="auto"/>
        <w:ind w:firstLine="360"/>
        <w:rPr>
          <w:rFonts w:ascii="宋体" w:hAnsi="宋体"/>
          <w:bCs/>
          <w:sz w:val="18"/>
          <w:szCs w:val="18"/>
        </w:rPr>
      </w:pPr>
      <w:r>
        <w:rPr>
          <w:rFonts w:ascii="宋体" w:hAnsi="宋体"/>
          <w:bCs/>
          <w:sz w:val="18"/>
          <w:szCs w:val="18"/>
        </w:rPr>
        <w:t>3.定期报告</w:t>
      </w:r>
    </w:p>
    <w:p w14:paraId="6BA53CC2">
      <w:pPr>
        <w:spacing w:line="360" w:lineRule="auto"/>
        <w:ind w:firstLine="36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05FF7EA9">
      <w:pPr>
        <w:spacing w:line="360" w:lineRule="auto"/>
        <w:ind w:firstLine="360"/>
        <w:rPr>
          <w:rFonts w:ascii="宋体" w:hAnsi="宋体"/>
          <w:bCs/>
          <w:sz w:val="18"/>
          <w:szCs w:val="18"/>
        </w:rPr>
      </w:pPr>
      <w:r>
        <w:rPr>
          <w:rFonts w:ascii="宋体" w:hAnsi="宋体"/>
          <w:bCs/>
          <w:sz w:val="18"/>
          <w:szCs w:val="18"/>
        </w:rPr>
        <w:t>4.到期公告</w:t>
      </w:r>
    </w:p>
    <w:p w14:paraId="089053A3">
      <w:pPr>
        <w:spacing w:line="360" w:lineRule="auto"/>
        <w:ind w:firstLine="36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14:paraId="51FA018D">
      <w:pPr>
        <w:spacing w:line="360" w:lineRule="auto"/>
        <w:ind w:firstLine="360"/>
        <w:rPr>
          <w:rFonts w:ascii="宋体" w:hAnsi="宋体"/>
          <w:bCs/>
          <w:sz w:val="18"/>
          <w:szCs w:val="18"/>
        </w:rPr>
      </w:pPr>
      <w:r>
        <w:rPr>
          <w:rFonts w:ascii="宋体" w:hAnsi="宋体"/>
          <w:bCs/>
          <w:sz w:val="18"/>
          <w:szCs w:val="18"/>
        </w:rPr>
        <w:t>5.估值日公告</w:t>
      </w:r>
    </w:p>
    <w:p w14:paraId="338C628C">
      <w:pPr>
        <w:spacing w:line="360" w:lineRule="auto"/>
        <w:ind w:firstLine="360"/>
        <w:rPr>
          <w:rFonts w:ascii="宋体" w:hAnsi="宋体"/>
          <w:bCs/>
          <w:sz w:val="18"/>
          <w:szCs w:val="18"/>
        </w:rPr>
      </w:pPr>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w:t>
      </w:r>
      <w:r>
        <w:rPr>
          <w:rFonts w:hint="eastAsia" w:ascii="宋体" w:hAnsi="宋体"/>
          <w:bCs/>
          <w:sz w:val="18"/>
          <w:szCs w:val="18"/>
          <w:lang w:val="en-US" w:eastAsia="zh-CN"/>
        </w:rPr>
        <w:t>周</w:t>
      </w:r>
      <w:r>
        <w:rPr>
          <w:rFonts w:hint="eastAsia" w:ascii="宋体" w:hAnsi="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6F84FCF4">
      <w:pPr>
        <w:spacing w:line="360" w:lineRule="auto"/>
        <w:ind w:firstLine="360"/>
        <w:rPr>
          <w:rFonts w:ascii="宋体" w:hAnsi="宋体"/>
          <w:bCs/>
          <w:sz w:val="18"/>
          <w:szCs w:val="18"/>
        </w:rPr>
      </w:pPr>
      <w:r>
        <w:rPr>
          <w:rFonts w:ascii="宋体" w:hAnsi="宋体"/>
          <w:bCs/>
          <w:sz w:val="18"/>
          <w:szCs w:val="18"/>
        </w:rPr>
        <w:t>6.临时公告</w:t>
      </w:r>
    </w:p>
    <w:p w14:paraId="38D727ED">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14:paraId="1B56E7C7">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认购申请、暂停理财产品估值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在发生涉及产品认购事项调整时，管理人将发布临时公告。</w:t>
      </w:r>
    </w:p>
    <w:p w14:paraId="080570BA">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14:paraId="0E78F2C3">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14:paraId="236DB8D6">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14:paraId="07F2ED6A">
      <w:pPr>
        <w:spacing w:line="360" w:lineRule="auto"/>
        <w:ind w:firstLine="360"/>
        <w:rPr>
          <w:rFonts w:ascii="宋体" w:hAnsi="宋体"/>
          <w:bCs/>
          <w:sz w:val="18"/>
          <w:szCs w:val="18"/>
        </w:rPr>
      </w:pPr>
      <w:r>
        <w:rPr>
          <w:rFonts w:hint="eastAsia" w:ascii="宋体" w:hAnsi="宋体"/>
          <w:bCs/>
          <w:sz w:val="18"/>
          <w:szCs w:val="18"/>
        </w:rPr>
        <w:t>除前述事项外，如出现其他突发事件，需在事件发生后及时进行披露。</w:t>
      </w:r>
    </w:p>
    <w:p w14:paraId="736D5874">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14:paraId="20611A61">
      <w:pPr>
        <w:widowControl/>
        <w:spacing w:line="360" w:lineRule="auto"/>
        <w:jc w:val="left"/>
        <w:rPr>
          <w:bCs/>
          <w:sz w:val="24"/>
        </w:rPr>
      </w:pPr>
      <w:r>
        <w:rPr>
          <w:bCs/>
          <w:sz w:val="24"/>
        </w:rPr>
        <w:br w:type="page"/>
      </w:r>
    </w:p>
    <w:p w14:paraId="7139E3B7">
      <w:pPr>
        <w:pStyle w:val="2"/>
        <w:spacing w:before="0" w:after="0" w:line="360" w:lineRule="auto"/>
        <w:jc w:val="center"/>
        <w:rPr>
          <w:rFonts w:ascii="Times New Roman"/>
          <w:b w:val="0"/>
          <w:sz w:val="30"/>
        </w:rPr>
      </w:pPr>
      <w:bookmarkStart w:id="220" w:name="_Toc79154675"/>
      <w:bookmarkStart w:id="221" w:name="_Toc176189764"/>
      <w:r>
        <w:rPr>
          <w:rFonts w:hint="eastAsia" w:ascii="Times New Roman"/>
          <w:sz w:val="30"/>
        </w:rPr>
        <w:t>第十</w:t>
      </w:r>
      <w:r>
        <w:rPr>
          <w:rFonts w:ascii="Times New Roman"/>
          <w:sz w:val="30"/>
        </w:rPr>
        <w:t>二</w:t>
      </w:r>
      <w:r>
        <w:rPr>
          <w:rFonts w:hint="eastAsia" w:ascii="Times New Roman"/>
          <w:sz w:val="30"/>
        </w:rPr>
        <w:t>条</w:t>
      </w:r>
      <w:r>
        <w:rPr>
          <w:rFonts w:ascii="Times New Roman"/>
          <w:sz w:val="30"/>
        </w:rPr>
        <w:t xml:space="preserve">  </w:t>
      </w:r>
      <w:r>
        <w:rPr>
          <w:rFonts w:hint="eastAsia" w:ascii="Times New Roman"/>
          <w:sz w:val="30"/>
        </w:rPr>
        <w:t>理财产品</w:t>
      </w:r>
      <w:r>
        <w:rPr>
          <w:rFonts w:ascii="Times New Roman"/>
          <w:sz w:val="30"/>
        </w:rPr>
        <w:t>的风险揭示</w:t>
      </w:r>
      <w:bookmarkEnd w:id="220"/>
      <w:bookmarkEnd w:id="221"/>
    </w:p>
    <w:p w14:paraId="7F8BC076">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7D734C4D">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【1.拟投资市场和资产的风险：</w:t>
      </w:r>
    </w:p>
    <w:p w14:paraId="54B54B6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（1）投资债权类资产的风险</w:t>
      </w:r>
    </w:p>
    <w:p w14:paraId="3068512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1）投资标准化债权类资产的风险</w:t>
      </w:r>
    </w:p>
    <w:p w14:paraId="3F4874DE">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3A5E6F0E">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 xml:space="preserve">（2）投资商品和金融衍生品类资产的风险 </w:t>
      </w:r>
    </w:p>
    <w:p w14:paraId="3881B95E">
      <w:pPr>
        <w:spacing w:line="360" w:lineRule="auto"/>
        <w:ind w:firstLine="360" w:firstLineChars="200"/>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43EB1C18">
      <w:pPr>
        <w:pStyle w:val="12"/>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24E9B0E4">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7C7CF6CB">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14:paraId="48694DAC">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15610C50">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14:paraId="6A1A997D">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6101D028">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14:paraId="70C9D9C9">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0881C0C2">
      <w:pPr>
        <w:spacing w:line="360" w:lineRule="auto"/>
        <w:ind w:firstLine="360" w:firstLineChars="200"/>
        <w:rPr>
          <w:rFonts w:ascii="宋体" w:hAnsi="宋体"/>
          <w:sz w:val="18"/>
          <w:szCs w:val="18"/>
        </w:rPr>
      </w:pPr>
      <w:r>
        <w:rPr>
          <w:rFonts w:hint="eastAsia" w:ascii="宋体" w:hAnsi="宋体"/>
          <w:sz w:val="18"/>
          <w:szCs w:val="18"/>
        </w:rPr>
        <w:t>4.流动性风险</w:t>
      </w:r>
    </w:p>
    <w:p w14:paraId="237AB579">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9B7C99C">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14:paraId="053B48DF">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14:paraId="47E221EE">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14:paraId="3847F78F">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14:paraId="0B6A4122">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14:paraId="55F05A6B">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6CEDE8C8">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14:paraId="3F691B4A">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14:paraId="38F54E41">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14:paraId="0E73C0B3">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14:paraId="70DC09F0">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14:paraId="3176210C">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14:paraId="12E92337">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14:paraId="2B32778C">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14:paraId="7841B6F8">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14:paraId="6969B846">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14:paraId="41D105C1">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14:paraId="59DA88C4">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14:paraId="4811564B">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14:paraId="71360674">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14:paraId="509F1CF9">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1ECED5D1">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1DFC27FE">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14:paraId="603533FE">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14:paraId="3CD08173">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5F8B3080">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3913E965">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45161081">
      <w:pPr>
        <w:widowControl/>
        <w:jc w:val="left"/>
        <w:rPr>
          <w:rFonts w:ascii="宋体" w:hAnsi="宋体"/>
          <w:color w:val="000000"/>
          <w:kern w:val="0"/>
          <w:sz w:val="18"/>
          <w:szCs w:val="18"/>
        </w:rPr>
      </w:pPr>
      <w:r>
        <w:rPr>
          <w:rFonts w:hAnsi="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73554A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4B877DF3">
            <w:pPr>
              <w:spacing w:line="280" w:lineRule="atLeast"/>
              <w:ind w:firstLine="422"/>
              <w:jc w:val="center"/>
              <w:rPr>
                <w:rFonts w:ascii="宋体" w:hAnsi="宋体" w:cs="Arial"/>
                <w:b/>
                <w:szCs w:val="21"/>
              </w:rPr>
            </w:pPr>
            <w:r>
              <w:rPr>
                <w:rFonts w:hint="eastAsia" w:ascii="宋体" w:hAnsi="宋体" w:cs="Arial"/>
                <w:b/>
                <w:szCs w:val="21"/>
              </w:rPr>
              <w:t>投资者确认栏</w:t>
            </w:r>
          </w:p>
          <w:p w14:paraId="13F31F41">
            <w:pPr>
              <w:spacing w:line="360" w:lineRule="auto"/>
              <w:ind w:firstLine="361"/>
              <w:rPr>
                <w:b/>
                <w:sz w:val="18"/>
                <w:szCs w:val="18"/>
              </w:rPr>
            </w:pPr>
          </w:p>
        </w:tc>
      </w:tr>
      <w:tr w14:paraId="210209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61D44792">
            <w:pPr>
              <w:spacing w:line="360" w:lineRule="auto"/>
              <w:jc w:val="left"/>
              <w:rPr>
                <w:b/>
                <w:sz w:val="18"/>
                <w:szCs w:val="18"/>
              </w:rPr>
            </w:pPr>
            <w:r>
              <w:rPr>
                <w:rFonts w:hint="eastAsia"/>
                <w:b/>
                <w:sz w:val="18"/>
                <w:szCs w:val="18"/>
              </w:rPr>
              <w:t>个人投资者适用</w:t>
            </w:r>
          </w:p>
        </w:tc>
        <w:tc>
          <w:tcPr>
            <w:tcW w:w="7371" w:type="dxa"/>
          </w:tcPr>
          <w:p w14:paraId="0CD1EBBE">
            <w:pPr>
              <w:spacing w:line="360" w:lineRule="auto"/>
              <w:ind w:firstLine="360"/>
              <w:jc w:val="left"/>
              <w:rPr>
                <w:sz w:val="18"/>
                <w:szCs w:val="18"/>
              </w:rPr>
            </w:pPr>
            <w:r>
              <w:rPr>
                <w:rFonts w:hint="eastAsia"/>
                <w:sz w:val="18"/>
                <w:szCs w:val="18"/>
              </w:rPr>
              <w:t>投资者（</w:t>
            </w:r>
            <w:r>
              <w:rPr>
                <w:sz w:val="18"/>
                <w:szCs w:val="18"/>
              </w:rPr>
              <w:t>签名/</w:t>
            </w:r>
            <w:r>
              <w:rPr>
                <w:rFonts w:hint="eastAsia"/>
                <w:sz w:val="18"/>
                <w:szCs w:val="18"/>
              </w:rPr>
              <w:t>线上确认）：</w:t>
            </w:r>
          </w:p>
          <w:p w14:paraId="378E04F6">
            <w:pPr>
              <w:spacing w:line="360" w:lineRule="auto"/>
              <w:ind w:firstLine="361"/>
              <w:jc w:val="left"/>
              <w:rPr>
                <w:b/>
                <w:sz w:val="18"/>
                <w:szCs w:val="18"/>
              </w:rPr>
            </w:pPr>
          </w:p>
          <w:p w14:paraId="662291A7">
            <w:pPr>
              <w:spacing w:line="360" w:lineRule="auto"/>
              <w:ind w:firstLine="360"/>
              <w:jc w:val="left"/>
              <w:rPr>
                <w:sz w:val="18"/>
                <w:szCs w:val="18"/>
              </w:rPr>
            </w:pPr>
            <w:r>
              <w:rPr>
                <w:rFonts w:hint="eastAsia"/>
                <w:sz w:val="18"/>
                <w:szCs w:val="18"/>
              </w:rPr>
              <w:t>日期：</w:t>
            </w:r>
          </w:p>
        </w:tc>
      </w:tr>
      <w:tr w14:paraId="561B19A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6B923479">
            <w:pPr>
              <w:spacing w:line="360" w:lineRule="auto"/>
              <w:jc w:val="left"/>
              <w:rPr>
                <w:b/>
                <w:sz w:val="18"/>
                <w:szCs w:val="18"/>
              </w:rPr>
            </w:pPr>
            <w:r>
              <w:rPr>
                <w:rFonts w:hint="eastAsia"/>
                <w:b/>
                <w:sz w:val="18"/>
                <w:szCs w:val="18"/>
              </w:rPr>
              <w:t>机构投资者适用</w:t>
            </w:r>
          </w:p>
        </w:tc>
        <w:tc>
          <w:tcPr>
            <w:tcW w:w="7371" w:type="dxa"/>
          </w:tcPr>
          <w:p w14:paraId="04177B16">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cs="Arial"/>
                <w:sz w:val="18"/>
                <w:szCs w:val="18"/>
              </w:rPr>
              <w:t>线上确认）：</w:t>
            </w:r>
          </w:p>
          <w:p w14:paraId="5FCF01D7">
            <w:pPr>
              <w:tabs>
                <w:tab w:val="left" w:pos="5609"/>
              </w:tabs>
              <w:spacing w:line="360" w:lineRule="auto"/>
              <w:ind w:firstLine="360"/>
              <w:jc w:val="left"/>
              <w:rPr>
                <w:rFonts w:cs="Arial"/>
                <w:sz w:val="18"/>
                <w:szCs w:val="18"/>
              </w:rPr>
            </w:pPr>
            <w:r>
              <w:rPr>
                <w:rFonts w:cs="Arial"/>
                <w:sz w:val="18"/>
                <w:szCs w:val="18"/>
              </w:rPr>
              <w:tab/>
            </w:r>
          </w:p>
          <w:p w14:paraId="2E385D09">
            <w:pPr>
              <w:spacing w:line="360" w:lineRule="auto"/>
              <w:ind w:firstLine="360"/>
              <w:jc w:val="left"/>
              <w:rPr>
                <w:rFonts w:cs="Arial"/>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cs="Arial"/>
                <w:sz w:val="18"/>
                <w:szCs w:val="18"/>
              </w:rPr>
              <w:t>线上确认）：</w:t>
            </w:r>
          </w:p>
          <w:p w14:paraId="7094EA3A">
            <w:pPr>
              <w:spacing w:line="360" w:lineRule="auto"/>
              <w:ind w:firstLine="360"/>
              <w:jc w:val="left"/>
              <w:rPr>
                <w:sz w:val="18"/>
                <w:szCs w:val="18"/>
              </w:rPr>
            </w:pPr>
            <w:r>
              <w:rPr>
                <w:rFonts w:hint="eastAsia"/>
                <w:sz w:val="18"/>
                <w:szCs w:val="18"/>
              </w:rPr>
              <w:t>日期：</w:t>
            </w:r>
          </w:p>
        </w:tc>
      </w:tr>
    </w:tbl>
    <w:p w14:paraId="3C6DCF45">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14:paraId="0BDFD263">
      <w:pPr>
        <w:pStyle w:val="14"/>
        <w:spacing w:line="360" w:lineRule="auto"/>
        <w:rPr>
          <w:rFonts w:hAnsi="宋体"/>
          <w:sz w:val="18"/>
          <w:szCs w:val="18"/>
        </w:rPr>
      </w:pPr>
    </w:p>
    <w:p w14:paraId="00EC060E">
      <w:pPr>
        <w:pStyle w:val="14"/>
        <w:spacing w:line="360" w:lineRule="auto"/>
        <w:rPr>
          <w:rFonts w:hAnsi="宋体"/>
          <w:sz w:val="18"/>
          <w:szCs w:val="18"/>
        </w:rPr>
      </w:pPr>
    </w:p>
    <w:p w14:paraId="003ACA72">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06186E5E"/>
    <w:p w14:paraId="7E41404D">
      <w:pPr>
        <w:widowControl/>
        <w:spacing w:before="156"/>
        <w:jc w:val="center"/>
        <w:rPr>
          <w:rFonts w:ascii="黑体" w:hAnsi="黑体" w:eastAsia="黑体"/>
          <w:b/>
          <w:sz w:val="28"/>
          <w:szCs w:val="28"/>
        </w:rPr>
      </w:pPr>
      <w:r>
        <w:rPr>
          <w:rFonts w:hint="eastAsia" w:ascii="黑体" w:hAnsi="黑体" w:eastAsia="黑体"/>
          <w:b/>
          <w:sz w:val="28"/>
          <w:szCs w:val="28"/>
        </w:rPr>
        <w:t>【兴银理财稳利恒盈封闭式2026年816期固收类理财产品】</w:t>
      </w:r>
    </w:p>
    <w:p w14:paraId="55F5B526">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14:paraId="4FDDCB97">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14:paraId="5D521A39">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14:paraId="18107AC5">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325AB78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2EF67DB7">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14:paraId="604FA90F">
            <w:pPr>
              <w:pStyle w:val="4"/>
              <w:spacing w:line="320" w:lineRule="exact"/>
              <w:rPr>
                <w:rFonts w:ascii="宋体" w:hAnsi="宋体"/>
                <w:b/>
                <w:bCs/>
                <w:sz w:val="28"/>
                <w:szCs w:val="28"/>
              </w:rPr>
            </w:pPr>
          </w:p>
        </w:tc>
      </w:tr>
      <w:tr w14:paraId="5A61FE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44050919">
            <w:pPr>
              <w:pStyle w:val="4"/>
              <w:spacing w:line="320" w:lineRule="exact"/>
              <w:rPr>
                <w:rFonts w:ascii="宋体" w:hAnsi="宋体"/>
                <w:b/>
                <w:bCs/>
                <w:sz w:val="28"/>
                <w:szCs w:val="28"/>
              </w:rPr>
            </w:pPr>
          </w:p>
        </w:tc>
      </w:tr>
      <w:tr w14:paraId="1BBC9D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7E3FC35A">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14:paraId="19093497">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14:paraId="2CEB9DDA">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14:paraId="2C51EFDE">
            <w:pPr>
              <w:spacing w:line="320" w:lineRule="exact"/>
              <w:jc w:val="left"/>
              <w:rPr>
                <w:rFonts w:ascii="宋体" w:hAnsi="宋体"/>
                <w:bCs/>
                <w:sz w:val="18"/>
                <w:szCs w:val="18"/>
              </w:rPr>
            </w:pPr>
          </w:p>
        </w:tc>
      </w:tr>
      <w:tr w14:paraId="0121C2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CA77E72">
            <w:pPr>
              <w:spacing w:line="320" w:lineRule="exact"/>
              <w:jc w:val="left"/>
              <w:rPr>
                <w:rFonts w:ascii="宋体" w:hAnsi="宋体"/>
                <w:b/>
                <w:bCs/>
                <w:sz w:val="18"/>
                <w:szCs w:val="18"/>
              </w:rPr>
            </w:pPr>
          </w:p>
        </w:tc>
        <w:tc>
          <w:tcPr>
            <w:tcW w:w="635" w:type="dxa"/>
            <w:vMerge w:val="continue"/>
            <w:shd w:val="solid" w:color="FFFFFF" w:fill="FFFFFF"/>
            <w:vAlign w:val="center"/>
          </w:tcPr>
          <w:p w14:paraId="3DFCEF45">
            <w:pPr>
              <w:spacing w:line="320" w:lineRule="exact"/>
              <w:jc w:val="left"/>
              <w:rPr>
                <w:rFonts w:ascii="宋体" w:hAnsi="宋体"/>
                <w:bCs/>
                <w:sz w:val="18"/>
                <w:szCs w:val="18"/>
              </w:rPr>
            </w:pPr>
          </w:p>
        </w:tc>
        <w:tc>
          <w:tcPr>
            <w:tcW w:w="1085" w:type="dxa"/>
            <w:shd w:val="solid" w:color="FFFFFF" w:fill="FFFFFF"/>
            <w:vAlign w:val="center"/>
          </w:tcPr>
          <w:p w14:paraId="160F9ADD">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14:paraId="567EE1C8">
            <w:pPr>
              <w:spacing w:line="320" w:lineRule="exact"/>
              <w:jc w:val="left"/>
              <w:rPr>
                <w:rFonts w:ascii="宋体" w:hAnsi="宋体"/>
                <w:bCs/>
                <w:sz w:val="18"/>
                <w:szCs w:val="18"/>
              </w:rPr>
            </w:pPr>
          </w:p>
        </w:tc>
        <w:tc>
          <w:tcPr>
            <w:tcW w:w="1234" w:type="dxa"/>
            <w:shd w:val="solid" w:color="FFFFFF" w:fill="FFFFFF"/>
            <w:vAlign w:val="center"/>
          </w:tcPr>
          <w:p w14:paraId="3DDAA4FE">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14:paraId="0E08E40C">
            <w:pPr>
              <w:spacing w:line="320" w:lineRule="exact"/>
              <w:jc w:val="left"/>
              <w:rPr>
                <w:rFonts w:ascii="宋体" w:hAnsi="宋体"/>
                <w:bCs/>
                <w:sz w:val="18"/>
                <w:szCs w:val="18"/>
              </w:rPr>
            </w:pPr>
          </w:p>
        </w:tc>
      </w:tr>
      <w:tr w14:paraId="5BF8025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06A3745">
            <w:pPr>
              <w:spacing w:line="320" w:lineRule="exact"/>
              <w:jc w:val="left"/>
              <w:rPr>
                <w:rFonts w:ascii="宋体" w:hAnsi="宋体"/>
                <w:b/>
                <w:bCs/>
                <w:sz w:val="18"/>
                <w:szCs w:val="18"/>
              </w:rPr>
            </w:pPr>
          </w:p>
        </w:tc>
        <w:tc>
          <w:tcPr>
            <w:tcW w:w="635" w:type="dxa"/>
            <w:vMerge w:val="continue"/>
            <w:shd w:val="solid" w:color="FFFFFF" w:fill="FFFFFF"/>
            <w:vAlign w:val="center"/>
          </w:tcPr>
          <w:p w14:paraId="60C4578D">
            <w:pPr>
              <w:spacing w:line="320" w:lineRule="exact"/>
              <w:jc w:val="left"/>
              <w:rPr>
                <w:rFonts w:ascii="宋体" w:hAnsi="宋体"/>
                <w:bCs/>
                <w:sz w:val="18"/>
                <w:szCs w:val="18"/>
              </w:rPr>
            </w:pPr>
          </w:p>
        </w:tc>
        <w:tc>
          <w:tcPr>
            <w:tcW w:w="1085" w:type="dxa"/>
            <w:shd w:val="solid" w:color="FFFFFF" w:fill="FFFFFF"/>
            <w:vAlign w:val="center"/>
          </w:tcPr>
          <w:p w14:paraId="3E4AE86E">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14:paraId="5358FEB1">
            <w:pPr>
              <w:spacing w:line="320" w:lineRule="exact"/>
              <w:jc w:val="left"/>
              <w:rPr>
                <w:rFonts w:ascii="宋体" w:hAnsi="宋体"/>
                <w:bCs/>
                <w:sz w:val="18"/>
                <w:szCs w:val="18"/>
              </w:rPr>
            </w:pPr>
          </w:p>
        </w:tc>
        <w:tc>
          <w:tcPr>
            <w:tcW w:w="1234" w:type="dxa"/>
            <w:shd w:val="solid" w:color="FFFFFF" w:fill="FFFFFF"/>
            <w:vAlign w:val="center"/>
          </w:tcPr>
          <w:p w14:paraId="470AD0EA">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14:paraId="025F0B22">
            <w:pPr>
              <w:spacing w:line="320" w:lineRule="exact"/>
              <w:jc w:val="left"/>
              <w:rPr>
                <w:rFonts w:ascii="宋体" w:hAnsi="宋体"/>
                <w:bCs/>
                <w:sz w:val="18"/>
                <w:szCs w:val="18"/>
              </w:rPr>
            </w:pPr>
          </w:p>
        </w:tc>
      </w:tr>
      <w:tr w14:paraId="3410268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63BF209">
            <w:pPr>
              <w:spacing w:line="320" w:lineRule="exact"/>
              <w:jc w:val="left"/>
              <w:rPr>
                <w:rFonts w:ascii="宋体" w:hAnsi="宋体"/>
                <w:b/>
                <w:bCs/>
                <w:sz w:val="18"/>
                <w:szCs w:val="18"/>
              </w:rPr>
            </w:pPr>
          </w:p>
        </w:tc>
        <w:tc>
          <w:tcPr>
            <w:tcW w:w="635" w:type="dxa"/>
            <w:vMerge w:val="continue"/>
            <w:shd w:val="solid" w:color="FFFFFF" w:fill="FFFFFF"/>
            <w:vAlign w:val="center"/>
          </w:tcPr>
          <w:p w14:paraId="11592384">
            <w:pPr>
              <w:spacing w:line="320" w:lineRule="exact"/>
              <w:jc w:val="left"/>
              <w:rPr>
                <w:rFonts w:ascii="宋体" w:hAnsi="宋体"/>
                <w:bCs/>
                <w:sz w:val="18"/>
                <w:szCs w:val="18"/>
              </w:rPr>
            </w:pPr>
          </w:p>
        </w:tc>
        <w:tc>
          <w:tcPr>
            <w:tcW w:w="1085" w:type="dxa"/>
            <w:shd w:val="solid" w:color="FFFFFF" w:fill="FFFFFF"/>
            <w:vAlign w:val="center"/>
          </w:tcPr>
          <w:p w14:paraId="43FF5139">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14:paraId="01D6BEA9">
            <w:pPr>
              <w:spacing w:line="320" w:lineRule="exact"/>
              <w:jc w:val="left"/>
              <w:rPr>
                <w:rFonts w:ascii="宋体" w:hAnsi="宋体"/>
                <w:bCs/>
                <w:sz w:val="18"/>
                <w:szCs w:val="18"/>
              </w:rPr>
            </w:pPr>
          </w:p>
        </w:tc>
      </w:tr>
      <w:tr w14:paraId="25197A5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ED768D0">
            <w:pPr>
              <w:spacing w:line="320" w:lineRule="exact"/>
              <w:jc w:val="left"/>
              <w:rPr>
                <w:rFonts w:ascii="宋体" w:hAnsi="宋体"/>
                <w:b/>
                <w:bCs/>
                <w:sz w:val="18"/>
                <w:szCs w:val="18"/>
              </w:rPr>
            </w:pPr>
          </w:p>
        </w:tc>
        <w:tc>
          <w:tcPr>
            <w:tcW w:w="635" w:type="dxa"/>
            <w:vMerge w:val="continue"/>
            <w:shd w:val="solid" w:color="FFFFFF" w:fill="FFFFFF"/>
            <w:vAlign w:val="center"/>
          </w:tcPr>
          <w:p w14:paraId="3501D21C">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14:paraId="14947235">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14:paraId="001309C8">
            <w:pPr>
              <w:spacing w:line="320" w:lineRule="exact"/>
              <w:jc w:val="left"/>
              <w:rPr>
                <w:rFonts w:ascii="宋体" w:hAnsi="宋体"/>
                <w:bCs/>
                <w:sz w:val="18"/>
                <w:szCs w:val="18"/>
              </w:rPr>
            </w:pPr>
          </w:p>
        </w:tc>
      </w:tr>
      <w:tr w14:paraId="58B267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CAAD314">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14:paraId="08540E84">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2D28A43">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361B30D">
            <w:pPr>
              <w:spacing w:line="320" w:lineRule="exact"/>
              <w:jc w:val="left"/>
              <w:rPr>
                <w:rFonts w:ascii="宋体" w:hAnsi="宋体"/>
                <w:bCs/>
                <w:sz w:val="18"/>
                <w:szCs w:val="18"/>
              </w:rPr>
            </w:pPr>
          </w:p>
        </w:tc>
      </w:tr>
      <w:tr w14:paraId="794EC15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AC5F502">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275E4033">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201DADE">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D75C5CC">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DC8749A">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1311FA3">
            <w:pPr>
              <w:spacing w:line="320" w:lineRule="exact"/>
              <w:jc w:val="left"/>
              <w:rPr>
                <w:rFonts w:ascii="宋体" w:hAnsi="宋体"/>
                <w:bCs/>
                <w:sz w:val="18"/>
                <w:szCs w:val="18"/>
              </w:rPr>
            </w:pPr>
          </w:p>
        </w:tc>
      </w:tr>
      <w:tr w14:paraId="532091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5EB39B1">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4D4142AE">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85E4FAB">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4E91297">
            <w:pPr>
              <w:spacing w:line="320" w:lineRule="exact"/>
              <w:jc w:val="left"/>
              <w:rPr>
                <w:rFonts w:ascii="宋体" w:hAnsi="宋体"/>
                <w:bCs/>
                <w:sz w:val="18"/>
                <w:szCs w:val="18"/>
              </w:rPr>
            </w:pPr>
          </w:p>
        </w:tc>
      </w:tr>
      <w:tr w14:paraId="24F383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AA92FE2">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48BB855D">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03F4EE5">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C1F8F97">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B983D88">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530ED5C">
            <w:pPr>
              <w:spacing w:line="320" w:lineRule="exact"/>
              <w:jc w:val="left"/>
              <w:rPr>
                <w:rFonts w:ascii="宋体" w:hAnsi="宋体"/>
                <w:bCs/>
                <w:sz w:val="18"/>
                <w:szCs w:val="18"/>
              </w:rPr>
            </w:pPr>
          </w:p>
        </w:tc>
      </w:tr>
      <w:tr w14:paraId="1C4163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1B938A5">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098D4BC6">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B6A470F">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7F1D5EB">
            <w:pPr>
              <w:spacing w:line="320" w:lineRule="exact"/>
              <w:jc w:val="left"/>
              <w:rPr>
                <w:rFonts w:ascii="宋体" w:hAnsi="宋体"/>
                <w:bCs/>
                <w:sz w:val="18"/>
                <w:szCs w:val="18"/>
              </w:rPr>
            </w:pPr>
          </w:p>
        </w:tc>
      </w:tr>
      <w:tr w14:paraId="5FB4B9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2E3C81B0">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030C7D59">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B720BA1">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4123D94">
            <w:pPr>
              <w:spacing w:line="320" w:lineRule="exact"/>
              <w:jc w:val="left"/>
              <w:rPr>
                <w:rFonts w:ascii="宋体" w:hAnsi="宋体"/>
                <w:bCs/>
                <w:sz w:val="18"/>
                <w:szCs w:val="18"/>
              </w:rPr>
            </w:pPr>
          </w:p>
        </w:tc>
      </w:tr>
      <w:tr w14:paraId="7639CC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5EDA1D15">
            <w:pPr>
              <w:pStyle w:val="4"/>
              <w:pBdr>
                <w:bottom w:val="none" w:color="auto" w:sz="0" w:space="0"/>
              </w:pBdr>
              <w:spacing w:line="320" w:lineRule="exact"/>
              <w:rPr>
                <w:rFonts w:ascii="宋体" w:hAnsi="宋体"/>
                <w:b/>
                <w:bCs/>
                <w:sz w:val="28"/>
                <w:szCs w:val="28"/>
              </w:rPr>
            </w:pPr>
          </w:p>
        </w:tc>
      </w:tr>
      <w:tr w14:paraId="547291D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172F40F6">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14:paraId="19247D67">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14:paraId="4A850379">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14:paraId="085B88D9">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14:paraId="36B40E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0B0D5A2E">
            <w:pPr>
              <w:spacing w:line="320" w:lineRule="exact"/>
              <w:jc w:val="left"/>
              <w:rPr>
                <w:rFonts w:ascii="宋体" w:hAnsi="宋体"/>
                <w:b/>
                <w:bCs/>
                <w:sz w:val="18"/>
                <w:szCs w:val="18"/>
              </w:rPr>
            </w:pPr>
          </w:p>
        </w:tc>
        <w:tc>
          <w:tcPr>
            <w:tcW w:w="1720" w:type="dxa"/>
            <w:gridSpan w:val="2"/>
            <w:shd w:val="solid" w:color="FFFFFF" w:fill="FFFFFF"/>
            <w:vAlign w:val="center"/>
          </w:tcPr>
          <w:p w14:paraId="52914687">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14:paraId="352B3923">
            <w:pPr>
              <w:spacing w:line="320" w:lineRule="exact"/>
              <w:jc w:val="left"/>
              <w:rPr>
                <w:rFonts w:ascii="宋体" w:hAnsi="宋体"/>
                <w:bCs/>
                <w:sz w:val="18"/>
                <w:szCs w:val="18"/>
              </w:rPr>
            </w:pPr>
            <w:r>
              <w:rPr>
                <w:rFonts w:hint="eastAsia" w:ascii="宋体" w:hAnsi="宋体"/>
                <w:bCs/>
                <w:sz w:val="18"/>
                <w:szCs w:val="18"/>
              </w:rPr>
              <w:t>【</w:t>
            </w:r>
            <w:r>
              <w:rPr>
                <w:rFonts w:hint="eastAsia" w:ascii="宋体" w:hAnsi="宋体" w:cs="宋体"/>
                <w:bCs/>
                <w:sz w:val="18"/>
                <w:szCs w:val="18"/>
                <w:highlight w:val="none"/>
                <w:lang w:val="en-US" w:eastAsia="zh-CN"/>
              </w:rPr>
              <w:t>沧州银行股份有限公司</w:t>
            </w:r>
            <w:r>
              <w:rPr>
                <w:rFonts w:hint="eastAsia" w:ascii="宋体" w:hAnsi="宋体"/>
                <w:bCs/>
                <w:sz w:val="18"/>
                <w:szCs w:val="18"/>
              </w:rPr>
              <w:t>】</w:t>
            </w:r>
          </w:p>
        </w:tc>
      </w:tr>
      <w:tr w14:paraId="1BD7F44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639413E4">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14:paraId="6546D3B8">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14:paraId="129F0079">
            <w:pPr>
              <w:pStyle w:val="14"/>
              <w:jc w:val="both"/>
            </w:pPr>
            <w:r>
              <w:rPr>
                <w:rFonts w:hint="eastAsia" w:asciiTheme="majorEastAsia" w:hAnsiTheme="majorEastAsia" w:eastAsiaTheme="majorEastAsia"/>
                <w:bCs/>
                <w:sz w:val="18"/>
                <w:szCs w:val="18"/>
              </w:rPr>
              <w:t>【</w:t>
            </w:r>
            <w:r>
              <w:rPr>
                <w:rFonts w:hint="eastAsia" w:cs="宋体" w:asciiTheme="majorEastAsia" w:hAnsiTheme="majorEastAsia" w:eastAsiaTheme="majorEastAsia"/>
                <w:bCs/>
                <w:color w:val="000000"/>
                <w:sz w:val="18"/>
                <w:szCs w:val="18"/>
                <w:highlight w:val="none"/>
                <w:lang w:val="en-US" w:eastAsia="zh-CN" w:bidi="ar-SA"/>
              </w:rPr>
              <w:t>沧州银行</w:t>
            </w:r>
            <w:r>
              <w:rPr>
                <w:rFonts w:hint="eastAsia" w:asciiTheme="majorEastAsia" w:hAnsiTheme="majorEastAsia" w:eastAsiaTheme="majorEastAsia"/>
                <w:bCs/>
                <w:sz w:val="18"/>
                <w:szCs w:val="18"/>
              </w:rPr>
              <w:t>】</w:t>
            </w:r>
          </w:p>
        </w:tc>
      </w:tr>
      <w:tr w14:paraId="50714B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09B218B3">
            <w:pPr>
              <w:spacing w:line="320" w:lineRule="exact"/>
              <w:jc w:val="left"/>
              <w:rPr>
                <w:rFonts w:ascii="宋体" w:hAnsi="宋体"/>
                <w:bCs/>
                <w:sz w:val="18"/>
                <w:szCs w:val="18"/>
              </w:rPr>
            </w:pPr>
          </w:p>
        </w:tc>
      </w:tr>
      <w:tr w14:paraId="27EA71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0465567D">
            <w:pPr>
              <w:pStyle w:val="4"/>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14:paraId="758F8726">
            <w:pPr>
              <w:pStyle w:val="4"/>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14:paraId="43F703E4">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79B0F5E7">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1A4F89C3">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14:paraId="56DFA5F2">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0305B1F2">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6DD3AD0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1837C018">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 w14:paraId="04D41D62">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0A7238B4">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 w14:paraId="5366B01C">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5188E30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7DAABCD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【R1/R2/R3/R4/R5】；根据投资者在乙方评估的风险承受能力，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3B96AA36">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14:paraId="378F3BA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63FB78C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233FDA4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2460F180">
      <w:pPr>
        <w:pStyle w:val="14"/>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14:paraId="3D24A65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1503D9E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111A7BD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37C57AE8">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参照本条第（1）款</w:t>
      </w:r>
      <w:r>
        <w:rPr>
          <w:rFonts w:hint="eastAsia" w:asciiTheme="majorEastAsia" w:hAnsiTheme="majorEastAsia" w:eastAsiaTheme="majorEastAsia"/>
          <w:sz w:val="18"/>
          <w:szCs w:val="18"/>
          <w:lang w:val="en-US" w:eastAsia="zh-CN"/>
        </w:rPr>
        <w:t>普通</w:t>
      </w:r>
      <w:r>
        <w:rPr>
          <w:rFonts w:hint="eastAsia" w:asciiTheme="majorEastAsia" w:hAnsiTheme="majorEastAsia" w:eastAsiaTheme="majorEastAsia"/>
          <w:sz w:val="18"/>
          <w:szCs w:val="18"/>
        </w:rPr>
        <w:t>投资者要求执行；</w:t>
      </w:r>
    </w:p>
    <w:p w14:paraId="217BC936">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其他：</w:t>
      </w:r>
      <w:r>
        <w:rPr>
          <w:rFonts w:hint="eastAsia" w:asciiTheme="majorEastAsia" w:hAnsiTheme="majorEastAsia" w:eastAsiaTheme="majorEastAsia"/>
          <w:sz w:val="18"/>
          <w:szCs w:val="18"/>
          <w:u w:val="single"/>
        </w:rPr>
        <w:t xml:space="preserve">                               。</w:t>
      </w:r>
    </w:p>
    <w:p w14:paraId="32AA722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3375EEC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6FB74C9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383D873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6072B71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6FA9A61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1040E7D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0E24D2DA">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557B03A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162CBB0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57819DE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24FDB973">
      <w:pPr>
        <w:widowControl/>
        <w:spacing w:line="360" w:lineRule="auto"/>
        <w:jc w:val="left"/>
        <w:rPr>
          <w:rFonts w:ascii="宋体" w:hAnsi="宋体" w:cs="仿宋_GB2312"/>
          <w:kern w:val="0"/>
          <w:sz w:val="18"/>
          <w:szCs w:val="18"/>
        </w:rPr>
      </w:pPr>
    </w:p>
    <w:p w14:paraId="211B603F">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233BCB3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0336498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041E6B7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1235D5F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5B292313">
      <w:pPr>
        <w:widowControl/>
        <w:spacing w:line="360" w:lineRule="auto"/>
        <w:jc w:val="left"/>
        <w:rPr>
          <w:rFonts w:ascii="宋体" w:hAnsi="宋体" w:cs="仿宋_GB2312"/>
          <w:kern w:val="0"/>
          <w:sz w:val="18"/>
          <w:szCs w:val="18"/>
        </w:rPr>
      </w:pPr>
    </w:p>
    <w:p w14:paraId="06FDC104">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1FC6405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346F7CF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43176C74">
      <w:pPr>
        <w:widowControl/>
        <w:spacing w:line="360" w:lineRule="auto"/>
        <w:jc w:val="left"/>
        <w:rPr>
          <w:rFonts w:ascii="宋体" w:hAnsi="宋体" w:cs="仿宋_GB2312"/>
          <w:kern w:val="0"/>
          <w:sz w:val="18"/>
          <w:szCs w:val="18"/>
        </w:rPr>
      </w:pPr>
    </w:p>
    <w:p w14:paraId="56D52919">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188AC68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5E9D589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38F2E5B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7FF0544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3F03C71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50D5671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1793023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36C15211">
      <w:pPr>
        <w:widowControl/>
        <w:spacing w:line="360" w:lineRule="auto"/>
        <w:jc w:val="left"/>
        <w:rPr>
          <w:rFonts w:ascii="宋体" w:hAnsi="宋体" w:cs="仿宋_GB2312"/>
          <w:b/>
          <w:kern w:val="0"/>
          <w:sz w:val="18"/>
          <w:szCs w:val="18"/>
        </w:rPr>
      </w:pPr>
    </w:p>
    <w:p w14:paraId="60CDE647">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57486359">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7469526A">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3CA4AC6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70D0731D">
      <w:pPr>
        <w:widowControl/>
        <w:jc w:val="left"/>
        <w:rPr>
          <w:rFonts w:ascii="宋体" w:hAnsi="宋体" w:cs="仿宋_GB2312"/>
          <w:b/>
          <w:kern w:val="0"/>
          <w:sz w:val="18"/>
          <w:szCs w:val="18"/>
        </w:rPr>
      </w:pPr>
      <w:r>
        <w:rPr>
          <w:rFonts w:ascii="宋体" w:hAnsi="宋体" w:cs="仿宋_GB2312"/>
          <w:b/>
          <w:kern w:val="0"/>
          <w:sz w:val="18"/>
          <w:szCs w:val="18"/>
        </w:rPr>
        <w:br w:type="page"/>
      </w:r>
    </w:p>
    <w:p w14:paraId="401DE62E">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605CE9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7566D235">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14:paraId="0E314B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4D9E7840">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14:paraId="2405FED8">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14:paraId="1EB6AC13">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6EF00B6F">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64F797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32613564">
            <w:pPr>
              <w:spacing w:line="360" w:lineRule="auto"/>
              <w:jc w:val="center"/>
              <w:rPr>
                <w:b/>
                <w:kern w:val="0"/>
                <w:sz w:val="18"/>
                <w:szCs w:val="18"/>
              </w:rPr>
            </w:pPr>
            <w:r>
              <w:rPr>
                <w:rFonts w:hint="eastAsia"/>
                <w:b/>
                <w:kern w:val="0"/>
                <w:sz w:val="18"/>
                <w:szCs w:val="18"/>
              </w:rPr>
              <w:t>甲方签署栏</w:t>
            </w:r>
          </w:p>
        </w:tc>
        <w:tc>
          <w:tcPr>
            <w:tcW w:w="851" w:type="dxa"/>
          </w:tcPr>
          <w:p w14:paraId="18741057">
            <w:pPr>
              <w:spacing w:line="360" w:lineRule="auto"/>
              <w:rPr>
                <w:kern w:val="0"/>
                <w:sz w:val="18"/>
                <w:szCs w:val="18"/>
              </w:rPr>
            </w:pPr>
            <w:r>
              <w:rPr>
                <w:rFonts w:hint="eastAsia"/>
                <w:kern w:val="0"/>
                <w:sz w:val="18"/>
                <w:szCs w:val="18"/>
              </w:rPr>
              <w:t>个人投资者适用</w:t>
            </w:r>
          </w:p>
        </w:tc>
        <w:tc>
          <w:tcPr>
            <w:tcW w:w="6998" w:type="dxa"/>
          </w:tcPr>
          <w:p w14:paraId="63B6299A">
            <w:pPr>
              <w:spacing w:line="360" w:lineRule="auto"/>
              <w:rPr>
                <w:kern w:val="0"/>
                <w:sz w:val="18"/>
                <w:szCs w:val="18"/>
              </w:rPr>
            </w:pPr>
            <w:r>
              <w:rPr>
                <w:rFonts w:hint="eastAsia"/>
                <w:kern w:val="0"/>
                <w:sz w:val="18"/>
                <w:szCs w:val="18"/>
              </w:rPr>
              <w:t>甲方（签名/线上确认）：</w:t>
            </w:r>
          </w:p>
          <w:p w14:paraId="5F7935A6">
            <w:pPr>
              <w:spacing w:line="360" w:lineRule="auto"/>
              <w:rPr>
                <w:b/>
                <w:kern w:val="0"/>
                <w:sz w:val="18"/>
                <w:szCs w:val="18"/>
              </w:rPr>
            </w:pPr>
          </w:p>
          <w:p w14:paraId="0DBF1958">
            <w:pPr>
              <w:spacing w:line="360" w:lineRule="auto"/>
              <w:rPr>
                <w:b/>
                <w:kern w:val="0"/>
                <w:sz w:val="18"/>
                <w:szCs w:val="18"/>
              </w:rPr>
            </w:pPr>
            <w:r>
              <w:rPr>
                <w:rFonts w:hint="eastAsia"/>
                <w:kern w:val="0"/>
                <w:sz w:val="18"/>
                <w:szCs w:val="18"/>
              </w:rPr>
              <w:t>日期：</w:t>
            </w:r>
          </w:p>
        </w:tc>
      </w:tr>
      <w:tr w14:paraId="7D57C5C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00B411C3">
            <w:pPr>
              <w:spacing w:line="360" w:lineRule="auto"/>
              <w:rPr>
                <w:b/>
                <w:kern w:val="0"/>
                <w:sz w:val="18"/>
                <w:szCs w:val="18"/>
              </w:rPr>
            </w:pPr>
          </w:p>
        </w:tc>
        <w:tc>
          <w:tcPr>
            <w:tcW w:w="851" w:type="dxa"/>
          </w:tcPr>
          <w:p w14:paraId="4B914D9E">
            <w:pPr>
              <w:spacing w:line="360" w:lineRule="auto"/>
              <w:rPr>
                <w:kern w:val="0"/>
                <w:sz w:val="18"/>
                <w:szCs w:val="18"/>
              </w:rPr>
            </w:pPr>
            <w:r>
              <w:rPr>
                <w:rFonts w:hint="eastAsia"/>
                <w:kern w:val="0"/>
                <w:sz w:val="18"/>
                <w:szCs w:val="18"/>
              </w:rPr>
              <w:t>机构投资者适用</w:t>
            </w:r>
          </w:p>
        </w:tc>
        <w:tc>
          <w:tcPr>
            <w:tcW w:w="6998" w:type="dxa"/>
          </w:tcPr>
          <w:p w14:paraId="4FD4A08F">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14:paraId="5C51002E">
            <w:pPr>
              <w:spacing w:line="360" w:lineRule="auto"/>
              <w:rPr>
                <w:rFonts w:cs="Arial"/>
                <w:kern w:val="0"/>
                <w:sz w:val="18"/>
                <w:szCs w:val="18"/>
              </w:rPr>
            </w:pPr>
          </w:p>
          <w:p w14:paraId="3A0F02D7">
            <w:pPr>
              <w:spacing w:line="360" w:lineRule="auto"/>
              <w:rPr>
                <w:rFonts w:cs="Arial"/>
                <w:kern w:val="0"/>
                <w:sz w:val="18"/>
                <w:szCs w:val="18"/>
              </w:rPr>
            </w:pPr>
            <w:r>
              <w:rPr>
                <w:rFonts w:hint="eastAsia" w:cs="Arial"/>
                <w:kern w:val="0"/>
                <w:sz w:val="18"/>
                <w:szCs w:val="18"/>
              </w:rPr>
              <w:t>甲方法定代表人或授权代理人（签名/盖章/线上确认）：</w:t>
            </w:r>
          </w:p>
          <w:p w14:paraId="05350178">
            <w:pPr>
              <w:spacing w:line="360" w:lineRule="auto"/>
              <w:rPr>
                <w:kern w:val="0"/>
                <w:sz w:val="18"/>
                <w:szCs w:val="18"/>
              </w:rPr>
            </w:pPr>
            <w:r>
              <w:rPr>
                <w:rFonts w:hint="eastAsia"/>
                <w:kern w:val="0"/>
                <w:sz w:val="18"/>
                <w:szCs w:val="18"/>
              </w:rPr>
              <w:t>日期：</w:t>
            </w:r>
          </w:p>
        </w:tc>
      </w:tr>
      <w:tr w14:paraId="5B1A8DB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68759810">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14:paraId="6116152A">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rFonts w:hint="eastAsia" w:cs="Arial"/>
                <w:kern w:val="0"/>
                <w:sz w:val="18"/>
                <w:szCs w:val="18"/>
              </w:rPr>
              <w:t>/线上确认</w:t>
            </w:r>
            <w:r>
              <w:rPr>
                <w:kern w:val="0"/>
                <w:sz w:val="18"/>
                <w:szCs w:val="18"/>
              </w:rPr>
              <w:t>）</w:t>
            </w:r>
            <w:r>
              <w:rPr>
                <w:rFonts w:hint="eastAsia"/>
                <w:kern w:val="0"/>
                <w:sz w:val="18"/>
                <w:szCs w:val="18"/>
              </w:rPr>
              <w:t>：</w:t>
            </w:r>
          </w:p>
          <w:p w14:paraId="291A5373">
            <w:pPr>
              <w:spacing w:line="360" w:lineRule="auto"/>
              <w:rPr>
                <w:b/>
                <w:kern w:val="0"/>
                <w:sz w:val="18"/>
                <w:szCs w:val="18"/>
              </w:rPr>
            </w:pPr>
          </w:p>
          <w:p w14:paraId="250E2B00">
            <w:pPr>
              <w:spacing w:line="360" w:lineRule="auto"/>
              <w:rPr>
                <w:kern w:val="0"/>
                <w:sz w:val="18"/>
                <w:szCs w:val="18"/>
              </w:rPr>
            </w:pPr>
            <w:r>
              <w:rPr>
                <w:rFonts w:hint="eastAsia"/>
                <w:kern w:val="0"/>
                <w:sz w:val="18"/>
                <w:szCs w:val="18"/>
              </w:rPr>
              <w:t>日期：</w:t>
            </w:r>
          </w:p>
        </w:tc>
      </w:tr>
    </w:tbl>
    <w:p w14:paraId="1DBA0AF3">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102F6ED8"/>
    <w:p w14:paraId="72B061C0">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24C4075F">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【兴银理财稳利恒盈封闭式2026年816期固收类理财产品】</w:t>
      </w:r>
    </w:p>
    <w:p w14:paraId="16761D43">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14:paraId="672FD6D8">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14:paraId="33EF57A0">
      <w:pPr>
        <w:rPr>
          <w:rFonts w:ascii="宋体" w:hAnsi="宋体" w:cs="仿宋_GB2312"/>
          <w:b/>
          <w:kern w:val="0"/>
          <w:sz w:val="18"/>
          <w:szCs w:val="18"/>
        </w:rPr>
      </w:pPr>
      <w:r>
        <w:rPr>
          <w:rFonts w:hint="eastAsia" w:ascii="宋体" w:hAnsi="宋体" w:cs="仿宋_GB2312"/>
          <w:b/>
          <w:kern w:val="0"/>
          <w:sz w:val="18"/>
          <w:szCs w:val="18"/>
        </w:rPr>
        <w:t>尊敬的投资者：</w:t>
      </w:r>
    </w:p>
    <w:p w14:paraId="4FB52EA9">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73CB5D41">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272EE87A">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0871DF72">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73706EAC">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【兴银理财稳利恒盈封闭式2026年816期固收类理财产品</w:t>
      </w:r>
      <w:r>
        <w:rPr>
          <w:rFonts w:hint="eastAsia" w:asciiTheme="majorEastAsia" w:hAnsiTheme="majorEastAsia" w:eastAsiaTheme="majorEastAsia"/>
          <w:bCs/>
          <w:kern w:val="0"/>
          <w:sz w:val="18"/>
          <w:szCs w:val="18"/>
        </w:rPr>
        <w:t>】</w:t>
      </w:r>
    </w:p>
    <w:p w14:paraId="6744B83F">
      <w:pPr>
        <w:ind w:firstLine="448" w:firstLineChars="249"/>
        <w:rPr>
          <w:rFonts w:hint="eastAsia"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
    <w:p w14:paraId="36389587">
      <w:pPr>
        <w:ind w:firstLine="448" w:firstLineChars="249"/>
        <w:rPr>
          <w:rFonts w:hint="eastAsia" w:ascii="宋体" w:hAnsi="宋体" w:cs="仿宋_GB2312"/>
          <w:kern w:val="0"/>
          <w:sz w:val="18"/>
          <w:szCs w:val="18"/>
          <w:lang w:val="en-US" w:eastAsia="zh-CN"/>
        </w:rPr>
      </w:pPr>
      <w:r>
        <w:rPr>
          <w:rFonts w:ascii="宋体" w:hAnsi="宋体" w:eastAsia="宋体" w:cs="宋体"/>
          <w:sz w:val="18"/>
        </w:rPr>
        <w:t>【稳利恒盈封闭式2026年816期（兴嘉选）A】 (适用【A】类份额)</w:t>
      </w:r>
      <w:r>
        <w:rPr>
          <w:rFonts w:ascii="宋体" w:hAnsi="宋体" w:eastAsia="宋体" w:cs="宋体"/>
          <w:sz w:val="18"/>
        </w:rPr>
        <w:br w:type="textWrapping"/>
      </w:r>
      <w:r>
        <w:rPr>
          <w:rFonts w:ascii="宋体" w:hAnsi="宋体" w:eastAsia="宋体" w:cs="宋体"/>
          <w:sz w:val="18"/>
        </w:rPr>
        <w:t xml:space="preserve">     【稳利恒盈封闭式2026年816期（兴嘉选）B】 (适用【B】类份额)</w:t>
      </w:r>
      <w:r>
        <w:rPr>
          <w:rFonts w:ascii="宋体" w:hAnsi="宋体" w:eastAsia="宋体" w:cs="宋体"/>
          <w:sz w:val="18"/>
        </w:rPr>
        <w:br w:type="textWrapping"/>
      </w:r>
      <w:r>
        <w:rPr>
          <w:rFonts w:ascii="宋体" w:hAnsi="宋体" w:eastAsia="宋体" w:cs="宋体"/>
          <w:sz w:val="18"/>
        </w:rPr>
        <w:t xml:space="preserve">     【稳利恒盈封闭式2026年816期（兴嘉选）C】 (适用【C】类份额)</w:t>
      </w:r>
      <w:r>
        <w:rPr>
          <w:rFonts w:ascii="宋体" w:hAnsi="宋体" w:eastAsia="宋体" w:cs="宋体"/>
          <w:sz w:val="18"/>
        </w:rPr>
        <w:br w:type="textWrapping"/>
      </w:r>
      <w:r>
        <w:rPr>
          <w:rFonts w:ascii="宋体" w:hAnsi="宋体" w:eastAsia="宋体" w:cs="宋体"/>
          <w:sz w:val="18"/>
        </w:rPr>
        <w:t xml:space="preserve">     【稳利恒盈封闭式2026年816期（兴嘉选）D】 (适用【D】类份额)</w:t>
      </w:r>
      <w:r>
        <w:rPr>
          <w:rFonts w:ascii="宋体" w:hAnsi="宋体" w:eastAsia="宋体" w:cs="宋体"/>
          <w:sz w:val="18"/>
        </w:rPr>
        <w:br w:type="textWrapping"/>
      </w:r>
      <w:r>
        <w:rPr>
          <w:rFonts w:ascii="宋体" w:hAnsi="宋体" w:eastAsia="宋体" w:cs="宋体"/>
          <w:sz w:val="18"/>
        </w:rPr>
        <w:t xml:space="preserve">     【稳利恒盈封闭式2026年816期（兴嘉选）E】 (适用【E】类份额)</w:t>
      </w:r>
      <w:r>
        <w:rPr>
          <w:rFonts w:ascii="宋体" w:hAnsi="宋体" w:eastAsia="宋体" w:cs="宋体"/>
          <w:sz w:val="18"/>
        </w:rPr>
        <w:br w:type="textWrapping"/>
      </w:r>
      <w:r>
        <w:rPr>
          <w:rFonts w:ascii="宋体" w:hAnsi="宋体" w:eastAsia="宋体" w:cs="宋体"/>
          <w:sz w:val="18"/>
        </w:rPr>
        <w:t xml:space="preserve">    </w:t>
      </w:r>
    </w:p>
    <w:p w14:paraId="32F97712">
      <w:pPr>
        <w:ind w:firstLine="448" w:firstLineChars="249"/>
        <w:rPr>
          <w:rFonts w:ascii="宋体" w:hAnsi="宋体" w:cs="仿宋_GB2312"/>
          <w:kern w:val="0"/>
          <w:sz w:val="18"/>
          <w:szCs w:val="18"/>
        </w:rPr>
      </w:pPr>
      <w:r>
        <w:rPr>
          <w:rFonts w:hint="eastAsia" w:ascii="宋体" w:hAnsi="宋体" w:cs="仿宋_GB2312"/>
          <w:kern w:val="0"/>
          <w:sz w:val="18"/>
          <w:szCs w:val="18"/>
          <w:lang w:val="en-US" w:eastAsia="zh-CN"/>
        </w:rPr>
        <w:t xml:space="preserve">  </w:t>
      </w:r>
    </w:p>
    <w:p w14:paraId="6DC83E64">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Z7002026000537</w:t>
      </w:r>
      <w:r>
        <w:rPr>
          <w:rFonts w:ascii="宋体" w:hAnsi="宋体" w:cs="仿宋_GB2312"/>
          <w:kern w:val="0"/>
          <w:sz w:val="18"/>
          <w:szCs w:val="18"/>
        </w:rPr>
        <w:t>】</w:t>
      </w:r>
    </w:p>
    <w:p w14:paraId="1B4C9071">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0899D80E">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4EE16DE9">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03AED553">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【■有固定期限:【736天】</w:t>
      </w:r>
    </w:p>
    <w:p w14:paraId="6A2AD4BE">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7F826FD5">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14:paraId="67D79BD4">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14:paraId="1E4FE4EA">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40B79F68">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79F4F2C1">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3D8ACC6C">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2710DC4A">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4903DB6B">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C1、■C2、■ C3、■ C4、■ C5、■ C6】。</w:t>
      </w:r>
    </w:p>
    <w:p w14:paraId="56308B57">
      <w:pPr>
        <w:keepNext w:val="0"/>
        <w:keepLines w:val="0"/>
        <w:widowControl w:val="0"/>
        <w:suppressLineNumbers w:val="0"/>
        <w:spacing w:before="0" w:beforeAutospacing="0" w:after="0" w:afterAutospacing="0"/>
        <w:ind w:left="0" w:right="0" w:firstLine="360" w:firstLineChars="200"/>
        <w:jc w:val="both"/>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C1、■C2、■ C3、■ C4、■ C5】。</w:t>
      </w:r>
    </w:p>
    <w:p w14:paraId="3A4BF865">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61697230">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72401A37">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50A3B26A">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062992B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【1.拟投资市场和资产的风险：</w:t>
      </w:r>
    </w:p>
    <w:p w14:paraId="3D32CB61">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（1）投资债权类资产的风险</w:t>
      </w:r>
    </w:p>
    <w:p w14:paraId="6A1A1E97">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1）投资标准化债权类资产的风险</w:t>
      </w:r>
    </w:p>
    <w:p w14:paraId="1E7F8565">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019C859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 xml:space="preserve">（2）投资商品和金融衍生品类资产的风险 </w:t>
      </w:r>
    </w:p>
    <w:p w14:paraId="1FCC69E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592575D9">
      <w:pPr>
        <w:pStyle w:val="12"/>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7CE25674">
      <w:pPr>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04A7DEFC">
      <w:pPr>
        <w:pStyle w:val="12"/>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14:paraId="7D98032D">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1A0AB53E">
      <w:pPr>
        <w:pStyle w:val="12"/>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14:paraId="1574F632">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2E14B60F">
      <w:pPr>
        <w:pStyle w:val="12"/>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14:paraId="777087DC">
      <w:pPr>
        <w:pStyle w:val="12"/>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39AA3A88">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14:paraId="26ED7651">
      <w:pPr>
        <w:pStyle w:val="12"/>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1B68018C">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14:paraId="359C9AC2">
      <w:pPr>
        <w:pStyle w:val="12"/>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14:paraId="11EDC24D">
      <w:pPr>
        <w:pStyle w:val="12"/>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14:paraId="1F2E8480">
      <w:pPr>
        <w:pStyle w:val="12"/>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14:paraId="0FD575B1">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14:paraId="26FE460C">
      <w:pPr>
        <w:pStyle w:val="12"/>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7A964EA3">
      <w:pPr>
        <w:pStyle w:val="12"/>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14:paraId="6532A1DF">
      <w:pPr>
        <w:pStyle w:val="12"/>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33267C97">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14:paraId="697E0266">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14:paraId="4CE7D45E">
      <w:pPr>
        <w:pStyle w:val="12"/>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14:paraId="2151E85D">
      <w:pPr>
        <w:pStyle w:val="12"/>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14:paraId="01729307">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14:paraId="6D6FC375">
      <w:pPr>
        <w:pStyle w:val="12"/>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14:paraId="49B7EDBB">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14:paraId="66BA2D6E">
      <w:pPr>
        <w:pStyle w:val="12"/>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14:paraId="1A4599CB">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14:paraId="4DD8ACD0">
      <w:pPr>
        <w:pStyle w:val="12"/>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14:paraId="07F54D82">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14:paraId="5E414E3F">
      <w:pPr>
        <w:pStyle w:val="12"/>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14:paraId="18405B0D">
      <w:pPr>
        <w:pStyle w:val="12"/>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14:paraId="7A5E2800">
      <w:pPr>
        <w:pStyle w:val="12"/>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4EE98168">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14:paraId="2CD88EC3">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14:paraId="6A8CCD81">
      <w:pPr>
        <w:pStyle w:val="12"/>
        <w:ind w:firstLineChars="0"/>
        <w:rPr>
          <w:rFonts w:hint="eastAsia" w:ascii="黑体" w:hAnsi="黑体" w:eastAsia="黑体" w:cs="黑体"/>
          <w:b/>
          <w:bCs/>
          <w:sz w:val="18"/>
          <w:szCs w:val="18"/>
        </w:rPr>
      </w:pPr>
      <w:r>
        <w:rPr>
          <w:rFonts w:hint="eastAsia" w:ascii="黑体" w:hAnsi="黑体" w:eastAsia="黑体" w:cs="黑体"/>
          <w:b/>
          <w:bCs/>
          <w:sz w:val="18"/>
          <w:szCs w:val="18"/>
        </w:rPr>
        <w:t>17.★关联交易风险</w:t>
      </w:r>
    </w:p>
    <w:p w14:paraId="04FCCF20">
      <w:pPr>
        <w:pStyle w:val="12"/>
        <w:ind w:firstLineChars="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120F473E">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4740176F">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604F36ED">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39B3B755">
      <w:pPr>
        <w:ind w:left="540"/>
        <w:jc w:val="right"/>
        <w:rPr>
          <w:rFonts w:ascii="宋体" w:hAnsi="宋体"/>
          <w:sz w:val="18"/>
          <w:szCs w:val="18"/>
        </w:rPr>
      </w:pPr>
    </w:p>
    <w:p w14:paraId="41D50A74">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14:paraId="4B3F199E">
      <w:pPr>
        <w:wordWrap w:val="0"/>
        <w:ind w:left="540"/>
        <w:jc w:val="right"/>
        <w:rPr>
          <w:rFonts w:ascii="宋体" w:hAnsi="宋体"/>
          <w:sz w:val="18"/>
          <w:szCs w:val="18"/>
        </w:rPr>
      </w:pPr>
      <w:r>
        <w:rPr>
          <w:rFonts w:hint="eastAsia" w:ascii="宋体" w:hAnsi="宋体"/>
          <w:sz w:val="18"/>
          <w:szCs w:val="18"/>
        </w:rPr>
        <w:t>销售机构（【沧州银行股份有限公司】）</w:t>
      </w:r>
    </w:p>
    <w:p w14:paraId="0EB189E6">
      <w:pPr>
        <w:widowControl/>
        <w:jc w:val="left"/>
        <w:rPr>
          <w:rFonts w:ascii="宋体" w:hAnsi="宋体"/>
          <w:sz w:val="18"/>
          <w:szCs w:val="18"/>
        </w:rPr>
      </w:pPr>
      <w:r>
        <w:rPr>
          <w:rFonts w:ascii="宋体" w:hAnsi="宋体"/>
          <w:sz w:val="18"/>
          <w:szCs w:val="18"/>
        </w:rPr>
        <w:br w:type="page"/>
      </w:r>
    </w:p>
    <w:p w14:paraId="7DB0A23E">
      <w:pPr>
        <w:ind w:left="540"/>
        <w:jc w:val="right"/>
        <w:rPr>
          <w:rFonts w:ascii="宋体" w:hAnsi="宋体"/>
          <w:sz w:val="18"/>
          <w:szCs w:val="18"/>
        </w:rPr>
      </w:pPr>
    </w:p>
    <w:p w14:paraId="7158D78B">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46DE8E4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55743974">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7202ACE3">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600F854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0BFF9EB4">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716C831D">
            <w:pPr>
              <w:spacing w:line="280" w:lineRule="atLeast"/>
              <w:jc w:val="left"/>
              <w:rPr>
                <w:rFonts w:ascii="宋体" w:hAnsi="宋体" w:cs="Arial"/>
                <w:sz w:val="18"/>
                <w:szCs w:val="18"/>
              </w:rPr>
            </w:pPr>
          </w:p>
          <w:p w14:paraId="07A390C1">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5A783EC8">
            <w:pPr>
              <w:spacing w:line="280" w:lineRule="atLeast"/>
              <w:jc w:val="left"/>
              <w:rPr>
                <w:rFonts w:ascii="宋体" w:hAnsi="宋体" w:cs="Arial"/>
                <w:kern w:val="0"/>
                <w:sz w:val="18"/>
                <w:szCs w:val="18"/>
              </w:rPr>
            </w:pPr>
          </w:p>
          <w:p w14:paraId="09CF4462">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2AA6D6DB">
            <w:pPr>
              <w:spacing w:line="280" w:lineRule="atLeast"/>
              <w:jc w:val="left"/>
              <w:rPr>
                <w:rFonts w:ascii="宋体" w:hAnsi="宋体" w:cs="Arial"/>
                <w:kern w:val="0"/>
                <w:sz w:val="18"/>
                <w:szCs w:val="18"/>
              </w:rPr>
            </w:pPr>
          </w:p>
          <w:p w14:paraId="2B56EAFD">
            <w:pPr>
              <w:spacing w:line="280" w:lineRule="atLeast"/>
              <w:jc w:val="left"/>
              <w:rPr>
                <w:kern w:val="0"/>
                <w:sz w:val="18"/>
                <w:szCs w:val="18"/>
                <w:u w:val="single"/>
              </w:rPr>
            </w:pPr>
            <w:r>
              <w:rPr>
                <w:rFonts w:hint="eastAsia" w:ascii="宋体" w:hAnsi="宋体" w:cs="Arial"/>
                <w:kern w:val="0"/>
                <w:sz w:val="18"/>
                <w:szCs w:val="18"/>
              </w:rPr>
              <w:t>请投资者在此抄录：</w:t>
            </w:r>
          </w:p>
          <w:p w14:paraId="64D1CDA6">
            <w:pPr>
              <w:spacing w:line="280" w:lineRule="atLeast"/>
              <w:jc w:val="left"/>
              <w:rPr>
                <w:kern w:val="0"/>
                <w:sz w:val="18"/>
                <w:szCs w:val="18"/>
                <w:u w:val="single"/>
              </w:rPr>
            </w:pPr>
          </w:p>
          <w:p w14:paraId="7C777D0D">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3368719A">
            <w:pPr>
              <w:spacing w:line="280" w:lineRule="atLeast"/>
              <w:ind w:left="4200" w:firstLine="1080" w:firstLineChars="600"/>
              <w:jc w:val="left"/>
              <w:rPr>
                <w:rFonts w:ascii="宋体" w:hAnsi="宋体" w:cs="Arial"/>
                <w:kern w:val="0"/>
                <w:sz w:val="18"/>
                <w:szCs w:val="18"/>
              </w:rPr>
            </w:pPr>
          </w:p>
          <w:p w14:paraId="71D3252E">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1AEA19CE">
            <w:pPr>
              <w:spacing w:line="280" w:lineRule="atLeast"/>
              <w:ind w:left="4200" w:firstLine="1080" w:firstLineChars="600"/>
              <w:jc w:val="left"/>
              <w:rPr>
                <w:rFonts w:ascii="宋体" w:hAnsi="宋体" w:cs="Arial"/>
                <w:kern w:val="0"/>
                <w:sz w:val="18"/>
                <w:szCs w:val="18"/>
              </w:rPr>
            </w:pPr>
          </w:p>
          <w:p w14:paraId="724679A8">
            <w:pPr>
              <w:spacing w:line="280" w:lineRule="atLeast"/>
              <w:jc w:val="left"/>
              <w:rPr>
                <w:rFonts w:ascii="宋体" w:hAnsi="宋体" w:cs="Arial"/>
                <w:b/>
                <w:kern w:val="0"/>
                <w:sz w:val="18"/>
                <w:szCs w:val="18"/>
              </w:rPr>
            </w:pPr>
            <w:r>
              <w:rPr>
                <w:rFonts w:hint="eastAsia"/>
                <w:b/>
                <w:kern w:val="0"/>
                <w:sz w:val="20"/>
                <w:szCs w:val="20"/>
              </w:rPr>
              <w:t>（本风险揭示书共有三份签署文本，第一联销售机构留存，第二联投资者留存，第三联产品管理人留存。）</w:t>
            </w:r>
          </w:p>
          <w:p w14:paraId="5A577CCB">
            <w:pPr>
              <w:spacing w:line="280" w:lineRule="atLeast"/>
              <w:jc w:val="right"/>
              <w:rPr>
                <w:rFonts w:ascii="宋体" w:hAnsi="宋体"/>
                <w:kern w:val="0"/>
                <w:sz w:val="18"/>
                <w:szCs w:val="18"/>
              </w:rPr>
            </w:pPr>
          </w:p>
        </w:tc>
      </w:tr>
    </w:tbl>
    <w:p w14:paraId="5BE79D25">
      <w:pPr>
        <w:autoSpaceDE w:val="0"/>
        <w:autoSpaceDN w:val="0"/>
        <w:adjustRightInd w:val="0"/>
        <w:spacing w:line="360" w:lineRule="auto"/>
        <w:ind w:firstLine="420"/>
        <w:jc w:val="left"/>
        <w:rPr>
          <w:rFonts w:ascii="宋体" w:hAnsi="宋体"/>
          <w:sz w:val="24"/>
        </w:rPr>
      </w:pPr>
    </w:p>
    <w:p w14:paraId="38836C0D">
      <w:pPr>
        <w:rPr>
          <w:rFonts w:ascii="宋体" w:hAnsi="宋体" w:cs="Arial"/>
          <w:sz w:val="24"/>
        </w:rPr>
      </w:pPr>
    </w:p>
    <w:p w14:paraId="48C0E535">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201F1A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63853547">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10217F6E">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50B04B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727E598B">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03E4D645">
            <w:pPr>
              <w:spacing w:line="280" w:lineRule="atLeast"/>
              <w:ind w:firstLine="360" w:firstLineChars="200"/>
              <w:jc w:val="left"/>
              <w:rPr>
                <w:rFonts w:ascii="宋体" w:hAnsi="宋体" w:cs="Arial"/>
                <w:kern w:val="0"/>
                <w:sz w:val="18"/>
                <w:szCs w:val="18"/>
              </w:rPr>
            </w:pPr>
          </w:p>
          <w:p w14:paraId="1F3E8C56">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1AA4D555">
            <w:pPr>
              <w:spacing w:line="280" w:lineRule="atLeast"/>
              <w:ind w:firstLine="360" w:firstLineChars="200"/>
              <w:jc w:val="left"/>
              <w:rPr>
                <w:rFonts w:ascii="宋体" w:hAnsi="宋体" w:cs="Arial"/>
                <w:kern w:val="0"/>
                <w:sz w:val="18"/>
                <w:szCs w:val="18"/>
              </w:rPr>
            </w:pPr>
          </w:p>
          <w:p w14:paraId="51A71807">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783FC9C9">
            <w:pPr>
              <w:spacing w:line="280" w:lineRule="atLeast"/>
              <w:jc w:val="left"/>
              <w:rPr>
                <w:rFonts w:ascii="宋体" w:hAnsi="宋体" w:cs="Arial"/>
                <w:kern w:val="0"/>
                <w:sz w:val="18"/>
                <w:szCs w:val="18"/>
              </w:rPr>
            </w:pPr>
          </w:p>
          <w:p w14:paraId="179C5636">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60E73526">
            <w:pPr>
              <w:spacing w:line="280" w:lineRule="atLeast"/>
              <w:jc w:val="left"/>
              <w:rPr>
                <w:rFonts w:ascii="宋体" w:hAnsi="宋体" w:cs="Arial"/>
                <w:kern w:val="0"/>
                <w:sz w:val="18"/>
                <w:szCs w:val="18"/>
              </w:rPr>
            </w:pPr>
          </w:p>
          <w:p w14:paraId="0121ABBB">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1ADEA704">
            <w:pPr>
              <w:spacing w:line="280" w:lineRule="atLeast"/>
              <w:jc w:val="left"/>
              <w:rPr>
                <w:rFonts w:ascii="宋体" w:hAnsi="宋体" w:cs="Arial"/>
                <w:kern w:val="0"/>
                <w:sz w:val="18"/>
                <w:szCs w:val="18"/>
              </w:rPr>
            </w:pPr>
          </w:p>
          <w:p w14:paraId="3F5F5CE8">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5FBCBE8D">
            <w:pPr>
              <w:spacing w:line="280" w:lineRule="atLeast"/>
              <w:ind w:left="4200" w:firstLine="1080" w:firstLineChars="600"/>
              <w:jc w:val="left"/>
              <w:rPr>
                <w:rFonts w:ascii="宋体" w:hAnsi="宋体" w:cs="Arial"/>
                <w:kern w:val="0"/>
                <w:sz w:val="18"/>
                <w:szCs w:val="18"/>
              </w:rPr>
            </w:pPr>
          </w:p>
          <w:p w14:paraId="11596914">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42620F92">
            <w:pPr>
              <w:spacing w:line="280" w:lineRule="atLeast"/>
              <w:rPr>
                <w:kern w:val="0"/>
                <w:sz w:val="20"/>
                <w:szCs w:val="20"/>
              </w:rPr>
            </w:pPr>
          </w:p>
          <w:p w14:paraId="1663C3EA">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14:paraId="3EDC6CC7">
      <w:pPr>
        <w:widowControl/>
        <w:jc w:val="left"/>
        <w:rPr>
          <w:rFonts w:hint="eastAsia" w:ascii="宋体" w:hAnsi="宋体"/>
          <w:b/>
          <w:sz w:val="28"/>
          <w:szCs w:val="28"/>
        </w:rPr>
      </w:pPr>
    </w:p>
    <w:p w14:paraId="1B35C4A5">
      <w:pPr>
        <w:autoSpaceDE w:val="0"/>
        <w:autoSpaceDN w:val="0"/>
        <w:adjustRightInd w:val="0"/>
        <w:spacing w:line="360" w:lineRule="auto"/>
        <w:ind w:firstLine="420"/>
        <w:jc w:val="left"/>
        <w:rPr>
          <w:rFonts w:ascii="宋体" w:hAnsi="宋体"/>
          <w:sz w:val="24"/>
        </w:rPr>
      </w:pPr>
    </w:p>
    <w:p w14:paraId="303EDC2D">
      <w:pPr>
        <w:rPr>
          <w:rFonts w:ascii="宋体" w:hAnsi="宋体" w:cs="Arial"/>
          <w:sz w:val="24"/>
        </w:rPr>
      </w:pPr>
    </w:p>
    <w:p w14:paraId="7ADF9802">
      <w:pPr>
        <w:widowControl/>
        <w:jc w:val="left"/>
        <w:rPr>
          <w:rFonts w:ascii="宋体" w:hAnsi="宋体"/>
          <w:b/>
          <w:sz w:val="28"/>
          <w:szCs w:val="28"/>
        </w:rPr>
      </w:pPr>
    </w:p>
    <w:p w14:paraId="515B1475">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319DCF8A">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lang w:eastAsia="zh-CN"/>
        </w:rPr>
        <w:t>【兴银理财稳利恒盈封闭式2026年816期固收类理财产品】</w:t>
      </w:r>
    </w:p>
    <w:p w14:paraId="3A361444">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39D18883">
      <w:pPr>
        <w:pStyle w:val="14"/>
        <w:jc w:val="center"/>
        <w:rPr>
          <w:rFonts w:hAnsi="宋体"/>
          <w:b/>
          <w:color w:val="auto"/>
          <w:sz w:val="28"/>
          <w:szCs w:val="28"/>
        </w:rPr>
      </w:pPr>
      <w:r>
        <w:rPr>
          <w:rFonts w:hint="eastAsia" w:hAnsi="宋体"/>
          <w:b/>
          <w:color w:val="auto"/>
          <w:sz w:val="28"/>
          <w:szCs w:val="28"/>
        </w:rPr>
        <w:t>（适用于个人投资者）</w:t>
      </w:r>
    </w:p>
    <w:p w14:paraId="34C0ACE1">
      <w:pPr>
        <w:rPr>
          <w:rFonts w:ascii="宋体" w:hAnsi="宋体"/>
          <w:b/>
          <w:sz w:val="18"/>
          <w:szCs w:val="18"/>
        </w:rPr>
      </w:pPr>
      <w:r>
        <w:rPr>
          <w:rFonts w:hint="eastAsia" w:ascii="宋体" w:hAnsi="宋体"/>
          <w:b/>
          <w:sz w:val="18"/>
          <w:szCs w:val="18"/>
        </w:rPr>
        <w:t>尊敬的投资者：</w:t>
      </w:r>
    </w:p>
    <w:p w14:paraId="0BBE7770">
      <w:pPr>
        <w:spacing w:line="320" w:lineRule="exact"/>
        <w:ind w:firstLine="360" w:firstLineChars="200"/>
        <w:jc w:val="left"/>
        <w:rPr>
          <w:rFonts w:ascii="宋体" w:hAnsi="宋体"/>
          <w:sz w:val="18"/>
          <w:szCs w:val="18"/>
        </w:rPr>
      </w:pPr>
      <w:r>
        <w:rPr>
          <w:rFonts w:hint="eastAsia" w:ascii="宋体" w:hAnsi="宋体"/>
          <w:sz w:val="18"/>
          <w:szCs w:val="18"/>
        </w:rPr>
        <w:t>感谢您通过销售机构【沧州银行股份有限公司】以(□ 直销：产品管理人销售/□ 代销：代理销售机构销售)的形式购买兴银理财有限责任公司（以下简称“兴银理财”）作为产品管理人管理的理财产品。</w:t>
      </w:r>
    </w:p>
    <w:p w14:paraId="74E1BB65">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5783F35A">
      <w:pPr>
        <w:ind w:firstLine="360" w:firstLineChars="200"/>
        <w:rPr>
          <w:rFonts w:ascii="宋体" w:hAnsi="宋体"/>
          <w:sz w:val="18"/>
          <w:szCs w:val="18"/>
        </w:rPr>
      </w:pPr>
    </w:p>
    <w:p w14:paraId="1619F7F1">
      <w:pPr>
        <w:ind w:firstLine="361" w:firstLineChars="200"/>
        <w:rPr>
          <w:rFonts w:ascii="宋体" w:hAnsi="宋体"/>
          <w:b/>
          <w:sz w:val="18"/>
          <w:szCs w:val="18"/>
        </w:rPr>
      </w:pPr>
      <w:r>
        <w:rPr>
          <w:rFonts w:hint="eastAsia" w:ascii="宋体" w:hAnsi="宋体"/>
          <w:b/>
          <w:sz w:val="18"/>
          <w:szCs w:val="18"/>
        </w:rPr>
        <w:t>一、理财产品购买流程</w:t>
      </w:r>
    </w:p>
    <w:p w14:paraId="4C260E08">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70C034B9">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49FF2652">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15DBD24C">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6DD284BC">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5B7D8672">
      <w:pPr>
        <w:ind w:firstLine="361" w:firstLineChars="200"/>
        <w:rPr>
          <w:rFonts w:ascii="宋体" w:hAnsi="宋体"/>
          <w:b/>
          <w:sz w:val="18"/>
          <w:szCs w:val="18"/>
        </w:rPr>
      </w:pPr>
      <w:r>
        <w:rPr>
          <w:rFonts w:hint="eastAsia" w:ascii="宋体" w:hAnsi="宋体"/>
          <w:b/>
          <w:sz w:val="18"/>
          <w:szCs w:val="18"/>
        </w:rPr>
        <w:t>（一）投资者风险承受能力评估说明</w:t>
      </w:r>
    </w:p>
    <w:p w14:paraId="641A0B9C">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255B197D">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0FB6FC1A">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8"/>
        <w:gridCol w:w="2858"/>
      </w:tblGrid>
      <w:tr w14:paraId="5A95E5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640E9DB8">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7B0B8E0E">
            <w:pPr>
              <w:jc w:val="center"/>
              <w:rPr>
                <w:rFonts w:ascii="宋体" w:hAnsi="宋体"/>
                <w:sz w:val="18"/>
                <w:szCs w:val="18"/>
              </w:rPr>
            </w:pPr>
            <w:r>
              <w:rPr>
                <w:rFonts w:hint="eastAsia" w:ascii="宋体" w:hAnsi="宋体"/>
                <w:sz w:val="18"/>
                <w:szCs w:val="18"/>
              </w:rPr>
              <w:t>对应的投资者风险承受能力评级</w:t>
            </w:r>
          </w:p>
        </w:tc>
      </w:tr>
      <w:tr w14:paraId="4E8BC4A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494DFE2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21" w:type="dxa"/>
            <w:tcBorders>
              <w:top w:val="single" w:color="auto" w:sz="12" w:space="0"/>
              <w:left w:val="single" w:color="auto" w:sz="12" w:space="0"/>
              <w:bottom w:val="single" w:color="auto" w:sz="12" w:space="0"/>
              <w:right w:val="single" w:color="auto" w:sz="12" w:space="0"/>
            </w:tcBorders>
            <w:vAlign w:val="center"/>
          </w:tcPr>
          <w:p w14:paraId="1B782D4D">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45" w:type="dxa"/>
            <w:tcBorders>
              <w:top w:val="single" w:color="auto" w:sz="12" w:space="0"/>
              <w:left w:val="single" w:color="auto" w:sz="12" w:space="0"/>
              <w:bottom w:val="single" w:color="auto" w:sz="12" w:space="0"/>
              <w:right w:val="single" w:color="auto" w:sz="12" w:space="0"/>
            </w:tcBorders>
            <w:vAlign w:val="center"/>
          </w:tcPr>
          <w:p w14:paraId="0A0121FD">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66CBA8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48D31D29">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21" w:type="dxa"/>
            <w:tcBorders>
              <w:top w:val="single" w:color="auto" w:sz="12" w:space="0"/>
              <w:left w:val="single" w:color="auto" w:sz="12" w:space="0"/>
              <w:bottom w:val="single" w:color="auto" w:sz="12" w:space="0"/>
              <w:right w:val="single" w:color="auto" w:sz="12" w:space="0"/>
            </w:tcBorders>
            <w:vAlign w:val="center"/>
          </w:tcPr>
          <w:p w14:paraId="7F244D9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7A9107D2">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2472F2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25D5EBE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21" w:type="dxa"/>
            <w:tcBorders>
              <w:top w:val="single" w:color="auto" w:sz="12" w:space="0"/>
              <w:left w:val="single" w:color="auto" w:sz="12" w:space="0"/>
              <w:bottom w:val="single" w:color="auto" w:sz="12" w:space="0"/>
              <w:right w:val="single" w:color="auto" w:sz="12" w:space="0"/>
            </w:tcBorders>
            <w:vAlign w:val="center"/>
          </w:tcPr>
          <w:p w14:paraId="0D9D2A12">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36C76C12">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0B0909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6279354D">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21" w:type="dxa"/>
            <w:tcBorders>
              <w:top w:val="single" w:color="auto" w:sz="12" w:space="0"/>
              <w:left w:val="single" w:color="auto" w:sz="12" w:space="0"/>
              <w:bottom w:val="single" w:color="auto" w:sz="12" w:space="0"/>
              <w:right w:val="single" w:color="auto" w:sz="12" w:space="0"/>
            </w:tcBorders>
            <w:vAlign w:val="center"/>
          </w:tcPr>
          <w:p w14:paraId="465EA2A3">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45" w:type="dxa"/>
            <w:tcBorders>
              <w:top w:val="single" w:color="auto" w:sz="12" w:space="0"/>
              <w:left w:val="single" w:color="auto" w:sz="12" w:space="0"/>
              <w:bottom w:val="single" w:color="auto" w:sz="12" w:space="0"/>
              <w:right w:val="single" w:color="auto" w:sz="12" w:space="0"/>
            </w:tcBorders>
            <w:vAlign w:val="center"/>
          </w:tcPr>
          <w:p w14:paraId="03B86C7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46D71D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269A0EE8">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21" w:type="dxa"/>
            <w:tcBorders>
              <w:top w:val="single" w:color="auto" w:sz="12" w:space="0"/>
              <w:left w:val="single" w:color="auto" w:sz="12" w:space="0"/>
              <w:bottom w:val="single" w:color="auto" w:sz="12" w:space="0"/>
              <w:right w:val="single" w:color="auto" w:sz="12" w:space="0"/>
            </w:tcBorders>
            <w:vAlign w:val="center"/>
          </w:tcPr>
          <w:p w14:paraId="3DAFB714">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45C5317E">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r w14:paraId="2DE6503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40BD83D5">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激进型（R6）</w:t>
            </w:r>
          </w:p>
        </w:tc>
        <w:tc>
          <w:tcPr>
            <w:tcW w:w="4821" w:type="dxa"/>
            <w:tcBorders>
              <w:top w:val="single" w:color="auto" w:sz="12" w:space="0"/>
              <w:left w:val="single" w:color="auto" w:sz="12" w:space="0"/>
              <w:bottom w:val="single" w:color="auto" w:sz="12" w:space="0"/>
              <w:right w:val="single" w:color="auto" w:sz="12" w:space="0"/>
            </w:tcBorders>
            <w:vAlign w:val="center"/>
          </w:tcPr>
          <w:p w14:paraId="4F5FE4B3">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46EE80CB">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 xml:space="preserve">激进型（C6） </w:t>
            </w:r>
          </w:p>
        </w:tc>
      </w:tr>
    </w:tbl>
    <w:p w14:paraId="6D7ABE64">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642FB061">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607B6C6A">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4ECA0807">
      <w:pPr>
        <w:ind w:firstLine="361" w:firstLineChars="200"/>
        <w:rPr>
          <w:rFonts w:ascii="宋体" w:hAnsi="宋体"/>
          <w:b/>
          <w:sz w:val="18"/>
          <w:szCs w:val="18"/>
        </w:rPr>
      </w:pPr>
      <w:r>
        <w:rPr>
          <w:rFonts w:hint="eastAsia" w:ascii="宋体" w:hAnsi="宋体"/>
          <w:b/>
          <w:sz w:val="18"/>
          <w:szCs w:val="18"/>
        </w:rPr>
        <w:t>三、关于理财产品的信息披露</w:t>
      </w:r>
    </w:p>
    <w:p w14:paraId="3A6B8BD8">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0D1905C4">
      <w:pPr>
        <w:ind w:firstLine="361" w:firstLineChars="200"/>
        <w:rPr>
          <w:rFonts w:asciiTheme="minorEastAsia" w:hAnsiTheme="minorEastAsia"/>
          <w:b/>
          <w:sz w:val="18"/>
          <w:szCs w:val="18"/>
        </w:rPr>
      </w:pPr>
      <w:r>
        <w:rPr>
          <w:rFonts w:hint="eastAsia" w:ascii="宋体" w:hAnsi="宋体"/>
          <w:b/>
          <w:sz w:val="18"/>
          <w:szCs w:val="18"/>
        </w:rPr>
        <w:t>四、关于投诉与建议</w:t>
      </w:r>
    </w:p>
    <w:p w14:paraId="61173A6F">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2C4A93F2">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39E0F48D">
      <w:pPr>
        <w:ind w:firstLine="360" w:firstLineChars="200"/>
        <w:rPr>
          <w:rFonts w:ascii="宋体" w:hAnsi="宋体"/>
          <w:sz w:val="18"/>
          <w:szCs w:val="18"/>
        </w:rPr>
      </w:pPr>
      <w:r>
        <w:rPr>
          <w:rFonts w:hint="eastAsia" w:ascii="宋体" w:hAnsi="宋体"/>
          <w:sz w:val="18"/>
          <w:szCs w:val="18"/>
        </w:rPr>
        <w:t>1.产品管理人：兴银理财有限责任公司</w:t>
      </w:r>
    </w:p>
    <w:p w14:paraId="758C324B">
      <w:pPr>
        <w:ind w:firstLine="360" w:firstLineChars="200"/>
        <w:rPr>
          <w:rFonts w:ascii="宋体" w:hAnsi="宋体"/>
          <w:sz w:val="18"/>
          <w:szCs w:val="18"/>
        </w:rPr>
      </w:pPr>
      <w:r>
        <w:rPr>
          <w:rFonts w:hint="eastAsia" w:ascii="宋体" w:hAnsi="宋体"/>
          <w:sz w:val="18"/>
          <w:szCs w:val="18"/>
        </w:rPr>
        <w:t>客户服务热线：40015-95561。</w:t>
      </w:r>
    </w:p>
    <w:p w14:paraId="59960E12">
      <w:pPr>
        <w:ind w:firstLine="360" w:firstLineChars="200"/>
        <w:rPr>
          <w:rFonts w:hint="eastAsia" w:ascii="宋体" w:hAnsi="宋体"/>
          <w:sz w:val="18"/>
          <w:szCs w:val="18"/>
        </w:rPr>
      </w:pPr>
      <w:r>
        <w:rPr>
          <w:rFonts w:hint="eastAsia" w:ascii="宋体" w:hAnsi="宋体"/>
          <w:sz w:val="18"/>
          <w:szCs w:val="18"/>
        </w:rPr>
        <w:t>2.销售机构：【沧州银行股份有限公司】</w:t>
      </w:r>
    </w:p>
    <w:p w14:paraId="6609A9EE">
      <w:pPr>
        <w:ind w:firstLine="360" w:firstLineChars="200"/>
        <w:rPr>
          <w:rFonts w:ascii="宋体" w:hAnsi="宋体"/>
          <w:sz w:val="18"/>
          <w:szCs w:val="18"/>
        </w:rPr>
      </w:pPr>
      <w:r>
        <w:rPr>
          <w:rFonts w:hint="eastAsia" w:ascii="宋体" w:hAnsi="宋体"/>
          <w:sz w:val="18"/>
          <w:szCs w:val="18"/>
        </w:rPr>
        <w:t>通过【沧州银行】（作为销售服务机构）购买本产品的，请联系【沧州银行】，【沧州银行】客户服务热线：【96328】；【沧州银行】门户网站：【www.bankcz.com】</w:t>
      </w:r>
    </w:p>
    <w:p w14:paraId="6C8BCB62">
      <w:pPr>
        <w:ind w:right="84" w:rightChars="40"/>
        <w:jc w:val="right"/>
        <w:rPr>
          <w:rFonts w:ascii="宋体" w:hAnsi="宋体"/>
          <w:sz w:val="18"/>
          <w:szCs w:val="18"/>
        </w:rPr>
      </w:pPr>
      <w:bookmarkStart w:id="222" w:name="_GoBack"/>
      <w:bookmarkEnd w:id="222"/>
    </w:p>
    <w:p w14:paraId="03CB1E27">
      <w:pPr>
        <w:widowControl/>
        <w:jc w:val="left"/>
        <w:rPr>
          <w:rFonts w:ascii="宋体" w:hAnsi="宋体"/>
          <w:b/>
          <w:sz w:val="28"/>
          <w:szCs w:val="28"/>
        </w:rPr>
      </w:pPr>
      <w:r>
        <w:rPr>
          <w:rFonts w:ascii="宋体" w:hAnsi="宋体"/>
          <w:b/>
          <w:sz w:val="28"/>
          <w:szCs w:val="28"/>
        </w:rPr>
        <w:br w:type="page"/>
      </w:r>
    </w:p>
    <w:p w14:paraId="2C09BC60">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lang w:eastAsia="zh-CN"/>
        </w:rPr>
        <w:t>【兴银理财稳利恒盈封闭式2026年816期固收类理财产品】</w:t>
      </w:r>
    </w:p>
    <w:p w14:paraId="7027D075">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02CC7DC3">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5E1A5CC1">
      <w:pPr>
        <w:spacing w:line="280" w:lineRule="atLeast"/>
        <w:rPr>
          <w:rFonts w:ascii="宋体" w:hAnsi="宋体"/>
          <w:b/>
          <w:sz w:val="18"/>
          <w:szCs w:val="18"/>
        </w:rPr>
      </w:pPr>
      <w:r>
        <w:rPr>
          <w:rFonts w:hint="eastAsia" w:ascii="宋体" w:hAnsi="宋体"/>
          <w:b/>
          <w:sz w:val="18"/>
          <w:szCs w:val="18"/>
        </w:rPr>
        <w:t>尊敬的投资者：</w:t>
      </w:r>
    </w:p>
    <w:p w14:paraId="7174B488">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1A28D1CD">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5BC82B6D">
      <w:pPr>
        <w:spacing w:line="280" w:lineRule="atLeast"/>
        <w:ind w:firstLine="360" w:firstLineChars="200"/>
        <w:rPr>
          <w:rFonts w:ascii="宋体" w:hAnsi="宋体"/>
          <w:sz w:val="18"/>
          <w:szCs w:val="18"/>
        </w:rPr>
      </w:pPr>
    </w:p>
    <w:p w14:paraId="44BFAA23">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271FEBB9">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69CE9E3C">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4BCC8599">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5ABE7BDE">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6CF1F733">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713529F3">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034CDF7F">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6E9359B3">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0DF8322B">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4009A8A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725782F4">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45DE0A7D">
            <w:pPr>
              <w:jc w:val="center"/>
              <w:rPr>
                <w:rFonts w:ascii="宋体" w:hAnsi="宋体"/>
                <w:sz w:val="18"/>
                <w:szCs w:val="18"/>
              </w:rPr>
            </w:pPr>
            <w:r>
              <w:rPr>
                <w:rFonts w:hint="eastAsia" w:ascii="宋体" w:hAnsi="宋体"/>
                <w:sz w:val="18"/>
                <w:szCs w:val="18"/>
              </w:rPr>
              <w:t>对应的投资者风险承受能力评级</w:t>
            </w:r>
          </w:p>
        </w:tc>
      </w:tr>
      <w:tr w14:paraId="6F1E7C8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7E64052F">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051CC68B">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662E6BFA">
            <w:pPr>
              <w:ind w:firstLine="360" w:firstLineChars="200"/>
              <w:rPr>
                <w:rFonts w:ascii="宋体" w:hAnsi="宋体"/>
                <w:sz w:val="18"/>
                <w:szCs w:val="18"/>
              </w:rPr>
            </w:pPr>
          </w:p>
        </w:tc>
      </w:tr>
      <w:tr w14:paraId="797C2F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0E0C3FF4">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12A32B9E">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22576EE1">
            <w:pPr>
              <w:ind w:firstLine="360" w:firstLineChars="200"/>
              <w:rPr>
                <w:rFonts w:ascii="宋体" w:hAnsi="宋体"/>
                <w:sz w:val="18"/>
                <w:szCs w:val="18"/>
              </w:rPr>
            </w:pPr>
          </w:p>
        </w:tc>
      </w:tr>
      <w:tr w14:paraId="2BBB8D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2DB728B4">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0A1FD529">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5AA2F727">
            <w:pPr>
              <w:ind w:firstLine="360" w:firstLineChars="200"/>
              <w:rPr>
                <w:rFonts w:ascii="宋体" w:hAnsi="宋体"/>
                <w:sz w:val="18"/>
                <w:szCs w:val="18"/>
              </w:rPr>
            </w:pPr>
          </w:p>
        </w:tc>
      </w:tr>
      <w:tr w14:paraId="24E994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6FD44AA5">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926F80A">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680A1533">
            <w:pPr>
              <w:ind w:firstLine="360" w:firstLineChars="200"/>
              <w:rPr>
                <w:rFonts w:ascii="宋体" w:hAnsi="宋体"/>
                <w:sz w:val="18"/>
                <w:szCs w:val="18"/>
              </w:rPr>
            </w:pPr>
          </w:p>
        </w:tc>
      </w:tr>
      <w:tr w14:paraId="75788D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1F71E222">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157287AA">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490EE500">
            <w:pPr>
              <w:ind w:firstLine="360" w:firstLineChars="200"/>
              <w:rPr>
                <w:rFonts w:ascii="宋体" w:hAnsi="宋体"/>
                <w:sz w:val="18"/>
                <w:szCs w:val="18"/>
              </w:rPr>
            </w:pPr>
          </w:p>
        </w:tc>
      </w:tr>
    </w:tbl>
    <w:p w14:paraId="7667C5E5">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1CE4EB1C">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0F31285E">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0FB629E7">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0733F6F8">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415C330C">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60EE2F40">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2F399D3C">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4BC5BE16">
      <w:pPr>
        <w:spacing w:line="280" w:lineRule="atLeast"/>
        <w:ind w:firstLine="360" w:firstLineChars="200"/>
        <w:rPr>
          <w:rFonts w:ascii="宋体" w:hAnsi="宋体"/>
          <w:sz w:val="18"/>
          <w:szCs w:val="18"/>
        </w:rPr>
      </w:pPr>
      <w:r>
        <w:rPr>
          <w:rFonts w:hint="eastAsia" w:ascii="宋体" w:hAnsi="宋体"/>
          <w:sz w:val="18"/>
          <w:szCs w:val="18"/>
        </w:rPr>
        <w:t>（二）联络方式：</w:t>
      </w:r>
    </w:p>
    <w:p w14:paraId="1BF12D99">
      <w:pPr>
        <w:ind w:firstLine="360" w:firstLineChars="200"/>
        <w:rPr>
          <w:rFonts w:ascii="宋体" w:hAnsi="宋体"/>
          <w:sz w:val="18"/>
          <w:szCs w:val="18"/>
        </w:rPr>
      </w:pPr>
      <w:r>
        <w:rPr>
          <w:rFonts w:hint="eastAsia" w:ascii="宋体" w:hAnsi="宋体"/>
          <w:sz w:val="18"/>
          <w:szCs w:val="18"/>
        </w:rPr>
        <w:t>1.产品管理人：兴银理财有限责任公司</w:t>
      </w:r>
    </w:p>
    <w:p w14:paraId="5EBA3F77">
      <w:pPr>
        <w:ind w:firstLine="360" w:firstLineChars="200"/>
        <w:rPr>
          <w:rFonts w:ascii="宋体" w:hAnsi="宋体"/>
          <w:sz w:val="18"/>
          <w:szCs w:val="18"/>
        </w:rPr>
      </w:pPr>
      <w:r>
        <w:rPr>
          <w:rFonts w:hint="eastAsia" w:ascii="宋体" w:hAnsi="宋体"/>
          <w:sz w:val="18"/>
          <w:szCs w:val="18"/>
        </w:rPr>
        <w:t>客户服务热线：40015-95561。</w:t>
      </w:r>
    </w:p>
    <w:p w14:paraId="608F852E">
      <w:pPr>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w:t>
      </w:r>
    </w:p>
    <w:p w14:paraId="0BCB5A61">
      <w:pPr>
        <w:ind w:firstLine="360" w:firstLineChars="200"/>
        <w:rPr>
          <w:rFonts w:ascii="宋体" w:hAnsi="宋体"/>
          <w:sz w:val="18"/>
          <w:szCs w:val="18"/>
        </w:rPr>
      </w:pPr>
      <w:r>
        <w:rPr>
          <w:rFonts w:hint="eastAsia" w:ascii="宋体" w:hAnsi="宋体"/>
          <w:sz w:val="18"/>
          <w:szCs w:val="18"/>
        </w:rPr>
        <w:t>【】</w:t>
      </w:r>
    </w:p>
    <w:p w14:paraId="577E25B4">
      <w:pPr>
        <w:autoSpaceDE w:val="0"/>
        <w:autoSpaceDN w:val="0"/>
        <w:adjustRightInd w:val="0"/>
        <w:spacing w:line="280" w:lineRule="atLeast"/>
        <w:jc w:val="left"/>
        <w:rPr>
          <w:rFonts w:ascii="仿宋_GB2312" w:eastAsia="仿宋_GB2312" w:cs="仿宋_GB2312"/>
          <w:color w:val="000000"/>
          <w:kern w:val="0"/>
          <w:sz w:val="24"/>
          <w:szCs w:val="24"/>
        </w:rPr>
      </w:pPr>
    </w:p>
    <w:p w14:paraId="4B051F97">
      <w:pPr>
        <w:widowControl/>
        <w:spacing w:line="280" w:lineRule="atLeast"/>
        <w:jc w:val="left"/>
        <w:rPr>
          <w:rFonts w:ascii="宋体" w:hAnsi="宋体"/>
          <w:b/>
          <w:sz w:val="28"/>
          <w:szCs w:val="28"/>
        </w:rPr>
      </w:pPr>
    </w:p>
    <w:p w14:paraId="19CA5CBA">
      <w:pPr>
        <w:ind w:firstLine="360" w:firstLineChars="200"/>
        <w:rPr>
          <w:rFonts w:ascii="宋体" w:hAnsi="宋体"/>
          <w:sz w:val="18"/>
          <w:szCs w:val="18"/>
        </w:rPr>
      </w:pPr>
    </w:p>
    <w:p w14:paraId="2F448CEC">
      <w:pPr>
        <w:autoSpaceDE w:val="0"/>
        <w:autoSpaceDN w:val="0"/>
        <w:adjustRightInd w:val="0"/>
        <w:spacing w:line="280" w:lineRule="atLeast"/>
        <w:jc w:val="left"/>
        <w:rPr>
          <w:rFonts w:ascii="仿宋_GB2312" w:eastAsia="仿宋_GB2312" w:cs="仿宋_GB2312"/>
          <w:color w:val="000000"/>
          <w:kern w:val="0"/>
          <w:sz w:val="24"/>
          <w:szCs w:val="24"/>
        </w:rPr>
      </w:pPr>
    </w:p>
    <w:p w14:paraId="08EA1629">
      <w:pPr>
        <w:widowControl/>
        <w:spacing w:line="280" w:lineRule="atLeast"/>
        <w:jc w:val="left"/>
      </w:pPr>
    </w:p>
    <w:p w14:paraId="71C5D40E"/>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3AE0D493">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3AACB">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004A7B84">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176D3A73">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4E02A">
    <w:pPr>
      <w:pStyle w:val="4"/>
      <w:jc w:val="right"/>
      <w:rPr>
        <w:b/>
      </w:rPr>
    </w:pPr>
    <w:r>
      <w:rPr>
        <w:rFonts w:hint="eastAsia"/>
        <w:b/>
      </w:rPr>
      <w:t>投资协议书</w:t>
    </w:r>
  </w:p>
  <w:p w14:paraId="088A0C00">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EE803">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76215296">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60C97">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18D2DFAB">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0B389">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39220EFD">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3D8A82">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2BBD3482">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53AF277E"/>
    <w:rsid w:val="637F58C5"/>
    <w:rsid w:val="7BFD24A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7962</Words>
  <Characters>8107</Characters>
  <Lines>0</Lines>
  <Paragraphs>0</Paragraphs>
  <TotalTime>0</TotalTime>
  <ScaleCrop>false</ScaleCrop>
  <LinksUpToDate>false</LinksUpToDate>
  <CharactersWithSpaces>8204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2026-03-11T01:27:45Z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D19B9327D9454A64AF6F7B4A131FB5D3_13</vt:lpwstr>
  </property>
</Properties>
</file>