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2"/>
          <w:szCs w:val="32"/>
          <w:highlight w:val="none"/>
        </w:rPr>
      </w:pPr>
      <w:bookmarkStart w:id="0" w:name="_GoBack"/>
      <w:bookmarkEnd w:id="0"/>
      <w:r>
        <w:rPr>
          <w:rFonts w:hint="eastAsia"/>
          <w:b/>
          <w:sz w:val="32"/>
          <w:szCs w:val="32"/>
          <w:highlight w:val="none"/>
        </w:rPr>
        <w:t>天津银行个人理财产品销售协议书</w:t>
      </w:r>
    </w:p>
    <w:tbl>
      <w:tblPr>
        <w:tblStyle w:val="11"/>
        <w:tblW w:w="896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27" w:hRule="atLeast"/>
          <w:jc w:val="center"/>
        </w:trPr>
        <w:tc>
          <w:tcPr>
            <w:tcW w:w="8969" w:type="dxa"/>
          </w:tcPr>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r>
              <w:rPr>
                <w:rFonts w:ascii="黑体" w:hAnsi="黑体" w:eastAsia="黑体"/>
                <w:b/>
                <w:bCs/>
                <w:sz w:val="18"/>
                <w:szCs w:val="18"/>
                <w:highlight w:val="none"/>
              </w:rPr>
              <mc:AlternateContent>
                <mc:Choice Requires="wps">
                  <w:drawing>
                    <wp:anchor distT="0" distB="0" distL="114300" distR="114300" simplePos="0" relativeHeight="251660288" behindDoc="0" locked="0" layoutInCell="1" allowOverlap="1">
                      <wp:simplePos x="0" y="0"/>
                      <wp:positionH relativeFrom="column">
                        <wp:posOffset>5847080</wp:posOffset>
                      </wp:positionH>
                      <wp:positionV relativeFrom="paragraph">
                        <wp:posOffset>58420</wp:posOffset>
                      </wp:positionV>
                      <wp:extent cx="571500" cy="1386840"/>
                      <wp:effectExtent l="0" t="0" r="0" b="3810"/>
                      <wp:wrapNone/>
                      <wp:docPr id="2" name="文本框 6"/>
                      <wp:cNvGraphicFramePr/>
                      <a:graphic xmlns:a="http://schemas.openxmlformats.org/drawingml/2006/main">
                        <a:graphicData uri="http://schemas.microsoft.com/office/word/2010/wordprocessingShape">
                          <wps:wsp>
                            <wps:cNvSpPr txBox="1"/>
                            <wps:spPr>
                              <a:xfrm>
                                <a:off x="0" y="0"/>
                                <a:ext cx="571500" cy="1386840"/>
                              </a:xfrm>
                              <a:prstGeom prst="rect">
                                <a:avLst/>
                              </a:prstGeom>
                              <a:solidFill>
                                <a:srgbClr val="FFFFFF"/>
                              </a:solidFill>
                              <a:ln w="9525">
                                <a:noFill/>
                              </a:ln>
                              <a:effectLst/>
                            </wps:spPr>
                            <wps:txbx>
                              <w:txbxContent>
                                <w:p>
                                  <w:r>
                                    <w:rPr>
                                      <w:rFonts w:hint="eastAsia"/>
                                    </w:rPr>
                                    <w:t>第二联　客户留存</w:t>
                                  </w:r>
                                </w:p>
                                <w:p>
                                  <w:r>
                                    <w:rPr>
                                      <w:rFonts w:hint="eastAsia"/>
                                    </w:rPr>
                                    <w:t>第一联　银行留存</w:t>
                                  </w:r>
                                </w:p>
                                <w:p/>
                              </w:txbxContent>
                            </wps:txbx>
                            <wps:bodyPr vert="eaVert" upright="1"/>
                          </wps:wsp>
                        </a:graphicData>
                      </a:graphic>
                    </wp:anchor>
                  </w:drawing>
                </mc:Choice>
                <mc:Fallback>
                  <w:pict>
                    <v:shape id="文本框 6" o:spid="_x0000_s1026" o:spt="202" type="#_x0000_t202" style="position:absolute;left:0pt;margin-left:460.4pt;margin-top:4.6pt;height:109.2pt;width:45pt;z-index:251660288;mso-width-relative:page;mso-height-relative:page;" fillcolor="#FFFFFF" filled="t" stroked="f" coordsize="21600,21600" o:gfxdata="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OOk017YAAAACgEAAA8AAAAAAAAAAQAgAAAAIgAAAGRycy9kb3ducmV2LnhtbFBL&#10;AQIUABQAAAAIAIdO4kCGjJ5cvQEAAE4DAAAOAAAAAAAAAAEAIAAAACcBAABkcnMvZTJvRG9jLnht&#10;bFBLBQYAAAAABgAGAFkBAABWBQAAAAA=&#10;">
                      <v:fill on="t" focussize="0,0"/>
                      <v:stroke on="f"/>
                      <v:imagedata o:title=""/>
                      <o:lock v:ext="edit" aspectratio="f"/>
                      <v:textbox style="layout-flow:vertical-ideographic;">
                        <w:txbxContent>
                          <w:p>
                            <w:r>
                              <w:rPr>
                                <w:rFonts w:hint="eastAsia"/>
                              </w:rPr>
                              <w:t>第二联　客户留存</w:t>
                            </w:r>
                          </w:p>
                          <w:p>
                            <w:r>
                              <w:rPr>
                                <w:rFonts w:hint="eastAsia"/>
                              </w:rPr>
                              <w:t>第一联　银行留存</w:t>
                            </w:r>
                          </w:p>
                          <w:p/>
                        </w:txbxContent>
                      </v:textbox>
                    </v:shape>
                  </w:pict>
                </mc:Fallback>
              </mc:AlternateContent>
            </w: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02" w:hRule="atLeast"/>
          <w:jc w:val="center"/>
        </w:trPr>
        <w:tc>
          <w:tcPr>
            <w:tcW w:w="8969" w:type="dxa"/>
            <w:vAlign w:val="center"/>
          </w:tcPr>
          <w:p>
            <w:pPr>
              <w:ind w:firstLine="527" w:firstLineChars="250"/>
              <w:rPr>
                <w:rFonts w:ascii="宋体" w:hAnsi="宋体"/>
                <w:b/>
                <w:szCs w:val="21"/>
                <w:highlight w:val="none"/>
              </w:rPr>
            </w:pPr>
            <w:r>
              <w:rPr>
                <w:rFonts w:ascii="宋体" w:hAnsi="宋体"/>
                <w:b/>
                <w:szCs w:val="21"/>
                <w:highlight w:val="none"/>
              </w:rPr>
              <w:t>1.</w:t>
            </w:r>
            <w:r>
              <w:rPr>
                <w:rFonts w:hint="eastAsia" w:ascii="宋体" w:hAnsi="宋体"/>
                <w:b/>
                <w:szCs w:val="21"/>
                <w:highlight w:val="none"/>
              </w:rPr>
              <w:t>银行</w:t>
            </w:r>
            <w:r>
              <w:rPr>
                <w:rFonts w:ascii="宋体" w:hAnsi="宋体"/>
                <w:b/>
                <w:szCs w:val="21"/>
                <w:highlight w:val="none"/>
              </w:rPr>
              <w:t>已提请</w:t>
            </w:r>
            <w:r>
              <w:rPr>
                <w:rFonts w:hint="eastAsia" w:ascii="宋体" w:hAnsi="宋体"/>
                <w:b/>
                <w:szCs w:val="21"/>
                <w:highlight w:val="none"/>
              </w:rPr>
              <w:t>客户</w:t>
            </w:r>
            <w:r>
              <w:rPr>
                <w:rFonts w:ascii="宋体" w:hAnsi="宋体"/>
                <w:b/>
                <w:szCs w:val="21"/>
                <w:highlight w:val="none"/>
              </w:rPr>
              <w:t>注意对本协议各条款，特别是黑体字条款作全面、准确的理解，并作了相应条款的说明。签约</w:t>
            </w:r>
            <w:r>
              <w:rPr>
                <w:rFonts w:hint="eastAsia" w:ascii="宋体" w:hAnsi="宋体"/>
                <w:b/>
                <w:szCs w:val="21"/>
                <w:highlight w:val="none"/>
              </w:rPr>
              <w:t>双</w:t>
            </w:r>
            <w:r>
              <w:rPr>
                <w:rFonts w:ascii="宋体" w:hAnsi="宋体"/>
                <w:b/>
                <w:szCs w:val="21"/>
                <w:highlight w:val="none"/>
              </w:rPr>
              <w:t>方对本协议的含义认识一致，认同并接受本协议全部条款。</w:t>
            </w:r>
          </w:p>
          <w:p>
            <w:pPr>
              <w:ind w:firstLine="527" w:firstLineChars="250"/>
              <w:rPr>
                <w:rFonts w:ascii="宋体" w:hAnsi="宋体"/>
                <w:b/>
                <w:szCs w:val="21"/>
                <w:highlight w:val="none"/>
              </w:rPr>
            </w:pPr>
            <w:r>
              <w:rPr>
                <w:rFonts w:ascii="宋体" w:hAnsi="宋体"/>
                <w:b/>
                <w:szCs w:val="21"/>
                <w:highlight w:val="none"/>
              </w:rPr>
              <w:t>2.</w:t>
            </w:r>
            <w:r>
              <w:rPr>
                <w:rFonts w:hint="eastAsia" w:ascii="宋体" w:hAnsi="宋体"/>
                <w:b/>
                <w:szCs w:val="21"/>
                <w:highlight w:val="none"/>
              </w:rPr>
              <w:t>客户认可本协议约定的信息披露途径，已清楚知悉应注意查询的事项和信息披露方面的法律责任，同意银行按照本协议约定进行相关通知和披露。</w:t>
            </w:r>
          </w:p>
          <w:p>
            <w:pPr>
              <w:adjustRightInd w:val="0"/>
              <w:snapToGrid w:val="0"/>
              <w:ind w:firstLine="420" w:firstLineChars="200"/>
              <w:rPr>
                <w:rFonts w:ascii="宋体" w:hAnsi="宋体"/>
                <w:szCs w:val="21"/>
                <w:highlight w:val="none"/>
              </w:rPr>
            </w:pPr>
          </w:p>
          <w:p>
            <w:pPr>
              <w:adjustRightInd w:val="0"/>
              <w:snapToGrid w:val="0"/>
              <w:ind w:firstLine="630" w:firstLineChars="300"/>
              <w:rPr>
                <w:rFonts w:ascii="宋体" w:hAnsi="宋体"/>
                <w:szCs w:val="21"/>
                <w:highlight w:val="none"/>
              </w:rPr>
            </w:pPr>
            <w:r>
              <w:rPr>
                <w:szCs w:val="21"/>
                <w:highlight w:val="none"/>
              </w:rPr>
              <mc:AlternateContent>
                <mc:Choice Requires="wps">
                  <w:drawing>
                    <wp:anchor distT="0" distB="0" distL="114300" distR="114300" simplePos="0" relativeHeight="251659264" behindDoc="0" locked="0" layoutInCell="1" allowOverlap="1">
                      <wp:simplePos x="0" y="0"/>
                      <wp:positionH relativeFrom="column">
                        <wp:posOffset>-671830</wp:posOffset>
                      </wp:positionH>
                      <wp:positionV relativeFrom="paragraph">
                        <wp:posOffset>24765</wp:posOffset>
                      </wp:positionV>
                      <wp:extent cx="374015" cy="867410"/>
                      <wp:effectExtent l="0" t="0" r="6985" b="8890"/>
                      <wp:wrapNone/>
                      <wp:docPr id="1" name="文本框 5"/>
                      <wp:cNvGraphicFramePr/>
                      <a:graphic xmlns:a="http://schemas.openxmlformats.org/drawingml/2006/main">
                        <a:graphicData uri="http://schemas.microsoft.com/office/word/2010/wordprocessingShape">
                          <wps:wsp>
                            <wps:cNvSpPr txBox="1"/>
                            <wps:spPr>
                              <a:xfrm>
                                <a:off x="0" y="0"/>
                                <a:ext cx="374015" cy="867410"/>
                              </a:xfrm>
                              <a:prstGeom prst="rect">
                                <a:avLst/>
                              </a:prstGeom>
                              <a:solidFill>
                                <a:srgbClr val="FFFFFF"/>
                              </a:solidFill>
                              <a:ln w="9525">
                                <a:noFill/>
                              </a:ln>
                              <a:effectLst/>
                            </wps:spPr>
                            <wps:txbx>
                              <w:txbxContent>
                                <w:p>
                                  <w:pPr>
                                    <w:jc w:val="left"/>
                                  </w:pPr>
                                  <w:r>
                                    <w:rPr>
                                      <w:rFonts w:ascii="宋体" w:hAnsi="宋体"/>
                                    </w:rPr>
                                    <w:t>2025.5</w:t>
                                  </w:r>
                                  <w:r>
                                    <w:rPr>
                                      <w:rFonts w:hint="eastAsia"/>
                                    </w:rPr>
                                    <w:t>版</w:t>
                                  </w:r>
                                </w:p>
                              </w:txbxContent>
                            </wps:txbx>
                            <wps:bodyPr vert="eaVert" upright="1"/>
                          </wps:wsp>
                        </a:graphicData>
                      </a:graphic>
                    </wp:anchor>
                  </w:drawing>
                </mc:Choice>
                <mc:Fallback>
                  <w:pict>
                    <v:shape id="文本框 5" o:spid="_x0000_s1026" o:spt="202" type="#_x0000_t202" style="position:absolute;left:0pt;margin-left:-52.9pt;margin-top:1.95pt;height:68.3pt;width:29.45pt;z-index:251659264;mso-width-relative:page;mso-height-relative:page;" fillcolor="#FFFFFF" filled="t" stroked="f" coordsize="21600,21600" o:gfxdata="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LIOEj9oAAAAKAQAADwAAAAAAAAABACAAAAAiAAAAZHJzL2Rvd25yZXYueG1s&#10;UEsBAhQAFAAAAAgAh07iQDli2O+9AQAATQMAAA4AAAAAAAAAAQAgAAAAKQEAAGRycy9lMm9Eb2Mu&#10;eG1sUEsFBgAAAAAGAAYAWQEAAFgFAAAAAA==&#10;">
                      <v:fill on="t" focussize="0,0"/>
                      <v:stroke on="f"/>
                      <v:imagedata o:title=""/>
                      <o:lock v:ext="edit" aspectratio="f"/>
                      <v:textbox style="layout-flow:vertical-ideographic;">
                        <w:txbxContent>
                          <w:p>
                            <w:pPr>
                              <w:jc w:val="left"/>
                            </w:pPr>
                            <w:r>
                              <w:rPr>
                                <w:rFonts w:ascii="宋体" w:hAnsi="宋体"/>
                              </w:rPr>
                              <w:t>2025.5</w:t>
                            </w:r>
                            <w:r>
                              <w:rPr>
                                <w:rFonts w:hint="eastAsia"/>
                              </w:rPr>
                              <w:t>版</w:t>
                            </w:r>
                          </w:p>
                        </w:txbxContent>
                      </v:textbox>
                    </v:shape>
                  </w:pict>
                </mc:Fallback>
              </mc:AlternateContent>
            </w:r>
            <w:r>
              <w:rPr>
                <w:rFonts w:ascii="宋体" w:hAnsi="宋体"/>
                <w:szCs w:val="21"/>
                <w:highlight w:val="none"/>
              </w:rPr>
              <w:t xml:space="preserve">客户签章               </w:t>
            </w:r>
            <w:r>
              <w:rPr>
                <w:rFonts w:hint="eastAsia" w:ascii="宋体" w:hAnsi="宋体"/>
                <w:szCs w:val="21"/>
                <w:highlight w:val="none"/>
              </w:rPr>
              <w:t xml:space="preserve">   </w:t>
            </w:r>
            <w:r>
              <w:rPr>
                <w:rFonts w:ascii="宋体" w:hAnsi="宋体"/>
                <w:szCs w:val="21"/>
                <w:highlight w:val="none"/>
              </w:rPr>
              <w:t>银行签章</w:t>
            </w:r>
          </w:p>
          <w:p>
            <w:pPr>
              <w:adjustRightInd w:val="0"/>
              <w:snapToGrid w:val="0"/>
              <w:ind w:firstLine="630" w:firstLineChars="300"/>
              <w:rPr>
                <w:rFonts w:ascii="宋体" w:hAnsi="宋体"/>
                <w:szCs w:val="21"/>
                <w:highlight w:val="none"/>
              </w:rPr>
            </w:pPr>
          </w:p>
          <w:p>
            <w:pPr>
              <w:adjustRightInd w:val="0"/>
              <w:snapToGrid w:val="0"/>
              <w:ind w:firstLine="630" w:firstLineChars="300"/>
              <w:rPr>
                <w:rFonts w:ascii="宋体" w:hAnsi="宋体"/>
                <w:szCs w:val="21"/>
                <w:highlight w:val="none"/>
              </w:rPr>
            </w:pPr>
          </w:p>
          <w:p>
            <w:pPr>
              <w:adjustRightInd w:val="0"/>
              <w:snapToGrid w:val="0"/>
              <w:ind w:firstLine="630" w:firstLineChars="300"/>
              <w:rPr>
                <w:rFonts w:ascii="宋体" w:hAnsi="宋体"/>
                <w:szCs w:val="21"/>
                <w:highlight w:val="none"/>
              </w:rPr>
            </w:pPr>
            <w:r>
              <w:rPr>
                <w:rFonts w:hint="eastAsia" w:ascii="宋体" w:hAnsi="宋体"/>
                <w:szCs w:val="21"/>
                <w:highlight w:val="none"/>
              </w:rPr>
              <w:t>客户手机号码：</w:t>
            </w:r>
          </w:p>
          <w:p>
            <w:pPr>
              <w:adjustRightInd w:val="0"/>
              <w:snapToGrid w:val="0"/>
              <w:ind w:firstLine="540" w:firstLineChars="300"/>
              <w:rPr>
                <w:rFonts w:ascii="宋体" w:hAnsi="宋体"/>
                <w:sz w:val="18"/>
                <w:szCs w:val="21"/>
                <w:highlight w:val="none"/>
              </w:rPr>
            </w:pPr>
            <w:r>
              <w:rPr>
                <w:rFonts w:hint="eastAsia" w:ascii="宋体" w:hAnsi="宋体"/>
                <w:sz w:val="18"/>
                <w:szCs w:val="21"/>
                <w:highlight w:val="none"/>
              </w:rPr>
              <w:t>（</w:t>
            </w:r>
            <w:r>
              <w:rPr>
                <w:rFonts w:ascii="宋体" w:hAnsi="宋体"/>
                <w:sz w:val="18"/>
                <w:szCs w:val="21"/>
                <w:highlight w:val="none"/>
              </w:rPr>
              <w:t>如</w:t>
            </w:r>
            <w:r>
              <w:rPr>
                <w:rFonts w:hint="eastAsia" w:ascii="宋体" w:hAnsi="宋体"/>
                <w:sz w:val="18"/>
                <w:szCs w:val="21"/>
                <w:highlight w:val="none"/>
              </w:rPr>
              <w:t>手机</w:t>
            </w:r>
            <w:r>
              <w:rPr>
                <w:rFonts w:ascii="宋体" w:hAnsi="宋体"/>
                <w:sz w:val="18"/>
                <w:szCs w:val="21"/>
                <w:highlight w:val="none"/>
              </w:rPr>
              <w:t>号码与我行金信通</w:t>
            </w:r>
            <w:r>
              <w:rPr>
                <w:rFonts w:hint="eastAsia" w:ascii="宋体" w:hAnsi="宋体"/>
                <w:sz w:val="18"/>
                <w:szCs w:val="21"/>
                <w:highlight w:val="none"/>
              </w:rPr>
              <w:t>业务</w:t>
            </w:r>
            <w:r>
              <w:rPr>
                <w:rFonts w:ascii="宋体" w:hAnsi="宋体"/>
                <w:sz w:val="18"/>
                <w:szCs w:val="21"/>
                <w:highlight w:val="none"/>
              </w:rPr>
              <w:t>登记手机号码不一致，请及时</w:t>
            </w:r>
            <w:r>
              <w:rPr>
                <w:rFonts w:hint="eastAsia" w:ascii="宋体" w:hAnsi="宋体"/>
                <w:sz w:val="18"/>
                <w:szCs w:val="21"/>
                <w:highlight w:val="none"/>
              </w:rPr>
              <w:t>另行</w:t>
            </w:r>
            <w:r>
              <w:rPr>
                <w:rFonts w:ascii="宋体" w:hAnsi="宋体"/>
                <w:sz w:val="18"/>
                <w:szCs w:val="21"/>
                <w:highlight w:val="none"/>
              </w:rPr>
              <w:t>办理金信通</w:t>
            </w:r>
            <w:r>
              <w:rPr>
                <w:rFonts w:hint="eastAsia" w:ascii="宋体" w:hAnsi="宋体"/>
                <w:sz w:val="18"/>
                <w:szCs w:val="21"/>
                <w:highlight w:val="none"/>
              </w:rPr>
              <w:t>业务相关</w:t>
            </w:r>
            <w:r>
              <w:rPr>
                <w:rFonts w:ascii="宋体" w:hAnsi="宋体"/>
                <w:sz w:val="18"/>
                <w:szCs w:val="21"/>
                <w:highlight w:val="none"/>
              </w:rPr>
              <w:t>变更</w:t>
            </w:r>
            <w:r>
              <w:rPr>
                <w:rFonts w:hint="eastAsia" w:ascii="宋体" w:hAnsi="宋体"/>
                <w:sz w:val="18"/>
                <w:szCs w:val="21"/>
                <w:highlight w:val="none"/>
              </w:rPr>
              <w:t>手续。）</w:t>
            </w:r>
          </w:p>
          <w:p>
            <w:pPr>
              <w:adjustRightInd w:val="0"/>
              <w:snapToGrid w:val="0"/>
              <w:ind w:firstLine="630" w:firstLineChars="300"/>
              <w:rPr>
                <w:rFonts w:ascii="宋体" w:hAnsi="宋体"/>
                <w:szCs w:val="21"/>
                <w:highlight w:val="none"/>
              </w:rPr>
            </w:pPr>
          </w:p>
          <w:p>
            <w:pPr>
              <w:adjustRightInd w:val="0"/>
              <w:snapToGrid w:val="0"/>
              <w:ind w:firstLine="2625" w:firstLineChars="1250"/>
              <w:rPr>
                <w:rFonts w:ascii="宋体" w:hAnsi="宋体"/>
                <w:szCs w:val="21"/>
                <w:highlight w:val="none"/>
              </w:rPr>
            </w:pPr>
          </w:p>
          <w:p>
            <w:pPr>
              <w:adjustRightInd w:val="0"/>
              <w:snapToGrid w:val="0"/>
              <w:jc w:val="left"/>
              <w:rPr>
                <w:rFonts w:ascii="宋体" w:hAnsi="宋体"/>
                <w:szCs w:val="21"/>
                <w:highlight w:val="none"/>
              </w:rPr>
            </w:pPr>
            <w:r>
              <w:rPr>
                <w:rFonts w:hint="eastAsia" w:ascii="宋体" w:hAnsi="宋体"/>
                <w:szCs w:val="21"/>
                <w:highlight w:val="none"/>
              </w:rPr>
              <w:t xml:space="preserve">      </w:t>
            </w:r>
            <w:r>
              <w:rPr>
                <w:rFonts w:ascii="宋体" w:hAnsi="宋体"/>
                <w:szCs w:val="21"/>
                <w:highlight w:val="none"/>
              </w:rPr>
              <w:t xml:space="preserve">签订日期：    </w:t>
            </w:r>
            <w:r>
              <w:rPr>
                <w:rFonts w:hint="eastAsia" w:ascii="宋体" w:hAnsi="宋体"/>
                <w:szCs w:val="21"/>
                <w:highlight w:val="none"/>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jc w:val="center"/>
        </w:trPr>
        <w:tc>
          <w:tcPr>
            <w:tcW w:w="8969" w:type="dxa"/>
            <w:vAlign w:val="center"/>
          </w:tcPr>
          <w:p>
            <w:pPr>
              <w:adjustRightInd w:val="0"/>
              <w:snapToGrid w:val="0"/>
              <w:jc w:val="left"/>
              <w:rPr>
                <w:rFonts w:ascii="宋体" w:hAnsi="宋体"/>
                <w:szCs w:val="21"/>
                <w:highlight w:val="none"/>
              </w:rPr>
            </w:pPr>
            <w:r>
              <w:rPr>
                <w:rFonts w:hint="eastAsia" w:ascii="宋体" w:hAnsi="宋体"/>
                <w:szCs w:val="21"/>
                <w:highlight w:val="none"/>
              </w:rPr>
              <w:t xml:space="preserve">     经办：                              复核: </w:t>
            </w:r>
          </w:p>
        </w:tc>
      </w:tr>
    </w:tbl>
    <w:p>
      <w:pPr>
        <w:spacing w:line="440" w:lineRule="exact"/>
        <w:ind w:right="-82"/>
        <w:jc w:val="center"/>
        <w:rPr>
          <w:rFonts w:ascii="黑体" w:hAnsi="宋体" w:eastAsia="黑体"/>
          <w:b/>
          <w:sz w:val="24"/>
          <w:szCs w:val="24"/>
          <w:highlight w:val="none"/>
        </w:rPr>
      </w:pPr>
      <w:r>
        <w:rPr>
          <w:rFonts w:ascii="宋体" w:hAnsi="宋体"/>
          <w:sz w:val="15"/>
          <w:szCs w:val="15"/>
          <w:highlight w:val="none"/>
        </w:rPr>
        <w:br w:type="page"/>
      </w:r>
      <w:r>
        <w:rPr>
          <w:rFonts w:hint="eastAsia" w:ascii="黑体" w:hAnsi="宋体" w:eastAsia="黑体"/>
          <w:b/>
          <w:sz w:val="24"/>
          <w:szCs w:val="24"/>
          <w:highlight w:val="none"/>
        </w:rPr>
        <w:t>理财产品销售协议条款</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尊敬的客户：为了维护您的权益，请在签署本协议前，仔细阅读本协议各条款（特别是黑体字条款），充分了解银行理财业务的运作规则、协议双方的权利、义务和责任。如有疑问，可向银行理财产品发售机构咨询。</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一、定义。本协议项下的理财产品：是指银行接受客户委托和授权，按照与客户事先约定的投资计划和方式进行投资和资产管理，根据约定条件和实际投资收益情况向客户兑付理财</w:t>
      </w:r>
      <w:r>
        <w:rPr>
          <w:rFonts w:ascii="黑体" w:hAnsi="宋体" w:eastAsia="黑体"/>
          <w:b/>
          <w:sz w:val="15"/>
          <w:szCs w:val="15"/>
          <w:highlight w:val="none"/>
        </w:rPr>
        <w:t>资金</w:t>
      </w:r>
      <w:r>
        <w:rPr>
          <w:rFonts w:hint="eastAsia" w:ascii="黑体" w:hAnsi="宋体" w:eastAsia="黑体"/>
          <w:b/>
          <w:sz w:val="15"/>
          <w:szCs w:val="15"/>
          <w:highlight w:val="none"/>
        </w:rPr>
        <w:t>的产品。</w:t>
      </w:r>
      <w:r>
        <w:rPr>
          <w:rFonts w:hint="eastAsia" w:ascii="黑体" w:hAnsi="宋体" w:eastAsia="黑体"/>
          <w:sz w:val="15"/>
          <w:szCs w:val="15"/>
          <w:highlight w:val="none"/>
        </w:rPr>
        <w:t>理财资金账户：指客户在银行开立的用于完成理财合同项下交易的活期账户。理财</w:t>
      </w:r>
      <w:r>
        <w:rPr>
          <w:rFonts w:ascii="黑体" w:hAnsi="宋体" w:eastAsia="黑体"/>
          <w:sz w:val="15"/>
          <w:szCs w:val="15"/>
          <w:highlight w:val="none"/>
        </w:rPr>
        <w:t>产品销售协议书：</w:t>
      </w:r>
      <w:r>
        <w:rPr>
          <w:rFonts w:hint="eastAsia" w:ascii="黑体" w:hAnsi="宋体" w:eastAsia="黑体"/>
          <w:sz w:val="15"/>
          <w:szCs w:val="15"/>
          <w:highlight w:val="none"/>
        </w:rPr>
        <w:t>指明确协议双方在理财产品销售过程中的权利、义务和相关事项的法律文件。理财产品说明书：指对理财产品具体要素信息、运作方式以及投资安排、有关税费等作出具体约定的文件。风险揭示书：受各种市场波动因素影响，对理财产品可能面临的各类风险作出具体说明的文件。客户权益须知：指对理财产品购买流程、客户风险承受能力评估流程以及适合购买的理财产品等相关内容、信息披露、客户投诉等有关情况作出具体约定的文件。</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二、协议的构成和效力。</w:t>
      </w:r>
      <w:r>
        <w:rPr>
          <w:rFonts w:hint="eastAsia" w:ascii="黑体" w:hAnsi="宋体" w:eastAsia="黑体"/>
          <w:sz w:val="15"/>
          <w:szCs w:val="15"/>
          <w:highlight w:val="none"/>
        </w:rPr>
        <w:t>理财产品销售协议书、产品说明书、风险揭示书及客户权益须知等有关法律文件共同构成完整的理财合同。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三、双方的声明和保证。客户根据银行理财合同中标明的产品风险等级以及产品适合的客户类别等信息，结合自身风险承受能力谨慎选择投资产品，并保证自己为符合理财产品销售适用性原则的对应投资者，能够自行识别、判断和承担理财产品的相关风险；不存在法律法规、有权机关或主管机关禁止或限制购买理财产品的各种情形，其购买理财产品的行为亦未违反其公司章程或其他文件的任何限制性规定，并熟悉理财产品类型特征及不同销售渠道的相关规定。客户承诺所提供的所有资料真实、完整、合法、有效，如有变更，客户应及时到银行办理变更手续。银行保证自身具有开办理财业务的经营资质，保证以诚实信用、勤勉谨慎的原则管理和运用理财资金。客户声明并保证其用于投资理财产品的资金来源，不涉及以下几种情况：挪用信贷资金购买理财产品；利用信用卡现金分期资金购买理财产品；通过贴现资金回流购买理财。</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银行及客户均应对本协议及其条款负有保密义务，除法律、法规另有规定或监管机构另有要求外，未经一方事先许可，不得向任何组织、个人提供或泄露与对方有关的业务资料及信息。客户同意并授权银行有权根据客户所勾选的业务申请类型调取收集客户本人开户留存的有效身份证件或者其他身份证明文件信息，并留存办理理财业务所需的个人金融信息。</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根据相关法律</w:t>
      </w:r>
      <w:r>
        <w:rPr>
          <w:rFonts w:ascii="黑体" w:hAnsi="宋体" w:eastAsia="黑体"/>
          <w:b/>
          <w:sz w:val="15"/>
          <w:szCs w:val="15"/>
          <w:highlight w:val="none"/>
        </w:rPr>
        <w:t>、法规规定及监管部门要求，银行在</w:t>
      </w:r>
      <w:r>
        <w:rPr>
          <w:rFonts w:hint="eastAsia" w:ascii="黑体" w:hAnsi="宋体" w:eastAsia="黑体"/>
          <w:b/>
          <w:sz w:val="15"/>
          <w:szCs w:val="15"/>
          <w:highlight w:val="none"/>
        </w:rPr>
        <w:t>向</w:t>
      </w:r>
      <w:r>
        <w:rPr>
          <w:rFonts w:ascii="黑体" w:hAnsi="宋体" w:eastAsia="黑体"/>
          <w:b/>
          <w:sz w:val="15"/>
          <w:szCs w:val="15"/>
          <w:highlight w:val="none"/>
        </w:rPr>
        <w:t>客户销售理财产品时，会对产品销售过程</w:t>
      </w:r>
      <w:r>
        <w:rPr>
          <w:rFonts w:hint="eastAsia" w:ascii="黑体" w:hAnsi="宋体" w:eastAsia="黑体"/>
          <w:b/>
          <w:sz w:val="15"/>
          <w:szCs w:val="15"/>
          <w:highlight w:val="none"/>
        </w:rPr>
        <w:t>以及</w:t>
      </w:r>
      <w:r>
        <w:rPr>
          <w:rFonts w:ascii="黑体" w:hAnsi="宋体" w:eastAsia="黑体"/>
          <w:b/>
          <w:sz w:val="15"/>
          <w:szCs w:val="15"/>
          <w:highlight w:val="none"/>
        </w:rPr>
        <w:t>销售记录进行客观审慎的记录；其中，客户通过银行营业网点销售专区购买</w:t>
      </w:r>
      <w:r>
        <w:rPr>
          <w:rFonts w:hint="eastAsia" w:ascii="黑体" w:hAnsi="宋体" w:eastAsia="黑体"/>
          <w:b/>
          <w:sz w:val="15"/>
          <w:szCs w:val="15"/>
          <w:highlight w:val="none"/>
        </w:rPr>
        <w:t>理财</w:t>
      </w:r>
      <w:r>
        <w:rPr>
          <w:rFonts w:ascii="黑体" w:hAnsi="宋体" w:eastAsia="黑体"/>
          <w:b/>
          <w:sz w:val="15"/>
          <w:szCs w:val="15"/>
          <w:highlight w:val="none"/>
        </w:rPr>
        <w:t>产品的，即授权银行对销售行为进行</w:t>
      </w:r>
      <w:r>
        <w:rPr>
          <w:rFonts w:hint="eastAsia" w:ascii="黑体" w:hAnsi="宋体" w:eastAsia="黑体"/>
          <w:b/>
          <w:sz w:val="15"/>
          <w:szCs w:val="15"/>
          <w:highlight w:val="none"/>
        </w:rPr>
        <w:t>音像</w:t>
      </w:r>
      <w:r>
        <w:rPr>
          <w:rFonts w:ascii="黑体" w:hAnsi="宋体" w:eastAsia="黑体"/>
          <w:b/>
          <w:sz w:val="15"/>
          <w:szCs w:val="15"/>
          <w:highlight w:val="none"/>
        </w:rPr>
        <w:t>采集。</w:t>
      </w:r>
      <w:r>
        <w:rPr>
          <w:rFonts w:hint="eastAsia" w:ascii="黑体" w:hAnsi="宋体" w:eastAsia="黑体"/>
          <w:b/>
          <w:sz w:val="15"/>
          <w:szCs w:val="15"/>
          <w:highlight w:val="none"/>
        </w:rPr>
        <w:t>客户通过</w:t>
      </w:r>
      <w:r>
        <w:rPr>
          <w:rFonts w:ascii="黑体" w:hAnsi="宋体" w:eastAsia="黑体"/>
          <w:b/>
          <w:sz w:val="15"/>
          <w:szCs w:val="15"/>
          <w:highlight w:val="none"/>
        </w:rPr>
        <w:t>电子渠道（</w:t>
      </w:r>
      <w:r>
        <w:rPr>
          <w:rFonts w:hint="eastAsia" w:ascii="黑体" w:hAnsi="宋体" w:eastAsia="黑体"/>
          <w:b/>
          <w:sz w:val="15"/>
          <w:szCs w:val="15"/>
          <w:highlight w:val="none"/>
        </w:rPr>
        <w:t>含</w:t>
      </w:r>
      <w:r>
        <w:rPr>
          <w:rFonts w:ascii="黑体" w:hAnsi="宋体" w:eastAsia="黑体"/>
          <w:b/>
          <w:sz w:val="15"/>
          <w:szCs w:val="15"/>
          <w:highlight w:val="none"/>
        </w:rPr>
        <w:t>自助终端渠道）</w:t>
      </w:r>
      <w:r>
        <w:rPr>
          <w:rFonts w:hint="eastAsia" w:ascii="黑体" w:hAnsi="宋体" w:eastAsia="黑体"/>
          <w:b/>
          <w:sz w:val="15"/>
          <w:szCs w:val="15"/>
          <w:highlight w:val="none"/>
        </w:rPr>
        <w:t>购买</w:t>
      </w:r>
      <w:r>
        <w:rPr>
          <w:rFonts w:ascii="黑体" w:hAnsi="宋体" w:eastAsia="黑体"/>
          <w:b/>
          <w:sz w:val="15"/>
          <w:szCs w:val="15"/>
          <w:highlight w:val="none"/>
        </w:rPr>
        <w:t>银行销售的理财</w:t>
      </w:r>
      <w:r>
        <w:rPr>
          <w:rFonts w:hint="eastAsia" w:ascii="黑体" w:hAnsi="宋体" w:eastAsia="黑体"/>
          <w:b/>
          <w:sz w:val="15"/>
          <w:szCs w:val="15"/>
          <w:highlight w:val="none"/>
        </w:rPr>
        <w:t>产品</w:t>
      </w:r>
      <w:r>
        <w:rPr>
          <w:rFonts w:ascii="黑体" w:hAnsi="宋体" w:eastAsia="黑体"/>
          <w:b/>
          <w:sz w:val="15"/>
          <w:szCs w:val="15"/>
          <w:highlight w:val="none"/>
        </w:rPr>
        <w:t>的，即</w:t>
      </w:r>
      <w:r>
        <w:rPr>
          <w:rFonts w:hint="eastAsia" w:ascii="黑体" w:hAnsi="宋体" w:eastAsia="黑体"/>
          <w:b/>
          <w:sz w:val="15"/>
          <w:szCs w:val="15"/>
          <w:highlight w:val="none"/>
        </w:rPr>
        <w:t>客户</w:t>
      </w:r>
      <w:r>
        <w:rPr>
          <w:rFonts w:ascii="黑体" w:hAnsi="宋体" w:eastAsia="黑体"/>
          <w:b/>
          <w:sz w:val="15"/>
          <w:szCs w:val="15"/>
          <w:highlight w:val="none"/>
        </w:rPr>
        <w:t>授权银行完整客观记录营销推介、产品风险和相关提示、确认和反馈</w:t>
      </w:r>
      <w:r>
        <w:rPr>
          <w:rFonts w:hint="eastAsia" w:ascii="黑体" w:hAnsi="宋体" w:eastAsia="黑体"/>
          <w:b/>
          <w:sz w:val="15"/>
          <w:szCs w:val="15"/>
          <w:highlight w:val="none"/>
        </w:rPr>
        <w:t>等</w:t>
      </w:r>
      <w:r>
        <w:rPr>
          <w:rFonts w:ascii="黑体" w:hAnsi="宋体" w:eastAsia="黑体"/>
          <w:b/>
          <w:sz w:val="15"/>
          <w:szCs w:val="15"/>
          <w:highlight w:val="none"/>
        </w:rPr>
        <w:t>重点销售环节，用于回溯检查和核查取证用途</w:t>
      </w:r>
      <w:r>
        <w:rPr>
          <w:rFonts w:hint="eastAsia" w:ascii="黑体" w:hAnsi="宋体" w:eastAsia="黑体"/>
          <w:b/>
          <w:sz w:val="15"/>
          <w:szCs w:val="15"/>
          <w:highlight w:val="none"/>
        </w:rPr>
        <w:t>，并且在客户和银行发生争议时可以作为合法有效的证据使用。</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客户</w:t>
      </w:r>
      <w:r>
        <w:rPr>
          <w:rFonts w:ascii="黑体" w:hAnsi="宋体" w:eastAsia="黑体"/>
          <w:b/>
          <w:sz w:val="15"/>
          <w:szCs w:val="15"/>
          <w:highlight w:val="none"/>
        </w:rPr>
        <w:t>授权银行可根据法律、法规规定或监管部门等有权机关要求，为履行反洗钱义务、开展非居民金融账户尽职调查、或为理财产品登记及向客户提供约定服务等需要，可将</w:t>
      </w:r>
      <w:r>
        <w:rPr>
          <w:rFonts w:hint="eastAsia" w:ascii="黑体" w:hAnsi="宋体" w:eastAsia="黑体"/>
          <w:b/>
          <w:sz w:val="15"/>
          <w:szCs w:val="15"/>
          <w:highlight w:val="none"/>
        </w:rPr>
        <w:t>客户</w:t>
      </w:r>
      <w:r>
        <w:rPr>
          <w:rFonts w:ascii="黑体" w:hAnsi="宋体" w:eastAsia="黑体"/>
          <w:b/>
          <w:sz w:val="15"/>
          <w:szCs w:val="15"/>
          <w:highlight w:val="none"/>
        </w:rPr>
        <w:t>在银行营业网点销售专区内购买</w:t>
      </w:r>
      <w:r>
        <w:rPr>
          <w:rFonts w:hint="eastAsia" w:ascii="黑体" w:hAnsi="宋体" w:eastAsia="黑体"/>
          <w:b/>
          <w:sz w:val="15"/>
          <w:szCs w:val="15"/>
          <w:highlight w:val="none"/>
        </w:rPr>
        <w:t>理财</w:t>
      </w:r>
      <w:r>
        <w:rPr>
          <w:rFonts w:ascii="黑体" w:hAnsi="宋体" w:eastAsia="黑体"/>
          <w:b/>
          <w:sz w:val="15"/>
          <w:szCs w:val="15"/>
          <w:highlight w:val="none"/>
        </w:rPr>
        <w:t>产品的录音录像、电子渠道（</w:t>
      </w:r>
      <w:r>
        <w:rPr>
          <w:rFonts w:hint="eastAsia" w:ascii="黑体" w:hAnsi="宋体" w:eastAsia="黑体"/>
          <w:b/>
          <w:sz w:val="15"/>
          <w:szCs w:val="15"/>
          <w:highlight w:val="none"/>
        </w:rPr>
        <w:t>含自助</w:t>
      </w:r>
      <w:r>
        <w:rPr>
          <w:rFonts w:ascii="黑体" w:hAnsi="宋体" w:eastAsia="黑体"/>
          <w:b/>
          <w:sz w:val="15"/>
          <w:szCs w:val="15"/>
          <w:highlight w:val="none"/>
        </w:rPr>
        <w:t>终端渠道）</w:t>
      </w:r>
      <w:r>
        <w:rPr>
          <w:rFonts w:hint="eastAsia" w:ascii="黑体" w:hAnsi="宋体" w:eastAsia="黑体"/>
          <w:b/>
          <w:sz w:val="15"/>
          <w:szCs w:val="15"/>
          <w:highlight w:val="none"/>
        </w:rPr>
        <w:t>重点</w:t>
      </w:r>
      <w:r>
        <w:rPr>
          <w:rFonts w:ascii="黑体" w:hAnsi="宋体" w:eastAsia="黑体"/>
          <w:b/>
          <w:sz w:val="15"/>
          <w:szCs w:val="15"/>
          <w:highlight w:val="none"/>
        </w:rPr>
        <w:t>销售记录、交易凭证</w:t>
      </w:r>
      <w:r>
        <w:rPr>
          <w:rFonts w:hint="eastAsia" w:ascii="黑体" w:hAnsi="宋体" w:eastAsia="黑体"/>
          <w:b/>
          <w:sz w:val="15"/>
          <w:szCs w:val="15"/>
          <w:highlight w:val="none"/>
        </w:rPr>
        <w:t>影像</w:t>
      </w:r>
      <w:r>
        <w:rPr>
          <w:rFonts w:ascii="黑体" w:hAnsi="宋体" w:eastAsia="黑体"/>
          <w:b/>
          <w:sz w:val="15"/>
          <w:szCs w:val="15"/>
          <w:highlight w:val="none"/>
        </w:rPr>
        <w:t>、交易明细数据等资料</w:t>
      </w:r>
      <w:r>
        <w:rPr>
          <w:rFonts w:hint="eastAsia" w:ascii="黑体" w:hAnsi="宋体" w:eastAsia="黑体"/>
          <w:b/>
          <w:sz w:val="15"/>
          <w:szCs w:val="15"/>
          <w:highlight w:val="none"/>
        </w:rPr>
        <w:t>传递至</w:t>
      </w:r>
      <w:r>
        <w:rPr>
          <w:rFonts w:ascii="黑体" w:hAnsi="宋体" w:eastAsia="黑体"/>
          <w:b/>
          <w:sz w:val="15"/>
          <w:szCs w:val="15"/>
          <w:highlight w:val="none"/>
        </w:rPr>
        <w:t>监管机构、理财产品登记机构</w:t>
      </w:r>
      <w:r>
        <w:rPr>
          <w:rFonts w:hint="eastAsia" w:ascii="黑体" w:hAnsi="宋体" w:eastAsia="黑体"/>
          <w:b/>
          <w:sz w:val="15"/>
          <w:szCs w:val="15"/>
          <w:highlight w:val="none"/>
        </w:rPr>
        <w:t>。</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四、理财产品的认购。</w:t>
      </w:r>
      <w:r>
        <w:rPr>
          <w:rFonts w:hint="eastAsia" w:ascii="黑体" w:hAnsi="宋体" w:eastAsia="黑体"/>
          <w:sz w:val="15"/>
          <w:szCs w:val="15"/>
          <w:highlight w:val="none"/>
        </w:rPr>
        <w:t>银行于产品说明书列明的募集开始日起至募集结束日止受理客户的认购，并根据法律法规变化、市场状况、资金募集情况或在出现其他可能影响理财产品正常运作或投资目标实现的情形时，做出暂停／恢复募集、延长募集期限、提前结束募集宣布产品成立、或者终止募集宣布募集失败的决定，并通过约定信息披露途径予以通知。</w:t>
      </w:r>
      <w:r>
        <w:rPr>
          <w:rFonts w:hint="eastAsia" w:ascii="黑体" w:hAnsi="宋体" w:eastAsia="黑体"/>
          <w:b/>
          <w:sz w:val="15"/>
          <w:szCs w:val="15"/>
          <w:highlight w:val="none"/>
        </w:rPr>
        <w:t>客户投资本</w:t>
      </w:r>
      <w:r>
        <w:rPr>
          <w:rFonts w:ascii="黑体" w:hAnsi="宋体" w:eastAsia="黑体"/>
          <w:b/>
          <w:sz w:val="15"/>
          <w:szCs w:val="15"/>
          <w:highlight w:val="none"/>
        </w:rPr>
        <w:t>理财产品并签署</w:t>
      </w:r>
      <w:r>
        <w:rPr>
          <w:rFonts w:hint="eastAsia" w:ascii="黑体" w:hAnsi="宋体" w:eastAsia="黑体"/>
          <w:b/>
          <w:sz w:val="15"/>
          <w:szCs w:val="15"/>
          <w:highlight w:val="none"/>
        </w:rPr>
        <w:t>本协议后</w:t>
      </w:r>
      <w:r>
        <w:rPr>
          <w:rFonts w:ascii="黑体" w:hAnsi="宋体" w:eastAsia="黑体"/>
          <w:b/>
          <w:sz w:val="15"/>
          <w:szCs w:val="15"/>
          <w:highlight w:val="none"/>
        </w:rPr>
        <w:t>，</w:t>
      </w:r>
      <w:r>
        <w:rPr>
          <w:rFonts w:hint="eastAsia" w:ascii="黑体" w:hAnsi="宋体" w:eastAsia="黑体"/>
          <w:b/>
          <w:sz w:val="15"/>
          <w:szCs w:val="15"/>
          <w:highlight w:val="none"/>
        </w:rPr>
        <w:t>即</w:t>
      </w:r>
      <w:r>
        <w:rPr>
          <w:rFonts w:ascii="黑体" w:hAnsi="宋体" w:eastAsia="黑体"/>
          <w:b/>
          <w:sz w:val="15"/>
          <w:szCs w:val="15"/>
          <w:highlight w:val="none"/>
        </w:rPr>
        <w:t>授权银行</w:t>
      </w:r>
      <w:r>
        <w:rPr>
          <w:rFonts w:hint="eastAsia" w:ascii="黑体" w:hAnsi="宋体" w:eastAsia="黑体"/>
          <w:b/>
          <w:sz w:val="15"/>
          <w:szCs w:val="15"/>
          <w:highlight w:val="none"/>
        </w:rPr>
        <w:t>在</w:t>
      </w:r>
      <w:r>
        <w:rPr>
          <w:rFonts w:ascii="黑体" w:hAnsi="宋体" w:eastAsia="黑体"/>
          <w:b/>
          <w:sz w:val="15"/>
          <w:szCs w:val="15"/>
          <w:highlight w:val="none"/>
        </w:rPr>
        <w:t>客户理财资金</w:t>
      </w:r>
      <w:r>
        <w:rPr>
          <w:rFonts w:hint="eastAsia" w:ascii="黑体" w:hAnsi="宋体" w:eastAsia="黑体"/>
          <w:b/>
          <w:sz w:val="15"/>
          <w:szCs w:val="15"/>
          <w:highlight w:val="none"/>
        </w:rPr>
        <w:t>账户</w:t>
      </w:r>
      <w:r>
        <w:rPr>
          <w:rFonts w:ascii="黑体" w:hAnsi="宋体" w:eastAsia="黑体"/>
          <w:b/>
          <w:sz w:val="15"/>
          <w:szCs w:val="15"/>
          <w:highlight w:val="none"/>
        </w:rPr>
        <w:t>中</w:t>
      </w:r>
      <w:r>
        <w:rPr>
          <w:rFonts w:hint="eastAsia" w:ascii="黑体" w:hAnsi="宋体" w:eastAsia="黑体"/>
          <w:b/>
          <w:sz w:val="15"/>
          <w:szCs w:val="15"/>
          <w:highlight w:val="none"/>
        </w:rPr>
        <w:t>扣划客户</w:t>
      </w:r>
      <w:r>
        <w:rPr>
          <w:rFonts w:ascii="黑体" w:hAnsi="宋体" w:eastAsia="黑体"/>
          <w:b/>
          <w:sz w:val="15"/>
          <w:szCs w:val="15"/>
          <w:highlight w:val="none"/>
        </w:rPr>
        <w:t>本协议项下</w:t>
      </w:r>
      <w:r>
        <w:rPr>
          <w:rFonts w:hint="eastAsia" w:ascii="黑体" w:hAnsi="宋体" w:eastAsia="黑体"/>
          <w:b/>
          <w:sz w:val="15"/>
          <w:szCs w:val="15"/>
          <w:highlight w:val="none"/>
        </w:rPr>
        <w:t>的</w:t>
      </w:r>
      <w:r>
        <w:rPr>
          <w:rFonts w:ascii="黑体" w:hAnsi="宋体" w:eastAsia="黑体"/>
          <w:b/>
          <w:sz w:val="15"/>
          <w:szCs w:val="15"/>
          <w:highlight w:val="none"/>
        </w:rPr>
        <w:t>理财款项</w:t>
      </w:r>
      <w:r>
        <w:rPr>
          <w:rFonts w:hint="eastAsia" w:ascii="黑体" w:hAnsi="宋体" w:eastAsia="黑体"/>
          <w:b/>
          <w:sz w:val="15"/>
          <w:szCs w:val="15"/>
          <w:highlight w:val="none"/>
        </w:rPr>
        <w:t>，</w:t>
      </w:r>
      <w:r>
        <w:rPr>
          <w:rFonts w:ascii="黑体" w:hAnsi="宋体" w:eastAsia="黑体"/>
          <w:b/>
          <w:sz w:val="15"/>
          <w:szCs w:val="15"/>
          <w:highlight w:val="none"/>
        </w:rPr>
        <w:t>银行划款</w:t>
      </w:r>
      <w:r>
        <w:rPr>
          <w:rFonts w:hint="eastAsia" w:ascii="黑体" w:hAnsi="宋体" w:eastAsia="黑体"/>
          <w:b/>
          <w:sz w:val="15"/>
          <w:szCs w:val="15"/>
          <w:highlight w:val="none"/>
        </w:rPr>
        <w:t>前</w:t>
      </w:r>
      <w:r>
        <w:rPr>
          <w:rFonts w:ascii="黑体" w:hAnsi="宋体" w:eastAsia="黑体"/>
          <w:b/>
          <w:sz w:val="15"/>
          <w:szCs w:val="15"/>
          <w:highlight w:val="none"/>
        </w:rPr>
        <w:t>无需</w:t>
      </w:r>
      <w:r>
        <w:rPr>
          <w:rFonts w:hint="eastAsia" w:ascii="黑体" w:hAnsi="宋体" w:eastAsia="黑体"/>
          <w:b/>
          <w:sz w:val="15"/>
          <w:szCs w:val="15"/>
          <w:highlight w:val="none"/>
        </w:rPr>
        <w:t>再同</w:t>
      </w:r>
      <w:r>
        <w:rPr>
          <w:rFonts w:ascii="黑体" w:hAnsi="宋体" w:eastAsia="黑体"/>
          <w:b/>
          <w:sz w:val="15"/>
          <w:szCs w:val="15"/>
          <w:highlight w:val="none"/>
        </w:rPr>
        <w:t>客户进行确认。</w:t>
      </w:r>
      <w:r>
        <w:rPr>
          <w:rFonts w:hint="eastAsia" w:ascii="黑体" w:hAnsi="宋体" w:eastAsia="黑体"/>
          <w:b/>
          <w:sz w:val="15"/>
          <w:szCs w:val="15"/>
          <w:highlight w:val="none"/>
        </w:rPr>
        <w:t>如因客户相关账户可用余额不足、被查封、冻结、止付、扣划、账户状态异常等非银行原因导致投资本金不能足额划转，由此导致客户未成功购买本产品的，客户自行承担相应后果和责任，银行对此不承担责任。</w:t>
      </w:r>
    </w:p>
    <w:p>
      <w:pPr>
        <w:tabs>
          <w:tab w:val="left" w:pos="1722"/>
        </w:tabs>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五、理财产品的起息。</w:t>
      </w:r>
      <w:r>
        <w:rPr>
          <w:rFonts w:hint="eastAsia" w:ascii="黑体" w:hAnsi="宋体" w:eastAsia="黑体"/>
          <w:sz w:val="15"/>
          <w:szCs w:val="15"/>
          <w:highlight w:val="none"/>
        </w:rPr>
        <w:t>银行可根据相关法律法规变化、市场状况或其他可能影响理财产品正常运行或投资目标实现的情形决定理财产品能否按照产品说明书列明的起息日开始投资运作。</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六、理财产品的投资管理。银行按照法律法规和产品说明书的约定诚实信用、谨慎勤勉地实施投资管理行为，以专业技能管理理财产品资产，依法维护理财产品全体客户的利益。银行不对任何理财产品的收益情况作出承诺或保证，亦不会承诺或保证最低收益或本金安全。银行应依照产品说明书载明的投资范围、资产种类和比例进行投资，并确保在理财产品存续期间按约定比例合理浮动。如市场发生重大变化导致投资比例暂时超出浮动区间且可能对客户收益产生重大影响，银行将通过约定的披露方式及时进行信息披露。</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七、理财产品申购和赎回。银行根据各款理财产品的投资管理需要决定是否受理客户的申购和赎回。</w:t>
      </w:r>
      <w:r>
        <w:rPr>
          <w:rFonts w:hint="eastAsia" w:ascii="黑体" w:hAnsi="宋体" w:eastAsia="黑体"/>
          <w:sz w:val="15"/>
          <w:szCs w:val="15"/>
          <w:highlight w:val="none"/>
        </w:rPr>
        <w:t>如理财产品可以申购或赎回，其场所、时间、程序、金额限制、价格计算方法、费用费率等按照产品说明书的约定执行。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八、理财产品的终止。客户同意在出现下列情形之一时，银行可单方面提前终止理财产品。银行决定提前终止理财产品的，应提前通过约定的信息披露途径通知：</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1</w:t>
      </w:r>
      <w:r>
        <w:rPr>
          <w:rFonts w:hint="eastAsia" w:ascii="黑体" w:hAnsi="宋体" w:eastAsia="黑体"/>
          <w:b/>
          <w:sz w:val="15"/>
          <w:szCs w:val="15"/>
          <w:highlight w:val="none"/>
        </w:rPr>
        <w:t>.</w:t>
      </w:r>
      <w:r>
        <w:rPr>
          <w:rFonts w:ascii="黑体" w:hAnsi="宋体" w:eastAsia="黑体"/>
          <w:b/>
          <w:sz w:val="15"/>
          <w:szCs w:val="15"/>
          <w:highlight w:val="none"/>
        </w:rPr>
        <w:t>产品说明书列明的提前终止情形出现或提前终止条件成立；</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2</w:t>
      </w:r>
      <w:r>
        <w:rPr>
          <w:rFonts w:hint="eastAsia" w:ascii="黑体" w:hAnsi="宋体" w:eastAsia="黑体"/>
          <w:b/>
          <w:sz w:val="15"/>
          <w:szCs w:val="15"/>
          <w:highlight w:val="none"/>
        </w:rPr>
        <w:t>.</w:t>
      </w:r>
      <w:r>
        <w:rPr>
          <w:rFonts w:ascii="黑体" w:hAnsi="宋体" w:eastAsia="黑体"/>
          <w:b/>
          <w:sz w:val="15"/>
          <w:szCs w:val="15"/>
          <w:highlight w:val="none"/>
        </w:rPr>
        <w:t>因不可抗力原因导致理财产品无法继续运作；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3</w:t>
      </w:r>
      <w:r>
        <w:rPr>
          <w:rFonts w:hint="eastAsia" w:ascii="黑体" w:hAnsi="宋体" w:eastAsia="黑体"/>
          <w:b/>
          <w:sz w:val="15"/>
          <w:szCs w:val="15"/>
          <w:highlight w:val="none"/>
        </w:rPr>
        <w:t>.</w:t>
      </w:r>
      <w:r>
        <w:rPr>
          <w:rFonts w:ascii="黑体" w:hAnsi="宋体" w:eastAsia="黑体"/>
          <w:b/>
          <w:sz w:val="15"/>
          <w:szCs w:val="15"/>
          <w:highlight w:val="none"/>
        </w:rPr>
        <w:t>遇有市场剧烈波动、异常风险事件等情形导致理财产品净值出现大幅波动或严重影响理财产品的资产安全；</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4</w:t>
      </w:r>
      <w:r>
        <w:rPr>
          <w:rFonts w:hint="eastAsia" w:ascii="黑体" w:hAnsi="宋体" w:eastAsia="黑体"/>
          <w:b/>
          <w:sz w:val="15"/>
          <w:szCs w:val="15"/>
          <w:highlight w:val="none"/>
        </w:rPr>
        <w:t>.</w:t>
      </w:r>
      <w:r>
        <w:rPr>
          <w:rFonts w:ascii="黑体" w:hAnsi="宋体" w:eastAsia="黑体"/>
          <w:b/>
          <w:sz w:val="15"/>
          <w:szCs w:val="15"/>
          <w:highlight w:val="none"/>
        </w:rPr>
        <w:t>因</w:t>
      </w:r>
      <w:r>
        <w:rPr>
          <w:rFonts w:hint="eastAsia" w:ascii="黑体" w:hAnsi="宋体" w:eastAsia="黑体"/>
          <w:b/>
          <w:sz w:val="15"/>
          <w:szCs w:val="15"/>
          <w:highlight w:val="none"/>
        </w:rPr>
        <w:t>客户</w:t>
      </w:r>
      <w:r>
        <w:rPr>
          <w:rFonts w:ascii="黑体" w:hAnsi="宋体" w:eastAsia="黑体"/>
          <w:b/>
          <w:sz w:val="15"/>
          <w:szCs w:val="15"/>
          <w:highlight w:val="none"/>
        </w:rPr>
        <w:t>赎回导致理财产品剩余资产无法满足相关法律法规规定、所投资市场要求或协议等相关法律文件约定，或者继续存续无法实现投资目标；</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5</w:t>
      </w:r>
      <w:r>
        <w:rPr>
          <w:rFonts w:hint="eastAsia" w:ascii="黑体" w:hAnsi="宋体" w:eastAsia="黑体"/>
          <w:b/>
          <w:sz w:val="15"/>
          <w:szCs w:val="15"/>
          <w:highlight w:val="none"/>
        </w:rPr>
        <w:t>.</w:t>
      </w:r>
      <w:r>
        <w:rPr>
          <w:rFonts w:ascii="黑体" w:hAnsi="宋体" w:eastAsia="黑体"/>
          <w:b/>
          <w:sz w:val="15"/>
          <w:szCs w:val="15"/>
          <w:highlight w:val="none"/>
        </w:rPr>
        <w:t>因相关投资管理机构解散、破产、撤销、被取消业务资格等原因无法继续履行相关职责导致产品无法继续运作；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6</w:t>
      </w:r>
      <w:r>
        <w:rPr>
          <w:rFonts w:hint="eastAsia" w:ascii="黑体" w:hAnsi="宋体" w:eastAsia="黑体"/>
          <w:b/>
          <w:sz w:val="15"/>
          <w:szCs w:val="15"/>
          <w:highlight w:val="none"/>
        </w:rPr>
        <w:t>.</w:t>
      </w:r>
      <w:r>
        <w:rPr>
          <w:rFonts w:ascii="黑体" w:hAnsi="宋体" w:eastAsia="黑体"/>
          <w:b/>
          <w:sz w:val="15"/>
          <w:szCs w:val="15"/>
          <w:highlight w:val="none"/>
        </w:rPr>
        <w:t>相关投资管理机构或运用理财资金的第三方主体实施符合法律法规规定或协议等相关法律文件约定的行为导致理财产品被动提前终止；</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7</w:t>
      </w:r>
      <w:r>
        <w:rPr>
          <w:rFonts w:hint="eastAsia" w:ascii="黑体" w:hAnsi="宋体" w:eastAsia="黑体"/>
          <w:b/>
          <w:sz w:val="15"/>
          <w:szCs w:val="15"/>
          <w:highlight w:val="none"/>
        </w:rPr>
        <w:t>.</w:t>
      </w:r>
      <w:r>
        <w:rPr>
          <w:rFonts w:ascii="黑体" w:hAnsi="宋体" w:eastAsia="黑体"/>
          <w:b/>
          <w:sz w:val="15"/>
          <w:szCs w:val="15"/>
          <w:highlight w:val="none"/>
        </w:rPr>
        <w:t>因法律法规变化或国家金融政策调整、紧急措施出台影响产品继续正常运作；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8.法律法规规定或监管部门认定的其他情形。</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客户承诺在理财产品到期日前，除非按照产品说明书约定能够提前终止或提前赎回理财产品，否则不得要求银行提前退还被扣划款项，且不得将理财资金账户销户。</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九、理财产品的延期和转换。出现不可抗力、市场停市或管制等异常事件、交易对手违约或其他非由银行主导、仅能被动接受的外部事件或客观情形，导致理财产品无法按约定到期日清算时，或根据产品说明书约定银行需要对理财产品进行延期或转换时，银行将于理财产品原定到期日前通过约定信息披露途径及时通知，并根据该产品的实际情况进行后续处理。</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十、资金清算和收益分配。</w:t>
      </w:r>
      <w:r>
        <w:rPr>
          <w:rFonts w:hint="eastAsia" w:ascii="黑体" w:hAnsi="宋体" w:eastAsia="黑体"/>
          <w:sz w:val="15"/>
          <w:szCs w:val="15"/>
          <w:highlight w:val="none"/>
        </w:rPr>
        <w:t>银行按照产品说明书的约定计算和支付收益（如有）。收益一般以原投资币种支付，但产品说明书另有约定的除外。理财产品客户收益的分配原则为：每份理财产品享有同等分配权，但法律法规另有规定或产品说明书另有约定的除外。</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一、费用支出和业绩报酬。银行依据产品说明书约定的费用项目、收费条件、收费方式、费率标准等要素收取相关费用，依据产品说明书的约定提取业绩报酬。其费用和业绩报酬可由银行从客户理财资金或应分配款项中直接扣除。银行根据相关法律和国家政策规定调整已约定的收费项目、条件、标准和方式时，将按约定信息披露方式予以披露。客户如不接受，可按约定的期限和方式申请赎回理财产品。</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十二、税收处理。</w:t>
      </w:r>
      <w:r>
        <w:rPr>
          <w:rFonts w:hint="eastAsia" w:ascii="黑体" w:hAnsi="宋体" w:eastAsia="黑体"/>
          <w:sz w:val="15"/>
          <w:szCs w:val="15"/>
          <w:highlight w:val="none"/>
        </w:rPr>
        <w:t>客户所得收益的税负由客户自行按照相关法律法规向税务机关申报、缴纳。若法律法规规定或税务机关要求银行对客户所得收益代扣代缴的，届时银行将按有关规定执行。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十三、信息披露。</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产品相关信息披露的渠道，包括但不限于银行官网、电子渠道、营业网点等。具体信息披露的方式、渠道和频率，以相应理财产品说明书的约定为准。相关信息在发布或发出之日视为通知送达，请您及时查询。</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四、违约责任。客户违反本协议第三条所作声明或保证的，应承担相应违约责任。银行对由此导致的理财业务交易延误、中断、终止及客户损失不承担任何责任，并有权单方终止双方的理财业务关系。因客户违反双方约定解除本协议或赎回理财产品给银行或理财产品全体客户造成损失的，客户应承担相应的赔偿责任，银行有权提前终止本协议。</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十五、其他约定。</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1.理财产品存续期间内，中国和理财产品涉及的外币发行国（地区）、投资市场所在国（地区）的法定节假日、理财产品规定的节假日及周六和周日为非银行工作日，如本协议项下相关日期为非银行工作日，则应顺延至下一个银行工作日。</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2</w:t>
      </w:r>
      <w:r>
        <w:rPr>
          <w:rFonts w:hint="eastAsia" w:ascii="黑体" w:hAnsi="宋体" w:eastAsia="黑体"/>
          <w:b/>
          <w:sz w:val="15"/>
          <w:szCs w:val="15"/>
          <w:highlight w:val="none"/>
        </w:rPr>
        <w:t>.</w:t>
      </w:r>
      <w:r>
        <w:rPr>
          <w:rFonts w:ascii="黑体" w:hAnsi="宋体" w:eastAsia="黑体"/>
          <w:b/>
          <w:sz w:val="15"/>
          <w:szCs w:val="15"/>
          <w:highlight w:val="none"/>
        </w:rPr>
        <w:t>客户所持有理财产品设定担保时，须经银行事先书面同意，双方按有关法律法规和银行的有关规定办理。</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3</w:t>
      </w:r>
      <w:r>
        <w:rPr>
          <w:rFonts w:hint="eastAsia" w:ascii="黑体" w:hAnsi="宋体" w:eastAsia="黑体"/>
          <w:b/>
          <w:sz w:val="15"/>
          <w:szCs w:val="15"/>
          <w:highlight w:val="none"/>
        </w:rPr>
        <w:t>.</w:t>
      </w:r>
      <w:r>
        <w:rPr>
          <w:rFonts w:ascii="黑体" w:hAnsi="宋体" w:eastAsia="黑体"/>
          <w:b/>
          <w:sz w:val="15"/>
          <w:szCs w:val="15"/>
          <w:highlight w:val="none"/>
        </w:rPr>
        <w:t>未经银行事先书面同意，客户不得转让认购／申购成功的理财产品份额。</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4</w:t>
      </w:r>
      <w:r>
        <w:rPr>
          <w:rFonts w:hint="eastAsia" w:ascii="黑体" w:hAnsi="宋体" w:eastAsia="黑体"/>
          <w:b/>
          <w:sz w:val="15"/>
          <w:szCs w:val="15"/>
          <w:highlight w:val="none"/>
        </w:rPr>
        <w:t>.</w:t>
      </w:r>
      <w:r>
        <w:rPr>
          <w:rFonts w:ascii="黑体" w:hAnsi="宋体" w:eastAsia="黑体"/>
          <w:b/>
          <w:sz w:val="15"/>
          <w:szCs w:val="15"/>
          <w:highlight w:val="none"/>
        </w:rPr>
        <w:t>本协议项下的理财资金涉及司法部门等有权机关查询、冻结、扣划的，由银行按照相关规定和有权机关要求执行。</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5</w:t>
      </w:r>
      <w:r>
        <w:rPr>
          <w:rFonts w:hint="eastAsia" w:ascii="黑体" w:hAnsi="宋体" w:eastAsia="黑体"/>
          <w:b/>
          <w:sz w:val="15"/>
          <w:szCs w:val="15"/>
          <w:highlight w:val="none"/>
        </w:rPr>
        <w:t>.</w:t>
      </w:r>
      <w:r>
        <w:rPr>
          <w:rFonts w:ascii="黑体" w:hAnsi="宋体" w:eastAsia="黑体"/>
          <w:b/>
          <w:sz w:val="15"/>
          <w:szCs w:val="15"/>
          <w:highlight w:val="none"/>
        </w:rPr>
        <w:t>客户因投资理财产品与银行及分支机构发生争议的，由双方协商解决；协商不成，以诉讼方式解决，由协议书上所载的</w:t>
      </w:r>
      <w:r>
        <w:rPr>
          <w:rFonts w:hint="eastAsia" w:ascii="黑体" w:hAnsi="宋体" w:eastAsia="黑体"/>
          <w:b/>
          <w:sz w:val="15"/>
          <w:szCs w:val="15"/>
          <w:highlight w:val="none"/>
        </w:rPr>
        <w:t>银行</w:t>
      </w:r>
      <w:r>
        <w:rPr>
          <w:rFonts w:ascii="黑体" w:hAnsi="宋体" w:eastAsia="黑体"/>
          <w:b/>
          <w:sz w:val="15"/>
          <w:szCs w:val="15"/>
          <w:highlight w:val="none"/>
        </w:rPr>
        <w:t>所在地人民法院管辖。诉讼期间，未涉及争议的条款仍需继续履行。</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6.其他需补充的条款。</w:t>
      </w:r>
    </w:p>
    <w:p>
      <w:pPr>
        <w:adjustRightInd w:val="0"/>
        <w:snapToGrid w:val="0"/>
        <w:spacing w:line="170" w:lineRule="exact"/>
        <w:ind w:firstLine="301" w:firstLineChars="200"/>
        <w:rPr>
          <w:rFonts w:hint="eastAsia" w:ascii="黑体" w:hAnsi="宋体" w:eastAsia="黑体"/>
          <w:b/>
          <w:sz w:val="15"/>
          <w:szCs w:val="15"/>
          <w:highlight w:val="none"/>
        </w:rPr>
        <w:sectPr>
          <w:headerReference r:id="rId3" w:type="default"/>
          <w:footerReference r:id="rId4" w:type="default"/>
          <w:pgSz w:w="11906" w:h="16838"/>
          <w:pgMar w:top="1418" w:right="1134" w:bottom="567" w:left="1134" w:header="851" w:footer="454" w:gutter="0"/>
          <w:cols w:space="425" w:num="1"/>
          <w:docGrid w:type="lines" w:linePitch="312" w:charSpace="0"/>
        </w:sectPr>
      </w:pPr>
      <w:r>
        <w:rPr>
          <w:rFonts w:hint="eastAsia" w:ascii="黑体" w:hAnsi="宋体" w:eastAsia="黑体"/>
          <w:b/>
          <w:sz w:val="15"/>
          <w:szCs w:val="15"/>
          <w:highlight w:val="none"/>
        </w:rPr>
        <w:t>十六、协议的生效。客户通过销售机构的网点柜面渠道购买本理财产品，本协议经客户签字或盖章且销售机构加盖柜面业务章后生效，协议一式两份，甲乙双方各执一份，每份具有同等法律效力。客户通过销售机构电子渠道进行理财交易的，在相应电子页面点击“确定”或“接受”或“已阅读并同意”或“同意”或“提交”或其他同等含义词语，即视为其已签署，表示其同意接受本协议及对应的产品说明书、风险揭示书、客户权益须知等相关销售文件的全部约定内容，认可以上文本法律约束力。协议各方当事人认可电子渠道所产生电子数据的有效性。</w:t>
      </w:r>
    </w:p>
    <w:p>
      <w:pPr>
        <w:spacing w:line="360" w:lineRule="auto"/>
        <w:jc w:val="center"/>
        <w:rPr>
          <w:rFonts w:ascii="黑体" w:hAnsi="黑体" w:eastAsia="黑体"/>
          <w:b/>
          <w:bCs/>
          <w:sz w:val="28"/>
          <w:szCs w:val="28"/>
          <w:highlight w:val="none"/>
        </w:rPr>
      </w:pPr>
      <w:r>
        <w:rPr>
          <w:rFonts w:hint="eastAsia" w:ascii="黑体" w:hAnsi="黑体" w:eastAsia="黑体"/>
          <w:b/>
          <w:bCs/>
          <w:sz w:val="28"/>
          <w:szCs w:val="28"/>
          <w:highlight w:val="none"/>
        </w:rPr>
        <w:t>风险揭示书</w:t>
      </w:r>
    </w:p>
    <w:p>
      <w:pPr>
        <w:pStyle w:val="22"/>
        <w:jc w:val="center"/>
        <w:rPr>
          <w:b/>
          <w:szCs w:val="21"/>
          <w:highlight w:val="none"/>
        </w:rPr>
      </w:pPr>
      <w:r>
        <w:rPr>
          <w:rFonts w:hint="eastAsia"/>
          <w:b/>
          <w:szCs w:val="21"/>
          <w:highlight w:val="none"/>
        </w:rPr>
        <w:t>理财非存款、产品有风险、投资须谨慎。</w:t>
      </w:r>
    </w:p>
    <w:p>
      <w:pPr>
        <w:spacing w:line="360" w:lineRule="auto"/>
        <w:jc w:val="center"/>
        <w:rPr>
          <w:rFonts w:ascii="黑体" w:hAnsi="黑体" w:eastAsia="黑体"/>
          <w:b/>
          <w:bCs/>
          <w:sz w:val="36"/>
          <w:szCs w:val="28"/>
          <w:highlight w:val="none"/>
        </w:rPr>
      </w:pPr>
      <w:r>
        <w:rPr>
          <w:rFonts w:hint="eastAsia"/>
          <w:b/>
          <w:sz w:val="24"/>
          <w:szCs w:val="21"/>
          <w:highlight w:val="none"/>
        </w:rPr>
        <w:t>理财产品过往业绩不代表其未来表现，不等于理财产品实际收益，投资须谨慎。</w:t>
      </w:r>
    </w:p>
    <w:p>
      <w:pPr>
        <w:jc w:val="left"/>
        <w:rPr>
          <w:rFonts w:ascii="黑体" w:hAnsi="黑体" w:eastAsia="黑体"/>
          <w:bCs/>
          <w:sz w:val="18"/>
          <w:szCs w:val="18"/>
          <w:highlight w:val="none"/>
        </w:rPr>
      </w:pPr>
      <w:r>
        <w:rPr>
          <w:rFonts w:hint="eastAsia" w:ascii="黑体" w:hAnsi="黑体" w:eastAsia="黑体"/>
          <w:bCs/>
          <w:sz w:val="18"/>
          <w:szCs w:val="18"/>
          <w:highlight w:val="none"/>
        </w:rPr>
        <w:t>尊敬的客户：</w:t>
      </w:r>
    </w:p>
    <w:p>
      <w:pPr>
        <w:ind w:firstLine="360"/>
        <w:rPr>
          <w:rFonts w:ascii="黑体" w:hAnsi="黑体" w:eastAsia="黑体"/>
          <w:b/>
          <w:bCs/>
          <w:sz w:val="18"/>
          <w:szCs w:val="18"/>
          <w:highlight w:val="none"/>
        </w:rPr>
      </w:pPr>
      <w:r>
        <w:rPr>
          <w:rFonts w:ascii="黑体" w:hAnsi="黑体" w:eastAsia="黑体"/>
          <w:bCs/>
          <w:sz w:val="18"/>
          <w:szCs w:val="18"/>
          <w:highlight w:val="none"/>
        </w:rPr>
        <w:t>由于理财资金管理运用过程中，可能会面临多种风险因素</w:t>
      </w:r>
      <w:r>
        <w:rPr>
          <w:rFonts w:hint="eastAsia" w:ascii="黑体" w:hAnsi="黑体" w:eastAsia="黑体"/>
          <w:bCs/>
          <w:sz w:val="18"/>
          <w:szCs w:val="18"/>
          <w:highlight w:val="none"/>
        </w:rPr>
        <w:t>。</w:t>
      </w:r>
      <w:r>
        <w:rPr>
          <w:rFonts w:ascii="黑体" w:hAnsi="黑体" w:eastAsia="黑体"/>
          <w:bCs/>
          <w:sz w:val="18"/>
          <w:szCs w:val="18"/>
          <w:highlight w:val="none"/>
        </w:rPr>
        <w:t>因此，根据</w:t>
      </w:r>
      <w:r>
        <w:rPr>
          <w:rFonts w:hint="eastAsia" w:ascii="黑体" w:hAnsi="黑体" w:eastAsia="黑体"/>
          <w:bCs/>
          <w:sz w:val="18"/>
          <w:szCs w:val="18"/>
          <w:highlight w:val="none"/>
        </w:rPr>
        <w:t>相关法律法规、监管规定的要求，</w:t>
      </w:r>
      <w:r>
        <w:rPr>
          <w:rFonts w:ascii="黑体" w:hAnsi="黑体" w:eastAsia="黑体"/>
          <w:bCs/>
          <w:sz w:val="18"/>
          <w:szCs w:val="18"/>
          <w:highlight w:val="none"/>
        </w:rPr>
        <w:t>在您选择购买本理财计划</w:t>
      </w:r>
      <w:r>
        <w:rPr>
          <w:rFonts w:hint="eastAsia" w:ascii="黑体" w:hAnsi="黑体" w:eastAsia="黑体"/>
          <w:bCs/>
          <w:sz w:val="18"/>
          <w:szCs w:val="18"/>
          <w:highlight w:val="none"/>
        </w:rPr>
        <w:t>前，请仔细阅读对应期次的理财销售文件和以下重要内容。</w:t>
      </w:r>
      <w:r>
        <w:rPr>
          <w:rFonts w:hint="eastAsia" w:ascii="黑体" w:hAnsi="黑体" w:eastAsia="黑体"/>
          <w:b/>
          <w:bCs/>
          <w:sz w:val="18"/>
          <w:szCs w:val="18"/>
          <w:highlight w:val="none"/>
        </w:rPr>
        <w:t>本理财产品是非保本浮动收益型理财产品，不保证本金和收益，发生重大不利情况下有可能造成本金部分或全部损失及收益全部损失。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w:t>
      </w:r>
      <w:r>
        <w:rPr>
          <w:rFonts w:hint="eastAsia" w:ascii="黑体" w:hAnsi="黑体" w:eastAsia="黑体"/>
          <w:bCs/>
          <w:sz w:val="18"/>
          <w:szCs w:val="18"/>
          <w:highlight w:val="none"/>
        </w:rPr>
        <w:t>您在进行投资时，应严格遵守反逃税、反洗钱及反恐怖融资等相关法律法规、监管规定，切实履行反逃税、反洗钱及反恐怖融资义务，配合开展非居民金融账户涉税信息、反洗钱和反恐怖融资尽职调查工作。</w:t>
      </w:r>
      <w:r>
        <w:rPr>
          <w:rFonts w:hint="eastAsia" w:ascii="黑体" w:hAnsi="黑体" w:eastAsia="黑体"/>
          <w:b/>
          <w:bCs/>
          <w:sz w:val="18"/>
          <w:szCs w:val="18"/>
          <w:highlight w:val="none"/>
        </w:rPr>
        <w:t>您应当充分认识投资风险，谨慎投资：</w:t>
      </w:r>
    </w:p>
    <w:p>
      <w:pPr>
        <w:rPr>
          <w:rFonts w:ascii="黑体" w:hAnsi="黑体" w:eastAsia="黑体"/>
          <w:b/>
          <w:sz w:val="18"/>
          <w:szCs w:val="18"/>
          <w:highlight w:val="none"/>
        </w:rPr>
      </w:pPr>
      <w:r>
        <w:rPr>
          <w:rFonts w:ascii="黑体" w:hAnsi="黑体" w:eastAsia="黑体"/>
          <w:b/>
          <w:sz w:val="18"/>
          <w:szCs w:val="18"/>
          <w:highlight w:val="none"/>
        </w:rPr>
        <w:t>1.</w:t>
      </w:r>
      <w:r>
        <w:rPr>
          <w:rFonts w:hint="eastAsia" w:ascii="黑体" w:hAnsi="黑体" w:eastAsia="黑体"/>
          <w:b/>
          <w:sz w:val="18"/>
          <w:szCs w:val="18"/>
          <w:highlight w:val="none"/>
        </w:rPr>
        <w:t>法律和政策风险：本理财产品是针对当前的相关法律法规、监管要求和政策设计的，如国家宏观政策以及相关法律法规、监管要求发生变化，将影响本理财产品发行、投资、兑付等工作的正常进行，进而可能造成本理财产品的收益降低或本金损失，则客户可能面临本金和收益遭受部分甚至全部损失的风险。</w:t>
      </w:r>
    </w:p>
    <w:p>
      <w:pPr>
        <w:rPr>
          <w:rFonts w:ascii="黑体" w:hAnsi="黑体" w:eastAsia="黑体"/>
          <w:b/>
          <w:sz w:val="18"/>
          <w:szCs w:val="18"/>
          <w:highlight w:val="none"/>
        </w:rPr>
      </w:pPr>
      <w:r>
        <w:rPr>
          <w:rFonts w:ascii="黑体" w:hAnsi="黑体" w:eastAsia="黑体"/>
          <w:b/>
          <w:sz w:val="18"/>
          <w:szCs w:val="18"/>
          <w:highlight w:val="none"/>
        </w:rPr>
        <w:t>2.信用风险：</w:t>
      </w:r>
      <w:r>
        <w:rPr>
          <w:rFonts w:hint="eastAsia" w:ascii="黑体" w:hAnsi="黑体" w:eastAsia="黑体"/>
          <w:b/>
          <w:sz w:val="18"/>
          <w:szCs w:val="18"/>
          <w:highlight w:val="none"/>
        </w:rPr>
        <w:t>由于本产品主要投资于符合监管机构要求各种市场投资工具。客户面临所投资的资产或资产组合涉及的用款人和债券发行人的信用违约。若出现上述情况，投资本金及收益可能遭受损失。</w:t>
      </w:r>
    </w:p>
    <w:p>
      <w:pPr>
        <w:rPr>
          <w:rFonts w:ascii="黑体" w:hAnsi="黑体" w:eastAsia="黑体"/>
          <w:b/>
          <w:sz w:val="18"/>
          <w:szCs w:val="18"/>
          <w:highlight w:val="none"/>
        </w:rPr>
      </w:pPr>
      <w:r>
        <w:rPr>
          <w:rFonts w:ascii="黑体" w:hAnsi="黑体" w:eastAsia="黑体"/>
          <w:b/>
          <w:sz w:val="18"/>
          <w:szCs w:val="18"/>
          <w:highlight w:val="none"/>
        </w:rPr>
        <w:t>3.市场风险：</w:t>
      </w:r>
      <w:r>
        <w:rPr>
          <w:rFonts w:hint="eastAsia" w:ascii="黑体" w:hAnsi="黑体" w:eastAsia="黑体"/>
          <w:b/>
          <w:sz w:val="18"/>
          <w:szCs w:val="18"/>
          <w:highlight w:val="none"/>
        </w:rPr>
        <w:t>本产品投资的基础资产价值受未来市场的不确定影响可能出现波动，从而导致客户收益波动、收益为零甚至本产品份额净值跌破面值、本金损失的情况。本产品投资非本币币种资产，由于海外市场因素如基础利率、汇率、股票价格和商品价格的变化可能引起证券价格的非预期变化，并进而影响投资者收益。客户如需换汇投资外币理财产品，可能面临汇率波动风险，请谨慎投资</w:t>
      </w:r>
      <w:r>
        <w:rPr>
          <w:rFonts w:ascii="黑体" w:hAnsi="黑体" w:eastAsia="黑体"/>
          <w:b/>
          <w:sz w:val="18"/>
          <w:szCs w:val="18"/>
          <w:highlight w:val="none"/>
        </w:rPr>
        <w:t>。</w:t>
      </w:r>
    </w:p>
    <w:p>
      <w:pPr>
        <w:rPr>
          <w:rFonts w:ascii="黑体" w:hAnsi="黑体" w:eastAsia="黑体"/>
          <w:b/>
          <w:sz w:val="18"/>
          <w:szCs w:val="18"/>
          <w:highlight w:val="none"/>
        </w:rPr>
      </w:pPr>
      <w:r>
        <w:rPr>
          <w:rFonts w:ascii="黑体" w:hAnsi="黑体" w:eastAsia="黑体"/>
          <w:b/>
          <w:sz w:val="18"/>
          <w:szCs w:val="18"/>
          <w:highlight w:val="none"/>
        </w:rPr>
        <mc:AlternateContent>
          <mc:Choice Requires="wps">
            <w:drawing>
              <wp:anchor distT="0" distB="0" distL="114300" distR="114300" simplePos="0" relativeHeight="251661312" behindDoc="0" locked="0" layoutInCell="1" allowOverlap="1">
                <wp:simplePos x="0" y="0"/>
                <wp:positionH relativeFrom="rightMargin">
                  <wp:align>left</wp:align>
                </wp:positionH>
                <wp:positionV relativeFrom="paragraph">
                  <wp:posOffset>6985</wp:posOffset>
                </wp:positionV>
                <wp:extent cx="552450" cy="1057275"/>
                <wp:effectExtent l="0" t="0" r="0" b="9525"/>
                <wp:wrapNone/>
                <wp:docPr id="8"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373.75pt;height:83.25pt;width:43.5pt;mso-position-horizontal-relative:page;mso-position-vertical-relative:page;z-index:251661312;mso-width-relative:page;mso-height-relative:page;" fillcolor="#FFFFFF" filled="t" stroked="f" coordsize="21600,21600" o:gfxdata="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pg0JO9QAAAAFAQAADwAAAAAAAAABACAAAAAiAAAAZHJzL2Rvd25y&#10;ZXYueG1sUEsBAhQAFAAAAAgAh07iQBPo35fJAQAAaAMAAA4AAAAAAAAAAQAgAAAAIwEAAGRycy9l&#10;Mm9Eb2MueG1sUEsFBgAAAAAGAAYAWQEAAF4FAAAA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ascii="黑体" w:hAnsi="黑体" w:eastAsia="黑体"/>
          <w:b/>
          <w:sz w:val="18"/>
          <w:szCs w:val="18"/>
          <w:highlight w:val="none"/>
        </w:rPr>
        <w:t>4.管理风险：</w:t>
      </w:r>
      <w:r>
        <w:rPr>
          <w:rFonts w:hint="eastAsia" w:ascii="黑体" w:hAnsi="黑体" w:eastAsia="黑体"/>
          <w:b/>
          <w:sz w:val="18"/>
          <w:szCs w:val="18"/>
          <w:highlight w:val="none"/>
        </w:rPr>
        <w:t>基础资产管理方受经验、技能、判断力、执行力等方面的限制，可能对本产品的运作及管理造成一定影响，并因此影响投资收益。</w:t>
      </w:r>
    </w:p>
    <w:p>
      <w:pPr>
        <w:rPr>
          <w:rFonts w:ascii="黑体" w:hAnsi="黑体" w:eastAsia="黑体"/>
          <w:b/>
          <w:sz w:val="18"/>
          <w:szCs w:val="18"/>
          <w:highlight w:val="none"/>
        </w:rPr>
      </w:pPr>
      <w:r>
        <w:rPr>
          <w:rFonts w:hint="eastAsia" w:ascii="黑体" w:hAnsi="黑体" w:eastAsia="黑体"/>
          <w:b/>
          <w:sz w:val="18"/>
          <w:szCs w:val="18"/>
          <w:highlight w:val="none"/>
        </w:rPr>
        <w:t>5.操作风险</w:t>
      </w:r>
      <w:r>
        <w:rPr>
          <w:rFonts w:ascii="黑体" w:hAnsi="黑体" w:eastAsia="黑体"/>
          <w:b/>
          <w:sz w:val="18"/>
          <w:szCs w:val="18"/>
          <w:highlight w:val="none"/>
        </w:rPr>
        <w:t>：</w:t>
      </w:r>
      <w:r>
        <w:rPr>
          <w:rFonts w:hint="eastAsia" w:ascii="黑体" w:hAnsi="黑体" w:eastAsia="黑体"/>
          <w:b/>
          <w:sz w:val="18"/>
          <w:szCs w:val="18"/>
          <w:highlight w:val="none"/>
        </w:rPr>
        <w:t>如本理财产品的产品管理人由于内部作业、人员管理、系统操作及事务处理不当或失误等，则客户可能面临本金和收益遭受部分甚至全部损失的风险。</w:t>
      </w:r>
    </w:p>
    <w:p>
      <w:pPr>
        <w:rPr>
          <w:rFonts w:ascii="黑体" w:hAnsi="黑体" w:eastAsia="黑体"/>
          <w:b/>
          <w:sz w:val="18"/>
          <w:szCs w:val="18"/>
          <w:highlight w:val="none"/>
        </w:rPr>
      </w:pPr>
      <w:r>
        <w:rPr>
          <w:rFonts w:ascii="黑体" w:hAnsi="黑体" w:eastAsia="黑体"/>
          <w:b/>
          <w:sz w:val="18"/>
          <w:szCs w:val="18"/>
          <w:highlight w:val="none"/>
        </w:rPr>
        <w:t>6.</w:t>
      </w:r>
      <w:r>
        <w:rPr>
          <w:rFonts w:hint="eastAsia" w:ascii="黑体" w:hAnsi="黑体" w:eastAsia="黑体"/>
          <w:b/>
          <w:sz w:val="18"/>
          <w:szCs w:val="18"/>
          <w:highlight w:val="none"/>
        </w:rPr>
        <w:t>税务</w:t>
      </w:r>
      <w:r>
        <w:rPr>
          <w:rFonts w:ascii="黑体" w:hAnsi="黑体" w:eastAsia="黑体"/>
          <w:b/>
          <w:sz w:val="18"/>
          <w:szCs w:val="18"/>
          <w:highlight w:val="none"/>
        </w:rPr>
        <w:t>风险：</w:t>
      </w:r>
      <w:r>
        <w:rPr>
          <w:rFonts w:hint="eastAsia" w:ascii="黑体" w:hAnsi="黑体" w:eastAsia="黑体"/>
          <w:b/>
          <w:sz w:val="18"/>
          <w:szCs w:val="18"/>
          <w:highlight w:val="none"/>
        </w:rPr>
        <w:t>根据国家相关法律法规，本理财产品运营过程中发生的应由本理财产品承担的增值税应税行为，由我行申报和缴纳增值税及附加税费。该等税款将直接从本理财产品中扣付缴纳，本理财产品将因为前述增值税等税负承担导致税费支出增加、理财产品净值或实际收益降低，从而降低客户的收益水平。</w:t>
      </w:r>
    </w:p>
    <w:p>
      <w:pPr>
        <w:rPr>
          <w:rFonts w:ascii="黑体" w:hAnsi="黑体" w:eastAsia="黑体"/>
          <w:b/>
          <w:sz w:val="18"/>
          <w:szCs w:val="18"/>
          <w:highlight w:val="none"/>
        </w:rPr>
      </w:pPr>
      <w:r>
        <w:rPr>
          <w:rFonts w:ascii="黑体" w:hAnsi="黑体" w:eastAsia="黑体"/>
          <w:b/>
          <w:sz w:val="18"/>
          <w:szCs w:val="18"/>
          <w:highlight w:val="none"/>
        </w:rPr>
        <w:t>7.</w:t>
      </w:r>
      <w:r>
        <w:rPr>
          <w:rFonts w:hint="eastAsia" w:ascii="黑体" w:hAnsi="黑体" w:eastAsia="黑体"/>
          <w:b/>
          <w:sz w:val="18"/>
          <w:szCs w:val="18"/>
          <w:highlight w:val="none"/>
        </w:rPr>
        <w:t>提前终止或延期风险：产品存续期内，若发生本理财产品说明书约定的情形，我行决定提前终止本产品的，本产品存在提前终止的风险。若本产品提前终止，客户面临不能按预定期限进行投资，需要自行再投资的风险。如产品到期后出现资产无法及时变现或其他客观原因导致产品无法按时终止的情形，我行有权对本产品进行延期或延迟兑付，如我行决定对产品进行延期或延迟兑付的，客户将面临不能按预定期限取得本金及收益的风险，从而影响客户的资金安排。</w:t>
      </w:r>
    </w:p>
    <w:p>
      <w:pPr>
        <w:rPr>
          <w:rFonts w:ascii="黑体" w:hAnsi="黑体" w:eastAsia="黑体"/>
          <w:b/>
          <w:sz w:val="18"/>
          <w:szCs w:val="18"/>
          <w:highlight w:val="none"/>
        </w:rPr>
      </w:pPr>
      <w:r>
        <w:rPr>
          <w:rFonts w:hint="eastAsia" w:ascii="黑体" w:hAnsi="黑体" w:eastAsia="黑体"/>
          <w:b/>
          <w:sz w:val="18"/>
          <w:szCs w:val="18"/>
          <w:highlight w:val="none"/>
        </w:rPr>
        <w:t>8.代销风险</w:t>
      </w:r>
      <w:r>
        <w:rPr>
          <w:rFonts w:ascii="黑体" w:hAnsi="黑体" w:eastAsia="黑体"/>
          <w:b/>
          <w:sz w:val="18"/>
          <w:szCs w:val="18"/>
          <w:highlight w:val="none"/>
        </w:rPr>
        <w:t>：</w:t>
      </w:r>
      <w:r>
        <w:rPr>
          <w:rFonts w:hint="eastAsia" w:ascii="黑体" w:hAnsi="黑体" w:eastAsia="黑体"/>
          <w:b/>
          <w:sz w:val="18"/>
          <w:szCs w:val="18"/>
          <w:highlight w:val="none"/>
        </w:rPr>
        <w:t>本理财产品通过</w:t>
      </w:r>
      <w:r>
        <w:rPr>
          <w:rFonts w:ascii="黑体" w:hAnsi="黑体" w:eastAsia="黑体"/>
          <w:b/>
          <w:sz w:val="18"/>
          <w:szCs w:val="18"/>
          <w:highlight w:val="none"/>
        </w:rPr>
        <w:t>代销</w:t>
      </w:r>
      <w:r>
        <w:rPr>
          <w:rFonts w:hint="eastAsia" w:ascii="黑体" w:hAnsi="黑体" w:eastAsia="黑体"/>
          <w:b/>
          <w:sz w:val="18"/>
          <w:szCs w:val="18"/>
          <w:highlight w:val="none"/>
        </w:rPr>
        <w:t>渠道</w:t>
      </w:r>
      <w:r>
        <w:rPr>
          <w:rFonts w:ascii="黑体" w:hAnsi="黑体" w:eastAsia="黑体"/>
          <w:b/>
          <w:sz w:val="18"/>
          <w:szCs w:val="18"/>
          <w:highlight w:val="none"/>
        </w:rPr>
        <w:t>销售，</w:t>
      </w:r>
      <w:r>
        <w:rPr>
          <w:rFonts w:hint="eastAsia" w:ascii="黑体" w:hAnsi="黑体" w:eastAsia="黑体"/>
          <w:b/>
          <w:sz w:val="18"/>
          <w:szCs w:val="18"/>
          <w:highlight w:val="none"/>
        </w:rPr>
        <w:t>客户购买理财产品的资金由代理销售机构从客户指定账户扣收并划付我行，赎回理财产品份额时相应款项由我行按约定划付至代理销售机构，并由代理销售机构向客户支付应得收益。不同代理销售机构的认购/申购／赎回确认时效可能存在差异。如因客户指定账户余额不足，或代理销售机构未及时足额划付资金，或代理销售机构清算账户内资金被依法冻结或扣划，或代理销售机构清算账户处于被挂失、冻结、注销或其他非正常状态等原因而导致交易失败，由代理销售机构与客户依法协商解决，但前述约定不免除因代理销售机构过错依法应由代理销售机构承担的责任。</w:t>
      </w:r>
    </w:p>
    <w:p>
      <w:pPr>
        <w:rPr>
          <w:rFonts w:ascii="黑体" w:hAnsi="黑体" w:eastAsia="黑体"/>
          <w:b/>
          <w:sz w:val="18"/>
          <w:szCs w:val="18"/>
          <w:highlight w:val="none"/>
        </w:rPr>
      </w:pPr>
      <w:r>
        <w:rPr>
          <w:rFonts w:ascii="黑体" w:hAnsi="黑体" w:eastAsia="黑体"/>
          <w:b/>
          <w:sz w:val="18"/>
          <w:szCs w:val="18"/>
          <w:highlight w:val="none"/>
        </w:rPr>
        <w:t>9.</w:t>
      </w:r>
      <w:r>
        <w:rPr>
          <w:rFonts w:hint="eastAsia" w:ascii="黑体" w:hAnsi="黑体" w:eastAsia="黑体"/>
          <w:b/>
          <w:sz w:val="18"/>
          <w:szCs w:val="18"/>
          <w:highlight w:val="none"/>
        </w:rPr>
        <w:t>强制赎回风险：产品存续期内，如出现客户不符合本产品投资者资质条件时，我行有权退回购买资金、对客户持有的理财产品份额进行强制赎回或采取其他相应控制措施。</w:t>
      </w:r>
      <w:r>
        <w:rPr>
          <w:rFonts w:ascii="黑体" w:hAnsi="黑体" w:eastAsia="黑体"/>
          <w:b/>
          <w:sz w:val="18"/>
          <w:szCs w:val="18"/>
          <w:highlight w:val="none"/>
        </w:rPr>
        <w:t xml:space="preserve">                                                             </w:t>
      </w:r>
    </w:p>
    <w:p>
      <w:pPr>
        <w:rPr>
          <w:rFonts w:ascii="黑体" w:hAnsi="黑体" w:eastAsia="黑体"/>
          <w:b/>
          <w:sz w:val="18"/>
          <w:szCs w:val="18"/>
          <w:highlight w:val="none"/>
        </w:rPr>
      </w:pPr>
      <w:r>
        <w:rPr>
          <w:rFonts w:ascii="黑体" w:hAnsi="黑体" w:eastAsia="黑体"/>
          <w:b/>
          <w:sz w:val="18"/>
          <w:szCs w:val="18"/>
          <w:highlight w:val="none"/>
        </w:rPr>
        <w:t>10.流动性风险：</w:t>
      </w:r>
      <w:r>
        <w:rPr>
          <w:rFonts w:hint="eastAsia" w:ascii="黑体" w:hAnsi="黑体" w:eastAsia="黑体"/>
          <w:b/>
          <w:sz w:val="18"/>
          <w:szCs w:val="18"/>
          <w:highlight w:val="none"/>
        </w:rPr>
        <w:t>若本产品投资的基础资产成交少，流动性低，或对于非公开发行债券等流动和/或转让存在一定的限制的资产，即使在市场流动性比较好的情况下，个别资产的流动性可能较差，均可能造成无法以合理价格买入或卖出的情形，并因此影响客户收益，甚至使本产品遭受损失。对于流动性好的基础资产，可能在一些时期受市场行情、投资群体等诸多因素的影响，出现成交少，流动性低的情况，在市场流动性相对不足时，可能增加变现成本或出现变现困难，对投资造成不利影响。</w:t>
      </w:r>
    </w:p>
    <w:p>
      <w:pPr>
        <w:rPr>
          <w:rFonts w:ascii="黑体" w:hAnsi="黑体" w:eastAsia="黑体"/>
          <w:b/>
          <w:sz w:val="18"/>
          <w:szCs w:val="18"/>
          <w:highlight w:val="none"/>
        </w:rPr>
      </w:pPr>
      <w:r>
        <w:rPr>
          <w:rFonts w:ascii="黑体" w:hAnsi="黑体" w:eastAsia="黑体"/>
          <w:b/>
          <w:sz w:val="18"/>
          <w:szCs w:val="18"/>
          <w:highlight w:val="none"/>
        </w:rPr>
        <w:t>11.信息传递风险：</w:t>
      </w:r>
      <w:r>
        <w:rPr>
          <w:rFonts w:hint="eastAsia" w:ascii="黑体" w:hAnsi="黑体" w:eastAsia="黑体"/>
          <w:b/>
          <w:sz w:val="18"/>
          <w:szCs w:val="18"/>
          <w:highlight w:val="none"/>
        </w:rPr>
        <w:t>我行将最迟在到期日后</w:t>
      </w:r>
      <w:r>
        <w:rPr>
          <w:rFonts w:ascii="黑体" w:hAnsi="黑体" w:eastAsia="黑体"/>
          <w:b/>
          <w:sz w:val="18"/>
          <w:szCs w:val="18"/>
          <w:highlight w:val="none"/>
        </w:rPr>
        <w:t>5个工作日内，在我行营业网点或网站等渠道发布到期相关信息公告。如本产品需延期清算，将最迟于到期日后5个工作日内在我行网站或网点等渠道发布相关信息公告。本理财产品持续期间内，我行有权通过我行营业网点或网站等渠道，对说明书条款进行补充、说明和修改，客户应定期通过上述渠道获知有关本理财产品相关信息。上述披露的信息视为已送达客户。如客户未及时查询，或者由于通讯故障以及其他不可抗力等因素影响使得客户无法及时了解产品信息，因此产生的风险由客户自行承担。另外，客户预留在天津银行的有效联系方式需要变更的，应及时通知天津银行，如因客户未履行及时告知义务，造成天津银行无法将信息准确及时的传递给客户的，因此产生的责任和风险由客户自行承担。</w:t>
      </w:r>
    </w:p>
    <w:p>
      <w:pPr>
        <w:rPr>
          <w:rFonts w:ascii="黑体" w:hAnsi="黑体" w:eastAsia="黑体"/>
          <w:b/>
          <w:sz w:val="18"/>
          <w:szCs w:val="18"/>
          <w:highlight w:val="none"/>
        </w:rPr>
      </w:pPr>
      <w:r>
        <w:rPr>
          <w:rFonts w:ascii="黑体" w:hAnsi="黑体" w:eastAsia="黑体"/>
          <w:b/>
          <w:sz w:val="18"/>
          <w:szCs w:val="18"/>
          <w:highlight w:val="none"/>
        </w:rPr>
        <w:t>12</w:t>
      </w:r>
      <w:r>
        <w:rPr>
          <w:rFonts w:hint="eastAsia" w:ascii="黑体" w:hAnsi="黑体" w:eastAsia="黑体"/>
          <w:b/>
          <w:sz w:val="18"/>
          <w:szCs w:val="18"/>
          <w:highlight w:val="none"/>
        </w:rPr>
        <w:t>．产品不成立风险：如因募集规模低于说明书约定的最低规模或其他因素导致我行宣布本理财产品不成立的情形，客户将面临再投资风险。</w:t>
      </w:r>
    </w:p>
    <w:p>
      <w:pPr>
        <w:rPr>
          <w:rFonts w:ascii="黑体" w:hAnsi="黑体" w:eastAsia="黑体"/>
          <w:b/>
          <w:sz w:val="18"/>
          <w:szCs w:val="18"/>
          <w:highlight w:val="none"/>
        </w:rPr>
      </w:pPr>
      <w:r>
        <w:rPr>
          <w:rFonts w:ascii="黑体" w:hAnsi="黑体" w:eastAsia="黑体"/>
          <w:b/>
          <w:sz w:val="18"/>
          <w:szCs w:val="18"/>
          <w:highlight w:val="none"/>
        </w:rPr>
        <w:t>13.不可抗力风险：</w:t>
      </w:r>
      <w:r>
        <w:rPr>
          <w:rFonts w:hint="eastAsia" w:ascii="黑体" w:hAnsi="黑体" w:eastAsia="黑体"/>
          <w:b/>
          <w:sz w:val="18"/>
          <w:szCs w:val="18"/>
          <w:highlight w:val="none"/>
        </w:rPr>
        <w:t>指由于自然灾害、战争等不可抗力因素的出现，将严重影响金融市场的正常运行，从而导致理财资产收益降低或损失，甚至影响理财产品的受理、投资、偿还等的正常进行，进而影响理财产品的资金安全。“不可抗力”是指交易各方不能合理控制、不可预见或即使预见亦无法避免的事件，该事件妨碍、影响或延误任何一方根据本产品说明书履行其全部或部分义务，该事件包括但不限于地震、台风、洪水、水灾、其他天灾、战争、骚乱、罢工或其他类似事件、新法规颁布或对原法规的修改等政策因素。</w:t>
      </w:r>
    </w:p>
    <w:p>
      <w:pPr>
        <w:rPr>
          <w:rFonts w:ascii="黑体" w:hAnsi="黑体" w:eastAsia="黑体"/>
          <w:b/>
          <w:sz w:val="18"/>
          <w:szCs w:val="18"/>
          <w:highlight w:val="none"/>
        </w:rPr>
      </w:pPr>
      <w:r>
        <w:rPr>
          <w:rFonts w:ascii="黑体" w:hAnsi="黑体" w:eastAsia="黑体"/>
          <w:b/>
          <w:sz w:val="18"/>
          <w:szCs w:val="18"/>
          <w:highlight w:val="none"/>
        </w:rPr>
        <w:t>14.最不利的投资情形：</w:t>
      </w:r>
      <w:r>
        <w:rPr>
          <w:rFonts w:hint="eastAsia" w:ascii="黑体" w:hAnsi="黑体" w:eastAsia="黑体"/>
          <w:b/>
          <w:sz w:val="18"/>
          <w:szCs w:val="18"/>
          <w:highlight w:val="none"/>
        </w:rPr>
        <w:t>如因金融市场发生重大不利变动，或交易对手、债券发行主体到期无力兑付本息，则有可能造成本金部分或全部损失及收益全部损失。</w:t>
      </w:r>
    </w:p>
    <w:p>
      <w:pPr>
        <w:ind w:firstLine="361" w:firstLineChars="200"/>
        <w:rPr>
          <w:rFonts w:ascii="黑体" w:hAnsi="黑体" w:eastAsia="黑体"/>
          <w:b/>
          <w:sz w:val="18"/>
          <w:szCs w:val="18"/>
          <w:highlight w:val="none"/>
        </w:rPr>
      </w:pPr>
      <w:r>
        <w:rPr>
          <w:rFonts w:hint="eastAsia" w:ascii="黑体" w:hAnsi="黑体" w:eastAsia="黑体"/>
          <w:b/>
          <w:sz w:val="18"/>
          <w:szCs w:val="18"/>
          <w:highlight w:val="none"/>
        </w:rPr>
        <w:t>本风险揭示书所揭示风险皆为列举性质，未能详尽列明客户参与本产品所面临的全部风险和可能导致客户资产损失的所有因素，请客户充分评估投资风险。</w:t>
      </w:r>
    </w:p>
    <w:p>
      <w:pPr>
        <w:spacing w:line="440" w:lineRule="exact"/>
        <w:rPr>
          <w:rFonts w:ascii="黑体" w:hAnsi="黑体" w:eastAsia="黑体"/>
          <w:b/>
          <w:sz w:val="18"/>
          <w:szCs w:val="18"/>
          <w:highlight w:val="none"/>
        </w:rPr>
      </w:pPr>
      <w:r>
        <w:rPr>
          <w:rFonts w:hint="eastAsia" w:ascii="黑体" w:hAnsi="黑体" w:eastAsia="黑体"/>
          <w:sz w:val="18"/>
          <w:szCs w:val="18"/>
          <w:highlight w:val="none"/>
        </w:rPr>
        <w:t>本理财产品编号</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u w:val="single"/>
          <w:lang w:val="en-US" w:eastAsia="zh-CN"/>
        </w:rPr>
        <w:t xml:space="preserve">2026HY090D  </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，产品内部评价为</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u w:val="single"/>
          <w:lang w:eastAsia="zh-CN"/>
        </w:rPr>
        <w:t>中低</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风险级别，产品期限为□最短持有期</w:t>
      </w:r>
      <w:r>
        <w:rPr>
          <w:rFonts w:ascii="黑体" w:hAnsi="黑体" w:eastAsia="黑体"/>
          <w:sz w:val="18"/>
          <w:szCs w:val="18"/>
          <w:highlight w:val="none"/>
          <w:u w:val="single"/>
        </w:rPr>
        <w:t xml:space="preserve">    </w:t>
      </w:r>
      <w:r>
        <w:rPr>
          <w:rFonts w:hint="eastAsia" w:ascii="黑体" w:hAnsi="黑体" w:eastAsia="黑体"/>
          <w:sz w:val="18"/>
          <w:szCs w:val="18"/>
          <w:highlight w:val="none"/>
        </w:rPr>
        <w:t>天型产品，</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周期型产品以</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天为周期开放，</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封闭型产品封闭期</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u w:val="single"/>
          <w:lang w:val="en-US" w:eastAsia="zh-CN"/>
        </w:rPr>
        <w:t xml:space="preserve">190 </w:t>
      </w:r>
      <w:r>
        <w:rPr>
          <w:rFonts w:hint="eastAsia" w:ascii="黑体" w:hAnsi="黑体" w:eastAsia="黑体"/>
          <w:sz w:val="18"/>
          <w:szCs w:val="18"/>
          <w:highlight w:val="none"/>
        </w:rPr>
        <w:t>天，产品类型为</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固定收益类□权益类□商品及金融衍生品类</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混合类非保本浮动收益</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封闭式</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开放式净值型，适合□保守型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谨慎型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稳健型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进取型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激进型的客户认购。</w:t>
      </w:r>
      <w:r>
        <w:rPr>
          <w:rFonts w:ascii="黑体" w:hAnsi="黑体" w:eastAsia="黑体"/>
          <w:b/>
          <w:sz w:val="18"/>
          <w:szCs w:val="18"/>
          <w:highlight w:val="none"/>
        </w:rPr>
        <mc:AlternateContent>
          <mc:Choice Requires="wps">
            <w:drawing>
              <wp:anchor distT="0" distB="0" distL="114300" distR="114300" simplePos="0" relativeHeight="251662336" behindDoc="0" locked="0" layoutInCell="1" allowOverlap="1">
                <wp:simplePos x="0" y="0"/>
                <wp:positionH relativeFrom="rightMargin">
                  <wp:align>left</wp:align>
                </wp:positionH>
                <wp:positionV relativeFrom="paragraph">
                  <wp:posOffset>504825</wp:posOffset>
                </wp:positionV>
                <wp:extent cx="552450" cy="1057275"/>
                <wp:effectExtent l="0" t="0" r="0" b="9525"/>
                <wp:wrapNone/>
                <wp:docPr id="5"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295.95pt;height:83.25pt;width:43.5pt;mso-position-horizontal-relative:page;mso-position-vertical-relative:page;z-index:251662336;mso-width-relative:page;mso-height-relative:page;" fillcolor="#FFFFFF" filled="t" stroked="f" coordsize="21600,21600" o:gfxdata="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U0BoOtcAAAAGAQAADwAAAAAAAAABACAAAAAiAAAAZHJzL2Rv&#10;d25yZXYueG1sUEsBAhQAFAAAAAgAh07iQGgIwPXJAQAAaAMAAA4AAAAAAAAAAQAgAAAAJgEAAGRy&#10;cy9lMm9Eb2MueG1sUEsFBgAAAAAGAAYAWQEAAGEFAAAA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hint="eastAsia" w:ascii="黑体" w:hAnsi="黑体" w:eastAsia="黑体"/>
          <w:b/>
          <w:sz w:val="18"/>
          <w:szCs w:val="18"/>
          <w:highlight w:val="none"/>
        </w:rPr>
        <w:t>特别提示：周期型理财产品分为周期到期时理财资金自动兑付到账型和周期到期时客户未申请赎回则理财资金将自动进入下一个周期型两类，前述周期型产品期限按照单个周期天数填写，</w:t>
      </w:r>
      <w:r>
        <w:rPr>
          <w:rFonts w:ascii="黑体" w:hAnsi="黑体" w:eastAsia="黑体"/>
          <w:b/>
          <w:sz w:val="18"/>
          <w:szCs w:val="18"/>
          <w:highlight w:val="none"/>
        </w:rPr>
        <w:t>客户可根据实际需求选择持续持有多个周期，</w:t>
      </w:r>
      <w:r>
        <w:rPr>
          <w:rFonts w:hint="eastAsia" w:ascii="黑体" w:hAnsi="黑体" w:eastAsia="黑体"/>
          <w:b/>
          <w:sz w:val="18"/>
          <w:szCs w:val="18"/>
          <w:highlight w:val="none"/>
        </w:rPr>
        <w:t>理财</w:t>
      </w:r>
      <w:r>
        <w:rPr>
          <w:rFonts w:ascii="黑体" w:hAnsi="黑体" w:eastAsia="黑体"/>
          <w:b/>
          <w:sz w:val="18"/>
          <w:szCs w:val="18"/>
          <w:highlight w:val="none"/>
        </w:rPr>
        <w:t>天数</w:t>
      </w:r>
      <w:r>
        <w:rPr>
          <w:rFonts w:hint="eastAsia" w:ascii="黑体" w:hAnsi="黑体" w:eastAsia="黑体"/>
          <w:b/>
          <w:sz w:val="18"/>
          <w:szCs w:val="18"/>
          <w:highlight w:val="none"/>
        </w:rPr>
        <w:t>最终</w:t>
      </w:r>
      <w:r>
        <w:rPr>
          <w:rFonts w:ascii="黑体" w:hAnsi="黑体" w:eastAsia="黑体"/>
          <w:b/>
          <w:sz w:val="18"/>
          <w:szCs w:val="18"/>
          <w:highlight w:val="none"/>
        </w:rPr>
        <w:t>以实际持有天数为准。</w:t>
      </w:r>
    </w:p>
    <w:p>
      <w:pPr>
        <w:spacing w:line="440" w:lineRule="exact"/>
        <w:rPr>
          <w:rFonts w:ascii="黑体" w:hAnsi="黑体" w:eastAsia="黑体"/>
          <w:b/>
          <w:sz w:val="18"/>
          <w:szCs w:val="18"/>
          <w:highlight w:val="none"/>
        </w:rPr>
      </w:pPr>
    </w:p>
    <w:p>
      <w:pPr>
        <w:spacing w:line="440" w:lineRule="exact"/>
        <w:rPr>
          <w:rFonts w:ascii="仿宋_GB2312" w:hAnsi="Calibri"/>
          <w:sz w:val="24"/>
          <w:szCs w:val="24"/>
          <w:highlight w:val="none"/>
          <w:u w:val="single"/>
        </w:rPr>
      </w:pPr>
      <w:r>
        <w:rPr>
          <w:rFonts w:ascii="仿宋_GB2312" w:hAnsi="Calibri"/>
          <w:sz w:val="24"/>
          <w:szCs w:val="24"/>
          <w:highlight w:val="none"/>
        </w:rPr>
        <w:t>客户投资风险承受能力评级结果（客户本人填写）：</w:t>
      </w:r>
      <w:r>
        <w:rPr>
          <w:rFonts w:ascii="仿宋_GB2312" w:hAnsi="Calibri"/>
          <w:sz w:val="24"/>
          <w:szCs w:val="24"/>
          <w:highlight w:val="none"/>
          <w:u w:val="single"/>
        </w:rPr>
        <w:t xml:space="preserve">              </w:t>
      </w:r>
    </w:p>
    <w:p>
      <w:pPr>
        <w:spacing w:line="440" w:lineRule="exact"/>
        <w:rPr>
          <w:rFonts w:ascii="黑体" w:hAnsi="黑体" w:eastAsia="黑体"/>
          <w:b/>
          <w:sz w:val="18"/>
          <w:szCs w:val="18"/>
          <w:highlight w:val="none"/>
        </w:rPr>
      </w:pPr>
      <w:r>
        <w:rPr>
          <w:rFonts w:hint="eastAsia" w:ascii="黑体" w:hAnsi="黑体" w:eastAsia="黑体"/>
          <w:b/>
          <w:sz w:val="18"/>
          <w:szCs w:val="18"/>
          <w:highlight w:val="none"/>
        </w:rPr>
        <w:t>（如影响您风险承受能力的因素发生变化，请您再次购买理财产品时主动要求我行重新进行风险承受能力评估。）</w:t>
      </w:r>
    </w:p>
    <w:p>
      <w:pPr>
        <w:spacing w:line="440" w:lineRule="exact"/>
        <w:rPr>
          <w:rFonts w:ascii="仿宋_GB2312" w:hAnsi="Calibri"/>
          <w:sz w:val="24"/>
          <w:szCs w:val="24"/>
          <w:highlight w:val="none"/>
        </w:rPr>
      </w:pPr>
      <w:r>
        <w:rPr>
          <w:rFonts w:ascii="仿宋_GB2312" w:hAnsi="Calibri"/>
          <w:sz w:val="24"/>
          <w:szCs w:val="24"/>
          <w:highlight w:val="none"/>
        </w:rPr>
        <w:t>请您抄录以下语句：</w:t>
      </w:r>
      <w:r>
        <w:rPr>
          <w:rFonts w:ascii="仿宋_GB2312" w:hAnsi="Calibri"/>
          <w:b/>
          <w:sz w:val="24"/>
          <w:szCs w:val="24"/>
          <w:highlight w:val="none"/>
        </w:rPr>
        <w:t>“本人已经阅读风险揭示，愿意承担投资风险。”</w:t>
      </w:r>
    </w:p>
    <w:p>
      <w:pPr>
        <w:spacing w:line="440" w:lineRule="exact"/>
        <w:rPr>
          <w:rFonts w:ascii="仿宋_GB2312" w:hAnsi="Calibri"/>
          <w:sz w:val="24"/>
          <w:szCs w:val="24"/>
          <w:highlight w:val="none"/>
        </w:rPr>
      </w:pPr>
    </w:p>
    <w:p>
      <w:pPr>
        <w:spacing w:line="440" w:lineRule="exact"/>
        <w:rPr>
          <w:rFonts w:ascii="仿宋_GB2312" w:hAnsi="宋体" w:cs="宋体"/>
          <w:sz w:val="28"/>
          <w:szCs w:val="28"/>
          <w:highlight w:val="none"/>
        </w:rPr>
      </w:pPr>
      <w:r>
        <w:rPr>
          <w:rFonts w:ascii="仿宋_GB2312" w:hAnsi="Calibri"/>
          <w:sz w:val="24"/>
          <w:szCs w:val="24"/>
          <w:highlight w:val="none"/>
        </w:rPr>
        <w:t>本人郑重声明：＿＿＿＿＿＿＿＿＿＿＿＿＿＿＿＿＿＿＿＿＿＿＿＿＿＿＿＿＿＿＿＿</w:t>
      </w:r>
    </w:p>
    <w:p>
      <w:pPr>
        <w:autoSpaceDE w:val="0"/>
        <w:ind w:right="1120"/>
        <w:rPr>
          <w:rFonts w:ascii="仿宋_GB2312" w:hAnsi="Calibri"/>
          <w:szCs w:val="21"/>
          <w:highlight w:val="none"/>
        </w:rPr>
      </w:pPr>
    </w:p>
    <w:p>
      <w:pPr>
        <w:autoSpaceDE w:val="0"/>
        <w:ind w:right="1120"/>
        <w:rPr>
          <w:rFonts w:ascii="仿宋_GB2312" w:hAnsi="Calibri"/>
          <w:szCs w:val="21"/>
          <w:highlight w:val="none"/>
        </w:rPr>
      </w:pPr>
      <w:r>
        <w:rPr>
          <w:rFonts w:ascii="仿宋_GB2312" w:hAnsi="Calibri"/>
          <w:szCs w:val="21"/>
          <w:highlight w:val="none"/>
        </w:rPr>
        <w:t>客户签字：                            日期：</w:t>
      </w:r>
      <w:r>
        <w:rPr>
          <w:rFonts w:hint="eastAsia" w:ascii="仿宋_GB2312" w:hAnsi="Calibri"/>
          <w:szCs w:val="21"/>
          <w:highlight w:val="none"/>
        </w:rPr>
        <w:t xml:space="preserve">  年  月  日</w:t>
      </w:r>
    </w:p>
    <w:p>
      <w:pPr>
        <w:rPr>
          <w:rFonts w:ascii="仿宋_GB2312" w:hAnsi="Calibri"/>
          <w:szCs w:val="21"/>
          <w:highlight w:val="none"/>
        </w:rPr>
      </w:pPr>
    </w:p>
    <w:p>
      <w:pPr>
        <w:rPr>
          <w:rFonts w:ascii="黑体" w:hAnsi="黑体" w:eastAsia="黑体"/>
          <w:b/>
          <w:bCs/>
          <w:sz w:val="18"/>
          <w:szCs w:val="18"/>
          <w:highlight w:val="none"/>
        </w:rPr>
      </w:pPr>
      <w:r>
        <w:rPr>
          <w:rFonts w:ascii="仿宋_GB2312" w:hAnsi="Calibri"/>
          <w:szCs w:val="21"/>
          <w:highlight w:val="none"/>
        </w:rPr>
        <w:t>银行签章：</w:t>
      </w:r>
      <w:r>
        <w:rPr>
          <w:rFonts w:hint="eastAsia" w:ascii="黑体" w:hAnsi="黑体" w:eastAsia="黑体"/>
          <w:b/>
          <w:bCs/>
          <w:sz w:val="18"/>
          <w:szCs w:val="18"/>
          <w:highlight w:val="none"/>
        </w:rPr>
        <w:t xml:space="preserve">                                </w:t>
      </w:r>
      <w:r>
        <w:rPr>
          <w:rFonts w:hint="eastAsia" w:ascii="仿宋_GB2312" w:hAnsi="Calibri"/>
          <w:szCs w:val="21"/>
          <w:highlight w:val="none"/>
        </w:rPr>
        <w:t xml:space="preserve">销售人员：     </w:t>
      </w:r>
      <w:r>
        <w:rPr>
          <w:rFonts w:hint="eastAsia" w:ascii="黑体" w:hAnsi="黑体" w:eastAsia="黑体"/>
          <w:b/>
          <w:bCs/>
          <w:sz w:val="18"/>
          <w:szCs w:val="18"/>
          <w:highlight w:val="none"/>
        </w:rPr>
        <w:t xml:space="preserve">            </w:t>
      </w:r>
    </w:p>
    <w:p>
      <w:pPr>
        <w:rPr>
          <w:rFonts w:ascii="黑体" w:hAnsi="黑体" w:eastAsia="黑体"/>
          <w:b/>
          <w:bCs/>
          <w:sz w:val="18"/>
          <w:szCs w:val="18"/>
          <w:highlight w:val="none"/>
        </w:rPr>
      </w:pPr>
    </w:p>
    <w:p>
      <w:pPr>
        <w:jc w:val="right"/>
        <w:rPr>
          <w:rFonts w:ascii="黑体" w:hAnsi="黑体" w:eastAsia="黑体"/>
          <w:b/>
          <w:bCs/>
          <w:sz w:val="18"/>
          <w:szCs w:val="18"/>
          <w:highlight w:val="none"/>
        </w:rPr>
      </w:pPr>
      <w:r>
        <w:rPr>
          <w:rFonts w:hint="eastAsia" w:ascii="黑体" w:hAnsi="黑体" w:eastAsia="黑体"/>
          <w:b/>
          <w:bCs/>
          <w:sz w:val="18"/>
          <w:szCs w:val="18"/>
          <w:highlight w:val="none"/>
        </w:rPr>
        <w:t>风险提示方：天津银行股份有限公司</w:t>
      </w: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r>
        <w:rPr>
          <w:rFonts w:hint="eastAsia" w:ascii="宋体" w:hAnsi="宋体"/>
          <w:b/>
          <w:sz w:val="24"/>
          <w:szCs w:val="24"/>
          <w:highlight w:val="none"/>
        </w:rPr>
        <w:t>客户权益须知</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尊敬的客户：</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您在购买理财产品获取收益的同时存在投资风险。理财产品过往业绩不代表其未来表现，不等于理财产品实际收益，投资须谨慎。为了保护您的合法权益，请在投资前认真阅读以下内容：</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一、客户购买理财产品的流程：</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（一）开立结算账户。在天津银行办理理财业务，需提供个人银行结算账户，如您没有账户请到天津银行任意网点开立。</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二）投资者风险承受能力等级评估。您在首次购买理财产品之前，应进行投资风险承受能力评估。请您根据自身财务状况、投资经验、投资目的、收益预期、风险偏好、流动性要求、风险认识以及风险损失承受能力等情况，填写《天津银行个人客户投资（投保）风险承受能力评估问卷》，确认评估结果，并根据风险评估结果选择合适的理财产品。</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三）理财产品购买。理财产品销售协议书、产品说明书、风险揭示书及客户权益须知等有关法律文件共同构成完整的理财合同。您购买理财产品需认真阅读全部理财合同，并填写《天津银行个人人民币理财产品销售协议书》及《风险揭示书》，确认《天津银行个人人民币理财产品说明书》以及《客户权益须知》。同时还需提供本人身份证件原件、个人银行结算账户。您在电子渠道销售页面的购买、赎回及撤单等操作将被记录。</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二、客户风险承受能力评估流程及评级。</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1.</w:t>
      </w:r>
      <w:r>
        <w:rPr>
          <w:rFonts w:hint="eastAsia"/>
          <w:highlight w:val="none"/>
        </w:rPr>
        <w:t xml:space="preserve"> </w:t>
      </w:r>
      <w:r>
        <w:rPr>
          <w:rFonts w:hint="eastAsia" w:ascii="黑体" w:hAnsi="宋体" w:eastAsia="黑体"/>
          <w:sz w:val="18"/>
          <w:szCs w:val="18"/>
          <w:highlight w:val="none"/>
        </w:rPr>
        <w:t>您需知晓并理解《天津银行个人客户投资（投保）风险承受能力评估问卷》全部内容，如您填写的信息不准确、不完整，则可能对您投资风险承受能力的评估以及理财产品推荐带来影响。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2.</w:t>
      </w:r>
      <w:r>
        <w:rPr>
          <w:rFonts w:hint="eastAsia"/>
          <w:highlight w:val="none"/>
        </w:rPr>
        <w:t xml:space="preserve"> </w:t>
      </w:r>
      <w:r>
        <w:rPr>
          <w:rFonts w:hint="eastAsia" w:ascii="黑体" w:hAnsi="宋体" w:eastAsia="黑体"/>
          <w:sz w:val="18"/>
          <w:szCs w:val="18"/>
          <w:highlight w:val="none"/>
        </w:rPr>
        <w:t>在您首次购买理财产品前，应填写《天津银行个人客户投资（投保）风险承受能力评估问卷》，评估自身投资风险承受能力。风险承受能力分为保守型、谨慎型、稳健型、进取型、激进型。</w:t>
      </w:r>
    </w:p>
    <w:p>
      <w:pPr>
        <w:adjustRightInd w:val="0"/>
        <w:snapToGrid w:val="0"/>
        <w:ind w:firstLine="361" w:firstLineChars="200"/>
        <w:rPr>
          <w:rFonts w:ascii="黑体" w:hAnsi="宋体" w:eastAsia="黑体"/>
          <w:sz w:val="18"/>
          <w:szCs w:val="18"/>
          <w:highlight w:val="none"/>
        </w:rPr>
      </w:pPr>
      <w:r>
        <w:rPr>
          <w:rFonts w:hint="eastAsia" w:ascii="黑体" w:hAnsi="宋体" w:eastAsia="黑体"/>
          <w:b/>
          <w:sz w:val="18"/>
          <w:szCs w:val="18"/>
          <w:highlight w:val="none"/>
        </w:rPr>
        <w:t>3.</w:t>
      </w:r>
      <w:r>
        <w:rPr>
          <w:rFonts w:hint="eastAsia"/>
          <w:b/>
          <w:highlight w:val="none"/>
        </w:rPr>
        <w:t xml:space="preserve"> </w:t>
      </w:r>
      <w:r>
        <w:rPr>
          <w:rFonts w:hint="eastAsia" w:ascii="黑体" w:hAnsi="宋体" w:eastAsia="黑体"/>
          <w:b/>
          <w:sz w:val="18"/>
          <w:szCs w:val="18"/>
          <w:highlight w:val="none"/>
        </w:rPr>
        <w:t>根据投资者风险承受能力与理财产品风险等级相匹配的原则，您只能购买不超过自身风险承受能力的理财产品。</w:t>
      </w:r>
      <w:r>
        <w:rPr>
          <w:rFonts w:hint="eastAsia" w:ascii="黑体" w:hAnsi="宋体" w:eastAsia="黑体"/>
          <w:sz w:val="18"/>
          <w:szCs w:val="18"/>
          <w:highlight w:val="none"/>
        </w:rPr>
        <w:t>（详见下表）</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4.</w:t>
      </w:r>
      <w:r>
        <w:rPr>
          <w:rFonts w:hint="eastAsia"/>
          <w:highlight w:val="none"/>
        </w:rPr>
        <w:t xml:space="preserve"> </w:t>
      </w:r>
      <w:r>
        <w:rPr>
          <w:rFonts w:hint="eastAsia" w:ascii="黑体" w:hAnsi="宋体" w:eastAsia="黑体"/>
          <w:sz w:val="18"/>
          <w:szCs w:val="18"/>
          <w:highlight w:val="none"/>
        </w:rPr>
        <w:t>您如需购买中高风险（R4）以上理财产品，请到天津银行营业网点进行购买。</w:t>
      </w:r>
    </w:p>
    <w:p>
      <w:pPr>
        <w:adjustRightInd w:val="0"/>
        <w:snapToGrid w:val="0"/>
        <w:ind w:firstLine="360" w:firstLineChars="200"/>
        <w:rPr>
          <w:rFonts w:ascii="黑体" w:hAnsi="宋体" w:eastAsia="黑体"/>
          <w:sz w:val="18"/>
          <w:szCs w:val="18"/>
          <w:highlight w:val="none"/>
        </w:rPr>
      </w:pPr>
      <w:r>
        <w:rPr>
          <w:rFonts w:ascii="黑体" w:hAnsi="宋体" w:eastAsia="黑体"/>
          <w:sz w:val="18"/>
          <w:szCs w:val="18"/>
          <w:highlight w:val="none"/>
        </w:rPr>
        <w:t>5</w:t>
      </w:r>
      <w:r>
        <w:rPr>
          <w:rFonts w:hint="eastAsia" w:ascii="黑体" w:hAnsi="宋体" w:eastAsia="黑体"/>
          <w:sz w:val="18"/>
          <w:szCs w:val="18"/>
          <w:highlight w:val="none"/>
        </w:rPr>
        <w:t>.</w:t>
      </w:r>
      <w:r>
        <w:rPr>
          <w:rFonts w:hint="eastAsia"/>
          <w:highlight w:val="none"/>
        </w:rPr>
        <w:t xml:space="preserve"> </w:t>
      </w:r>
      <w:r>
        <w:rPr>
          <w:rFonts w:hint="eastAsia" w:ascii="黑体" w:hAnsi="宋体" w:eastAsia="黑体"/>
          <w:sz w:val="18"/>
          <w:szCs w:val="18"/>
          <w:highlight w:val="none"/>
        </w:rPr>
        <w:t>您的投资风险承受能力评估结果自评估日起有效期为1年。您可通过天津银行营业网点或电子渠道进行风险承受能力持续评估，如影响您的风险承受能力的因素发生变化，请及时重新完成风险承受能力评估。</w:t>
      </w:r>
    </w:p>
    <w:tbl>
      <w:tblPr>
        <w:tblStyle w:val="12"/>
        <w:tblpPr w:leftFromText="180" w:rightFromText="180" w:vertAnchor="text" w:horzAnchor="margin" w:tblpXSpec="center" w:tblpY="48"/>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7"/>
        <w:gridCol w:w="1547"/>
        <w:gridCol w:w="1548"/>
        <w:gridCol w:w="1548"/>
        <w:gridCol w:w="1548"/>
        <w:gridCol w:w="1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l2br w:val="single" w:color="auto" w:sz="4" w:space="0"/>
            </w:tcBorders>
            <w:vAlign w:val="center"/>
          </w:tcPr>
          <w:p>
            <w:pPr>
              <w:adjustRightInd w:val="0"/>
              <w:snapToGrid w:val="0"/>
              <w:jc w:val="right"/>
              <w:rPr>
                <w:rFonts w:ascii="黑体" w:hAnsi="宋体" w:eastAsia="黑体"/>
                <w:kern w:val="0"/>
                <w:sz w:val="13"/>
                <w:szCs w:val="13"/>
                <w:highlight w:val="none"/>
              </w:rPr>
            </w:pPr>
            <w:r>
              <w:rPr>
                <w:rFonts w:hint="eastAsia" w:ascii="黑体" w:hAnsi="宋体" w:eastAsia="黑体"/>
                <w:kern w:val="0"/>
                <w:sz w:val="13"/>
                <w:szCs w:val="13"/>
                <w:highlight w:val="none"/>
              </w:rPr>
              <w:t>产品风险情况</w:t>
            </w:r>
          </w:p>
          <w:p>
            <w:pPr>
              <w:adjustRightInd w:val="0"/>
              <w:snapToGrid w:val="0"/>
              <w:rPr>
                <w:rFonts w:ascii="黑体" w:hAnsi="宋体" w:eastAsia="黑体"/>
                <w:kern w:val="0"/>
                <w:sz w:val="13"/>
                <w:szCs w:val="13"/>
                <w:highlight w:val="none"/>
              </w:rPr>
            </w:pPr>
            <w:r>
              <w:rPr>
                <w:rFonts w:hint="eastAsia" w:ascii="黑体" w:hAnsi="宋体" w:eastAsia="黑体"/>
                <w:kern w:val="0"/>
                <w:sz w:val="13"/>
                <w:szCs w:val="13"/>
                <w:highlight w:val="none"/>
              </w:rPr>
              <w:t>客户</w:t>
            </w:r>
          </w:p>
          <w:p>
            <w:pPr>
              <w:adjustRightInd w:val="0"/>
              <w:snapToGrid w:val="0"/>
              <w:rPr>
                <w:rFonts w:ascii="黑体" w:hAnsi="宋体" w:eastAsia="黑体"/>
                <w:kern w:val="0"/>
                <w:sz w:val="13"/>
                <w:szCs w:val="13"/>
                <w:highlight w:val="none"/>
              </w:rPr>
            </w:pPr>
            <w:r>
              <w:rPr>
                <w:rFonts w:hint="eastAsia" w:ascii="黑体" w:hAnsi="宋体" w:eastAsia="黑体"/>
                <w:kern w:val="0"/>
                <w:sz w:val="13"/>
                <w:szCs w:val="13"/>
                <w:highlight w:val="none"/>
              </w:rPr>
              <w:t>风险类型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中等风险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中高风险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高风险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激进型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进取型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稳健型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谨慎型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保守型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bl>
    <w:p>
      <w:pPr>
        <w:adjustRightInd w:val="0"/>
        <w:snapToGrid w:val="0"/>
        <w:ind w:firstLine="360" w:firstLineChars="200"/>
        <w:rPr>
          <w:rFonts w:ascii="黑体" w:hAnsi="宋体" w:eastAsia="黑体"/>
          <w:sz w:val="18"/>
          <w:szCs w:val="18"/>
          <w:highlight w:val="none"/>
        </w:rPr>
      </w:pP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（一）低风险（R1）：理财产品整体风险低，投资风格保守。本金和收益受风险因素影响很小。</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（二）中低风险（R2）：理财产品整体风险较低，投资风格谨慎。本金和收益受风险因素影响较小。</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（三）中等风险（R3）：理财产品整体风险适中，投资风格稳健。风险因素可能对本金和收益产生一定影响。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（四）中高风险（R4）：理财产品整体风险程度较高，投资风格积极。风险因素可能对本金和收益产生较大影响。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（五）高风险（R5）：理财产品整体风险程度高，投资风格激进。风险因素可能对本金造成重大影响。</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三、信息披露的方式、渠道和频率。</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产品相关信息披露的渠道，包括但不限于天津银行官网、电子渠道、营业网点和代销机构等。具体信息披露的方式、渠道和频率，以相应理财产品说明书的约定为准。相关信息在发布或发出之日视为通知送达，请您及时查询。</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四、因金融</w:t>
      </w:r>
      <w:r>
        <w:rPr>
          <w:rFonts w:ascii="黑体" w:hAnsi="宋体" w:eastAsia="黑体"/>
          <w:b/>
          <w:sz w:val="18"/>
          <w:szCs w:val="18"/>
          <w:highlight w:val="none"/>
        </w:rPr>
        <w:t>产品或者服务</w:t>
      </w:r>
      <w:r>
        <w:rPr>
          <w:rFonts w:hint="eastAsia" w:ascii="黑体" w:hAnsi="宋体" w:eastAsia="黑体"/>
          <w:b/>
          <w:sz w:val="18"/>
          <w:szCs w:val="18"/>
          <w:highlight w:val="none"/>
        </w:rPr>
        <w:t>产生</w:t>
      </w:r>
      <w:r>
        <w:rPr>
          <w:rFonts w:ascii="黑体" w:hAnsi="宋体" w:eastAsia="黑体"/>
          <w:b/>
          <w:sz w:val="18"/>
          <w:szCs w:val="18"/>
          <w:highlight w:val="none"/>
        </w:rPr>
        <w:t>纠纷的处理</w:t>
      </w:r>
      <w:r>
        <w:rPr>
          <w:rFonts w:hint="eastAsia" w:ascii="黑体" w:hAnsi="宋体" w:eastAsia="黑体"/>
          <w:b/>
          <w:sz w:val="18"/>
          <w:szCs w:val="18"/>
          <w:highlight w:val="none"/>
        </w:rPr>
        <w:t>及</w:t>
      </w:r>
      <w:r>
        <w:rPr>
          <w:rFonts w:ascii="黑体" w:hAnsi="宋体" w:eastAsia="黑体"/>
          <w:b/>
          <w:sz w:val="18"/>
          <w:szCs w:val="18"/>
          <w:highlight w:val="none"/>
        </w:rPr>
        <w:t>投诉途径</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客户可以到天津银行营业网点或通过拨打本行客户服务中心电话等方式对本行所提供的服务提出意见或建议。</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五、天津银行联络方式及其他需要向客户说明的内容</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网址：www.bankoftianjin.com</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24小时客服电话：</w:t>
      </w:r>
      <w:r>
        <w:rPr>
          <w:rFonts w:ascii="黑体" w:hAnsi="宋体" w:eastAsia="黑体"/>
          <w:sz w:val="18"/>
          <w:szCs w:val="18"/>
          <w:highlight w:val="none"/>
        </w:rPr>
        <w:t>956056</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注：销售文本均一式两联，由银行与客户分别保管。</w:t>
      </w:r>
    </w:p>
    <w:p>
      <w:pPr>
        <w:jc w:val="left"/>
        <w:rPr>
          <w:rFonts w:ascii="黑体" w:hAnsi="黑体" w:eastAsia="黑体"/>
          <w:b/>
          <w:szCs w:val="21"/>
          <w:highlight w:val="none"/>
        </w:rPr>
      </w:pPr>
    </w:p>
    <w:p>
      <w:pPr>
        <w:adjustRightInd w:val="0"/>
        <w:snapToGrid w:val="0"/>
        <w:spacing w:line="170" w:lineRule="exact"/>
        <w:ind w:firstLine="301" w:firstLineChars="200"/>
        <w:rPr>
          <w:rFonts w:hint="eastAsia" w:ascii="黑体" w:hAnsi="宋体" w:eastAsia="黑体"/>
          <w:b/>
          <w:sz w:val="15"/>
          <w:szCs w:val="15"/>
          <w:highlight w:val="none"/>
          <w:lang w:eastAsia="zh-CN"/>
        </w:rPr>
        <w:sectPr>
          <w:headerReference r:id="rId5" w:type="default"/>
          <w:footerReference r:id="rId6" w:type="default"/>
          <w:pgSz w:w="11906" w:h="16838"/>
          <w:pgMar w:top="624" w:right="624" w:bottom="624" w:left="624" w:header="510" w:footer="397" w:gutter="0"/>
          <w:cols w:space="720" w:num="1"/>
          <w:docGrid w:type="lines" w:linePitch="312" w:charSpace="0"/>
        </w:sectPr>
      </w:pPr>
    </w:p>
    <w:p>
      <w:pPr>
        <w:ind w:left="-178" w:leftChars="-85" w:right="-120" w:rightChars="-57"/>
        <w:jc w:val="center"/>
        <w:rPr>
          <w:rFonts w:hint="eastAsia" w:ascii="仿宋" w:hAnsi="仿宋" w:eastAsia="仿宋"/>
          <w:b/>
          <w:kern w:val="0"/>
          <w:sz w:val="32"/>
          <w:szCs w:val="32"/>
          <w:highlight w:val="none"/>
          <w:lang w:val="en-US" w:eastAsia="zh-CN"/>
        </w:rPr>
      </w:pPr>
      <w:r>
        <w:rPr>
          <w:rFonts w:hint="eastAsia" w:ascii="仿宋" w:hAnsi="仿宋" w:eastAsia="仿宋"/>
          <w:b/>
          <w:kern w:val="0"/>
          <w:sz w:val="32"/>
          <w:szCs w:val="32"/>
          <w:highlight w:val="none"/>
          <w:lang w:val="en-US" w:eastAsia="zh-CN"/>
        </w:rPr>
        <w:t>2026年涵屿财富90期封闭式净值型理财产品说明书</w:t>
      </w:r>
    </w:p>
    <w:p>
      <w:pPr>
        <w:ind w:left="-178" w:leftChars="-85" w:right="-120" w:rightChars="-57"/>
        <w:jc w:val="center"/>
        <w:rPr>
          <w:rFonts w:hint="eastAsia" w:ascii="仿宋" w:hAnsi="仿宋" w:eastAsia="仿宋"/>
          <w:b/>
          <w:sz w:val="24"/>
          <w:highlight w:val="none"/>
        </w:rPr>
      </w:pPr>
      <w:r>
        <w:rPr>
          <w:rFonts w:hint="eastAsia" w:ascii="仿宋" w:hAnsi="仿宋" w:eastAsia="仿宋"/>
          <w:b/>
          <w:sz w:val="24"/>
          <w:highlight w:val="none"/>
        </w:rPr>
        <w:t>理财非存款 产品有风险 投资须谨慎</w:t>
      </w:r>
    </w:p>
    <w:tbl>
      <w:tblPr>
        <w:tblStyle w:val="11"/>
        <w:tblW w:w="104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1599"/>
        <w:gridCol w:w="198"/>
        <w:gridCol w:w="164"/>
        <w:gridCol w:w="1785"/>
        <w:gridCol w:w="85"/>
        <w:gridCol w:w="1358"/>
        <w:gridCol w:w="3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sz w:val="24"/>
                <w:szCs w:val="24"/>
                <w:highlight w:val="none"/>
              </w:rPr>
            </w:pPr>
            <w:r>
              <w:rPr>
                <w:rFonts w:hint="eastAsia" w:ascii="仿宋_GB2312" w:hAnsi="仿宋_GB2312" w:eastAsia="仿宋_GB2312" w:cs="仿宋_GB2312"/>
                <w:b/>
                <w:kern w:val="0"/>
                <w:sz w:val="24"/>
                <w:szCs w:val="24"/>
                <w:highlight w:val="none"/>
              </w:rPr>
              <w:t>产品名称</w:t>
            </w:r>
          </w:p>
        </w:tc>
        <w:tc>
          <w:tcPr>
            <w:tcW w:w="1961" w:type="dxa"/>
            <w:gridSpan w:val="3"/>
            <w:vAlign w:val="center"/>
          </w:tcPr>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ascii="仿宋" w:hAnsi="仿宋" w:eastAsia="仿宋"/>
                <w:color w:val="000000"/>
                <w:kern w:val="0"/>
                <w:szCs w:val="21"/>
                <w:highlight w:val="none"/>
                <w:lang w:val="en-US" w:eastAsia="zh-CN"/>
              </w:rPr>
              <w:t>2026涵屿财富90期-D</w:t>
            </w:r>
          </w:p>
        </w:tc>
        <w:tc>
          <w:tcPr>
            <w:tcW w:w="1785"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产品币种</w:t>
            </w:r>
          </w:p>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类型及流动性</w:t>
            </w:r>
          </w:p>
        </w:tc>
        <w:tc>
          <w:tcPr>
            <w:tcW w:w="4711" w:type="dxa"/>
            <w:gridSpan w:val="3"/>
            <w:vAlign w:val="center"/>
          </w:tcPr>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ascii="仿宋" w:hAnsi="仿宋" w:eastAsia="仿宋"/>
                <w:kern w:val="0"/>
                <w:szCs w:val="21"/>
                <w:highlight w:val="none"/>
              </w:rPr>
              <w:t>人民币</w:t>
            </w:r>
          </w:p>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kern w:val="0"/>
                <w:szCs w:val="21"/>
                <w:highlight w:val="none"/>
                <w:u w:val="wave"/>
              </w:rPr>
            </w:pPr>
            <w:r>
              <w:rPr>
                <w:rFonts w:hint="eastAsia" w:ascii="仿宋" w:hAnsi="仿宋" w:eastAsia="仿宋"/>
                <w:kern w:val="0"/>
                <w:szCs w:val="21"/>
                <w:highlight w:val="none"/>
              </w:rPr>
              <w:t>固定收益类-非保本浮动收益封闭式净值型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4"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产品编号</w:t>
            </w:r>
          </w:p>
        </w:tc>
        <w:tc>
          <w:tcPr>
            <w:tcW w:w="1961" w:type="dxa"/>
            <w:gridSpan w:val="3"/>
            <w:vAlign w:val="center"/>
          </w:tcPr>
          <w:p>
            <w:pPr>
              <w:keepNext w:val="0"/>
              <w:keepLines w:val="0"/>
              <w:pageBreakBefore w:val="0"/>
              <w:kinsoku/>
              <w:wordWrap/>
              <w:overflowPunct/>
              <w:topLinePunct w:val="0"/>
              <w:bidi w:val="0"/>
              <w:snapToGrid/>
              <w:spacing w:line="320" w:lineRule="exact"/>
              <w:jc w:val="center"/>
              <w:textAlignment w:val="auto"/>
              <w:outlineLvl w:val="9"/>
              <w:rPr>
                <w:rFonts w:hint="default" w:ascii="仿宋" w:hAnsi="仿宋" w:eastAsia="仿宋"/>
                <w:color w:val="000000"/>
                <w:kern w:val="0"/>
                <w:szCs w:val="21"/>
                <w:highlight w:val="none"/>
                <w:lang w:val="en-US"/>
              </w:rPr>
            </w:pPr>
            <w:r>
              <w:rPr>
                <w:rFonts w:hint="eastAsia" w:ascii="仿宋" w:hAnsi="仿宋" w:eastAsia="仿宋"/>
                <w:color w:val="000000"/>
                <w:kern w:val="0"/>
                <w:szCs w:val="21"/>
                <w:highlight w:val="none"/>
                <w:lang w:val="en-US" w:eastAsia="zh-CN"/>
              </w:rPr>
              <w:t>2026HY090D</w:t>
            </w:r>
          </w:p>
        </w:tc>
        <w:tc>
          <w:tcPr>
            <w:tcW w:w="1785"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产品登记编码</w:t>
            </w:r>
          </w:p>
        </w:tc>
        <w:tc>
          <w:tcPr>
            <w:tcW w:w="4711" w:type="dxa"/>
            <w:gridSpan w:val="3"/>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 w:hAnsi="仿宋" w:eastAsia="仿宋"/>
                <w:color w:val="000000"/>
                <w:kern w:val="0"/>
                <w:szCs w:val="21"/>
                <w:highlight w:val="none"/>
                <w:lang w:val="en-US" w:eastAsia="zh-CN"/>
              </w:rPr>
            </w:pPr>
            <w:r>
              <w:rPr>
                <w:rFonts w:hint="eastAsia" w:ascii="仿宋" w:hAnsi="仿宋" w:eastAsia="仿宋"/>
                <w:color w:val="000000"/>
                <w:kern w:val="0"/>
                <w:szCs w:val="21"/>
                <w:highlight w:val="none"/>
                <w:lang w:val="en-US" w:eastAsia="zh-CN"/>
              </w:rPr>
              <w:t>C1080326000204</w:t>
            </w:r>
          </w:p>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eastAsia="仿宋_GB2312"/>
                <w:szCs w:val="16"/>
                <w:highlight w:val="none"/>
              </w:rPr>
              <w:t>可登陆中国理财网</w:t>
            </w:r>
            <w:r>
              <w:rPr>
                <w:rFonts w:eastAsia="仿宋_GB2312"/>
                <w:szCs w:val="16"/>
                <w:highlight w:val="none"/>
              </w:rPr>
              <w:t>www.chinawealth.com.cn</w:t>
            </w:r>
            <w:r>
              <w:rPr>
                <w:rFonts w:hint="eastAsia" w:eastAsia="仿宋_GB2312"/>
                <w:szCs w:val="16"/>
                <w:highlight w:val="none"/>
              </w:rPr>
              <w:t>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募集方式</w:t>
            </w:r>
          </w:p>
        </w:tc>
        <w:tc>
          <w:tcPr>
            <w:tcW w:w="8457" w:type="dxa"/>
            <w:gridSpan w:val="7"/>
            <w:vAlign w:val="center"/>
          </w:tcPr>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bCs/>
                <w:color w:val="000000"/>
                <w:szCs w:val="21"/>
                <w:highlight w:val="none"/>
              </w:rPr>
            </w:pPr>
            <w:r>
              <w:rPr>
                <w:rFonts w:hint="eastAsia" w:ascii="仿宋" w:hAnsi="仿宋" w:eastAsia="仿宋"/>
                <w:bCs/>
                <w:color w:val="000000"/>
                <w:szCs w:val="21"/>
                <w:highlight w:val="none"/>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4"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产品风险等级</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及适合客户</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kern w:val="0"/>
                <w:sz w:val="21"/>
                <w:szCs w:val="21"/>
                <w:highlight w:val="none"/>
              </w:rPr>
              <w:t>本产品内部评价为</w:t>
            </w:r>
            <w:r>
              <w:rPr>
                <w:rFonts w:hint="eastAsia" w:ascii="仿宋" w:hAnsi="仿宋" w:eastAsia="仿宋"/>
                <w:color w:val="000000"/>
                <w:kern w:val="0"/>
                <w:szCs w:val="21"/>
                <w:highlight w:val="none"/>
                <w:lang w:val="en-US" w:eastAsia="zh-CN"/>
              </w:rPr>
              <w:t>R2</w:t>
            </w:r>
            <w:r>
              <w:rPr>
                <w:rFonts w:hint="eastAsia" w:ascii="仿宋_GB2312" w:hAnsi="仿宋_GB2312" w:eastAsia="仿宋_GB2312" w:cs="仿宋_GB2312"/>
                <w:kern w:val="0"/>
                <w:sz w:val="21"/>
                <w:szCs w:val="21"/>
                <w:highlight w:val="none"/>
              </w:rPr>
              <w:t>(</w:t>
            </w:r>
            <w:r>
              <w:rPr>
                <w:rFonts w:hint="eastAsia" w:ascii="仿宋_GB2312" w:hAnsi="仿宋_GB2312" w:eastAsia="仿宋_GB2312" w:cs="仿宋_GB2312"/>
                <w:kern w:val="0"/>
                <w:sz w:val="21"/>
                <w:szCs w:val="21"/>
                <w:highlight w:val="none"/>
                <w:lang w:val="en-US" w:eastAsia="zh-CN"/>
              </w:rPr>
              <w:t>中低</w:t>
            </w:r>
            <w:r>
              <w:rPr>
                <w:rFonts w:hint="eastAsia" w:ascii="仿宋_GB2312" w:hAnsi="仿宋_GB2312" w:eastAsia="仿宋_GB2312" w:cs="仿宋_GB2312"/>
                <w:kern w:val="0"/>
                <w:sz w:val="21"/>
                <w:szCs w:val="21"/>
                <w:highlight w:val="none"/>
              </w:rPr>
              <w:t>风险)</w:t>
            </w:r>
            <w:r>
              <w:rPr>
                <w:rFonts w:hint="eastAsia" w:ascii="仿宋_GB2312" w:hAnsi="仿宋_GB2312" w:eastAsia="仿宋_GB2312" w:cs="仿宋_GB2312"/>
                <w:kern w:val="0"/>
                <w:sz w:val="21"/>
                <w:szCs w:val="21"/>
                <w:highlight w:val="none"/>
                <w:lang w:val="en-US" w:eastAsia="zh-CN"/>
              </w:rPr>
              <w:t>级别</w:t>
            </w:r>
            <w:r>
              <w:rPr>
                <w:rFonts w:hint="eastAsia" w:ascii="仿宋_GB2312" w:hAnsi="仿宋_GB2312" w:eastAsia="仿宋_GB2312" w:cs="仿宋_GB2312"/>
                <w:kern w:val="0"/>
                <w:sz w:val="21"/>
                <w:szCs w:val="21"/>
                <w:highlight w:val="none"/>
              </w:rPr>
              <w:t>，适合谨慎型、稳健型、进取型和激进型客户认购。</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
                <w:kern w:val="0"/>
                <w:sz w:val="21"/>
                <w:szCs w:val="21"/>
                <w:highlight w:val="none"/>
              </w:rPr>
              <w:t>本产品通过代理销售机构渠道销售的，理财产品评级应当以代理销售机构最终披露的评级结果为准。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产品规模及认购起点</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初始计划发行量</w:t>
            </w:r>
            <w:r>
              <w:rPr>
                <w:rFonts w:hint="eastAsia" w:ascii="仿宋" w:hAnsi="仿宋" w:eastAsia="仿宋"/>
                <w:color w:val="000000"/>
                <w:kern w:val="0"/>
                <w:szCs w:val="21"/>
                <w:highlight w:val="none"/>
                <w:lang w:val="en-US" w:eastAsia="zh-CN"/>
              </w:rPr>
              <w:t>1亿</w:t>
            </w:r>
            <w:r>
              <w:rPr>
                <w:rFonts w:hint="eastAsia" w:ascii="仿宋_GB2312" w:hAnsi="仿宋_GB2312" w:eastAsia="仿宋_GB2312" w:cs="仿宋_GB2312"/>
                <w:bCs/>
                <w:sz w:val="21"/>
                <w:szCs w:val="21"/>
                <w:highlight w:val="none"/>
              </w:rPr>
              <w:t>，天津银行有权根据实际情况进行调整，本产品最终发行规模以实际发行金额为准。</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首次认购起点金额</w:t>
            </w:r>
            <w:r>
              <w:rPr>
                <w:rFonts w:hint="eastAsia" w:ascii="仿宋" w:hAnsi="仿宋" w:eastAsia="仿宋"/>
                <w:color w:val="000000"/>
                <w:kern w:val="0"/>
                <w:szCs w:val="21"/>
                <w:highlight w:val="none"/>
                <w:lang w:val="en-US" w:eastAsia="zh-CN"/>
              </w:rPr>
              <w:t>1万</w:t>
            </w:r>
            <w:r>
              <w:rPr>
                <w:rFonts w:hint="eastAsia" w:ascii="仿宋_GB2312" w:hAnsi="仿宋_GB2312" w:eastAsia="仿宋_GB2312" w:cs="仿宋_GB2312"/>
                <w:bCs/>
                <w:sz w:val="21"/>
                <w:szCs w:val="21"/>
                <w:highlight w:val="none"/>
              </w:rPr>
              <w:t>元，高于起点金额以</w:t>
            </w:r>
            <w:r>
              <w:rPr>
                <w:rFonts w:hint="eastAsia" w:ascii="仿宋_GB2312" w:hAnsi="仿宋_GB2312" w:eastAsia="仿宋_GB2312" w:cs="仿宋_GB2312"/>
                <w:bCs/>
                <w:sz w:val="21"/>
                <w:szCs w:val="21"/>
                <w:highlight w:val="none"/>
                <w:lang w:val="en-US" w:eastAsia="zh-CN"/>
              </w:rPr>
              <w:t>1000</w:t>
            </w:r>
            <w:r>
              <w:rPr>
                <w:rFonts w:hint="eastAsia" w:ascii="仿宋_GB2312" w:hAnsi="仿宋_GB2312" w:eastAsia="仿宋_GB2312" w:cs="仿宋_GB2312"/>
                <w:bCs/>
                <w:sz w:val="21"/>
                <w:szCs w:val="21"/>
                <w:highlight w:val="none"/>
              </w:rPr>
              <w:t>元整数倍递增；追加投资时，追加申购金额按照</w:t>
            </w:r>
            <w:r>
              <w:rPr>
                <w:rFonts w:hint="eastAsia" w:ascii="仿宋_GB2312" w:hAnsi="仿宋_GB2312" w:eastAsia="仿宋_GB2312" w:cs="仿宋_GB2312"/>
                <w:bCs/>
                <w:sz w:val="21"/>
                <w:szCs w:val="21"/>
                <w:highlight w:val="none"/>
                <w:lang w:val="en-US" w:eastAsia="zh-CN"/>
              </w:rPr>
              <w:t>1000</w:t>
            </w:r>
            <w:r>
              <w:rPr>
                <w:rFonts w:hint="eastAsia" w:ascii="仿宋_GB2312" w:hAnsi="仿宋_GB2312" w:eastAsia="仿宋_GB2312" w:cs="仿宋_GB2312"/>
                <w:bCs/>
                <w:sz w:val="21"/>
                <w:szCs w:val="21"/>
                <w:highlight w:val="none"/>
              </w:rPr>
              <w:t>元的整数倍递增。</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产品单一投资者持有份额不得超过产品总份额50%。投资者认购确认后可能导致其持有份额超过产品总份额50%的，天津银行有权拒绝或暂停认购、申购。非因天津银行主观因素导致突破该比例限制的，在单一投资者持有比例降至50%以下之前，天津银行不再接受该投资者对本产品的认购申请。</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Cs/>
                <w:sz w:val="21"/>
                <w:szCs w:val="21"/>
                <w:highlight w:val="none"/>
              </w:rPr>
              <w:t>如果产品募集期结束前认购规模达到</w:t>
            </w:r>
            <w:r>
              <w:rPr>
                <w:rFonts w:hint="eastAsia" w:ascii="仿宋_GB2312" w:hAnsi="仿宋_GB2312" w:eastAsia="仿宋_GB2312" w:cs="仿宋_GB2312"/>
                <w:bCs/>
                <w:sz w:val="21"/>
                <w:szCs w:val="21"/>
                <w:highlight w:val="none"/>
                <w:lang w:val="en-US" w:eastAsia="zh-CN"/>
              </w:rPr>
              <w:t>1亿</w:t>
            </w:r>
            <w:r>
              <w:rPr>
                <w:rFonts w:hint="eastAsia" w:ascii="仿宋_GB2312" w:hAnsi="仿宋_GB2312" w:eastAsia="仿宋_GB2312" w:cs="仿宋_GB2312"/>
                <w:bCs/>
                <w:sz w:val="21"/>
                <w:szCs w:val="21"/>
                <w:highlight w:val="none"/>
              </w:rPr>
              <w:t>,天津银行有权提前结束认购并调整相关日期,天津银行将通过官方网站（www.bankoftianjin.com，下同）或相关营业网点发布产品提前成立信息，产品最终规模以天津银行实际募集规模为准。天津银行有权但无义务宣布本理财产品不成立，亦有权调整产品规模。天津银行宣布本理财产品不成立的，于原定成立日后2个工作日内通过官方网站或相关营业网点发布产品不成立信息，客户资金将于原定成立日（含）2个工作日内划转至客户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951" w:type="dxa"/>
            <w:vMerge w:val="restart"/>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名词解释</w:t>
            </w:r>
          </w:p>
        </w:tc>
        <w:tc>
          <w:tcPr>
            <w:tcW w:w="3831"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募集期：投资者认购产品的时间段。</w:t>
            </w:r>
          </w:p>
        </w:tc>
        <w:tc>
          <w:tcPr>
            <w:tcW w:w="4626" w:type="dxa"/>
            <w:gridSpan w:val="2"/>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产品成立日：产品开始运作的日期。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到期日：产品终止运作的日期。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产品期限</w:t>
            </w:r>
          </w:p>
        </w:tc>
        <w:tc>
          <w:tcPr>
            <w:tcW w:w="1599" w:type="dxa"/>
            <w:vAlign w:val="center"/>
          </w:tcPr>
          <w:p>
            <w:pPr>
              <w:jc w:val="center"/>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募集期</w:t>
            </w:r>
          </w:p>
        </w:tc>
        <w:tc>
          <w:tcPr>
            <w:tcW w:w="6858" w:type="dxa"/>
            <w:gridSpan w:val="6"/>
            <w:vAlign w:val="center"/>
          </w:tcPr>
          <w:p>
            <w:pPr>
              <w:jc w:val="center"/>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Cs/>
                <w:sz w:val="21"/>
                <w:szCs w:val="21"/>
                <w:highlight w:val="none"/>
                <w:lang w:val="en-US" w:eastAsia="zh-CN"/>
              </w:rPr>
              <w:t>2026年4月1日起至2026年4月7日止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7"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jc w:val="center"/>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产品成立日</w:t>
            </w:r>
          </w:p>
        </w:tc>
        <w:tc>
          <w:tcPr>
            <w:tcW w:w="2232" w:type="dxa"/>
            <w:gridSpan w:val="4"/>
            <w:vAlign w:val="center"/>
          </w:tcPr>
          <w:p>
            <w:pPr>
              <w:jc w:val="left"/>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bCs/>
                <w:sz w:val="21"/>
                <w:szCs w:val="21"/>
                <w:highlight w:val="none"/>
                <w:lang w:val="en-US" w:eastAsia="zh-CN"/>
              </w:rPr>
              <w:t>2026年4月8日</w:t>
            </w:r>
          </w:p>
        </w:tc>
        <w:tc>
          <w:tcPr>
            <w:tcW w:w="1358" w:type="dxa"/>
            <w:vAlign w:val="center"/>
          </w:tcPr>
          <w:p>
            <w:pPr>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产品到期日</w:t>
            </w:r>
          </w:p>
        </w:tc>
        <w:tc>
          <w:tcPr>
            <w:tcW w:w="3268" w:type="dxa"/>
            <w:vAlign w:val="center"/>
          </w:tcPr>
          <w:p>
            <w:pPr>
              <w:ind w:firstLine="420" w:firstLineChars="0"/>
              <w:jc w:val="both"/>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lang w:val="en-US" w:eastAsia="zh-CN"/>
              </w:rPr>
              <w:t>2026年10月15日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3"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jc w:val="center"/>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理财期限</w:t>
            </w:r>
          </w:p>
        </w:tc>
        <w:tc>
          <w:tcPr>
            <w:tcW w:w="6858" w:type="dxa"/>
            <w:gridSpan w:val="6"/>
            <w:vAlign w:val="center"/>
          </w:tcPr>
          <w:p>
            <w:pPr>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Cs/>
                <w:sz w:val="21"/>
                <w:szCs w:val="21"/>
                <w:highlight w:val="none"/>
                <w:lang w:val="en-US" w:eastAsia="zh-CN"/>
              </w:rPr>
              <w:t>190</w:t>
            </w:r>
            <w:r>
              <w:rPr>
                <w:rFonts w:hint="eastAsia" w:ascii="仿宋_GB2312" w:hAnsi="仿宋_GB2312" w:eastAsia="仿宋_GB2312" w:cs="仿宋_GB2312"/>
                <w:szCs w:val="21"/>
                <w:highlight w:val="none"/>
              </w:rPr>
              <w:t>天【理财产品成立日（含）至到期日（不含）期间，产品管理人有权延期或提前终止产品。】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3"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jc w:val="center"/>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工作日</w:t>
            </w:r>
          </w:p>
        </w:tc>
        <w:tc>
          <w:tcPr>
            <w:tcW w:w="6858" w:type="dxa"/>
            <w:gridSpan w:val="6"/>
            <w:vAlign w:val="center"/>
          </w:tcPr>
          <w:p>
            <w:pPr>
              <w:rPr>
                <w:rFonts w:hint="eastAsia" w:ascii="仿宋_GB2312" w:hAnsi="仿宋_GB2312" w:eastAsia="仿宋_GB2312" w:cs="仿宋_GB2312"/>
                <w:sz w:val="21"/>
                <w:szCs w:val="21"/>
                <w:highlight w:val="none"/>
              </w:rPr>
            </w:pPr>
            <w:r>
              <w:rPr>
                <w:rFonts w:hint="eastAsia" w:ascii="仿宋_GB2312" w:hAnsi="仿宋_GB2312" w:eastAsia="仿宋_GB2312" w:cs="仿宋_GB2312"/>
                <w:szCs w:val="21"/>
                <w:highlight w:val="none"/>
              </w:rPr>
              <w:t>证券市场交易日且为银行法定工作日。天津银行有权在特殊情况下调整，并于调整前三个工作日进行公告。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5"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jc w:val="center"/>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清算期</w:t>
            </w:r>
          </w:p>
        </w:tc>
        <w:tc>
          <w:tcPr>
            <w:tcW w:w="6858" w:type="dxa"/>
            <w:gridSpan w:val="6"/>
            <w:vAlign w:val="center"/>
          </w:tcPr>
          <w:p>
            <w:pPr>
              <w:spacing w:line="240" w:lineRule="exact"/>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Cs w:val="21"/>
                <w:highlight w:val="none"/>
              </w:rPr>
              <w:t>产品到期日或提前终止日至理财资金返还到账日之间，最迟不超</w:t>
            </w:r>
            <w:r>
              <w:rPr>
                <w:rFonts w:hint="eastAsia" w:ascii="仿宋_GB2312" w:hAnsi="仿宋_GB2312" w:eastAsia="仿宋_GB2312" w:cs="仿宋_GB2312"/>
                <w:bCs/>
                <w:szCs w:val="21"/>
                <w:highlight w:val="none"/>
                <w:lang w:val="en-US" w:eastAsia="zh-CN"/>
              </w:rPr>
              <w:t>过两</w:t>
            </w:r>
            <w:r>
              <w:rPr>
                <w:rFonts w:hint="eastAsia" w:ascii="仿宋_GB2312" w:hAnsi="仿宋_GB2312" w:eastAsia="仿宋_GB2312" w:cs="仿宋_GB2312"/>
                <w:bCs/>
                <w:szCs w:val="21"/>
                <w:highlight w:val="none"/>
              </w:rPr>
              <w:t>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计息说明</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产品在募集期内按照活期存款利率计、结息，产品在清算期内不计付利息。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产品净值及份额说明</w:t>
            </w:r>
          </w:p>
        </w:tc>
        <w:tc>
          <w:tcPr>
            <w:tcW w:w="8457" w:type="dxa"/>
            <w:gridSpan w:val="7"/>
            <w:vAlign w:val="center"/>
          </w:tcPr>
          <w:p>
            <w:pPr>
              <w:pStyle w:val="23"/>
              <w:keepNext w:val="0"/>
              <w:keepLines w:val="0"/>
              <w:pageBreakBefore w:val="0"/>
              <w:numPr>
                <w:ilvl w:val="0"/>
                <w:numId w:val="1"/>
              </w:numPr>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产品单位净值指每份产品单位的净资产价值，此为扣除期间相关税费后的净值，将四舍五入保留至小数点后第六位。计算公式为：产品单位净值=产品净资产÷产品份额。</w:t>
            </w:r>
          </w:p>
          <w:p>
            <w:pPr>
              <w:pStyle w:val="23"/>
              <w:keepNext w:val="0"/>
              <w:keepLines w:val="0"/>
              <w:pageBreakBefore w:val="0"/>
              <w:numPr>
                <w:ilvl w:val="0"/>
                <w:numId w:val="1"/>
              </w:numPr>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产品将于成立日对募集期内客户认购产品份额进行确认，初始单位净值1元/份。</w:t>
            </w:r>
          </w:p>
          <w:p>
            <w:pPr>
              <w:pStyle w:val="23"/>
              <w:keepNext w:val="0"/>
              <w:keepLines w:val="0"/>
              <w:pageBreakBefore w:val="0"/>
              <w:numPr>
                <w:ilvl w:val="0"/>
                <w:numId w:val="1"/>
              </w:numPr>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认购份额＝认购金额÷1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客户收益</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计算规则</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客户收益=客户认购份额X（产品到期日或提前终止日产品单位净值-期初产品单位净值），即客户收益=客户认购份额X（产品到期日或提前终止日产品单位净值-1）。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投资对象、投资范围及投资团队</w:t>
            </w:r>
          </w:p>
        </w:tc>
        <w:tc>
          <w:tcPr>
            <w:tcW w:w="8457" w:type="dxa"/>
            <w:gridSpan w:val="7"/>
            <w:vAlign w:val="center"/>
          </w:tcPr>
          <w:p>
            <w:pPr>
              <w:pStyle w:val="23"/>
              <w:keepNext w:val="0"/>
              <w:keepLines w:val="0"/>
              <w:pageBreakBefore w:val="0"/>
              <w:numPr>
                <w:ilvl w:val="0"/>
                <w:numId w:val="2"/>
              </w:numPr>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产品主要直接或间接投资于固定收益类资产，包括但不限于各类债券、存款、存单、货币市场工具、资产支持证券、非标准化债权类资产等；权益类资产，包括但不限于股票、公募基金以及其他符合监管要求的权益类资产；符合监管要求的其他资产。</w:t>
            </w:r>
            <w:r>
              <w:rPr>
                <w:rFonts w:hint="eastAsia" w:ascii="仿宋_GB2312" w:hAnsi="仿宋_GB2312" w:eastAsia="仿宋_GB2312" w:cs="仿宋_GB2312"/>
                <w:b/>
                <w:bCs/>
                <w:sz w:val="21"/>
                <w:szCs w:val="21"/>
                <w:highlight w:val="none"/>
              </w:rPr>
              <w:t>产品面临投资债券利率、汇率变化等市场风险以及债券价格波动风险。</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2.投资比例：固定收益类资产、货币市场工具以及以前述资产为投资标的的金融产品占比80%-100%，权益类及其他资产占比0%-20%。本产品杠杆水平上限为200%。</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 xml:space="preserve">3.投资团队为： </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本理财产品的管理人为天津银行。天津银行接受客户的委托和授权，按照本产品说明书约定的投资方向和方式进行投资和资产管理，代表客户签订投资和资产管理过程中涉及到的协议、合同等文本。</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投资人在此授权并同意天津银行享有以下权利：</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以理财产品投资管理人的名义，依照法律法规相关规定以及为理财产品投资人的利益，对被投资的各类投资对象代为行使出资人/投资人权利以及其他相关权利。</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理财产品投资管理人的名义，依照法律法规相关规定以及代表理财产品投资人的利益行使代为追索的权利（包括但不限于提起诉讼/仲裁、申请保全/执行的权利）或者实施其他法律行为，产生的合理费用由理财产品承担。</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rPr>
              <w:t>天津银行有权根据相关法律、国家政策规定以及市场情况，依照本说明书的约定予以公告后，在不改变本产品类型的情况下，对本产品的投资范围、投资品种和投资比例进行调整。若超出投资比例投资于低风险资产，则无需征得投资人同意。除此之外，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业绩比较基准</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color w:val="000000"/>
                <w:sz w:val="21"/>
                <w:szCs w:val="21"/>
                <w:highlight w:val="none"/>
              </w:rPr>
            </w:pPr>
            <w:r>
              <w:rPr>
                <w:rFonts w:hint="eastAsia" w:ascii="仿宋_GB2312" w:hAnsi="仿宋_GB2312" w:eastAsia="仿宋_GB2312" w:cs="仿宋_GB2312"/>
                <w:b/>
                <w:bCs/>
                <w:color w:val="000000"/>
                <w:sz w:val="21"/>
                <w:szCs w:val="21"/>
                <w:highlight w:val="none"/>
              </w:rPr>
              <w:t>1.本产品为净值型产品，业绩表现将随市场波动，具有不确定性。</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color w:val="000000"/>
                <w:sz w:val="21"/>
                <w:szCs w:val="21"/>
                <w:highlight w:val="none"/>
              </w:rPr>
            </w:pPr>
            <w:r>
              <w:rPr>
                <w:rFonts w:hint="eastAsia" w:ascii="仿宋_GB2312" w:hAnsi="仿宋_GB2312" w:eastAsia="仿宋_GB2312" w:cs="仿宋_GB2312"/>
                <w:bCs/>
                <w:color w:val="000000"/>
                <w:sz w:val="21"/>
                <w:szCs w:val="21"/>
                <w:highlight w:val="none"/>
              </w:rPr>
              <w:t>2.本产品业绩比较基准为</w:t>
            </w:r>
            <w:r>
              <w:rPr>
                <w:rFonts w:hint="eastAsia" w:ascii="仿宋_GB2312" w:hAnsi="仿宋_GB2312" w:eastAsia="仿宋_GB2312" w:cs="仿宋_GB2312"/>
                <w:bCs/>
                <w:sz w:val="21"/>
                <w:szCs w:val="21"/>
                <w:highlight w:val="none"/>
                <w:lang w:val="en-US" w:eastAsia="zh-CN"/>
              </w:rPr>
              <w:t>2.10%</w:t>
            </w:r>
            <w:r>
              <w:rPr>
                <w:rFonts w:hint="eastAsia" w:ascii="仿宋_GB2312" w:hAnsi="仿宋_GB2312" w:eastAsia="仿宋_GB2312" w:cs="仿宋_GB2312"/>
                <w:b/>
                <w:bCs w:val="0"/>
                <w:color w:val="000000"/>
                <w:sz w:val="21"/>
                <w:szCs w:val="21"/>
                <w:highlight w:val="none"/>
              </w:rPr>
              <w:t>(年化)</w:t>
            </w:r>
            <w:r>
              <w:rPr>
                <w:rFonts w:hint="eastAsia" w:ascii="仿宋_GB2312" w:hAnsi="仿宋_GB2312" w:eastAsia="仿宋_GB2312" w:cs="仿宋_GB2312"/>
                <w:bCs/>
                <w:color w:val="000000"/>
                <w:sz w:val="21"/>
                <w:szCs w:val="21"/>
                <w:highlight w:val="none"/>
              </w:rPr>
              <w:t>。</w:t>
            </w:r>
            <w:r>
              <w:rPr>
                <w:rFonts w:hint="eastAsia" w:ascii="仿宋_GB2312" w:hAnsi="仿宋_GB2312" w:eastAsia="仿宋_GB2312" w:cs="仿宋_GB2312"/>
                <w:b/>
                <w:bCs/>
                <w:color w:val="000000"/>
                <w:sz w:val="21"/>
                <w:szCs w:val="21"/>
                <w:highlight w:val="none"/>
              </w:rPr>
              <w:t>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本产品实际收益率将可能低于业绩比较基准，甚至有可能无法取得任何收益。理财产品过往业绩不代表其未来表现，不等于理财产品实际收益，投资须谨慎。</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color w:val="000000"/>
                <w:sz w:val="21"/>
                <w:szCs w:val="21"/>
                <w:highlight w:val="none"/>
              </w:rPr>
              <w:t>3.天津银行作为产品管理人，</w:t>
            </w:r>
            <w:r>
              <w:rPr>
                <w:rFonts w:hint="eastAsia" w:ascii="仿宋_GB2312" w:hAnsi="仿宋_GB2312" w:eastAsia="仿宋_GB2312" w:cs="仿宋_GB2312"/>
                <w:b/>
                <w:bCs/>
                <w:color w:val="000000"/>
                <w:sz w:val="21"/>
                <w:szCs w:val="21"/>
                <w:highlight w:val="none"/>
              </w:rPr>
              <w:t>将根据市场利率变动及资金运作情况不定期调整业绩比较基准，并通过天津银行营业网点或官方网站告知投资人。</w:t>
            </w:r>
            <w:r>
              <w:rPr>
                <w:rFonts w:hint="eastAsia" w:ascii="仿宋_GB2312" w:hAnsi="仿宋_GB2312" w:eastAsia="仿宋_GB2312" w:cs="仿宋_GB2312"/>
                <w:bCs/>
                <w:color w:val="000000"/>
                <w:sz w:val="21"/>
                <w:szCs w:val="21"/>
                <w:highlight w:val="none"/>
              </w:rPr>
              <w:t>如今后法律法规发生变化，或者有其他代表性更强、更科学客观的业绩比较基准适用于本产品时，天津银行有权变更业绩比较基准并及时公告。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相关税费</w:t>
            </w:r>
          </w:p>
        </w:tc>
        <w:tc>
          <w:tcPr>
            <w:tcW w:w="8457" w:type="dxa"/>
            <w:gridSpan w:val="7"/>
            <w:vAlign w:val="center"/>
          </w:tcPr>
          <w:p>
            <w:pPr>
              <w:pStyle w:val="23"/>
              <w:keepNext w:val="0"/>
              <w:keepLines w:val="0"/>
              <w:pageBreakBefore w:val="0"/>
              <w:numPr>
                <w:ilvl w:val="255"/>
                <w:numId w:val="0"/>
              </w:numPr>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1.期间费用：销售手续费年化费率：</w:t>
            </w:r>
            <w:r>
              <w:rPr>
                <w:rFonts w:hint="eastAsia" w:ascii="仿宋_GB2312" w:hAnsi="仿宋_GB2312" w:eastAsia="仿宋_GB2312" w:cs="仿宋_GB2312"/>
                <w:bCs/>
                <w:sz w:val="21"/>
                <w:szCs w:val="21"/>
                <w:highlight w:val="none"/>
                <w:lang w:val="en-US" w:eastAsia="zh-CN"/>
              </w:rPr>
              <w:t>0.150</w:t>
            </w:r>
            <w:r>
              <w:rPr>
                <w:rFonts w:hint="eastAsia" w:ascii="仿宋_GB2312" w:hAnsi="仿宋_GB2312" w:eastAsia="仿宋_GB2312" w:cs="仿宋_GB2312"/>
                <w:bCs/>
                <w:sz w:val="21"/>
                <w:szCs w:val="21"/>
                <w:highlight w:val="none"/>
              </w:rPr>
              <w:t>%，投资管理费率：</w:t>
            </w:r>
            <w:r>
              <w:rPr>
                <w:rFonts w:hint="eastAsia" w:ascii="仿宋_GB2312" w:hAnsi="仿宋_GB2312" w:eastAsia="仿宋_GB2312" w:cs="仿宋_GB2312"/>
                <w:bCs/>
                <w:sz w:val="21"/>
                <w:szCs w:val="21"/>
                <w:highlight w:val="none"/>
                <w:lang w:val="en-US" w:eastAsia="zh-CN"/>
              </w:rPr>
              <w:t>0.020</w:t>
            </w:r>
            <w:r>
              <w:rPr>
                <w:rFonts w:hint="eastAsia" w:ascii="仿宋_GB2312" w:hAnsi="仿宋_GB2312" w:eastAsia="仿宋_GB2312" w:cs="仿宋_GB2312"/>
                <w:bCs/>
                <w:sz w:val="21"/>
                <w:szCs w:val="21"/>
                <w:highlight w:val="none"/>
              </w:rPr>
              <w:t>%，托管费年化费率：</w:t>
            </w:r>
            <w:r>
              <w:rPr>
                <w:rFonts w:hint="eastAsia" w:ascii="仿宋_GB2312" w:hAnsi="仿宋_GB2312" w:eastAsia="仿宋_GB2312" w:cs="仿宋_GB2312"/>
                <w:bCs/>
                <w:sz w:val="21"/>
                <w:szCs w:val="21"/>
                <w:highlight w:val="none"/>
                <w:lang w:val="en-US" w:eastAsia="zh-CN"/>
              </w:rPr>
              <w:t>0.004</w:t>
            </w:r>
            <w:r>
              <w:rPr>
                <w:rFonts w:hint="eastAsia" w:ascii="仿宋_GB2312" w:hAnsi="仿宋_GB2312" w:eastAsia="仿宋_GB2312" w:cs="仿宋_GB2312"/>
                <w:bCs/>
                <w:sz w:val="21"/>
                <w:szCs w:val="21"/>
                <w:highlight w:val="none"/>
              </w:rPr>
              <w:t>%，产品运营管理费：</w:t>
            </w:r>
            <w:r>
              <w:rPr>
                <w:rFonts w:hint="eastAsia" w:ascii="仿宋_GB2312" w:hAnsi="仿宋_GB2312" w:eastAsia="仿宋_GB2312" w:cs="仿宋_GB2312"/>
                <w:bCs/>
                <w:sz w:val="21"/>
                <w:szCs w:val="21"/>
                <w:highlight w:val="none"/>
                <w:lang w:val="en-US" w:eastAsia="zh-CN"/>
              </w:rPr>
              <w:t>0.005</w:t>
            </w:r>
            <w:r>
              <w:rPr>
                <w:rFonts w:hint="eastAsia" w:ascii="仿宋_GB2312" w:hAnsi="仿宋_GB2312" w:eastAsia="仿宋_GB2312" w:cs="仿宋_GB2312"/>
                <w:bCs/>
                <w:sz w:val="21"/>
                <w:szCs w:val="21"/>
                <w:highlight w:val="none"/>
              </w:rPr>
              <w:t xml:space="preserve">%，期间费用按照产品本金每个自然日从理财财产中计提。[若投资产生的收益扣除各项费用(销售手续费、投资管理费、托管费、产品运营管理费)、运作产品所必须缴纳的税费后未达到业绩比较基准(如业绩比较基准为区间表示,则为区间下限)，天津银行有权以计提的投资管理费为限减少收取投资管理费。] </w:t>
            </w:r>
          </w:p>
          <w:p>
            <w:pPr>
              <w:pStyle w:val="23"/>
              <w:keepNext w:val="0"/>
              <w:keepLines w:val="0"/>
              <w:pageBreakBefore w:val="0"/>
              <w:numPr>
                <w:ilvl w:val="255"/>
                <w:numId w:val="0"/>
              </w:numPr>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公式计算：</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每日销售手续费=产品本金×</w:t>
            </w:r>
            <w:r>
              <w:rPr>
                <w:rFonts w:hint="eastAsia" w:ascii="仿宋_GB2312" w:hAnsi="仿宋_GB2312" w:eastAsia="仿宋_GB2312" w:cs="仿宋_GB2312"/>
                <w:bCs/>
                <w:sz w:val="21"/>
                <w:szCs w:val="21"/>
                <w:highlight w:val="none"/>
                <w:lang w:val="en-US" w:eastAsia="zh-CN"/>
              </w:rPr>
              <w:t>0.150</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每日投资管理费=产品本金×</w:t>
            </w:r>
            <w:r>
              <w:rPr>
                <w:rFonts w:hint="eastAsia" w:ascii="仿宋_GB2312" w:hAnsi="仿宋_GB2312" w:eastAsia="仿宋_GB2312" w:cs="仿宋_GB2312"/>
                <w:bCs/>
                <w:sz w:val="21"/>
                <w:szCs w:val="21"/>
                <w:highlight w:val="none"/>
                <w:lang w:val="en-US" w:eastAsia="zh-CN"/>
              </w:rPr>
              <w:t>0.020</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每日托管费=产品本金×</w:t>
            </w:r>
            <w:r>
              <w:rPr>
                <w:rFonts w:hint="eastAsia" w:ascii="仿宋_GB2312" w:hAnsi="仿宋_GB2312" w:eastAsia="仿宋_GB2312" w:cs="仿宋_GB2312"/>
                <w:bCs/>
                <w:sz w:val="21"/>
                <w:szCs w:val="21"/>
                <w:highlight w:val="none"/>
                <w:lang w:val="en-US" w:eastAsia="zh-CN"/>
              </w:rPr>
              <w:t>0.004</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每日产品运营管理费=产品本金×</w:t>
            </w:r>
            <w:r>
              <w:rPr>
                <w:rFonts w:hint="eastAsia" w:ascii="仿宋_GB2312" w:hAnsi="仿宋_GB2312" w:eastAsia="仿宋_GB2312" w:cs="仿宋_GB2312"/>
                <w:bCs/>
                <w:sz w:val="21"/>
                <w:szCs w:val="21"/>
                <w:highlight w:val="none"/>
                <w:lang w:val="en-US" w:eastAsia="zh-CN"/>
              </w:rPr>
              <w:t>0.005</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numPr>
                <w:ilvl w:val="0"/>
                <w:numId w:val="3"/>
              </w:numPr>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lang w:eastAsia="zh-CN"/>
              </w:rPr>
              <w:t>超额业绩报酬：理财产品收益扣除期间费用后，若收益未达到业绩基准，产品管理人不收取超额业绩管理费；若收益达到业绩基准，产品管理人按照本理财产品说明书约定的业绩基准支付投资人收益后，将超额部分作为产品管理人超额业绩管理费收取。天津银行有权根据市场情况调整超额业绩分配方案并及时公告。</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超额业绩报酬每日计提。产品存续期内每个估值日，如果产品成立日至估值日的扣除超额业绩报酬前的期间年化收益率大于本区间超额业绩报酬计提基准，则据此计算本期间超额业绩报酬，本产品超额业绩报酬在披露的产品单位净值中扣除，披露的单位净值即可反映客户本期间真实的损益情况。计算期间超额业绩报酬的公式如下：</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K=L*（M-N）*P/365*R</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K为产品成立日至估值日的期间超额业绩报酬；</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L为本产品总份额；</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M为产品成立日至估值日的扣除超额业绩报酬前的期间年化收益率，根据产品成立日前一自然日产品单位净值和估值日的扣除超额业绩报酬前单位净值计算得出。如果本期间内有分红，应将分红金额加回再计算估值日单位净值；</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N为超额业绩报酬计提基准；</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P为产品成立日（含）至估值日（含）的期间天数；</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Cs/>
                <w:kern w:val="2"/>
                <w:sz w:val="21"/>
                <w:szCs w:val="21"/>
                <w:highlight w:val="none"/>
                <w:lang w:val="en-US" w:eastAsia="zh-CN" w:bidi="ar-SA"/>
              </w:rPr>
              <w:t>R为产品管理人收取超额业绩报酬的比例</w:t>
            </w:r>
            <w:r>
              <w:rPr>
                <w:rFonts w:hint="eastAsia" w:ascii="仿宋_GB2312" w:hAnsi="仿宋_GB2312" w:eastAsia="仿宋_GB2312" w:cs="仿宋_GB2312"/>
                <w:bCs/>
                <w:sz w:val="21"/>
                <w:szCs w:val="21"/>
                <w:highlight w:val="none"/>
              </w:rPr>
              <w:t>。</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本产品运作过程中涉及的各纳税主体，其纳税义务按国家税收法律、法规执行。本产品运营过程中发生的增值税应税行为，由天津银行申报和缴纳增值税及附加税费，税款从本产品资产总值中扣除。投资者从理财产品取得的收益应缴纳的税款，由投资者自行申报和缴纳。若相关法律法规、税收政策规定产品管理人应代扣代缴相关税款，天津银行有权依法履行代扣代缴义务。</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4.天津银行有权根据相关法律、国家政策规定以及市场情况，依照本说明书的约定予以公告后，对本理财产品收费项目、条件、标准和方式进行调整。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理财产品</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份额转让</w:t>
            </w:r>
          </w:p>
        </w:tc>
        <w:tc>
          <w:tcPr>
            <w:tcW w:w="8457" w:type="dxa"/>
            <w:gridSpan w:val="7"/>
            <w:vAlign w:val="center"/>
          </w:tcPr>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kern w:val="0"/>
                <w:sz w:val="21"/>
                <w:szCs w:val="21"/>
                <w:highlight w:val="none"/>
              </w:rPr>
              <w:t>本产品不支持份额转让。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14"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收益测算</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1.客户收益=客户认购份额×（产品到期日或提前终止日产品单位净值-期初产品单位净值），即客户收益=客户认购份额×（产品到期日或提前终止日产品单位净值-1）</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2.收益测算示例（测算结果精确到分位）：</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lang w:eastAsia="zh-CN"/>
              </w:rPr>
              <w:t>情景一：扣除销售手续费、投资管理费、托管费、产品运营管理费后，年化收益率为业绩比较基准</w:t>
            </w:r>
            <w:r>
              <w:rPr>
                <w:rFonts w:hint="eastAsia" w:ascii="仿宋_GB2312" w:hAnsi="仿宋_GB2312" w:eastAsia="仿宋_GB2312" w:cs="仿宋_GB2312"/>
                <w:b/>
                <w:bCs/>
                <w:sz w:val="21"/>
                <w:szCs w:val="21"/>
                <w:highlight w:val="none"/>
              </w:rPr>
              <w:t>。</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w:t>
            </w:r>
            <w:r>
              <w:rPr>
                <w:rFonts w:hint="eastAsia" w:ascii="仿宋_GB2312" w:hAnsi="仿宋_GB2312" w:eastAsia="仿宋_GB2312" w:cs="仿宋_GB2312"/>
                <w:bCs/>
                <w:sz w:val="21"/>
                <w:szCs w:val="21"/>
                <w:highlight w:val="none"/>
                <w:lang w:val="en-US" w:eastAsia="zh-CN"/>
              </w:rPr>
              <w:t>1.010932</w:t>
            </w:r>
            <w:r>
              <w:rPr>
                <w:rFonts w:hint="eastAsia" w:ascii="仿宋_GB2312" w:hAnsi="仿宋_GB2312" w:eastAsia="仿宋_GB2312" w:cs="仿宋_GB2312"/>
                <w:bCs/>
                <w:sz w:val="21"/>
                <w:szCs w:val="21"/>
                <w:highlight w:val="none"/>
              </w:rPr>
              <w:t>，此时年化收益率为(</w:t>
            </w:r>
            <w:r>
              <w:rPr>
                <w:rFonts w:hint="eastAsia" w:ascii="仿宋_GB2312" w:hAnsi="仿宋_GB2312" w:eastAsia="仿宋_GB2312" w:cs="仿宋_GB2312"/>
                <w:bCs/>
                <w:sz w:val="21"/>
                <w:szCs w:val="21"/>
                <w:highlight w:val="none"/>
                <w:lang w:val="en-US" w:eastAsia="zh-CN"/>
              </w:rPr>
              <w:t>1.010932</w:t>
            </w:r>
            <w:r>
              <w:rPr>
                <w:rFonts w:hint="eastAsia" w:ascii="仿宋_GB2312" w:hAnsi="仿宋_GB2312" w:eastAsia="仿宋_GB2312" w:cs="仿宋_GB2312"/>
                <w:bCs/>
                <w:sz w:val="21"/>
                <w:szCs w:val="21"/>
                <w:highlight w:val="none"/>
              </w:rPr>
              <w:t>-1)×365</w:t>
            </w:r>
            <w:r>
              <w:rPr>
                <w:rFonts w:hint="eastAsia" w:ascii="仿宋_GB2312" w:hAnsi="仿宋_GB2312" w:eastAsia="仿宋_GB2312" w:cs="仿宋_GB2312"/>
                <w:bCs/>
                <w:sz w:val="21"/>
                <w:szCs w:val="21"/>
                <w:highlight w:val="none"/>
                <w:lang w:val="en-US" w:eastAsia="zh-CN"/>
              </w:rPr>
              <w:t>/190</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highlight w:val="none"/>
                <w:lang w:val="en-US" w:eastAsia="zh-CN"/>
              </w:rPr>
              <w:t>2.10%</w:t>
            </w:r>
            <w:r>
              <w:rPr>
                <w:rFonts w:hint="eastAsia" w:ascii="仿宋_GB2312" w:hAnsi="仿宋_GB2312" w:eastAsia="仿宋_GB2312" w:cs="仿宋_GB2312"/>
                <w:bCs/>
                <w:sz w:val="21"/>
                <w:szCs w:val="21"/>
                <w:highlight w:val="none"/>
              </w:rPr>
              <w:t>，客户最终收益为：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w:t>
            </w:r>
            <w:r>
              <w:rPr>
                <w:rFonts w:hint="eastAsia" w:ascii="仿宋_GB2312" w:hAnsi="仿宋_GB2312" w:eastAsia="仿宋_GB2312" w:cs="仿宋_GB2312"/>
                <w:bCs/>
                <w:sz w:val="21"/>
                <w:szCs w:val="21"/>
                <w:highlight w:val="none"/>
                <w:lang w:val="en-US" w:eastAsia="zh-CN"/>
              </w:rPr>
              <w:t>1.010932</w:t>
            </w:r>
            <w:r>
              <w:rPr>
                <w:rFonts w:hint="eastAsia" w:ascii="仿宋_GB2312" w:hAnsi="仿宋_GB2312" w:eastAsia="仿宋_GB2312" w:cs="仿宋_GB2312"/>
                <w:bCs/>
                <w:sz w:val="21"/>
                <w:szCs w:val="21"/>
                <w:highlight w:val="none"/>
              </w:rPr>
              <w:t>-1）=</w:t>
            </w:r>
            <w:r>
              <w:rPr>
                <w:rFonts w:hint="eastAsia" w:ascii="仿宋_GB2312" w:hAnsi="仿宋_GB2312" w:eastAsia="仿宋_GB2312" w:cs="仿宋_GB2312"/>
                <w:bCs/>
                <w:sz w:val="21"/>
                <w:szCs w:val="21"/>
                <w:highlight w:val="none"/>
                <w:lang w:val="en-US" w:eastAsia="zh-CN"/>
              </w:rPr>
              <w:t>109.32</w:t>
            </w:r>
            <w:r>
              <w:rPr>
                <w:rFonts w:hint="eastAsia" w:ascii="仿宋_GB2312" w:hAnsi="仿宋_GB2312" w:eastAsia="仿宋_GB2312" w:cs="仿宋_GB2312"/>
                <w:bCs/>
                <w:sz w:val="21"/>
                <w:szCs w:val="21"/>
                <w:highlight w:val="none"/>
              </w:rPr>
              <w:t>（元）</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lang w:eastAsia="zh-CN"/>
              </w:rPr>
              <w:t>情景二</w:t>
            </w:r>
            <w:r>
              <w:rPr>
                <w:rFonts w:hint="eastAsia" w:ascii="仿宋_GB2312" w:hAnsi="仿宋_GB2312" w:eastAsia="仿宋_GB2312" w:cs="仿宋_GB2312"/>
                <w:b/>
                <w:bCs/>
                <w:sz w:val="21"/>
                <w:szCs w:val="21"/>
                <w:highlight w:val="none"/>
              </w:rPr>
              <w:t>：最不利情况，扣除销售手续费、投资管理费、托管费、产品运营管理费后，收益率为负。</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以客户投资1万元为例，购买时产品净值为1.00元，折算份额为10000份。产品到期时，扣除销售手续费、投资管理费、托管费、产品运营管理费后，若产品净值为0.998</w:t>
            </w:r>
            <w:r>
              <w:rPr>
                <w:rFonts w:hint="eastAsia" w:ascii="仿宋_GB2312" w:hAnsi="仿宋_GB2312" w:eastAsia="仿宋_GB2312" w:cs="仿宋_GB2312"/>
                <w:bCs/>
                <w:sz w:val="21"/>
                <w:szCs w:val="21"/>
                <w:highlight w:val="none"/>
                <w:lang w:val="en-US" w:eastAsia="zh-CN"/>
              </w:rPr>
              <w:t>000</w:t>
            </w:r>
            <w:r>
              <w:rPr>
                <w:rFonts w:hint="eastAsia" w:ascii="仿宋_GB2312" w:hAnsi="仿宋_GB2312" w:eastAsia="仿宋_GB2312" w:cs="仿宋_GB2312"/>
                <w:bCs/>
                <w:sz w:val="21"/>
                <w:szCs w:val="21"/>
                <w:highlight w:val="none"/>
              </w:rPr>
              <w:t>，客户最终收益为：</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10000×（0.998</w:t>
            </w:r>
            <w:r>
              <w:rPr>
                <w:rFonts w:hint="eastAsia" w:ascii="仿宋_GB2312" w:hAnsi="仿宋_GB2312" w:eastAsia="仿宋_GB2312" w:cs="仿宋_GB2312"/>
                <w:bCs/>
                <w:sz w:val="21"/>
                <w:szCs w:val="21"/>
                <w:highlight w:val="none"/>
                <w:lang w:val="en-US" w:eastAsia="zh-CN"/>
              </w:rPr>
              <w:t>000</w:t>
            </w:r>
            <w:r>
              <w:rPr>
                <w:rFonts w:hint="eastAsia" w:ascii="仿宋_GB2312" w:hAnsi="仿宋_GB2312" w:eastAsia="仿宋_GB2312" w:cs="仿宋_GB2312"/>
                <w:bCs/>
                <w:sz w:val="21"/>
                <w:szCs w:val="21"/>
                <w:highlight w:val="none"/>
              </w:rPr>
              <w:t>-1）=-20（元）。</w:t>
            </w:r>
          </w:p>
          <w:p>
            <w:pPr>
              <w:pStyle w:val="22"/>
              <w:keepNext w:val="0"/>
              <w:keepLines w:val="0"/>
              <w:pageBreakBefore w:val="0"/>
              <w:kinsoku/>
              <w:wordWrap/>
              <w:overflowPunct/>
              <w:topLinePunct w:val="0"/>
              <w:bidi w:val="0"/>
              <w:snapToGrid/>
              <w:spacing w:line="320" w:lineRule="exact"/>
              <w:jc w:val="both"/>
              <w:textAlignment w:val="auto"/>
              <w:outlineLvl w:val="9"/>
              <w:rPr>
                <w:rFonts w:hint="eastAsia" w:ascii="仿宋_GB2312" w:hAnsi="仿宋_GB2312" w:eastAsia="仿宋_GB2312" w:cs="仿宋_GB2312"/>
                <w:bCs/>
                <w:color w:val="auto"/>
                <w:kern w:val="2"/>
                <w:sz w:val="21"/>
                <w:szCs w:val="21"/>
                <w:highlight w:val="none"/>
              </w:rPr>
            </w:pPr>
            <w:r>
              <w:rPr>
                <w:rFonts w:hint="eastAsia" w:ascii="仿宋_GB2312" w:hAnsi="仿宋_GB2312" w:eastAsia="仿宋_GB2312" w:cs="仿宋_GB2312"/>
                <w:bCs/>
                <w:color w:val="auto"/>
                <w:kern w:val="2"/>
                <w:sz w:val="21"/>
                <w:szCs w:val="21"/>
                <w:highlight w:val="none"/>
              </w:rPr>
              <w:t>说明：折算年化收益率公式为（产品到期单位净值－期初单位净值）×365÷(产品到期单位净值对应日期 －期初单位净值对应日期)，理财产品计息基础为365。</w:t>
            </w:r>
          </w:p>
          <w:p>
            <w:pPr>
              <w:pStyle w:val="22"/>
              <w:keepNext w:val="0"/>
              <w:keepLines w:val="0"/>
              <w:pageBreakBefore w:val="0"/>
              <w:kinsoku/>
              <w:wordWrap/>
              <w:overflowPunct/>
              <w:topLinePunct w:val="0"/>
              <w:bidi w:val="0"/>
              <w:snapToGrid/>
              <w:spacing w:line="320" w:lineRule="exact"/>
              <w:ind w:firstLine="422" w:firstLineChars="200"/>
              <w:jc w:val="both"/>
              <w:textAlignment w:val="auto"/>
              <w:outlineLvl w:val="9"/>
              <w:rPr>
                <w:rFonts w:hint="eastAsia" w:ascii="仿宋_GB2312" w:hAnsi="仿宋_GB2312" w:eastAsia="仿宋_GB2312" w:cs="仿宋_GB2312"/>
                <w:b/>
                <w:bCs/>
                <w:color w:val="auto"/>
                <w:kern w:val="2"/>
                <w:sz w:val="21"/>
                <w:szCs w:val="21"/>
                <w:highlight w:val="none"/>
              </w:rPr>
            </w:pPr>
            <w:r>
              <w:rPr>
                <w:rFonts w:hint="eastAsia" w:ascii="仿宋_GB2312" w:hAnsi="仿宋_GB2312" w:eastAsia="仿宋_GB2312" w:cs="仿宋_GB2312"/>
                <w:b/>
                <w:bCs/>
                <w:color w:val="auto"/>
                <w:kern w:val="2"/>
                <w:sz w:val="21"/>
                <w:szCs w:val="21"/>
                <w:highlight w:val="none"/>
              </w:rPr>
              <w:t>上述情况与举例仅为向客户介绍收益计算方法之用，并不代表以上的所有情景或某一情景一定会发生，或天津银行认为发生的可能性很大。</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bCs/>
                <w:sz w:val="21"/>
                <w:szCs w:val="21"/>
                <w:highlight w:val="none"/>
              </w:rPr>
              <w:t>测算收益采用假设数据计算，不作为最终收益的计算依据，不等于实际收益，投资须谨慎。客户所能获得的最终收益以天津银行实际支付为准。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2"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估值管理</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一、估值原则</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（一）适配性原则。金融资产的公允价值确定方法应与理财产品的类型相匹配。</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（二）审慎性原则。审慎确认和计量金融资产的公允价值时，不高估公允价值收益，不低估公允 价值损失。</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（三）充分性原则。估值过程中充分考虑金融资产的性质、重要性及复杂程度等因素。</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（四）清晰性原则。估值方法应清晰明了，便于理解和应用，能清晰反应金融资产的性质。</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二、估值对象</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本理财产品所持有的所有资产。</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三、估值方法</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（一）现金、银行存款</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以本金列示，逐日计提银行存款利息，按商定利率确认存款利息收入。</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（二）货币市场工具（质押式回购、同业拆借等）</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以本金列示，按商定利率逐日计提利息收入/支出。</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（三）银行间市场和证券交易所流通的债券等标准化固定收益类资产</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1、银行间固定收益类证券</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以公允价值估值，主要依据为第三方估值机构即中央国债登记结算公司（以下简称“中债”）提供的价格数据。</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（1）对银行间市场上不含权的固定收益品种，选取中债提供的相应品种当日的估值净价。</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对银行间市场上含权的固定收益品种，选取中债提供的相应品种当日的唯一估值净价或推荐估值净价。对于含投资人回售权的固定收益品种，回售登记截止日（含当日）后未行使回售权的按照长待偿期所对应的价格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（3）对银行间市场未上市，且中债未提供估值价格的固定收益品种，在发行利率和二级市场利率不存在明显差异、未上市期间市场利率没有发生大的变动的情况下，按成本估值。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2、交易所固定收益类证券</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以公允价值估值，主要依据为第三方估值机构即中证指数有限公司（以下简称“中证”）提供的价格数据。</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（1）对在交易所上市交易或挂牌转让的不含权固定收益品种，选取中证提供的相应品种当日的估值净价。</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（2）对在交易所上市交易或挂牌转让的含权固定收益品种，选取中证提供的相应品种当日的唯一估值净价或推荐估值净价。</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（3）第三方估值机构提供的估值价格与收盘价存在差异的，若产品管理人认定交易所收盘价更能体现公允价值，可与托管人协商一致后采用收盘价进行估值。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证券交易所交易的含有转股券的债券（如：可转换债券、可交换债券等）：对于公开发行的可转债、可交债，实行全价交易的债券按照估值日收盘价减去收盘价中所含债券应收利息后得到的净价进行估值；实行净价交易的债券，采用估值日收盘价估值。对于非公开发行的可转债、可交债，采用第三方估值机构提供的价格数据确定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5）对在交易所市场发行未上市或未挂牌转让的债券，对存在活跃市场的情况下，以活跃市场上未经调整的报价作为计量日的公允价值；对于交易量和交易频率不足以反映公允价值的情况下，采用第三方估值机构提供的价格数据或其他估值技术确定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3、资产支持证券（ABS）、资产支持票据（ABN）、信贷资产证券化（MBS）、私募债等资产，存在可以确定公允价值的，以公允价值估值，公允价值不能确定的，按照成本估值。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4、同时在多个市场交易的证券</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对于具备同时在多个不同市场交易条件的证券，以其实际发生交易所处市场及相应估值标准进行估值。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（四）非标准化债权类资产</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按照公允价值估值，不能确定公允价值的，采用估值技术进行估值。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（五）证券投资基金</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1、非上市基金估值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（1）理财产品投资的境内非货币市场基金，按所投资基金估值日的份额净值估值。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（2）理财产品投资的境内货币市场基金，按所投资基金前一估值日后至估值日期间（含节假日）的万份收益计提估值日基金收益。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2、上市基金估值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（1）理财产品投资的ETF基金，按所投资ETF基金估值日的收盘价估值。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（2）理财产品投资的境内上市开放式基金（LOF），按所投资基金估值日的份额净值估值。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（3）理财产品投资的境内上市定期开放式基金、封闭式基金，按所投资基金估值日的收盘价估值。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理财产品投资的境内上市交易型货币市场基金，如所投资基金披露份额净值，则按所投资基金估值日的份额净值估值；如所投资基金披露万份收益，则按所投资基金前一估值日后至估值日期间（含节假日）的万份收益计提估值日基金收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3.特殊情况处理</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如遇所投资基金不公布基金份额净值、进行折算或拆分、估值日无交易等特殊情况，产品管理人根据以下原则进行估值。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（1）以所投资基金的基金份额净值估值的，若所投资基金与理财产品估值频率一致但未公布估值日基金份额净值，按其最近公布的基金份额净值为基础估值。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以所投资基金的收盘价估值的，若估值日无交易，且最近交易日后市场环境未发生重大变化，按最近交易日的收盘价估值；如最近交易日后市场环境发生了重大变化的，可使用最新的基金份额净值为基础或参考类似投资品种的现行市价及重大变化因素调整最近交易市价，确定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（3）如果所投资基金前一估值日至估值日期间发生分红除权、折算或拆分，理财产品管理人应根据基金份额净值或收盘价、单位基金份额分红金额、折算拆分比例、持仓份额等因素合理确定公允价值。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（4）当产品管理人认为所投资基金按上述方法存在不公允时，在法律法规允许的范围内，可与托管人协商一致采用合理的估值技术或估值标准确定其公允价值。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（六）摊余成本及减值计提：</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对于符合以下条件之一的资产，在通过SPPI测试的情况下，可按照企业会计准则以摊余成本进行计量：</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1.所投资产以收取合同现金流为目的并持有到期；</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2.所投资产暂不具备活跃交易市场，或者在活跃市场中没有报价、也不能采用估值技术可靠计量公允价值。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在使用摊余成本法进行估值时，需按照会计准则规定采用合理的减值计量模型或第三方减值计量结果进行减值计提。计提减值不等同于金融资产已发生损失，仅为对未来风险的审慎预期。</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 xml:space="preserve">（七）若因国家规定或有确凿证据表明按上述方法进行估值不能客观反映其公允价值的，产品管理人可根据具体情况与托管人商定后，按最能反映公允价值的价格估值。 </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（八）相关法律法规以及监管部门有其他规定的，从其规定。如有新增或调整事项，按国家相关政策最新规定估值。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（九）估值错误的处理</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管理人和托管人将采取必要、适当、合理的措施确保产品资产估值的准确性、及时性。当产品份额净值出现错误时，产品管理人应当立即予以纠正，并采取合理的措施防止损失进一步扩大。由于本产品估值所用的价格来源出现错误，或由于其他不可抗力原因，产品管理人和托管人虽然已经采取必要、适当、合理的措施进行检查，但是未能发现该错误的，由此造成的产品资产估值错误，产品管理人和托管人可以免除赔偿责任，但产品管理人和托管人应当积极采取必要的措施消除由此造成的影响。</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（十）暂停估值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当产品资产的估值因不可抗力或其他情形致使产品管理人、托管人无法准确评估产品资产价值时或监管机构认定的其他情形，产品管理人可暂停产品的估值直至另行通知。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是否允许撤单</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bCs/>
                <w:sz w:val="21"/>
                <w:szCs w:val="21"/>
                <w:highlight w:val="none"/>
              </w:rPr>
              <w:t>认购申请在实际募集结束日当天闭市后不允许撤单。闭市时间为</w:t>
            </w:r>
            <w:r>
              <w:rPr>
                <w:rFonts w:hint="eastAsia" w:ascii="仿宋_GB2312" w:hAnsi="仿宋_GB2312" w:eastAsia="仿宋_GB2312" w:cs="仿宋_GB2312"/>
                <w:b/>
                <w:bCs/>
                <w:sz w:val="21"/>
                <w:szCs w:val="21"/>
                <w:highlight w:val="none"/>
                <w:lang w:val="en-US" w:eastAsia="zh-CN"/>
              </w:rPr>
              <w:t>16:30</w:t>
            </w:r>
            <w:r>
              <w:rPr>
                <w:rFonts w:hint="eastAsia" w:ascii="仿宋_GB2312" w:hAnsi="仿宋_GB2312" w:eastAsia="仿宋_GB2312" w:cs="仿宋_GB2312"/>
                <w:b/>
                <w:bCs/>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销售及管理</w:t>
            </w:r>
          </w:p>
        </w:tc>
        <w:tc>
          <w:tcPr>
            <w:tcW w:w="1797" w:type="dxa"/>
            <w:gridSpan w:val="2"/>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销售</w:t>
            </w:r>
            <w:r>
              <w:rPr>
                <w:rFonts w:hint="eastAsia" w:ascii="仿宋_GB2312" w:hAnsi="仿宋_GB2312" w:eastAsia="仿宋_GB2312" w:cs="仿宋_GB2312"/>
                <w:b/>
                <w:bCs/>
                <w:kern w:val="0"/>
                <w:sz w:val="21"/>
                <w:szCs w:val="21"/>
                <w:highlight w:val="none"/>
                <w:lang w:val="en-US" w:eastAsia="zh-CN"/>
              </w:rPr>
              <w:t>机构</w:t>
            </w:r>
          </w:p>
        </w:tc>
        <w:tc>
          <w:tcPr>
            <w:tcW w:w="6660"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名称：沧州银行股份有限公司</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销售渠道：手机银行</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客服热线：0317-96328</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产品管理人有权调整本产品的销售机构并及时公告。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销售机构</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sz w:val="21"/>
                <w:szCs w:val="21"/>
                <w:highlight w:val="none"/>
              </w:rPr>
              <w:t>主要职责</w:t>
            </w:r>
          </w:p>
        </w:tc>
        <w:tc>
          <w:tcPr>
            <w:tcW w:w="6660"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eastAsia="zh-CN"/>
              </w:rPr>
            </w:pPr>
            <w:r>
              <w:rPr>
                <w:rFonts w:hint="eastAsia" w:ascii="仿宋_GB2312" w:hAnsi="仿宋_GB2312" w:eastAsia="仿宋_GB2312" w:cs="仿宋_GB2312"/>
                <w:sz w:val="21"/>
                <w:szCs w:val="21"/>
                <w:highlight w:val="none"/>
              </w:rPr>
              <w:t>负责理财产品宣传推广，投资者风险承受能力评估及投资者适当性管理，理财产品客户身份识别及反洗钱、反恐怖融资及非居民金融账户涉税信息调查，理财产品份额认购/申购/赎回（如有）、合同签署、接受投资者咨询及客户维护等销售服务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资产管理人</w:t>
            </w:r>
          </w:p>
        </w:tc>
        <w:tc>
          <w:tcPr>
            <w:tcW w:w="6660"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rPr>
            </w:pPr>
            <w:r>
              <w:rPr>
                <w:rFonts w:hint="eastAsia" w:ascii="仿宋_GB2312" w:hAnsi="仿宋_GB2312" w:eastAsia="仿宋_GB2312" w:cs="仿宋_GB2312"/>
                <w:bCs/>
                <w:kern w:val="0"/>
                <w:sz w:val="21"/>
                <w:szCs w:val="21"/>
                <w:highlight w:val="none"/>
                <w:lang w:eastAsia="zh-CN"/>
              </w:rPr>
              <w:t>天津银行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资产托管人信息</w:t>
            </w:r>
          </w:p>
        </w:tc>
        <w:tc>
          <w:tcPr>
            <w:tcW w:w="6660"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val="en-US"/>
              </w:rPr>
            </w:pPr>
            <w:r>
              <w:rPr>
                <w:rFonts w:hint="eastAsia" w:ascii="仿宋_GB2312" w:hAnsi="仿宋_GB2312" w:eastAsia="仿宋_GB2312" w:cs="仿宋_GB2312"/>
                <w:bCs/>
                <w:kern w:val="0"/>
                <w:sz w:val="21"/>
                <w:szCs w:val="21"/>
                <w:highlight w:val="none"/>
              </w:rPr>
              <w:t>名称：</w:t>
            </w:r>
            <w:r>
              <w:rPr>
                <w:rFonts w:hint="eastAsia" w:ascii="仿宋_GB2312" w:hAnsi="仿宋_GB2312" w:eastAsia="仿宋_GB2312" w:cs="仿宋_GB2312"/>
                <w:bCs/>
                <w:kern w:val="0"/>
                <w:sz w:val="21"/>
                <w:szCs w:val="21"/>
                <w:highlight w:val="none"/>
                <w:lang w:eastAsia="zh-CN"/>
              </w:rPr>
              <w:t>上海银行</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val="en-US" w:eastAsia="zh-CN"/>
              </w:rPr>
            </w:pPr>
            <w:r>
              <w:rPr>
                <w:rFonts w:hint="eastAsia" w:ascii="仿宋_GB2312" w:hAnsi="仿宋_GB2312" w:eastAsia="仿宋_GB2312" w:cs="仿宋_GB2312"/>
                <w:bCs/>
                <w:kern w:val="0"/>
                <w:sz w:val="21"/>
                <w:szCs w:val="21"/>
                <w:highlight w:val="none"/>
              </w:rPr>
              <w:t>地址：</w:t>
            </w:r>
            <w:r>
              <w:rPr>
                <w:rFonts w:hint="eastAsia" w:ascii="仿宋_GB2312" w:hAnsi="仿宋_GB2312" w:eastAsia="仿宋_GB2312" w:cs="仿宋_GB2312"/>
                <w:bCs/>
                <w:kern w:val="0"/>
                <w:sz w:val="21"/>
                <w:szCs w:val="21"/>
                <w:highlight w:val="none"/>
                <w:lang w:val="en-US" w:eastAsia="zh-CN"/>
              </w:rPr>
              <w:t>上海市浦东新区银城中路168号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资产托管人主要</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职责</w:t>
            </w:r>
          </w:p>
        </w:tc>
        <w:tc>
          <w:tcPr>
            <w:tcW w:w="6660"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rPr>
            </w:pPr>
            <w:r>
              <w:rPr>
                <w:rFonts w:hint="eastAsia" w:ascii="仿宋_GB2312" w:hAnsi="仿宋_GB2312" w:eastAsia="仿宋_GB2312" w:cs="仿宋_GB2312"/>
                <w:sz w:val="21"/>
                <w:szCs w:val="21"/>
                <w:highlight w:val="none"/>
              </w:rPr>
              <w:t>安全保管理财产品财产，对理财产品履行账户开立、资金保管、资金清算、会计核算、估值及投资监督等职责。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投资合作机构</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
                <w:kern w:val="0"/>
                <w:sz w:val="21"/>
                <w:szCs w:val="21"/>
                <w:highlight w:val="none"/>
              </w:rPr>
              <w:t>投资合作机构</w:t>
            </w:r>
            <w:r>
              <w:rPr>
                <w:rFonts w:hint="eastAsia" w:ascii="仿宋_GB2312" w:hAnsi="仿宋_GB2312" w:eastAsia="仿宋_GB2312" w:cs="仿宋_GB2312"/>
                <w:sz w:val="21"/>
                <w:szCs w:val="21"/>
                <w:highlight w:val="none"/>
              </w:rPr>
              <w:t>是指理财产品所投资资产管理产品的发行机构、根据合同约定从事理财产品受托投资的机构以及与理财产品投资管理相关的投资顾问等机构。主要职责为进行受托资金的投资管理，根据合同约定从事受托投资或提供投资顾问等服务，具体职责以管理人与投资合作机构签署的合同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4"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提前终止条款及延期条款</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sz w:val="21"/>
                <w:szCs w:val="21"/>
                <w:highlight w:val="none"/>
              </w:rPr>
              <w:t>1.本产品投资期内，客户无权提前终止本产品。</w:t>
            </w:r>
            <w:r>
              <w:rPr>
                <w:rFonts w:hint="eastAsia" w:ascii="仿宋_GB2312" w:hAnsi="仿宋_GB2312" w:eastAsia="仿宋_GB2312" w:cs="仿宋_GB2312"/>
                <w:bCs/>
                <w:sz w:val="21"/>
                <w:szCs w:val="21"/>
                <w:highlight w:val="none"/>
              </w:rPr>
              <w:t>如出现以下情况，天津银行有权但无义务提前终止本理财产品：</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（1）因不可抗力原因导致理财产品无法继续运作；</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（2）遇市场出现剧烈波动、异常风险事件等情形导致理财产品收益出现大幅波动或严重影响理财产品的资产安全；</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（3）因客户理财资金被有权机关扣划等原因导致理财产品剩余资产无法满足相关法律法规规定，所投资市场要求或协议等相关法律文件约定，或者继续存续无法实现投资目标；</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（4）因法律法规变化或国家金融政策调整，影响本产品继续正常运作；</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（5）理财资金所投资的金融资产或金融工具提前终止；</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（6）提前终止产品比维持产品运作更有利于保护产品持有人的权益；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（7）法律法规规定的其他情形。</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2. 如出现以下情况，天津银行有权延长本产品的终止日：</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（1）产品终止日遇非工作日则顺延至下一工作日，客户清算资金到账日将相应调整；</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（2）因市场成交量不足、资产限制赎回、暂停交易、缺乏意愿交易对手等原因，导致产品项下对应的投资标的无法及时变现；</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（3）因资金在途等原因，导致未能及时收回资金；</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（4）其他天津银行认为需要延期兑付的情形。</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w:t>
            </w:r>
            <w:r>
              <w:rPr>
                <w:rFonts w:hint="eastAsia" w:ascii="仿宋_GB2312" w:hAnsi="仿宋_GB2312" w:eastAsia="仿宋_GB2312" w:cs="仿宋_GB2312"/>
                <w:sz w:val="21"/>
                <w:szCs w:val="21"/>
                <w:highlight w:val="none"/>
              </w:rPr>
              <w:t xml:space="preserve"> </w:t>
            </w:r>
            <w:r>
              <w:rPr>
                <w:rFonts w:hint="eastAsia" w:ascii="仿宋_GB2312" w:hAnsi="仿宋_GB2312" w:eastAsia="仿宋_GB2312" w:cs="仿宋_GB2312"/>
                <w:bCs/>
                <w:sz w:val="21"/>
                <w:szCs w:val="21"/>
                <w:highlight w:val="none"/>
              </w:rPr>
              <w:t>一旦天津银行提前终止/延期本理财产品，将提前</w:t>
            </w:r>
            <w:r>
              <w:rPr>
                <w:rFonts w:hint="eastAsia" w:ascii="仿宋_GB2312" w:hAnsi="仿宋_GB2312" w:eastAsia="仿宋_GB2312" w:cs="仿宋_GB2312"/>
                <w:bCs/>
                <w:sz w:val="21"/>
                <w:szCs w:val="21"/>
                <w:highlight w:val="none"/>
                <w:lang w:val="en-US" w:eastAsia="zh-CN"/>
              </w:rPr>
              <w:t>2</w:t>
            </w:r>
            <w:r>
              <w:rPr>
                <w:rFonts w:hint="eastAsia" w:ascii="仿宋_GB2312" w:hAnsi="仿宋_GB2312" w:eastAsia="仿宋_GB2312" w:cs="仿宋_GB2312"/>
                <w:bCs/>
                <w:sz w:val="21"/>
                <w:szCs w:val="21"/>
                <w:highlight w:val="none"/>
              </w:rPr>
              <w:t>个工作日以公告形式通知客户，并在提前终止日/延期到期日后</w:t>
            </w:r>
            <w:r>
              <w:rPr>
                <w:rFonts w:hint="eastAsia" w:ascii="仿宋_GB2312" w:hAnsi="仿宋_GB2312" w:eastAsia="仿宋_GB2312" w:cs="仿宋_GB2312"/>
                <w:bCs/>
                <w:sz w:val="21"/>
                <w:szCs w:val="21"/>
                <w:highlight w:val="none"/>
                <w:lang w:val="en-US" w:eastAsia="zh-CN"/>
              </w:rPr>
              <w:t>2</w:t>
            </w:r>
            <w:r>
              <w:rPr>
                <w:rFonts w:hint="eastAsia" w:ascii="仿宋_GB2312" w:hAnsi="仿宋_GB2312" w:eastAsia="仿宋_GB2312" w:cs="仿宋_GB2312"/>
                <w:bCs/>
                <w:sz w:val="21"/>
                <w:szCs w:val="21"/>
                <w:highlight w:val="none"/>
              </w:rPr>
              <w:t>个工作日内（遇节假日顺延至下一工作日）向客户返还理财本金及应得收益（如有），应得收益按实际理财期限计算（已扣除销售手续费、投资管理费、托管费、产品运营管理费，提前终止产品情况下，以上费用计算方式不变，已扣除的费用不再返还至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信息披露</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1.</w:t>
            </w:r>
            <w:r>
              <w:rPr>
                <w:rFonts w:hint="eastAsia" w:ascii="仿宋_GB2312" w:hAnsi="仿宋_GB2312" w:eastAsia="仿宋_GB2312" w:cs="仿宋_GB2312"/>
                <w:b/>
                <w:sz w:val="21"/>
                <w:szCs w:val="21"/>
                <w:highlight w:val="none"/>
              </w:rPr>
              <w:t xml:space="preserve"> </w:t>
            </w:r>
            <w:r>
              <w:rPr>
                <w:rFonts w:hint="eastAsia" w:ascii="仿宋_GB2312" w:hAnsi="仿宋_GB2312" w:eastAsia="仿宋_GB2312" w:cs="仿宋_GB2312"/>
                <w:b/>
                <w:bCs/>
                <w:sz w:val="21"/>
                <w:szCs w:val="21"/>
                <w:highlight w:val="none"/>
              </w:rPr>
              <w:t>净值公告：产品成立后，我行将于每周前2个工作日内披露截至上周最后一个工作日的资产净值和份额净值。产品到期或提前终止后，在产品到期日或提前终止日（遇节假日顺延至下一工作日）后的5个工作日内披露产品到期或提前终止的资产净值和份额净值。信息披露渠道包括我行官方网站、手机银行、网上银行。</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2.发行及到期公告：天津银行将最迟于产品成立日/产品到期日后5个工作日内，通过官方网站或营业网点等渠道公布产品发行公告/产品到期公告。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3．定期报告：天津银行在每季度结束之日起15个工作日内，上半年结束之日起60个工作日内、每年结束之日起90个工作日内，编制完成产品季度、半年和年度报告等定期报告，在天津银行官方网站进行公告。理财产品成立不足90个工作日或者剩余期限不超过90个工作日的，可以不编制理财产品当期的季度、半年和年度报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4．天津银行将通过官方网站、手机银行、网上银行或其他天津银行认为适当的方式披露投资者持有的理财产品份额、认购金额、单位净值、累计净值、资产净值、收益情况、理财交易账户发生的交易明细等信息。</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5．重大事项公告：在产品重大事项发生后的2个工作日内通过官方网站或营业网点发布重大事项公告。产品重大事项包括但不限于如下事件：</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（1）理财产品所投资资产对投资者权益或投资收益等产生重大影响的突发事件；</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（2）金融市场发生重大变化导致理财产品投资比例暂时超出浮动区间且可能对理财产品收益产生重大影响的。</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6．临时性信息披露，包括但不限于如下事件：</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（1）如本产品需延期清算，将最迟于到期日后5个工作日内在官方网站或营业网点等渠道发布相关信息公告。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（2）产品存续期间，天津银行如对本理财说明书条款进行补充、说明及修订，将提前2个工作日通过官方网站或营业网点予以披露，投资者应定期通过上述渠道获知有关本理财产品相关信息。</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7.关联信息披露：如产品投资于产品管理人或托管机构，其主要股东、控股股东、实际控制人、一致行动人、最终受益人，其控股的机构或者与其有重大利害关系的公司发行或承销的证券，或从事其他重大关联交易的，将及时公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8．客户不得利用金融产品和服务从事违法活动。</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sz w:val="21"/>
                <w:szCs w:val="21"/>
                <w:highlight w:val="none"/>
              </w:rPr>
              <w:t>9．客户如对本产品有任何建议、意见或投诉，请拨打我行24小时客服电话956056咨询。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9"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sz w:val="24"/>
                <w:szCs w:val="24"/>
                <w:highlight w:val="none"/>
              </w:rPr>
            </w:pPr>
            <w:r>
              <w:rPr>
                <w:rFonts w:hint="eastAsia" w:ascii="仿宋_GB2312" w:hAnsi="仿宋_GB2312" w:eastAsia="仿宋_GB2312" w:cs="仿宋_GB2312"/>
                <w:b/>
                <w:bCs/>
                <w:sz w:val="24"/>
                <w:szCs w:val="24"/>
                <w:highlight w:val="none"/>
              </w:rPr>
              <w:t>特别提示</w:t>
            </w:r>
          </w:p>
        </w:tc>
        <w:tc>
          <w:tcPr>
            <w:tcW w:w="8457" w:type="dxa"/>
            <w:gridSpan w:val="7"/>
            <w:vAlign w:val="center"/>
          </w:tcPr>
          <w:p>
            <w:pPr>
              <w:keepNext w:val="0"/>
              <w:keepLines w:val="0"/>
              <w:pageBreakBefore w:val="0"/>
              <w:kinsoku/>
              <w:wordWrap/>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1.根据中国人民银行、</w:t>
            </w:r>
            <w:r>
              <w:rPr>
                <w:rFonts w:hint="eastAsia" w:ascii="仿宋_GB2312" w:hAnsi="仿宋_GB2312" w:eastAsia="仿宋_GB2312" w:cs="仿宋_GB2312"/>
                <w:b/>
                <w:sz w:val="21"/>
                <w:szCs w:val="21"/>
                <w:highlight w:val="none"/>
                <w:lang w:eastAsia="zh-CN"/>
              </w:rPr>
              <w:t>国家金融监督管理总局</w:t>
            </w:r>
            <w:r>
              <w:rPr>
                <w:rFonts w:hint="eastAsia" w:ascii="仿宋_GB2312" w:hAnsi="仿宋_GB2312" w:eastAsia="仿宋_GB2312" w:cs="仿宋_GB2312"/>
                <w:b/>
                <w:sz w:val="21"/>
                <w:szCs w:val="21"/>
                <w:highlight w:val="none"/>
              </w:rPr>
              <w:t>、中国证券监督管理委员会、国家外汇管理局联合发布的《关于规范金融机构资产管理业务的指导意见》第四条“资产管理产品按照投资性质的不同，分为固定收益类产品、权益类产品、商品及金融衍生品类产品和混合类产品。固定收益类产品投资于存款、债券等债权类资产的比例不低于80%，权益类产品投资于股票、未上市企业股权等权益类资产的比例不低于80%，商品及金融衍生品类产品投资于商品及金融衍生品的比例不低于80%，混合类产品投资于债权类资产、权益类资产、商品及金融衍生品类资产且任一资产的投资比例未达到前三类产品标准。”。据此，本产品属于</w:t>
            </w:r>
            <w:r>
              <w:rPr>
                <w:rFonts w:hint="eastAsia" w:ascii="仿宋_GB2312" w:hAnsi="仿宋_GB2312" w:eastAsia="仿宋_GB2312" w:cs="仿宋_GB2312"/>
                <w:b/>
                <w:sz w:val="21"/>
                <w:szCs w:val="21"/>
                <w:highlight w:val="none"/>
                <w:lang w:val="en-US" w:eastAsia="zh-CN"/>
              </w:rPr>
              <w:t>固定收益</w:t>
            </w:r>
            <w:r>
              <w:rPr>
                <w:rFonts w:hint="eastAsia" w:ascii="仿宋_GB2312" w:hAnsi="仿宋_GB2312" w:eastAsia="仿宋_GB2312" w:cs="仿宋_GB2312"/>
                <w:b/>
                <w:sz w:val="21"/>
                <w:szCs w:val="21"/>
                <w:highlight w:val="none"/>
              </w:rPr>
              <w:t>类理财产品。</w:t>
            </w:r>
          </w:p>
          <w:p>
            <w:pPr>
              <w:keepNext w:val="0"/>
              <w:keepLines w:val="0"/>
              <w:pageBreakBefore w:val="0"/>
              <w:kinsoku/>
              <w:wordWrap/>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2.本产品业绩比较基准仅供客户参考，并不作为天津银行向客户支付本产品收益的承诺；客户所能获得的最终收益以投资理财产品最终清算的客户可得收益为准。理财产品过往业绩不代表其未来表现，不等于理财产品实际收益，投资须谨慎。客户在投资前，请仔细阅读本产品说明书，并作出独立的投资决策。</w:t>
            </w:r>
          </w:p>
          <w:p>
            <w:pPr>
              <w:keepNext w:val="0"/>
              <w:keepLines w:val="0"/>
              <w:pageBreakBefore w:val="0"/>
              <w:kinsoku/>
              <w:wordWrap/>
              <w:overflowPunct/>
              <w:topLinePunct w:val="0"/>
              <w:bidi w:val="0"/>
              <w:snapToGrid/>
              <w:spacing w:line="320" w:lineRule="exact"/>
              <w:jc w:val="lef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3.天津银行将恪守勤勉尽责的原则，合理配置资产组合，为客户提供专业化的理财服务。</w:t>
            </w:r>
          </w:p>
          <w:p>
            <w:pPr>
              <w:keepNext w:val="0"/>
              <w:keepLines w:val="0"/>
              <w:pageBreakBefore w:val="0"/>
              <w:kinsoku/>
              <w:wordWrap/>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4.本产品面临的风险包括市场风险、提前终止风险、流动性风险等，将可能导致投资者收益到期蒙受部分或全部损失。由此产生的理财收益损失的风险由投资人自行承担，天津银行不承担任何付息的责任。</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5.</w:t>
            </w:r>
            <w:r>
              <w:rPr>
                <w:rFonts w:hint="eastAsia" w:ascii="仿宋_GB2312" w:hAnsi="仿宋_GB2312" w:eastAsia="仿宋_GB2312" w:cs="仿宋_GB2312"/>
                <w:b/>
                <w:sz w:val="21"/>
                <w:szCs w:val="21"/>
                <w:highlight w:val="none"/>
                <w:u w:val="single"/>
              </w:rPr>
              <w:t>非保本理财产品不保证本金，天津银行对非保本理财产品本金不做任何承诺。</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6.客户应密切关注我行与本产品有关的信息公告，以免造成不必要的损失。</w:t>
            </w:r>
          </w:p>
        </w:tc>
      </w:tr>
    </w:tbl>
    <w:p>
      <w:pPr>
        <w:keepNext w:val="0"/>
        <w:keepLines w:val="0"/>
        <w:pageBreakBefore w:val="0"/>
        <w:kinsoku/>
        <w:wordWrap/>
        <w:overflowPunct/>
        <w:topLinePunct w:val="0"/>
        <w:bidi w:val="0"/>
        <w:snapToGrid/>
        <w:spacing w:line="320" w:lineRule="exact"/>
        <w:ind w:right="98"/>
        <w:textAlignment w:val="auto"/>
        <w:outlineLvl w:val="9"/>
        <w:rPr>
          <w:rFonts w:ascii="仿宋_GB2312" w:eastAsia="仿宋_GB2312"/>
          <w:b/>
          <w:sz w:val="28"/>
          <w:szCs w:val="28"/>
          <w:highlight w:val="none"/>
          <w:u w:val="single"/>
        </w:rPr>
      </w:pPr>
      <w:r>
        <w:rPr>
          <w:rFonts w:hint="eastAsia" w:ascii="仿宋_GB2312" w:eastAsia="仿宋_GB2312"/>
          <w:b/>
          <w:sz w:val="28"/>
          <w:szCs w:val="28"/>
          <w:highlight w:val="none"/>
        </w:rPr>
        <w:t>□本人已经充分阅读说明书内容，清楚知晓产品全部信息。客户</w:t>
      </w:r>
      <w:r>
        <w:rPr>
          <w:rFonts w:ascii="仿宋_GB2312" w:eastAsia="仿宋_GB2312"/>
          <w:b/>
          <w:sz w:val="28"/>
          <w:szCs w:val="28"/>
          <w:highlight w:val="none"/>
        </w:rPr>
        <w:t>签字：</w:t>
      </w:r>
      <w:r>
        <w:rPr>
          <w:rFonts w:hint="eastAsia" w:ascii="仿宋_GB2312" w:eastAsia="仿宋_GB2312"/>
          <w:b/>
          <w:sz w:val="28"/>
          <w:szCs w:val="28"/>
          <w:highlight w:val="none"/>
          <w:u w:val="single"/>
        </w:rPr>
        <w:t xml:space="preserve">            </w:t>
      </w:r>
    </w:p>
    <w:p>
      <w:pPr>
        <w:keepNext w:val="0"/>
        <w:keepLines w:val="0"/>
        <w:pageBreakBefore w:val="0"/>
        <w:kinsoku/>
        <w:wordWrap/>
        <w:overflowPunct/>
        <w:topLinePunct w:val="0"/>
        <w:bidi w:val="0"/>
        <w:snapToGrid/>
        <w:spacing w:line="320" w:lineRule="exact"/>
        <w:textAlignment w:val="auto"/>
        <w:outlineLvl w:val="9"/>
        <w:rPr>
          <w:rFonts w:ascii="仿宋_GB2312" w:eastAsia="仿宋_GB2312"/>
          <w:b/>
          <w:szCs w:val="21"/>
          <w:highlight w:val="none"/>
        </w:rPr>
      </w:pPr>
    </w:p>
    <w:p>
      <w:pPr>
        <w:keepNext w:val="0"/>
        <w:keepLines w:val="0"/>
        <w:pageBreakBefore w:val="0"/>
        <w:kinsoku/>
        <w:wordWrap/>
        <w:overflowPunct/>
        <w:topLinePunct w:val="0"/>
        <w:bidi w:val="0"/>
        <w:snapToGrid/>
        <w:spacing w:line="320" w:lineRule="exact"/>
        <w:textAlignment w:val="auto"/>
        <w:outlineLvl w:val="9"/>
        <w:rPr>
          <w:rFonts w:ascii="仿宋_GB2312" w:eastAsia="仿宋_GB2312"/>
          <w:b/>
          <w:szCs w:val="21"/>
          <w:highlight w:val="none"/>
        </w:rPr>
      </w:pPr>
    </w:p>
    <w:p>
      <w:pPr>
        <w:keepNext w:val="0"/>
        <w:keepLines w:val="0"/>
        <w:pageBreakBefore w:val="0"/>
        <w:kinsoku/>
        <w:wordWrap/>
        <w:overflowPunct/>
        <w:topLinePunct w:val="0"/>
        <w:bidi w:val="0"/>
        <w:snapToGrid/>
        <w:spacing w:line="320" w:lineRule="exact"/>
        <w:textAlignment w:val="auto"/>
        <w:outlineLvl w:val="9"/>
        <w:rPr>
          <w:rFonts w:ascii="仿宋_GB2312"/>
          <w:b/>
          <w:szCs w:val="21"/>
          <w:highlight w:val="none"/>
        </w:rPr>
      </w:pPr>
      <w:r>
        <w:rPr>
          <w:rFonts w:hint="eastAsia" w:ascii="宋体" w:hAnsi="宋体"/>
          <w:b/>
          <w:szCs w:val="21"/>
          <w:highlight w:val="none"/>
        </w:rPr>
        <w:t>销售人员:                     日期:     年    月     日</w:t>
      </w:r>
    </w:p>
    <w:p>
      <w:pPr>
        <w:adjustRightInd w:val="0"/>
        <w:snapToGrid w:val="0"/>
        <w:spacing w:line="170" w:lineRule="exact"/>
        <w:ind w:firstLine="301" w:firstLineChars="200"/>
        <w:rPr>
          <w:rFonts w:hint="eastAsia" w:ascii="黑体" w:hAnsi="宋体" w:eastAsia="黑体"/>
          <w:b/>
          <w:sz w:val="15"/>
          <w:szCs w:val="15"/>
          <w:highlight w:val="none"/>
          <w:lang w:eastAsia="zh-CN"/>
        </w:rPr>
      </w:pPr>
    </w:p>
    <w:sectPr>
      <w:headerReference r:id="rId7" w:type="default"/>
      <w:footerReference r:id="rId8" w:type="default"/>
      <w:pgSz w:w="11906" w:h="16838"/>
      <w:pgMar w:top="624" w:right="624" w:bottom="624" w:left="624" w:header="510" w:footer="39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Wingdings 2">
    <w:altName w:val="Wingdings"/>
    <w:panose1 w:val="05020102010507070707"/>
    <w:charset w:val="00"/>
    <w:family w:val="auto"/>
    <w:pitch w:val="default"/>
    <w:sig w:usb0="00000000" w:usb1="00000000" w:usb2="00000000" w:usb3="00000000" w:csb0="00000000" w:csb1="00000000"/>
  </w:font>
  <w:font w:name="仿宋_GB2312">
    <w:panose1 w:val="02010609030101010101"/>
    <w:charset w:val="86"/>
    <w:family w:val="swiss"/>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 w:name="Wingdings">
    <w:panose1 w:val="05000000000000000000"/>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p>
    <w:pPr>
      <w:pStyle w:val="6"/>
    </w:pP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7</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6</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2340" w:firstLineChars="1300"/>
      <w:jc w:val="both"/>
      <w:rPr>
        <w:b/>
        <w:sz w:val="21"/>
      </w:rPr>
    </w:pPr>
    <w:r>
      <w:drawing>
        <wp:anchor distT="0" distB="0" distL="114300" distR="114300" simplePos="0" relativeHeight="251659264" behindDoc="0" locked="0" layoutInCell="1" allowOverlap="1">
          <wp:simplePos x="0" y="0"/>
          <wp:positionH relativeFrom="column">
            <wp:posOffset>-71120</wp:posOffset>
          </wp:positionH>
          <wp:positionV relativeFrom="paragraph">
            <wp:posOffset>-8890</wp:posOffset>
          </wp:positionV>
          <wp:extent cx="1381125" cy="295275"/>
          <wp:effectExtent l="0" t="0" r="9525" b="9525"/>
          <wp:wrapNone/>
          <wp:docPr id="4" name="图片 4"/>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
                    <a:extLst>
                      <a:ext uri="{28A0092B-C50C-407E-A947-70E740481C1C}">
                        <a14:useLocalDpi xmlns:a14="http://schemas.microsoft.com/office/drawing/2010/main" val="0"/>
                      </a:ext>
                    </a:extLst>
                  </a:blip>
                  <a:stretch>
                    <a:fillRect/>
                  </a:stretch>
                </pic:blipFill>
                <pic:spPr>
                  <a:xfrm>
                    <a:off x="0" y="0"/>
                    <a:ext cx="1381125" cy="295275"/>
                  </a:xfrm>
                  <a:prstGeom prst="rect">
                    <a:avLst/>
                  </a:prstGeom>
                  <a:noFill/>
                  <a:ln>
                    <a:noFill/>
                  </a:ln>
                </pic:spPr>
              </pic:pic>
            </a:graphicData>
          </a:graphic>
        </wp:anchor>
      </w:drawing>
    </w:r>
    <w:r>
      <w:rPr>
        <w:rFonts w:hint="eastAsia"/>
        <w:b/>
        <w:sz w:val="21"/>
      </w:rPr>
      <w:t>理财非存款、产品有风险、投资须谨慎。</w:t>
    </w:r>
  </w:p>
  <w:p>
    <w:pPr>
      <w:pStyle w:val="7"/>
      <w:ind w:firstLine="2319" w:firstLineChars="1100"/>
      <w:jc w:val="both"/>
      <w:rPr>
        <w:b/>
        <w:sz w:val="21"/>
      </w:rPr>
    </w:pPr>
    <w:r>
      <w:rPr>
        <w:rFonts w:hint="eastAsia"/>
        <w:b/>
        <w:sz w:val="21"/>
      </w:rPr>
      <w:t>理财产品过往业绩不代表其未来表现，不等于理财产品实际收益，投资须谨慎。</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pPr>
    <w:r>
      <w:rPr>
        <w:rFonts w:ascii="仿宋" w:hAnsi="仿宋" w:eastAsia="仿宋"/>
        <w:b/>
        <w:sz w:val="28"/>
        <w:szCs w:val="28"/>
      </w:rPr>
      <w:drawing>
        <wp:inline distT="0" distB="0" distL="0" distR="0">
          <wp:extent cx="1555750" cy="33464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555750" cy="334645"/>
                  </a:xfrm>
                  <a:prstGeom prst="rect">
                    <a:avLst/>
                  </a:prstGeom>
                  <a:noFill/>
                  <a:ln>
                    <a:noFill/>
                  </a:ln>
                </pic:spPr>
              </pic:pic>
            </a:graphicData>
          </a:graphic>
        </wp:inline>
      </w:drawing>
    </w:r>
    <w:r>
      <w:t xml:space="preserve">                        </w:t>
    </w:r>
    <w:r>
      <w:rPr>
        <w:rFonts w:hint="eastAsia"/>
      </w:rPr>
      <w:t>202</w:t>
    </w:r>
    <w:r>
      <w:rPr>
        <w:rFonts w:hint="eastAsia"/>
        <w:lang w:val="en-US" w:eastAsia="zh-CN"/>
      </w:rPr>
      <w:t>5</w:t>
    </w:r>
    <w:r>
      <w:rPr>
        <w:rFonts w:hint="eastAsia"/>
      </w:rPr>
      <w:t>年</w:t>
    </w:r>
    <w:r>
      <w:rPr>
        <w:rFonts w:hint="eastAsia"/>
        <w:lang w:val="en-US" w:eastAsia="zh-CN"/>
      </w:rPr>
      <w:t>5</w:t>
    </w:r>
    <w:r>
      <w:rPr>
        <w:rFonts w:hint="eastAsia"/>
      </w:rPr>
      <w:t>月版本</w:t>
    </w:r>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pPr>
    <w:r>
      <w:rPr>
        <w:rFonts w:ascii="仿宋" w:hAnsi="仿宋" w:eastAsia="仿宋"/>
        <w:b/>
        <w:sz w:val="28"/>
        <w:szCs w:val="28"/>
      </w:rPr>
      <w:drawing>
        <wp:inline distT="0" distB="0" distL="114300" distR="114300">
          <wp:extent cx="1552575" cy="333375"/>
          <wp:effectExtent l="0" t="0" r="9525" b="952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1"/>
                  <a:stretch>
                    <a:fillRect/>
                  </a:stretch>
                </pic:blipFill>
                <pic:spPr>
                  <a:xfrm>
                    <a:off x="0" y="0"/>
                    <a:ext cx="1552575" cy="333375"/>
                  </a:xfrm>
                  <a:prstGeom prst="rect">
                    <a:avLst/>
                  </a:prstGeom>
                  <a:noFill/>
                  <a:ln w="9525">
                    <a:noFill/>
                  </a:ln>
                </pic:spPr>
              </pic:pic>
            </a:graphicData>
          </a:graphic>
        </wp:inline>
      </w:drawing>
    </w:r>
    <w:r>
      <w:rPr>
        <w:rFonts w:hint="eastAsia"/>
      </w:rPr>
      <w:t xml:space="preserve">                    </w:t>
    </w:r>
    <w:r>
      <w:t>202</w:t>
    </w:r>
    <w:r>
      <w:rPr>
        <w:rFonts w:hint="eastAsia"/>
        <w:lang w:val="en-US" w:eastAsia="zh-CN"/>
      </w:rPr>
      <w:t>5</w:t>
    </w:r>
    <w:r>
      <w:rPr>
        <w:rFonts w:hint="eastAsia"/>
      </w:rPr>
      <w:t>年</w:t>
    </w:r>
    <w:r>
      <w:rPr>
        <w:rFonts w:hint="eastAsia"/>
        <w:lang w:val="en-US" w:eastAsia="zh-CN"/>
      </w:rPr>
      <w:t>5</w:t>
    </w:r>
    <w:r>
      <w:rPr>
        <w:rFonts w:hint="eastAsia"/>
      </w:rPr>
      <w:t>月版本</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5E2123"/>
    <w:multiLevelType w:val="singleLevel"/>
    <w:tmpl w:val="045E2123"/>
    <w:lvl w:ilvl="0" w:tentative="0">
      <w:start w:val="1"/>
      <w:numFmt w:val="decimal"/>
      <w:suff w:val="space"/>
      <w:lvlText w:val="%1."/>
      <w:lvlJc w:val="left"/>
    </w:lvl>
  </w:abstractNum>
  <w:abstractNum w:abstractNumId="1">
    <w:nsid w:val="623A0C42"/>
    <w:multiLevelType w:val="singleLevel"/>
    <w:tmpl w:val="623A0C42"/>
    <w:lvl w:ilvl="0" w:tentative="0">
      <w:start w:val="1"/>
      <w:numFmt w:val="decimal"/>
      <w:suff w:val="space"/>
      <w:lvlText w:val="%1."/>
      <w:lvlJc w:val="left"/>
    </w:lvl>
  </w:abstractNum>
  <w:abstractNum w:abstractNumId="2">
    <w:nsid w:val="682A2D8C"/>
    <w:multiLevelType w:val="singleLevel"/>
    <w:tmpl w:val="682A2D8C"/>
    <w:lvl w:ilvl="0" w:tentative="0">
      <w:start w:val="2"/>
      <w:numFmt w:val="decimal"/>
      <w:suff w:val="space"/>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7DE"/>
    <w:rsid w:val="000050FC"/>
    <w:rsid w:val="00005C3D"/>
    <w:rsid w:val="0000677E"/>
    <w:rsid w:val="00006CCC"/>
    <w:rsid w:val="000105BD"/>
    <w:rsid w:val="000107DA"/>
    <w:rsid w:val="00016B99"/>
    <w:rsid w:val="00025173"/>
    <w:rsid w:val="00026417"/>
    <w:rsid w:val="00031041"/>
    <w:rsid w:val="000438F1"/>
    <w:rsid w:val="000503C5"/>
    <w:rsid w:val="00056767"/>
    <w:rsid w:val="00060AA6"/>
    <w:rsid w:val="0006106C"/>
    <w:rsid w:val="00064A6A"/>
    <w:rsid w:val="00071B82"/>
    <w:rsid w:val="000848D1"/>
    <w:rsid w:val="000B3806"/>
    <w:rsid w:val="000C1654"/>
    <w:rsid w:val="001175D3"/>
    <w:rsid w:val="0012598E"/>
    <w:rsid w:val="00130FCE"/>
    <w:rsid w:val="0013212A"/>
    <w:rsid w:val="001332DF"/>
    <w:rsid w:val="00137380"/>
    <w:rsid w:val="00143551"/>
    <w:rsid w:val="00155109"/>
    <w:rsid w:val="001552B9"/>
    <w:rsid w:val="001615B4"/>
    <w:rsid w:val="00171F71"/>
    <w:rsid w:val="001769F8"/>
    <w:rsid w:val="001830CD"/>
    <w:rsid w:val="001850BD"/>
    <w:rsid w:val="00190607"/>
    <w:rsid w:val="001A5B39"/>
    <w:rsid w:val="001B3510"/>
    <w:rsid w:val="001B3E23"/>
    <w:rsid w:val="001D5AA0"/>
    <w:rsid w:val="001D60B1"/>
    <w:rsid w:val="001E2676"/>
    <w:rsid w:val="001E4CD0"/>
    <w:rsid w:val="001F50ED"/>
    <w:rsid w:val="002051F5"/>
    <w:rsid w:val="00210149"/>
    <w:rsid w:val="00242321"/>
    <w:rsid w:val="00242506"/>
    <w:rsid w:val="002632F5"/>
    <w:rsid w:val="0028432B"/>
    <w:rsid w:val="00293403"/>
    <w:rsid w:val="002A25D2"/>
    <w:rsid w:val="002B4C8C"/>
    <w:rsid w:val="002C69BE"/>
    <w:rsid w:val="002D769E"/>
    <w:rsid w:val="002E11C3"/>
    <w:rsid w:val="002E7E63"/>
    <w:rsid w:val="002F1E16"/>
    <w:rsid w:val="002F20D1"/>
    <w:rsid w:val="002F3514"/>
    <w:rsid w:val="002F7DE7"/>
    <w:rsid w:val="003163DF"/>
    <w:rsid w:val="00324780"/>
    <w:rsid w:val="003368F2"/>
    <w:rsid w:val="00341B8D"/>
    <w:rsid w:val="003553AC"/>
    <w:rsid w:val="0036252C"/>
    <w:rsid w:val="00364A66"/>
    <w:rsid w:val="00367CEB"/>
    <w:rsid w:val="0037262D"/>
    <w:rsid w:val="00381F04"/>
    <w:rsid w:val="00393B33"/>
    <w:rsid w:val="003A28C8"/>
    <w:rsid w:val="003B28A6"/>
    <w:rsid w:val="00414753"/>
    <w:rsid w:val="004237F3"/>
    <w:rsid w:val="00437861"/>
    <w:rsid w:val="00446839"/>
    <w:rsid w:val="00447379"/>
    <w:rsid w:val="00460C79"/>
    <w:rsid w:val="004732F9"/>
    <w:rsid w:val="004817AF"/>
    <w:rsid w:val="00485712"/>
    <w:rsid w:val="00485BF7"/>
    <w:rsid w:val="00490F51"/>
    <w:rsid w:val="0049281E"/>
    <w:rsid w:val="004A133E"/>
    <w:rsid w:val="004C5D3E"/>
    <w:rsid w:val="004E7EB6"/>
    <w:rsid w:val="004F0977"/>
    <w:rsid w:val="004F727C"/>
    <w:rsid w:val="00527457"/>
    <w:rsid w:val="00546D18"/>
    <w:rsid w:val="005556C9"/>
    <w:rsid w:val="005A666C"/>
    <w:rsid w:val="005D2FC9"/>
    <w:rsid w:val="005E3E71"/>
    <w:rsid w:val="005E6154"/>
    <w:rsid w:val="005F767B"/>
    <w:rsid w:val="00603E68"/>
    <w:rsid w:val="00613480"/>
    <w:rsid w:val="00616CC8"/>
    <w:rsid w:val="00620187"/>
    <w:rsid w:val="00621F60"/>
    <w:rsid w:val="00627D11"/>
    <w:rsid w:val="0064330E"/>
    <w:rsid w:val="00652557"/>
    <w:rsid w:val="00681A1B"/>
    <w:rsid w:val="0068517E"/>
    <w:rsid w:val="0068763B"/>
    <w:rsid w:val="006C0044"/>
    <w:rsid w:val="006C7CD1"/>
    <w:rsid w:val="00702B8D"/>
    <w:rsid w:val="00723ECB"/>
    <w:rsid w:val="007363EB"/>
    <w:rsid w:val="007371BC"/>
    <w:rsid w:val="007447AC"/>
    <w:rsid w:val="0074703B"/>
    <w:rsid w:val="007515A1"/>
    <w:rsid w:val="00766473"/>
    <w:rsid w:val="00771BB9"/>
    <w:rsid w:val="007747E4"/>
    <w:rsid w:val="007A3B97"/>
    <w:rsid w:val="007C294D"/>
    <w:rsid w:val="007C6798"/>
    <w:rsid w:val="007D623C"/>
    <w:rsid w:val="007E4E07"/>
    <w:rsid w:val="007F1236"/>
    <w:rsid w:val="007F7CF2"/>
    <w:rsid w:val="00816F71"/>
    <w:rsid w:val="00850346"/>
    <w:rsid w:val="008959D6"/>
    <w:rsid w:val="00896723"/>
    <w:rsid w:val="008A3262"/>
    <w:rsid w:val="008D130C"/>
    <w:rsid w:val="008D36E4"/>
    <w:rsid w:val="008E6C8F"/>
    <w:rsid w:val="008F30B6"/>
    <w:rsid w:val="008F68D1"/>
    <w:rsid w:val="00900C8C"/>
    <w:rsid w:val="009222C0"/>
    <w:rsid w:val="00925BB1"/>
    <w:rsid w:val="00933FE3"/>
    <w:rsid w:val="00945922"/>
    <w:rsid w:val="00945E7A"/>
    <w:rsid w:val="00972B81"/>
    <w:rsid w:val="00984FA9"/>
    <w:rsid w:val="009A1BB6"/>
    <w:rsid w:val="009B08A9"/>
    <w:rsid w:val="009B30A7"/>
    <w:rsid w:val="009B5876"/>
    <w:rsid w:val="009C0C09"/>
    <w:rsid w:val="009E7334"/>
    <w:rsid w:val="009F40E2"/>
    <w:rsid w:val="00A00521"/>
    <w:rsid w:val="00A13740"/>
    <w:rsid w:val="00A23386"/>
    <w:rsid w:val="00A329AF"/>
    <w:rsid w:val="00A46326"/>
    <w:rsid w:val="00A63CB7"/>
    <w:rsid w:val="00A72D96"/>
    <w:rsid w:val="00A760C8"/>
    <w:rsid w:val="00A86B11"/>
    <w:rsid w:val="00AA16B2"/>
    <w:rsid w:val="00AA71F1"/>
    <w:rsid w:val="00AC6083"/>
    <w:rsid w:val="00AC7AC5"/>
    <w:rsid w:val="00AE25F6"/>
    <w:rsid w:val="00AE268F"/>
    <w:rsid w:val="00B05862"/>
    <w:rsid w:val="00B36992"/>
    <w:rsid w:val="00B433A0"/>
    <w:rsid w:val="00B50D14"/>
    <w:rsid w:val="00B510DF"/>
    <w:rsid w:val="00B64ADB"/>
    <w:rsid w:val="00B66C3C"/>
    <w:rsid w:val="00B70468"/>
    <w:rsid w:val="00B72197"/>
    <w:rsid w:val="00B752FE"/>
    <w:rsid w:val="00B8785C"/>
    <w:rsid w:val="00BB16F9"/>
    <w:rsid w:val="00BB3ADB"/>
    <w:rsid w:val="00BB65D6"/>
    <w:rsid w:val="00BB7C94"/>
    <w:rsid w:val="00BB7DB1"/>
    <w:rsid w:val="00BC1273"/>
    <w:rsid w:val="00BC35ED"/>
    <w:rsid w:val="00BC7AC2"/>
    <w:rsid w:val="00BD5718"/>
    <w:rsid w:val="00BE1A28"/>
    <w:rsid w:val="00BF4DAD"/>
    <w:rsid w:val="00C16827"/>
    <w:rsid w:val="00C17A1E"/>
    <w:rsid w:val="00C23837"/>
    <w:rsid w:val="00C34674"/>
    <w:rsid w:val="00C346A7"/>
    <w:rsid w:val="00C5105B"/>
    <w:rsid w:val="00C51481"/>
    <w:rsid w:val="00C550A1"/>
    <w:rsid w:val="00C72967"/>
    <w:rsid w:val="00C76BE3"/>
    <w:rsid w:val="00C92665"/>
    <w:rsid w:val="00C92855"/>
    <w:rsid w:val="00C95679"/>
    <w:rsid w:val="00CC118F"/>
    <w:rsid w:val="00CD0484"/>
    <w:rsid w:val="00D1253F"/>
    <w:rsid w:val="00D23C28"/>
    <w:rsid w:val="00D27146"/>
    <w:rsid w:val="00D31232"/>
    <w:rsid w:val="00D31807"/>
    <w:rsid w:val="00D33BB2"/>
    <w:rsid w:val="00D34DDD"/>
    <w:rsid w:val="00D40E7E"/>
    <w:rsid w:val="00D84314"/>
    <w:rsid w:val="00D947DF"/>
    <w:rsid w:val="00DD6D48"/>
    <w:rsid w:val="00DE0E23"/>
    <w:rsid w:val="00DE54A0"/>
    <w:rsid w:val="00DF6E27"/>
    <w:rsid w:val="00E2002D"/>
    <w:rsid w:val="00E24C37"/>
    <w:rsid w:val="00E250F7"/>
    <w:rsid w:val="00E46CDB"/>
    <w:rsid w:val="00E60901"/>
    <w:rsid w:val="00E65204"/>
    <w:rsid w:val="00E66F07"/>
    <w:rsid w:val="00E735F1"/>
    <w:rsid w:val="00E80D21"/>
    <w:rsid w:val="00E937DE"/>
    <w:rsid w:val="00E94EA1"/>
    <w:rsid w:val="00EB066E"/>
    <w:rsid w:val="00EB2F3C"/>
    <w:rsid w:val="00EB39F0"/>
    <w:rsid w:val="00ED07E6"/>
    <w:rsid w:val="00EE6CAA"/>
    <w:rsid w:val="00EF3787"/>
    <w:rsid w:val="00EF482C"/>
    <w:rsid w:val="00F00CD1"/>
    <w:rsid w:val="00F046EE"/>
    <w:rsid w:val="00F24D76"/>
    <w:rsid w:val="00F31B20"/>
    <w:rsid w:val="00F36DD4"/>
    <w:rsid w:val="00F46155"/>
    <w:rsid w:val="00F47FE1"/>
    <w:rsid w:val="00F529F5"/>
    <w:rsid w:val="00F601C9"/>
    <w:rsid w:val="00F63DCF"/>
    <w:rsid w:val="00F76605"/>
    <w:rsid w:val="00F76B66"/>
    <w:rsid w:val="00F93D11"/>
    <w:rsid w:val="00F96BB6"/>
    <w:rsid w:val="00FB5E03"/>
    <w:rsid w:val="00FD1478"/>
    <w:rsid w:val="00FD2993"/>
    <w:rsid w:val="00FF05AF"/>
    <w:rsid w:val="00FF3AB0"/>
    <w:rsid w:val="01220E84"/>
    <w:rsid w:val="01CE5F3B"/>
    <w:rsid w:val="0239305F"/>
    <w:rsid w:val="03DF4439"/>
    <w:rsid w:val="03F87BE7"/>
    <w:rsid w:val="05CD556E"/>
    <w:rsid w:val="06286368"/>
    <w:rsid w:val="09171878"/>
    <w:rsid w:val="0A373B6D"/>
    <w:rsid w:val="0A741C60"/>
    <w:rsid w:val="0C9C1A42"/>
    <w:rsid w:val="0E063FDD"/>
    <w:rsid w:val="12DD021B"/>
    <w:rsid w:val="147614D3"/>
    <w:rsid w:val="17090146"/>
    <w:rsid w:val="17197D96"/>
    <w:rsid w:val="1ADB1A1A"/>
    <w:rsid w:val="1C4A3993"/>
    <w:rsid w:val="1CCD1E84"/>
    <w:rsid w:val="1D33051A"/>
    <w:rsid w:val="1F1F18FF"/>
    <w:rsid w:val="1F392A76"/>
    <w:rsid w:val="210A51A6"/>
    <w:rsid w:val="22C01E95"/>
    <w:rsid w:val="25DF7AE3"/>
    <w:rsid w:val="266E1C2D"/>
    <w:rsid w:val="276A51EC"/>
    <w:rsid w:val="2B4D4829"/>
    <w:rsid w:val="2C493E89"/>
    <w:rsid w:val="2CA4302C"/>
    <w:rsid w:val="2FB26991"/>
    <w:rsid w:val="2FE55345"/>
    <w:rsid w:val="316F211B"/>
    <w:rsid w:val="32CC52D6"/>
    <w:rsid w:val="33060D42"/>
    <w:rsid w:val="3340484B"/>
    <w:rsid w:val="335B7966"/>
    <w:rsid w:val="3534788B"/>
    <w:rsid w:val="3645473A"/>
    <w:rsid w:val="38C80F97"/>
    <w:rsid w:val="3B2A2297"/>
    <w:rsid w:val="3DD25FAD"/>
    <w:rsid w:val="3E3A53EA"/>
    <w:rsid w:val="3E961DBD"/>
    <w:rsid w:val="3EE12706"/>
    <w:rsid w:val="3F6A4899"/>
    <w:rsid w:val="42CC3000"/>
    <w:rsid w:val="449D5730"/>
    <w:rsid w:val="450223F6"/>
    <w:rsid w:val="46FE7B4F"/>
    <w:rsid w:val="478156FC"/>
    <w:rsid w:val="4A6E00CF"/>
    <w:rsid w:val="4E2F15F1"/>
    <w:rsid w:val="4E545988"/>
    <w:rsid w:val="4E6D5E84"/>
    <w:rsid w:val="4EF22B42"/>
    <w:rsid w:val="50161982"/>
    <w:rsid w:val="57410D47"/>
    <w:rsid w:val="594F42E4"/>
    <w:rsid w:val="597E77BA"/>
    <w:rsid w:val="5A273F0C"/>
    <w:rsid w:val="5A866748"/>
    <w:rsid w:val="5BA91053"/>
    <w:rsid w:val="5BBF4D92"/>
    <w:rsid w:val="5D9A5640"/>
    <w:rsid w:val="5E5512FB"/>
    <w:rsid w:val="5EE84E75"/>
    <w:rsid w:val="626C2134"/>
    <w:rsid w:val="62D95485"/>
    <w:rsid w:val="669A301A"/>
    <w:rsid w:val="69545BB2"/>
    <w:rsid w:val="69904A9A"/>
    <w:rsid w:val="6ADE25F0"/>
    <w:rsid w:val="6D7E74BE"/>
    <w:rsid w:val="6E2D219B"/>
    <w:rsid w:val="714527E9"/>
    <w:rsid w:val="717D03D8"/>
    <w:rsid w:val="74656C19"/>
    <w:rsid w:val="75D32807"/>
    <w:rsid w:val="76985210"/>
    <w:rsid w:val="77F570B1"/>
    <w:rsid w:val="7A8A7E14"/>
    <w:rsid w:val="7B75497C"/>
    <w:rsid w:val="7BDB7DDB"/>
    <w:rsid w:val="7D402603"/>
    <w:rsid w:val="7E931BE6"/>
    <w:rsid w:val="7F3E5A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unhideWhenUsed/>
    <w:qFormat/>
    <w:uiPriority w:val="1"/>
  </w:style>
  <w:style w:type="table" w:default="1" w:styleId="11">
    <w:name w:val="Normal Table"/>
    <w:unhideWhenUsed/>
    <w:qFormat/>
    <w:uiPriority w:val="99"/>
    <w:tblPr>
      <w:tblLayout w:type="fixed"/>
      <w:tblCellMar>
        <w:top w:w="0" w:type="dxa"/>
        <w:left w:w="108" w:type="dxa"/>
        <w:bottom w:w="0" w:type="dxa"/>
        <w:right w:w="108" w:type="dxa"/>
      </w:tblCellMar>
    </w:tblPr>
  </w:style>
  <w:style w:type="paragraph" w:styleId="2">
    <w:name w:val="annotation subject"/>
    <w:basedOn w:val="3"/>
    <w:next w:val="3"/>
    <w:link w:val="18"/>
    <w:unhideWhenUsed/>
    <w:qFormat/>
    <w:uiPriority w:val="99"/>
    <w:rPr>
      <w:b/>
      <w:bCs/>
    </w:rPr>
  </w:style>
  <w:style w:type="paragraph" w:styleId="3">
    <w:name w:val="annotation text"/>
    <w:basedOn w:val="1"/>
    <w:link w:val="17"/>
    <w:unhideWhenUsed/>
    <w:qFormat/>
    <w:uiPriority w:val="99"/>
    <w:pPr>
      <w:jc w:val="left"/>
    </w:pPr>
  </w:style>
  <w:style w:type="paragraph" w:styleId="4">
    <w:name w:val="Body Text Indent"/>
    <w:basedOn w:val="1"/>
    <w:link w:val="13"/>
    <w:unhideWhenUsed/>
    <w:qFormat/>
    <w:uiPriority w:val="99"/>
    <w:pPr>
      <w:ind w:firstLine="560" w:firstLineChars="200"/>
    </w:pPr>
    <w:rPr>
      <w:rFonts w:ascii="Times New Roman" w:hAnsi="Times New Roman"/>
      <w:sz w:val="28"/>
      <w:szCs w:val="24"/>
    </w:rPr>
  </w:style>
  <w:style w:type="paragraph" w:styleId="5">
    <w:name w:val="Balloon Text"/>
    <w:basedOn w:val="1"/>
    <w:link w:val="19"/>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0"/>
    <w:pPr>
      <w:spacing w:beforeAutospacing="1" w:afterAutospacing="1"/>
      <w:jc w:val="left"/>
    </w:pPr>
    <w:rPr>
      <w:kern w:val="0"/>
      <w:sz w:val="24"/>
    </w:rPr>
  </w:style>
  <w:style w:type="character" w:styleId="10">
    <w:name w:val="annotation reference"/>
    <w:unhideWhenUsed/>
    <w:qFormat/>
    <w:uiPriority w:val="99"/>
    <w:rPr>
      <w:sz w:val="21"/>
      <w:szCs w:val="21"/>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3">
    <w:name w:val="正文文本缩进 Char"/>
    <w:link w:val="4"/>
    <w:qFormat/>
    <w:uiPriority w:val="0"/>
    <w:rPr>
      <w:rFonts w:ascii="Times New Roman" w:hAnsi="Times New Roman"/>
      <w:kern w:val="2"/>
      <w:sz w:val="28"/>
      <w:szCs w:val="24"/>
    </w:rPr>
  </w:style>
  <w:style w:type="paragraph" w:customStyle="1" w:styleId="14">
    <w:name w:val="特点"/>
    <w:basedOn w:val="1"/>
    <w:next w:val="4"/>
    <w:qFormat/>
    <w:uiPriority w:val="0"/>
    <w:pPr>
      <w:spacing w:line="300" w:lineRule="exact"/>
      <w:ind w:right="26" w:firstLine="435"/>
    </w:pPr>
    <w:rPr>
      <w:rFonts w:ascii="Times New Roman" w:hAnsi="Times New Roman" w:eastAsia="黑体"/>
      <w:sz w:val="18"/>
      <w:szCs w:val="24"/>
    </w:rPr>
  </w:style>
  <w:style w:type="character" w:customStyle="1" w:styleId="15">
    <w:name w:val="页眉 Char"/>
    <w:basedOn w:val="9"/>
    <w:link w:val="7"/>
    <w:qFormat/>
    <w:uiPriority w:val="99"/>
    <w:rPr>
      <w:kern w:val="2"/>
      <w:sz w:val="18"/>
      <w:szCs w:val="18"/>
    </w:rPr>
  </w:style>
  <w:style w:type="character" w:customStyle="1" w:styleId="16">
    <w:name w:val="页脚 Char"/>
    <w:basedOn w:val="9"/>
    <w:link w:val="6"/>
    <w:qFormat/>
    <w:uiPriority w:val="99"/>
    <w:rPr>
      <w:kern w:val="2"/>
      <w:sz w:val="18"/>
      <w:szCs w:val="18"/>
    </w:rPr>
  </w:style>
  <w:style w:type="character" w:customStyle="1" w:styleId="17">
    <w:name w:val="批注文字 Char"/>
    <w:basedOn w:val="9"/>
    <w:link w:val="3"/>
    <w:semiHidden/>
    <w:qFormat/>
    <w:uiPriority w:val="99"/>
    <w:rPr>
      <w:kern w:val="2"/>
      <w:sz w:val="21"/>
      <w:szCs w:val="22"/>
    </w:rPr>
  </w:style>
  <w:style w:type="character" w:customStyle="1" w:styleId="18">
    <w:name w:val="批注主题 Char"/>
    <w:basedOn w:val="17"/>
    <w:link w:val="2"/>
    <w:semiHidden/>
    <w:qFormat/>
    <w:uiPriority w:val="99"/>
    <w:rPr>
      <w:b/>
      <w:bCs/>
      <w:kern w:val="2"/>
      <w:sz w:val="21"/>
      <w:szCs w:val="22"/>
    </w:rPr>
  </w:style>
  <w:style w:type="character" w:customStyle="1" w:styleId="19">
    <w:name w:val="批注框文本 Char"/>
    <w:basedOn w:val="9"/>
    <w:link w:val="5"/>
    <w:semiHidden/>
    <w:qFormat/>
    <w:uiPriority w:val="99"/>
    <w:rPr>
      <w:kern w:val="2"/>
      <w:sz w:val="18"/>
      <w:szCs w:val="18"/>
    </w:rPr>
  </w:style>
  <w:style w:type="paragraph" w:customStyle="1" w:styleId="20">
    <w:name w:val="List Paragraph"/>
    <w:basedOn w:val="1"/>
    <w:qFormat/>
    <w:uiPriority w:val="99"/>
    <w:pPr>
      <w:ind w:firstLine="420" w:firstLineChars="200"/>
    </w:pPr>
    <w:rPr>
      <w:rFonts w:ascii="Times New Roman" w:hAnsi="Times New Roman"/>
      <w:szCs w:val="20"/>
    </w:rPr>
  </w:style>
  <w:style w:type="paragraph" w:customStyle="1" w:styleId="21">
    <w:name w:val="Revision"/>
    <w:hidden/>
    <w:semiHidden/>
    <w:qFormat/>
    <w:uiPriority w:val="99"/>
    <w:rPr>
      <w:rFonts w:ascii="Times New Roman" w:hAnsi="Times New Roman" w:eastAsia="宋体" w:cs="Times New Roman"/>
      <w:kern w:val="2"/>
      <w:sz w:val="21"/>
      <w:lang w:val="en-US" w:eastAsia="zh-CN" w:bidi="ar-SA"/>
    </w:rPr>
  </w:style>
  <w:style w:type="paragraph" w:customStyle="1" w:styleId="2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3">
    <w:name w:val="列出段落1"/>
    <w:basedOn w:val="1"/>
    <w:qFormat/>
    <w:uiPriority w:val="34"/>
    <w:pPr>
      <w:ind w:firstLine="420" w:firstLineChars="200"/>
    </w:pPr>
  </w:style>
  <w:style w:type="paragraph" w:customStyle="1" w:styleId="24">
    <w:name w:val="列出段落3"/>
    <w:basedOn w:val="1"/>
    <w:qFormat/>
    <w:uiPriority w:val="34"/>
    <w:pPr>
      <w:ind w:firstLine="420" w:firstLineChars="200"/>
    </w:pPr>
  </w:style>
  <w:style w:type="paragraph" w:customStyle="1" w:styleId="25">
    <w:name w:val="列出段落4"/>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C83C816-5736-493C-9533-07A1BCDEFE28}">
  <ds:schemaRefs/>
</ds:datastoreItem>
</file>

<file path=docProps/app.xml><?xml version="1.0" encoding="utf-8"?>
<Properties xmlns="http://schemas.openxmlformats.org/officeDocument/2006/extended-properties" xmlns:vt="http://schemas.openxmlformats.org/officeDocument/2006/docPropsVTypes">
  <Template>Normal</Template>
  <Pages>13</Pages>
  <Words>17895</Words>
  <Characters>18392</Characters>
  <Lines>34</Lines>
  <Paragraphs>9</Paragraphs>
  <ScaleCrop>false</ScaleCrop>
  <LinksUpToDate>false</LinksUpToDate>
  <CharactersWithSpaces>18700</CharactersWithSpaces>
  <Application>WPS Office_10.8.0.6157_F1E327BC-269C-435d-A152-05C5408002CA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2020-08-26T03:34:00Z</dcterms:created>
  <dc:creator>冯静雅(null)</dc:creator>
  <cp:lastModifiedBy>Administrator</cp:lastModifiedBy>
  <cp:lastPrinted>2025-05-26T08:55:00Z</cp:lastPrinted>
  <dcterms:modified xsi:type="dcterms:W3CDTF">2026-03-31T07:08:38Z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y fmtid="{D5CDD505-2E9C-101B-9397-08002B2CF9AE}" pid="3" name="ICV">
    <vt:lpwstr>F5D7A5B49496439A8088C6B3AA217ED8</vt:lpwstr>
  </property>
</Properties>
</file>