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11.0 -->
  <w:body>
    <w:p w:rsidR="008B0A7D">
      <w:pPr>
        <w:autoSpaceDE w:val="0"/>
        <w:autoSpaceDN w:val="0"/>
        <w:adjustRightInd w:val="0"/>
        <w:jc w:val="center"/>
        <w:rPr>
          <w:rFonts w:ascii="黑体" w:eastAsia="黑体" w:hAnsi="宋体"/>
          <w:b/>
          <w:sz w:val="44"/>
          <w:szCs w:val="44"/>
        </w:rPr>
      </w:pPr>
      <w:bookmarkStart w:id="0" w:name="_GoBack"/>
      <w:bookmarkEnd w:id="0"/>
      <w:r>
        <w:rPr>
          <w:rFonts w:ascii="黑体" w:eastAsia="黑体" w:hAnsi="宋体" w:hint="eastAsia"/>
          <w:b/>
          <w:sz w:val="44"/>
          <w:szCs w:val="44"/>
        </w:rPr>
        <w:t>宁银理财宁欣日日薪固定收益类日开理财</w:t>
      </w:r>
      <w:r>
        <w:rPr>
          <w:rFonts w:ascii="黑体" w:eastAsia="黑体" w:hAnsi="宋体" w:hint="eastAsia"/>
          <w:b/>
          <w:sz w:val="44"/>
          <w:szCs w:val="44"/>
        </w:rPr>
        <w:t>81</w:t>
      </w:r>
      <w:r>
        <w:rPr>
          <w:rFonts w:ascii="黑体" w:eastAsia="黑体" w:hAnsi="宋体" w:hint="eastAsia"/>
          <w:b/>
          <w:sz w:val="44"/>
          <w:szCs w:val="44"/>
        </w:rPr>
        <w:t>号（最短持有</w:t>
      </w:r>
      <w:r>
        <w:rPr>
          <w:rFonts w:ascii="黑体" w:eastAsia="黑体" w:hAnsi="宋体" w:hint="eastAsia"/>
          <w:b/>
          <w:sz w:val="44"/>
          <w:szCs w:val="44"/>
        </w:rPr>
        <w:t>14</w:t>
      </w:r>
      <w:r>
        <w:rPr>
          <w:rFonts w:ascii="黑体" w:eastAsia="黑体" w:hAnsi="宋体" w:hint="eastAsia"/>
          <w:b/>
          <w:sz w:val="44"/>
          <w:szCs w:val="44"/>
        </w:rPr>
        <w:t>天）产品说明书</w:t>
      </w:r>
    </w:p>
    <w:p w:rsidR="008B0A7D">
      <w:pPr>
        <w:spacing w:line="312" w:lineRule="auto"/>
        <w:jc w:val="center"/>
        <w:rPr>
          <w:rFonts w:ascii="黑体" w:eastAsia="黑体" w:hAnsi="黑体"/>
          <w:sz w:val="44"/>
          <w:szCs w:val="44"/>
        </w:rPr>
      </w:pPr>
      <w:r>
        <w:rPr>
          <w:rFonts w:ascii="黑体" w:eastAsia="黑体" w:hAnsi="黑体" w:hint="eastAsia"/>
          <w:sz w:val="24"/>
        </w:rPr>
        <w:t>（</w:t>
      </w:r>
      <w:r>
        <w:rPr>
          <w:rFonts w:ascii="黑体" w:eastAsia="黑体" w:hAnsi="黑体"/>
          <w:sz w:val="24"/>
        </w:rPr>
        <w:t>202</w:t>
      </w:r>
      <w:r>
        <w:rPr>
          <w:rFonts w:ascii="黑体" w:eastAsia="黑体" w:hAnsi="黑体" w:hint="eastAsia"/>
          <w:sz w:val="24"/>
        </w:rPr>
        <w:t>602</w:t>
      </w:r>
      <w:r>
        <w:rPr>
          <w:rFonts w:ascii="黑体" w:eastAsia="黑体" w:hAnsi="黑体" w:hint="eastAsia"/>
          <w:sz w:val="24"/>
        </w:rPr>
        <w:t>版</w:t>
      </w:r>
      <w:r>
        <w:rPr>
          <w:rFonts w:ascii="黑体" w:eastAsia="黑体" w:hAnsi="黑体"/>
          <w:sz w:val="24"/>
        </w:rPr>
        <w:t>/</w:t>
      </w:r>
      <w:r>
        <w:rPr>
          <w:rFonts w:ascii="黑体" w:eastAsia="黑体" w:hAnsi="黑体" w:hint="eastAsia"/>
          <w:sz w:val="24"/>
        </w:rPr>
        <w:t>适用于最短持有期开放式</w:t>
      </w:r>
      <w:r>
        <w:rPr>
          <w:rFonts w:ascii="黑体" w:eastAsia="黑体" w:hAnsi="黑体"/>
          <w:sz w:val="24"/>
        </w:rPr>
        <w:t>净值型理财</w:t>
      </w:r>
      <w:r>
        <w:rPr>
          <w:rFonts w:ascii="黑体" w:eastAsia="黑体" w:hAnsi="黑体" w:hint="eastAsia"/>
          <w:sz w:val="24"/>
        </w:rPr>
        <w:t>产品）</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一、重要说明</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hint="eastAsia"/>
          <w:kern w:val="0"/>
          <w:szCs w:val="21"/>
        </w:rPr>
        <w:t>、《宁银理财宁欣日日薪固定收益类日开理财</w:t>
      </w:r>
      <w:r>
        <w:rPr>
          <w:rFonts w:ascii="黑体" w:eastAsia="黑体" w:hAnsi="黑体" w:cs="黑体" w:hint="eastAsia"/>
          <w:kern w:val="0"/>
          <w:szCs w:val="21"/>
        </w:rPr>
        <w:t>81</w:t>
      </w:r>
      <w:r>
        <w:rPr>
          <w:rFonts w:ascii="黑体" w:eastAsia="黑体" w:hAnsi="黑体" w:cs="黑体" w:hint="eastAsia"/>
          <w:kern w:val="0"/>
          <w:szCs w:val="21"/>
        </w:rPr>
        <w:t>号（最短持有</w:t>
      </w:r>
      <w:r>
        <w:rPr>
          <w:rFonts w:ascii="黑体" w:eastAsia="黑体" w:hAnsi="黑体" w:cs="黑体" w:hint="eastAsia"/>
          <w:kern w:val="0"/>
          <w:szCs w:val="21"/>
        </w:rPr>
        <w:t>14</w:t>
      </w:r>
      <w:r>
        <w:rPr>
          <w:rFonts w:ascii="黑体" w:eastAsia="黑体" w:hAnsi="黑体" w:cs="黑体" w:hint="eastAsia"/>
          <w:kern w:val="0"/>
          <w:szCs w:val="21"/>
        </w:rPr>
        <w:t>天）</w:t>
      </w:r>
      <w:r>
        <w:rPr>
          <w:rFonts w:ascii="黑体" w:eastAsia="黑体" w:hAnsi="黑体" w:cs="黑体"/>
          <w:kern w:val="0"/>
          <w:szCs w:val="21"/>
        </w:rPr>
        <w:t>产品说明书</w:t>
      </w:r>
      <w:r>
        <w:rPr>
          <w:rFonts w:ascii="黑体" w:eastAsia="黑体" w:hAnsi="黑体" w:cs="黑体" w:hint="eastAsia"/>
          <w:kern w:val="0"/>
          <w:szCs w:val="21"/>
        </w:rPr>
        <w:t>》（下称</w:t>
      </w:r>
      <w:r>
        <w:rPr>
          <w:rFonts w:ascii="黑体" w:eastAsia="黑体" w:hAnsi="黑体" w:cs="黑体"/>
          <w:kern w:val="0"/>
          <w:szCs w:val="21"/>
        </w:rPr>
        <w:t>“</w:t>
      </w:r>
      <w:r>
        <w:rPr>
          <w:rFonts w:ascii="黑体" w:eastAsia="黑体" w:hAnsi="黑体" w:cs="黑体" w:hint="eastAsia"/>
          <w:kern w:val="0"/>
          <w:szCs w:val="21"/>
        </w:rPr>
        <w:t>本</w:t>
      </w:r>
      <w:r>
        <w:rPr>
          <w:rFonts w:ascii="黑体" w:eastAsia="黑体" w:hAnsi="黑体" w:cs="黑体"/>
          <w:kern w:val="0"/>
          <w:szCs w:val="21"/>
        </w:rPr>
        <w:t>说明</w:t>
      </w:r>
      <w:r>
        <w:rPr>
          <w:rFonts w:ascii="黑体" w:eastAsia="黑体" w:hAnsi="黑体" w:cs="黑体" w:hint="eastAsia"/>
          <w:kern w:val="0"/>
          <w:szCs w:val="21"/>
        </w:rPr>
        <w:t>书</w:t>
      </w:r>
      <w:r>
        <w:rPr>
          <w:rFonts w:ascii="黑体" w:eastAsia="黑体" w:hAnsi="黑体" w:cs="黑体"/>
          <w:kern w:val="0"/>
          <w:szCs w:val="21"/>
        </w:rPr>
        <w:t>”</w:t>
      </w:r>
      <w:r>
        <w:rPr>
          <w:rFonts w:ascii="黑体" w:eastAsia="黑体" w:hAnsi="黑体" w:cs="黑体" w:hint="eastAsia"/>
          <w:kern w:val="0"/>
          <w:szCs w:val="21"/>
        </w:rPr>
        <w:t>或《理财产品说明书》）与本理财产品的《风险揭示书》、《销售（代理销售）协议书》（通过代理销售机构销售的，文件具体名称以代理销售机构为准，下同）、《投资协议书》、《投资者权益须知》等理财产品销售文件共同构成一份完整且不可分割的、关于甲方所投资乙方理财产品的全部协议。若本说明书与上述</w:t>
      </w:r>
      <w:r>
        <w:rPr>
          <w:rFonts w:ascii="黑体" w:eastAsia="黑体" w:hAnsi="黑体" w:cs="黑体"/>
          <w:kern w:val="0"/>
          <w:szCs w:val="21"/>
        </w:rPr>
        <w:t>其他文本</w:t>
      </w:r>
      <w:r>
        <w:rPr>
          <w:rFonts w:ascii="黑体" w:eastAsia="黑体" w:hAnsi="黑体" w:cs="黑体" w:hint="eastAsia"/>
          <w:kern w:val="0"/>
          <w:szCs w:val="21"/>
        </w:rPr>
        <w:t>有不一致之处，以本说明书为准。</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kern w:val="0"/>
          <w:szCs w:val="21"/>
        </w:rPr>
        <w:t>、</w:t>
      </w:r>
      <w:r>
        <w:rPr>
          <w:rFonts w:ascii="黑体" w:eastAsia="黑体" w:hAnsi="黑体" w:cs="黑体" w:hint="eastAsia"/>
          <w:kern w:val="0"/>
          <w:szCs w:val="21"/>
        </w:rPr>
        <w:t>宁银理财</w:t>
      </w:r>
      <w:r>
        <w:rPr>
          <w:rFonts w:ascii="黑体" w:eastAsia="黑体" w:hAnsi="黑体" w:cs="黑体"/>
          <w:kern w:val="0"/>
          <w:szCs w:val="21"/>
        </w:rPr>
        <w:t>有限责任</w:t>
      </w:r>
      <w:r>
        <w:rPr>
          <w:rFonts w:ascii="黑体" w:eastAsia="黑体" w:hAnsi="黑体" w:cs="黑体" w:hint="eastAsia"/>
          <w:kern w:val="0"/>
          <w:szCs w:val="21"/>
        </w:rPr>
        <w:t>公司（下称“产品</w:t>
      </w:r>
      <w:r>
        <w:rPr>
          <w:rFonts w:ascii="黑体" w:eastAsia="黑体" w:hAnsi="黑体" w:cs="黑体"/>
          <w:kern w:val="0"/>
          <w:szCs w:val="21"/>
        </w:rPr>
        <w:t>管理人</w:t>
      </w:r>
      <w:r>
        <w:rPr>
          <w:rFonts w:ascii="黑体" w:eastAsia="黑体" w:hAnsi="黑体" w:cs="黑体"/>
          <w:kern w:val="0"/>
          <w:szCs w:val="21"/>
        </w:rPr>
        <w:t>”</w:t>
      </w:r>
      <w:r>
        <w:rPr>
          <w:rFonts w:ascii="黑体" w:eastAsia="黑体" w:hAnsi="黑体" w:cs="黑体" w:hint="eastAsia"/>
          <w:kern w:val="0"/>
          <w:szCs w:val="21"/>
        </w:rPr>
        <w:t>）代理投资者进行理财资金的投资和管理，并严格遵照本说明书所载的内容进行操作。</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3</w:t>
      </w:r>
      <w:r>
        <w:rPr>
          <w:rFonts w:ascii="黑体" w:eastAsia="黑体" w:hAnsi="黑体" w:cs="黑体"/>
          <w:kern w:val="0"/>
          <w:szCs w:val="21"/>
        </w:rPr>
        <w:t>、</w:t>
      </w:r>
      <w:r>
        <w:rPr>
          <w:rFonts w:ascii="黑体" w:eastAsia="黑体" w:hAnsi="黑体" w:cs="黑体" w:hint="eastAsia"/>
          <w:kern w:val="0"/>
          <w:szCs w:val="21"/>
        </w:rPr>
        <w:t>产品</w:t>
      </w:r>
      <w:r>
        <w:rPr>
          <w:rFonts w:ascii="黑体" w:eastAsia="黑体" w:hAnsi="黑体" w:cs="黑体"/>
          <w:kern w:val="0"/>
          <w:szCs w:val="21"/>
        </w:rPr>
        <w:t>管理人</w:t>
      </w:r>
      <w:r>
        <w:rPr>
          <w:rFonts w:ascii="黑体" w:eastAsia="黑体" w:hAnsi="黑体" w:cs="黑体" w:hint="eastAsia"/>
          <w:kern w:val="0"/>
          <w:szCs w:val="21"/>
        </w:rPr>
        <w:t>对本说明书具有解释权。</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4</w:t>
      </w:r>
      <w:r>
        <w:rPr>
          <w:rFonts w:ascii="黑体" w:eastAsia="黑体" w:hAnsi="黑体" w:cs="黑体"/>
          <w:b/>
          <w:kern w:val="0"/>
          <w:szCs w:val="21"/>
        </w:rPr>
        <w:t>、理财产品过往业绩不代表其未来</w:t>
      </w:r>
      <w:r>
        <w:rPr>
          <w:rFonts w:ascii="黑体" w:eastAsia="黑体" w:hAnsi="黑体" w:cs="黑体"/>
          <w:b/>
          <w:kern w:val="0"/>
          <w:szCs w:val="21"/>
        </w:rPr>
        <w:t>表现，不等于理财产品实际收益，投资须谨慎。</w:t>
      </w:r>
    </w:p>
    <w:p w:rsidR="008B0A7D">
      <w:pPr>
        <w:autoSpaceDE w:val="0"/>
        <w:autoSpaceDN w:val="0"/>
        <w:adjustRightInd w:val="0"/>
        <w:ind w:firstLine="447" w:firstLineChars="213"/>
        <w:jc w:val="left"/>
        <w:rPr>
          <w:rFonts w:ascii="黑体" w:eastAsia="黑体" w:hAnsi="黑体" w:cs="黑体"/>
          <w:kern w:val="0"/>
          <w:szCs w:val="21"/>
        </w:rPr>
      </w:pP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二</w:t>
      </w:r>
      <w:r>
        <w:rPr>
          <w:rFonts w:ascii="黑体" w:eastAsia="黑体" w:hAnsi="黑体" w:cs="黑体"/>
          <w:b/>
          <w:kern w:val="0"/>
          <w:szCs w:val="21"/>
        </w:rPr>
        <w:t>、</w:t>
      </w:r>
      <w:r>
        <w:rPr>
          <w:rFonts w:ascii="黑体" w:eastAsia="黑体" w:hAnsi="黑体" w:cs="黑体" w:hint="eastAsia"/>
          <w:b/>
          <w:kern w:val="0"/>
          <w:szCs w:val="21"/>
        </w:rPr>
        <w:t>产品要素</w:t>
      </w:r>
    </w:p>
    <w:tbl>
      <w:tblPr>
        <w:tblStyle w:val="TableGrid"/>
        <w:tblW w:w="0" w:type="auto"/>
        <w:tblLook w:val="04A0"/>
      </w:tblPr>
      <w:tblGrid>
        <w:gridCol w:w="1838"/>
        <w:gridCol w:w="6458"/>
      </w:tblGrid>
      <w:tr>
        <w:tblPrEx>
          <w:tblW w:w="0" w:type="auto"/>
          <w:tblLook w:val="04A0"/>
        </w:tblPrEx>
        <w:tc>
          <w:tcPr>
            <w:tcW w:w="183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产品代码</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ZGN25600</w:t>
            </w:r>
            <w:r>
              <w:rPr>
                <w:rFonts w:ascii="黑体" w:eastAsia="黑体" w:hAnsi="黑体" w:cs="黑体"/>
                <w:kern w:val="0"/>
                <w:szCs w:val="21"/>
              </w:rPr>
              <w:t>81</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全国</w:t>
            </w:r>
            <w:r>
              <w:rPr>
                <w:rFonts w:ascii="黑体" w:eastAsia="黑体" w:hAnsi="黑体" w:cs="黑体"/>
                <w:kern w:val="0"/>
                <w:szCs w:val="21"/>
              </w:rPr>
              <w:t>银行业</w:t>
            </w:r>
            <w:r>
              <w:rPr>
                <w:rFonts w:ascii="黑体" w:eastAsia="黑体" w:hAnsi="黑体" w:cs="黑体" w:hint="eastAsia"/>
                <w:kern w:val="0"/>
                <w:szCs w:val="21"/>
              </w:rPr>
              <w:t>信息</w:t>
            </w:r>
            <w:r>
              <w:rPr>
                <w:rFonts w:ascii="黑体" w:eastAsia="黑体" w:hAnsi="黑体" w:cs="黑体"/>
                <w:kern w:val="0"/>
                <w:szCs w:val="21"/>
              </w:rPr>
              <w:t>登记系统编码</w:t>
            </w:r>
          </w:p>
        </w:tc>
        <w:tc>
          <w:tcPr>
            <w:tcW w:w="6458" w:type="dxa"/>
          </w:tcPr>
          <w:p w:rsidR="008B0A7D">
            <w:pPr>
              <w:autoSpaceDE w:val="0"/>
              <w:autoSpaceDN w:val="0"/>
              <w:adjustRightInd w:val="0"/>
              <w:jc w:val="left"/>
              <w:rPr>
                <w:rFonts w:ascii="Arial" w:hAnsi="Arial" w:cs="Arial"/>
                <w:sz w:val="20"/>
                <w:szCs w:val="20"/>
              </w:rPr>
            </w:pPr>
            <w:r>
              <w:rPr>
                <w:rFonts w:ascii="Arial" w:hAnsi="Arial" w:cs="Arial"/>
                <w:sz w:val="20"/>
                <w:szCs w:val="20"/>
              </w:rPr>
              <w:t>Z7002125000494</w:t>
            </w:r>
          </w:p>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凭此编码可在“中国理财网（</w:t>
            </w:r>
            <w:r>
              <w:rPr>
                <w:rFonts w:ascii="黑体" w:eastAsia="黑体" w:hAnsi="黑体" w:cs="黑体"/>
                <w:kern w:val="0"/>
                <w:szCs w:val="21"/>
              </w:rPr>
              <w:t>www.chinawealth.com.cn</w:t>
            </w:r>
            <w:r>
              <w:rPr>
                <w:rFonts w:ascii="黑体" w:eastAsia="黑体" w:hAnsi="黑体" w:cs="黑体"/>
                <w:kern w:val="0"/>
                <w:szCs w:val="21"/>
              </w:rPr>
              <w:t>）</w:t>
            </w:r>
            <w:r>
              <w:rPr>
                <w:rFonts w:ascii="黑体" w:eastAsia="黑体" w:hAnsi="黑体" w:cs="黑体"/>
                <w:kern w:val="0"/>
                <w:szCs w:val="21"/>
              </w:rPr>
              <w:t>”</w:t>
            </w:r>
            <w:r>
              <w:rPr>
                <w:rFonts w:ascii="黑体" w:eastAsia="黑体" w:hAnsi="黑体" w:cs="黑体"/>
                <w:kern w:val="0"/>
                <w:szCs w:val="21"/>
              </w:rPr>
              <w:t>上查询</w:t>
            </w:r>
            <w:r>
              <w:rPr>
                <w:rFonts w:ascii="黑体" w:eastAsia="黑体" w:hAnsi="黑体" w:cs="黑体" w:hint="eastAsia"/>
                <w:kern w:val="0"/>
                <w:szCs w:val="21"/>
              </w:rPr>
              <w:t>本产品信息</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产品</w:t>
            </w:r>
            <w:r>
              <w:rPr>
                <w:rFonts w:ascii="黑体" w:eastAsia="黑体" w:hAnsi="黑体" w:cs="黑体"/>
                <w:kern w:val="0"/>
                <w:szCs w:val="21"/>
              </w:rPr>
              <w:t>名称</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宁银理财宁欣日日薪固定收益类日开理财</w:t>
            </w:r>
            <w:r>
              <w:rPr>
                <w:rFonts w:ascii="黑体" w:eastAsia="黑体" w:hAnsi="黑体" w:cs="黑体" w:hint="eastAsia"/>
                <w:kern w:val="0"/>
                <w:szCs w:val="21"/>
              </w:rPr>
              <w:t>81</w:t>
            </w:r>
            <w:r>
              <w:rPr>
                <w:rFonts w:ascii="黑体" w:eastAsia="黑体" w:hAnsi="黑体" w:cs="黑体" w:hint="eastAsia"/>
                <w:kern w:val="0"/>
                <w:szCs w:val="21"/>
              </w:rPr>
              <w:t>号（最短持有</w:t>
            </w:r>
            <w:r>
              <w:rPr>
                <w:rFonts w:ascii="黑体" w:eastAsia="黑体" w:hAnsi="黑体" w:cs="黑体" w:hint="eastAsia"/>
                <w:kern w:val="0"/>
                <w:szCs w:val="21"/>
              </w:rPr>
              <w:t>14</w:t>
            </w:r>
            <w:r>
              <w:rPr>
                <w:rFonts w:ascii="黑体" w:eastAsia="黑体" w:hAnsi="黑体" w:cs="黑体" w:hint="eastAsia"/>
                <w:kern w:val="0"/>
                <w:szCs w:val="21"/>
              </w:rPr>
              <w:t>天）</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产品</w:t>
            </w:r>
            <w:r>
              <w:rPr>
                <w:rFonts w:ascii="黑体" w:eastAsia="黑体" w:hAnsi="黑体" w:cs="黑体"/>
                <w:kern w:val="0"/>
                <w:szCs w:val="21"/>
              </w:rPr>
              <w:t>类型</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固定收益类、非保本浮动收益型</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募集</w:t>
            </w:r>
            <w:r>
              <w:rPr>
                <w:rFonts w:ascii="黑体" w:eastAsia="黑体" w:hAnsi="黑体" w:cs="黑体"/>
                <w:kern w:val="0"/>
                <w:szCs w:val="21"/>
              </w:rPr>
              <w:t>方式</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公募</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产品</w:t>
            </w:r>
            <w:r>
              <w:rPr>
                <w:rFonts w:ascii="黑体" w:eastAsia="黑体" w:hAnsi="黑体" w:cs="黑体"/>
                <w:kern w:val="0"/>
                <w:szCs w:val="21"/>
              </w:rPr>
              <w:t>评级</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b/>
                <w:kern w:val="0"/>
                <w:szCs w:val="21"/>
              </w:rPr>
              <w:t>PR2</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在产品存续期间，当市场环境等因素发生变化时，产品管理人可能对产品风险评级进行调整，具体以届时信息披露公告为准。</w:t>
            </w:r>
          </w:p>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本评级</w:t>
            </w:r>
            <w:r>
              <w:rPr>
                <w:rFonts w:ascii="黑体" w:eastAsia="黑体" w:hAnsi="黑体" w:cs="黑体"/>
                <w:kern w:val="0"/>
                <w:szCs w:val="21"/>
              </w:rPr>
              <w:t>为</w:t>
            </w:r>
            <w:r>
              <w:rPr>
                <w:rFonts w:ascii="黑体" w:eastAsia="黑体" w:hAnsi="黑体" w:cs="黑体" w:hint="eastAsia"/>
                <w:kern w:val="0"/>
                <w:szCs w:val="21"/>
              </w:rPr>
              <w:t>产品</w:t>
            </w:r>
            <w:r>
              <w:rPr>
                <w:rFonts w:ascii="黑体" w:eastAsia="黑体" w:hAnsi="黑体" w:cs="黑体"/>
                <w:kern w:val="0"/>
                <w:szCs w:val="21"/>
              </w:rPr>
              <w:t>管理人内部评级，仅供参考</w:t>
            </w:r>
            <w:r>
              <w:rPr>
                <w:rFonts w:ascii="黑体" w:eastAsia="黑体" w:hAnsi="黑体" w:cs="黑体" w:hint="eastAsia"/>
                <w:kern w:val="0"/>
                <w:szCs w:val="21"/>
              </w:rPr>
              <w:t>。该产品通过代理销售机构渠道销售的，理财产品评级应当以代理销售机构最终披露的评级结果为准。</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目标</w:t>
            </w:r>
            <w:r>
              <w:rPr>
                <w:rFonts w:ascii="黑体" w:eastAsia="黑体" w:hAnsi="黑体" w:cs="黑体"/>
                <w:kern w:val="0"/>
                <w:szCs w:val="21"/>
              </w:rPr>
              <w:t>投资者</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风险评级为稳健型、平衡型、成长型、进取型的投资者（具体以销售机构的规则为准），其中，</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A</w:t>
            </w:r>
            <w:r>
              <w:rPr>
                <w:rFonts w:ascii="黑体" w:eastAsia="黑体" w:hAnsi="黑体" w:cs="黑体" w:hint="eastAsia"/>
                <w:b/>
                <w:kern w:val="0"/>
                <w:szCs w:val="21"/>
              </w:rPr>
              <w:t>份额（销售代码：</w:t>
            </w:r>
            <w:r>
              <w:rPr>
                <w:rFonts w:ascii="黑体" w:eastAsia="黑体" w:hAnsi="黑体" w:cs="黑体" w:hint="eastAsia"/>
                <w:b/>
                <w:kern w:val="0"/>
                <w:szCs w:val="21"/>
              </w:rPr>
              <w:t>ZGN2560081A</w:t>
            </w:r>
            <w:r>
              <w:rPr>
                <w:rFonts w:ascii="黑体" w:eastAsia="黑体" w:hAnsi="黑体" w:cs="黑体" w:hint="eastAsia"/>
                <w:b/>
                <w:kern w:val="0"/>
                <w:szCs w:val="21"/>
              </w:rPr>
              <w:t>）面向宁波银行渠道客户、广州银行渠道客户、桂林银行渠道客户；</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B</w:t>
            </w:r>
            <w:r>
              <w:rPr>
                <w:rFonts w:ascii="黑体" w:eastAsia="黑体" w:hAnsi="黑体" w:cs="黑体" w:hint="eastAsia"/>
                <w:b/>
                <w:kern w:val="0"/>
                <w:szCs w:val="21"/>
              </w:rPr>
              <w:t>份额（销售代码：</w:t>
            </w:r>
            <w:r>
              <w:rPr>
                <w:rFonts w:ascii="黑体" w:eastAsia="黑体" w:hAnsi="黑体" w:cs="黑体" w:hint="eastAsia"/>
                <w:b/>
                <w:kern w:val="0"/>
                <w:szCs w:val="21"/>
              </w:rPr>
              <w:t>ZGN2560081B</w:t>
            </w:r>
            <w:r>
              <w:rPr>
                <w:rFonts w:ascii="黑体" w:eastAsia="黑体" w:hAnsi="黑体" w:cs="黑体" w:hint="eastAsia"/>
                <w:b/>
                <w:kern w:val="0"/>
                <w:szCs w:val="21"/>
              </w:rPr>
              <w:t>）面向宁银理财直销渠道预约客户、苏州银行渠道客户、常熟农商银行渠道客户、江南农商银行渠道客户、江阴农商银行渠道客户、长沙银行渠道客户、武汉农商银行渠道客户、潍坊银行渠道客户、交通银行渠道客户、广州农商银行渠道客户、泉州银行渠道客户、贵阳银行渠道客户、红塔银行渠道客户、北京农商银行渠道客户；</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D</w:t>
            </w:r>
            <w:r>
              <w:rPr>
                <w:rFonts w:ascii="黑体" w:eastAsia="黑体" w:hAnsi="黑体" w:cs="黑体" w:hint="eastAsia"/>
                <w:b/>
                <w:kern w:val="0"/>
                <w:szCs w:val="21"/>
              </w:rPr>
              <w:t>份额（销售代码：</w:t>
            </w:r>
            <w:r>
              <w:rPr>
                <w:rFonts w:ascii="黑体" w:eastAsia="黑体" w:hAnsi="黑体" w:cs="黑体" w:hint="eastAsia"/>
                <w:b/>
                <w:kern w:val="0"/>
                <w:szCs w:val="21"/>
              </w:rPr>
              <w:t>ZGN2560081D</w:t>
            </w:r>
            <w:r>
              <w:rPr>
                <w:rFonts w:ascii="黑体" w:eastAsia="黑体" w:hAnsi="黑体" w:cs="黑体" w:hint="eastAsia"/>
                <w:b/>
                <w:kern w:val="0"/>
                <w:szCs w:val="21"/>
              </w:rPr>
              <w:t>）面向宁波银行新客户、宁波银行客户新增资金、潜力私钻个人客户、宁波银行钻石卡（月日均资产达到</w:t>
            </w:r>
            <w:r>
              <w:rPr>
                <w:rFonts w:ascii="黑体" w:eastAsia="黑体" w:hAnsi="黑体" w:cs="黑体" w:hint="eastAsia"/>
                <w:b/>
                <w:kern w:val="0"/>
                <w:szCs w:val="21"/>
              </w:rPr>
              <w:t>300</w:t>
            </w:r>
            <w:r>
              <w:rPr>
                <w:rFonts w:ascii="黑体" w:eastAsia="黑体" w:hAnsi="黑体" w:cs="黑体" w:hint="eastAsia"/>
                <w:b/>
                <w:kern w:val="0"/>
                <w:szCs w:val="21"/>
              </w:rPr>
              <w:t>万）及以上个人客户、宁银理财渠道客户、台州</w:t>
            </w:r>
            <w:r>
              <w:rPr>
                <w:rFonts w:ascii="黑体" w:eastAsia="黑体" w:hAnsi="黑体" w:cs="黑体" w:hint="eastAsia"/>
                <w:b/>
                <w:kern w:val="0"/>
                <w:szCs w:val="21"/>
              </w:rPr>
              <w:t>银行渠道客户、</w:t>
            </w:r>
            <w:r>
              <w:rPr>
                <w:rFonts w:ascii="黑体" w:eastAsia="黑体" w:hAnsi="黑体" w:cs="黑体" w:hint="eastAsia"/>
                <w:b/>
                <w:kern w:val="0"/>
                <w:szCs w:val="21"/>
              </w:rPr>
              <w:t>广州银行渠道新开户客户、广东华兴银行渠道客户、珠海华润银行渠道客户、甘肃银行渠道客户；</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E</w:t>
            </w:r>
            <w:r>
              <w:rPr>
                <w:rFonts w:ascii="黑体" w:eastAsia="黑体" w:hAnsi="黑体" w:cs="黑体" w:hint="eastAsia"/>
                <w:b/>
                <w:kern w:val="0"/>
                <w:szCs w:val="21"/>
              </w:rPr>
              <w:t>份额（销售代码：</w:t>
            </w:r>
            <w:r>
              <w:rPr>
                <w:rFonts w:ascii="黑体" w:eastAsia="黑体" w:hAnsi="黑体" w:cs="黑体" w:hint="eastAsia"/>
                <w:b/>
                <w:kern w:val="0"/>
                <w:szCs w:val="21"/>
              </w:rPr>
              <w:t>ZGN2560081E</w:t>
            </w:r>
            <w:r>
              <w:rPr>
                <w:rFonts w:ascii="黑体" w:eastAsia="黑体" w:hAnsi="黑体" w:cs="黑体" w:hint="eastAsia"/>
                <w:b/>
                <w:kern w:val="0"/>
                <w:szCs w:val="21"/>
              </w:rPr>
              <w:t>）面向部分非宁波银行渠道客户、苏州银行对公客户、张家港农商银行渠道客户、宁夏银行渠道客户、吉林银行渠道客户、哈尔滨银行渠道客户、莱商银行渠道客户、南粤银行渠道客户、</w:t>
            </w:r>
            <w:r>
              <w:rPr>
                <w:rFonts w:ascii="黑体" w:eastAsia="黑体" w:hAnsi="黑体" w:cs="黑体" w:hint="eastAsia"/>
                <w:b/>
                <w:kern w:val="0"/>
                <w:szCs w:val="21"/>
              </w:rPr>
              <w:t>渤海银行渠道客户、东莞农村商业银行渠道客户、东莞银行渠道客户、宁波银行机构客户、青岛农代发客户、内蒙古银行渠道客户、昆仑银行渠道客户；</w:t>
            </w:r>
            <w:bookmarkStart w:id="1" w:name="OLE_LINK1"/>
            <w:bookmarkStart w:id="2" w:name="OLE_LINK2"/>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G</w:t>
            </w:r>
            <w:r>
              <w:rPr>
                <w:rFonts w:ascii="黑体" w:eastAsia="黑体" w:hAnsi="黑体" w:cs="黑体" w:hint="eastAsia"/>
                <w:b/>
                <w:kern w:val="0"/>
                <w:szCs w:val="21"/>
              </w:rPr>
              <w:t>份额（销售代码：</w:t>
            </w:r>
            <w:r>
              <w:rPr>
                <w:rFonts w:ascii="黑体" w:eastAsia="黑体" w:hAnsi="黑体" w:cs="黑体" w:hint="eastAsia"/>
                <w:b/>
                <w:kern w:val="0"/>
                <w:szCs w:val="21"/>
              </w:rPr>
              <w:t>ZGN2560081G</w:t>
            </w:r>
            <w:r>
              <w:rPr>
                <w:rFonts w:ascii="黑体" w:eastAsia="黑体" w:hAnsi="黑体" w:cs="黑体" w:hint="eastAsia"/>
                <w:b/>
                <w:kern w:val="0"/>
                <w:szCs w:val="21"/>
              </w:rPr>
              <w:t>）面向宁银理</w:t>
            </w:r>
            <w:r>
              <w:rPr>
                <w:rFonts w:ascii="黑体" w:eastAsia="黑体" w:hAnsi="黑体" w:cs="黑体" w:hint="eastAsia"/>
                <w:b/>
                <w:kern w:val="0"/>
                <w:szCs w:val="21"/>
              </w:rPr>
              <w:t>财直销渠道特邀客户</w:t>
            </w:r>
            <w:bookmarkEnd w:id="1"/>
            <w:bookmarkEnd w:id="2"/>
            <w:r>
              <w:rPr>
                <w:rFonts w:ascii="黑体" w:eastAsia="黑体" w:hAnsi="黑体" w:cs="黑体" w:hint="eastAsia"/>
                <w:b/>
                <w:kern w:val="0"/>
                <w:szCs w:val="21"/>
              </w:rPr>
              <w:t>、浦发银行机构客户；</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J</w:t>
            </w:r>
            <w:r>
              <w:rPr>
                <w:rFonts w:ascii="黑体" w:eastAsia="黑体" w:hAnsi="黑体" w:cs="黑体" w:hint="eastAsia"/>
                <w:b/>
                <w:kern w:val="0"/>
                <w:szCs w:val="21"/>
              </w:rPr>
              <w:t>份额（销售代码：</w:t>
            </w:r>
            <w:r>
              <w:rPr>
                <w:rFonts w:ascii="黑体" w:eastAsia="黑体" w:hAnsi="黑体" w:cs="黑体" w:hint="eastAsia"/>
                <w:b/>
                <w:kern w:val="0"/>
                <w:szCs w:val="21"/>
              </w:rPr>
              <w:t>ZGN2560081J</w:t>
            </w:r>
            <w:r>
              <w:rPr>
                <w:rFonts w:ascii="黑体" w:eastAsia="黑体" w:hAnsi="黑体" w:cs="黑体" w:hint="eastAsia"/>
                <w:b/>
                <w:kern w:val="0"/>
                <w:szCs w:val="21"/>
              </w:rPr>
              <w:t>）面向广发银行渠道客户；</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K</w:t>
            </w:r>
            <w:r>
              <w:rPr>
                <w:rFonts w:ascii="黑体" w:eastAsia="黑体" w:hAnsi="黑体" w:cs="黑体" w:hint="eastAsia"/>
                <w:b/>
                <w:kern w:val="0"/>
                <w:szCs w:val="21"/>
              </w:rPr>
              <w:t>份额（销售代码：</w:t>
            </w:r>
            <w:r>
              <w:rPr>
                <w:rFonts w:ascii="黑体" w:eastAsia="黑体" w:hAnsi="黑体" w:cs="黑体" w:hint="eastAsia"/>
                <w:b/>
                <w:kern w:val="0"/>
                <w:szCs w:val="21"/>
              </w:rPr>
              <w:t>ZGN2560081K</w:t>
            </w:r>
            <w:r>
              <w:rPr>
                <w:rFonts w:ascii="黑体" w:eastAsia="黑体" w:hAnsi="黑体" w:cs="黑体" w:hint="eastAsia"/>
                <w:b/>
                <w:kern w:val="0"/>
                <w:szCs w:val="21"/>
              </w:rPr>
              <w:t>，销售名称：（私银稳健）宁银理财日日薪</w:t>
            </w:r>
            <w:r>
              <w:rPr>
                <w:rFonts w:ascii="黑体" w:eastAsia="黑体" w:hAnsi="黑体" w:cs="黑体" w:hint="eastAsia"/>
                <w:b/>
                <w:kern w:val="0"/>
                <w:szCs w:val="21"/>
              </w:rPr>
              <w:t>81</w:t>
            </w:r>
            <w:r>
              <w:rPr>
                <w:rFonts w:ascii="黑体" w:eastAsia="黑体" w:hAnsi="黑体" w:cs="黑体" w:hint="eastAsia"/>
                <w:b/>
                <w:kern w:val="0"/>
                <w:szCs w:val="21"/>
              </w:rPr>
              <w:t>号</w:t>
            </w:r>
            <w:r>
              <w:rPr>
                <w:rFonts w:ascii="黑体" w:eastAsia="黑体" w:hAnsi="黑体" w:cs="黑体" w:hint="eastAsia"/>
                <w:b/>
                <w:kern w:val="0"/>
                <w:szCs w:val="21"/>
              </w:rPr>
              <w:t>K</w:t>
            </w:r>
            <w:r>
              <w:rPr>
                <w:rFonts w:ascii="黑体" w:eastAsia="黑体" w:hAnsi="黑体" w:cs="黑体" w:hint="eastAsia"/>
                <w:b/>
                <w:kern w:val="0"/>
                <w:szCs w:val="21"/>
              </w:rPr>
              <w:t>）面向部分广发银行渠道客户；</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L</w:t>
            </w:r>
            <w:r>
              <w:rPr>
                <w:rFonts w:ascii="黑体" w:eastAsia="黑体" w:hAnsi="黑体" w:cs="黑体" w:hint="eastAsia"/>
                <w:b/>
                <w:kern w:val="0"/>
                <w:szCs w:val="21"/>
              </w:rPr>
              <w:t>份额（销售代码：</w:t>
            </w:r>
            <w:r>
              <w:rPr>
                <w:rFonts w:ascii="黑体" w:eastAsia="黑体" w:hAnsi="黑体" w:cs="黑体" w:hint="eastAsia"/>
                <w:b/>
                <w:kern w:val="0"/>
                <w:szCs w:val="21"/>
              </w:rPr>
              <w:t>ZGN2560081L</w:t>
            </w:r>
            <w:r>
              <w:rPr>
                <w:rFonts w:ascii="黑体" w:eastAsia="黑体" w:hAnsi="黑体" w:cs="黑体" w:hint="eastAsia"/>
                <w:b/>
                <w:kern w:val="0"/>
                <w:szCs w:val="21"/>
              </w:rPr>
              <w:t>）面向华夏银行渠道客户、部分非宁波银行渠道客户；</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P</w:t>
            </w:r>
            <w:r>
              <w:rPr>
                <w:rFonts w:ascii="黑体" w:eastAsia="黑体" w:hAnsi="黑体" w:cs="黑体" w:hint="eastAsia"/>
                <w:b/>
                <w:kern w:val="0"/>
                <w:szCs w:val="21"/>
              </w:rPr>
              <w:t>份额（销售代码：</w:t>
            </w:r>
            <w:r>
              <w:rPr>
                <w:rFonts w:ascii="黑体" w:eastAsia="黑体" w:hAnsi="黑体" w:cs="黑体" w:hint="eastAsia"/>
                <w:b/>
                <w:kern w:val="0"/>
                <w:szCs w:val="21"/>
              </w:rPr>
              <w:t>ZGN2560081P</w:t>
            </w:r>
            <w:r>
              <w:rPr>
                <w:rFonts w:ascii="黑体" w:eastAsia="黑体" w:hAnsi="黑体" w:cs="黑体" w:hint="eastAsia"/>
                <w:b/>
                <w:kern w:val="0"/>
                <w:szCs w:val="21"/>
              </w:rPr>
              <w:t>）面向部分非宁波银行渠道客户、浦发银行渠道客户</w:t>
            </w:r>
            <w:r>
              <w:rPr>
                <w:rFonts w:ascii="黑体" w:eastAsia="黑体" w:hAnsi="黑体" w:cs="黑体" w:hint="eastAsia"/>
                <w:b/>
                <w:kern w:val="0"/>
                <w:szCs w:val="21"/>
              </w:rPr>
              <w:t>、沧州银行渠道客户、兴业银渠道客户</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可购客群以销售机构认定为准。</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本金</w:t>
            </w:r>
            <w:r>
              <w:rPr>
                <w:rFonts w:ascii="黑体" w:eastAsia="黑体" w:hAnsi="黑体" w:cs="黑体"/>
                <w:kern w:val="0"/>
                <w:szCs w:val="21"/>
              </w:rPr>
              <w:t>及收益币种</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人民币</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业绩</w:t>
            </w:r>
            <w:r>
              <w:rPr>
                <w:rFonts w:ascii="黑体" w:eastAsia="黑体" w:hAnsi="黑体" w:cs="黑体"/>
                <w:kern w:val="0"/>
                <w:szCs w:val="21"/>
              </w:rPr>
              <w:t>比较基准</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b/>
                <w:kern w:val="0"/>
                <w:szCs w:val="21"/>
              </w:rPr>
              <w:t>A</w:t>
            </w:r>
            <w:r>
              <w:rPr>
                <w:rFonts w:ascii="黑体" w:eastAsia="黑体" w:hAnsi="黑体" w:cs="黑体"/>
                <w:b/>
                <w:kern w:val="0"/>
                <w:szCs w:val="21"/>
              </w:rPr>
              <w:t>份</w:t>
            </w:r>
            <w:r>
              <w:rPr>
                <w:rFonts w:ascii="黑体" w:eastAsia="黑体" w:hAnsi="黑体" w:cs="黑体"/>
                <w:b/>
                <w:kern w:val="0"/>
                <w:szCs w:val="21"/>
              </w:rPr>
              <w:t>额：</w:t>
            </w:r>
            <w:r>
              <w:rPr>
                <w:rFonts w:ascii="黑体" w:eastAsia="黑体" w:hAnsi="黑体" w:cs="黑体" w:hint="eastAsia"/>
                <w:b/>
                <w:kern w:val="0"/>
                <w:szCs w:val="21"/>
              </w:rPr>
              <w:t>7</w:t>
            </w:r>
            <w:r>
              <w:rPr>
                <w:rFonts w:ascii="黑体" w:eastAsia="黑体" w:hAnsi="黑体" w:cs="黑体" w:hint="eastAsia"/>
                <w:b/>
                <w:kern w:val="0"/>
                <w:szCs w:val="21"/>
              </w:rPr>
              <w:t>天通知存款利率</w:t>
            </w:r>
            <w:r>
              <w:rPr>
                <w:rFonts w:ascii="黑体" w:eastAsia="黑体" w:hAnsi="黑体" w:cs="黑体" w:hint="eastAsia"/>
                <w:b/>
                <w:kern w:val="0"/>
                <w:szCs w:val="21"/>
              </w:rPr>
              <w:t>x</w:t>
            </w:r>
            <w:r>
              <w:rPr>
                <w:rFonts w:ascii="黑体" w:eastAsia="黑体" w:hAnsi="黑体" w:cs="黑体"/>
                <w:b/>
                <w:kern w:val="0"/>
                <w:szCs w:val="21"/>
              </w:rPr>
              <w:t>0.8</w:t>
            </w:r>
            <w:r>
              <w:rPr>
                <w:rFonts w:ascii="黑体" w:eastAsia="黑体" w:hAnsi="黑体" w:cs="黑体" w:hint="eastAsia"/>
                <w:b/>
                <w:kern w:val="0"/>
                <w:szCs w:val="21"/>
              </w:rPr>
              <w:t>+</w:t>
            </w:r>
            <w:r>
              <w:rPr>
                <w:rFonts w:ascii="黑体" w:eastAsia="黑体" w:hAnsi="黑体" w:cs="黑体" w:hint="eastAsia"/>
                <w:b/>
                <w:kern w:val="0"/>
                <w:szCs w:val="21"/>
              </w:rPr>
              <w:t>中债新综合全价</w:t>
            </w:r>
            <w:r>
              <w:rPr>
                <w:rFonts w:ascii="黑体" w:eastAsia="黑体" w:hAnsi="黑体" w:cs="黑体" w:hint="eastAsia"/>
                <w:b/>
                <w:kern w:val="0"/>
                <w:szCs w:val="21"/>
              </w:rPr>
              <w:t>1</w:t>
            </w:r>
            <w:r>
              <w:rPr>
                <w:rFonts w:ascii="黑体" w:eastAsia="黑体" w:hAnsi="黑体" w:cs="黑体" w:hint="eastAsia"/>
                <w:b/>
                <w:kern w:val="0"/>
                <w:szCs w:val="21"/>
              </w:rPr>
              <w:t>年以下指数收益率</w:t>
            </w:r>
            <w:r>
              <w:rPr>
                <w:rFonts w:ascii="黑体" w:eastAsia="黑体" w:hAnsi="黑体" w:cs="黑体" w:hint="eastAsia"/>
                <w:b/>
                <w:kern w:val="0"/>
                <w:szCs w:val="21"/>
              </w:rPr>
              <w:t>x</w:t>
            </w:r>
            <w:r>
              <w:rPr>
                <w:rFonts w:ascii="黑体" w:eastAsia="黑体" w:hAnsi="黑体" w:cs="黑体"/>
                <w:b/>
                <w:kern w:val="0"/>
                <w:szCs w:val="21"/>
              </w:rPr>
              <w:t>0.2</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b/>
                <w:kern w:val="0"/>
                <w:szCs w:val="21"/>
              </w:rPr>
              <w:t>B</w:t>
            </w:r>
            <w:r>
              <w:rPr>
                <w:rFonts w:ascii="黑体" w:eastAsia="黑体" w:hAnsi="黑体" w:cs="黑体"/>
                <w:b/>
                <w:kern w:val="0"/>
                <w:szCs w:val="21"/>
              </w:rPr>
              <w:t>份额：</w:t>
            </w:r>
            <w:r>
              <w:rPr>
                <w:rFonts w:ascii="黑体" w:eastAsia="黑体" w:hAnsi="黑体" w:cs="黑体" w:hint="eastAsia"/>
                <w:b/>
                <w:kern w:val="0"/>
                <w:szCs w:val="21"/>
              </w:rPr>
              <w:t>7</w:t>
            </w:r>
            <w:r>
              <w:rPr>
                <w:rFonts w:ascii="黑体" w:eastAsia="黑体" w:hAnsi="黑体" w:cs="黑体" w:hint="eastAsia"/>
                <w:b/>
                <w:kern w:val="0"/>
                <w:szCs w:val="21"/>
              </w:rPr>
              <w:t>天通知存款利率</w:t>
            </w:r>
            <w:r>
              <w:rPr>
                <w:rFonts w:ascii="黑体" w:eastAsia="黑体" w:hAnsi="黑体" w:cs="黑体" w:hint="eastAsia"/>
                <w:b/>
                <w:kern w:val="0"/>
                <w:szCs w:val="21"/>
              </w:rPr>
              <w:t>x</w:t>
            </w:r>
            <w:r>
              <w:rPr>
                <w:rFonts w:ascii="黑体" w:eastAsia="黑体" w:hAnsi="黑体" w:cs="黑体"/>
                <w:b/>
                <w:kern w:val="0"/>
                <w:szCs w:val="21"/>
              </w:rPr>
              <w:t>0.8</w:t>
            </w:r>
            <w:r>
              <w:rPr>
                <w:rFonts w:ascii="黑体" w:eastAsia="黑体" w:hAnsi="黑体" w:cs="黑体" w:hint="eastAsia"/>
                <w:b/>
                <w:kern w:val="0"/>
                <w:szCs w:val="21"/>
              </w:rPr>
              <w:t>+</w:t>
            </w:r>
            <w:r>
              <w:rPr>
                <w:rFonts w:ascii="黑体" w:eastAsia="黑体" w:hAnsi="黑体" w:cs="黑体" w:hint="eastAsia"/>
                <w:b/>
                <w:kern w:val="0"/>
                <w:szCs w:val="21"/>
              </w:rPr>
              <w:t>中债新综合全价</w:t>
            </w:r>
            <w:r>
              <w:rPr>
                <w:rFonts w:ascii="黑体" w:eastAsia="黑体" w:hAnsi="黑体" w:cs="黑体" w:hint="eastAsia"/>
                <w:b/>
                <w:kern w:val="0"/>
                <w:szCs w:val="21"/>
              </w:rPr>
              <w:t>1</w:t>
            </w:r>
            <w:r>
              <w:rPr>
                <w:rFonts w:ascii="黑体" w:eastAsia="黑体" w:hAnsi="黑体" w:cs="黑体" w:hint="eastAsia"/>
                <w:b/>
                <w:kern w:val="0"/>
                <w:szCs w:val="21"/>
              </w:rPr>
              <w:t>年以下指数收益率</w:t>
            </w:r>
            <w:r>
              <w:rPr>
                <w:rFonts w:ascii="黑体" w:eastAsia="黑体" w:hAnsi="黑体" w:cs="黑体" w:hint="eastAsia"/>
                <w:b/>
                <w:kern w:val="0"/>
                <w:szCs w:val="21"/>
              </w:rPr>
              <w:t>x</w:t>
            </w:r>
            <w:r>
              <w:rPr>
                <w:rFonts w:ascii="黑体" w:eastAsia="黑体" w:hAnsi="黑体" w:cs="黑体"/>
                <w:b/>
                <w:kern w:val="0"/>
                <w:szCs w:val="21"/>
              </w:rPr>
              <w:t>0.2</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b/>
                <w:kern w:val="0"/>
                <w:szCs w:val="21"/>
              </w:rPr>
              <w:t>D</w:t>
            </w:r>
            <w:r>
              <w:rPr>
                <w:rFonts w:ascii="黑体" w:eastAsia="黑体" w:hAnsi="黑体" w:cs="黑体"/>
                <w:b/>
                <w:kern w:val="0"/>
                <w:szCs w:val="21"/>
              </w:rPr>
              <w:t>份额：</w:t>
            </w:r>
            <w:r>
              <w:rPr>
                <w:rFonts w:ascii="黑体" w:eastAsia="黑体" w:hAnsi="黑体" w:cs="黑体" w:hint="eastAsia"/>
                <w:b/>
                <w:kern w:val="0"/>
                <w:szCs w:val="21"/>
              </w:rPr>
              <w:t>7</w:t>
            </w:r>
            <w:r>
              <w:rPr>
                <w:rFonts w:ascii="黑体" w:eastAsia="黑体" w:hAnsi="黑体" w:cs="黑体" w:hint="eastAsia"/>
                <w:b/>
                <w:kern w:val="0"/>
                <w:szCs w:val="21"/>
              </w:rPr>
              <w:t>天通知存款利率</w:t>
            </w:r>
            <w:r>
              <w:rPr>
                <w:rFonts w:ascii="黑体" w:eastAsia="黑体" w:hAnsi="黑体" w:cs="黑体" w:hint="eastAsia"/>
                <w:b/>
                <w:kern w:val="0"/>
                <w:szCs w:val="21"/>
              </w:rPr>
              <w:t>x</w:t>
            </w:r>
            <w:r>
              <w:rPr>
                <w:rFonts w:ascii="黑体" w:eastAsia="黑体" w:hAnsi="黑体" w:cs="黑体"/>
                <w:b/>
                <w:kern w:val="0"/>
                <w:szCs w:val="21"/>
              </w:rPr>
              <w:t>0.8</w:t>
            </w:r>
            <w:r>
              <w:rPr>
                <w:rFonts w:ascii="黑体" w:eastAsia="黑体" w:hAnsi="黑体" w:cs="黑体" w:hint="eastAsia"/>
                <w:b/>
                <w:kern w:val="0"/>
                <w:szCs w:val="21"/>
              </w:rPr>
              <w:t>+</w:t>
            </w:r>
            <w:r>
              <w:rPr>
                <w:rFonts w:ascii="黑体" w:eastAsia="黑体" w:hAnsi="黑体" w:cs="黑体" w:hint="eastAsia"/>
                <w:b/>
                <w:kern w:val="0"/>
                <w:szCs w:val="21"/>
              </w:rPr>
              <w:t>中债新综合全价</w:t>
            </w:r>
            <w:r>
              <w:rPr>
                <w:rFonts w:ascii="黑体" w:eastAsia="黑体" w:hAnsi="黑体" w:cs="黑体" w:hint="eastAsia"/>
                <w:b/>
                <w:kern w:val="0"/>
                <w:szCs w:val="21"/>
              </w:rPr>
              <w:t>1</w:t>
            </w:r>
            <w:r>
              <w:rPr>
                <w:rFonts w:ascii="黑体" w:eastAsia="黑体" w:hAnsi="黑体" w:cs="黑体" w:hint="eastAsia"/>
                <w:b/>
                <w:kern w:val="0"/>
                <w:szCs w:val="21"/>
              </w:rPr>
              <w:t>年以下指数收益率</w:t>
            </w:r>
            <w:r>
              <w:rPr>
                <w:rFonts w:ascii="黑体" w:eastAsia="黑体" w:hAnsi="黑体" w:cs="黑体" w:hint="eastAsia"/>
                <w:b/>
                <w:kern w:val="0"/>
                <w:szCs w:val="21"/>
              </w:rPr>
              <w:t>x</w:t>
            </w:r>
            <w:r>
              <w:rPr>
                <w:rFonts w:ascii="黑体" w:eastAsia="黑体" w:hAnsi="黑体" w:cs="黑体"/>
                <w:b/>
                <w:kern w:val="0"/>
                <w:szCs w:val="21"/>
              </w:rPr>
              <w:t>0.2+10</w:t>
            </w:r>
            <w:r>
              <w:rPr>
                <w:rFonts w:ascii="黑体" w:eastAsia="黑体" w:hAnsi="黑体" w:cs="黑体" w:hint="eastAsia"/>
                <w:b/>
                <w:kern w:val="0"/>
                <w:szCs w:val="21"/>
              </w:rPr>
              <w:t>BP</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b/>
                <w:kern w:val="0"/>
                <w:szCs w:val="21"/>
              </w:rPr>
              <w:t>E</w:t>
            </w:r>
            <w:r>
              <w:rPr>
                <w:rFonts w:ascii="黑体" w:eastAsia="黑体" w:hAnsi="黑体" w:cs="黑体"/>
                <w:b/>
                <w:kern w:val="0"/>
                <w:szCs w:val="21"/>
              </w:rPr>
              <w:t>份额：</w:t>
            </w:r>
            <w:r>
              <w:rPr>
                <w:rFonts w:ascii="黑体" w:eastAsia="黑体" w:hAnsi="黑体" w:cs="黑体" w:hint="eastAsia"/>
                <w:b/>
                <w:kern w:val="0"/>
                <w:szCs w:val="21"/>
              </w:rPr>
              <w:t>7</w:t>
            </w:r>
            <w:r>
              <w:rPr>
                <w:rFonts w:ascii="黑体" w:eastAsia="黑体" w:hAnsi="黑体" w:cs="黑体" w:hint="eastAsia"/>
                <w:b/>
                <w:kern w:val="0"/>
                <w:szCs w:val="21"/>
              </w:rPr>
              <w:t>天通知存款利率</w:t>
            </w:r>
            <w:r>
              <w:rPr>
                <w:rFonts w:ascii="黑体" w:eastAsia="黑体" w:hAnsi="黑体" w:cs="黑体" w:hint="eastAsia"/>
                <w:b/>
                <w:kern w:val="0"/>
                <w:szCs w:val="21"/>
              </w:rPr>
              <w:t>x</w:t>
            </w:r>
            <w:r>
              <w:rPr>
                <w:rFonts w:ascii="黑体" w:eastAsia="黑体" w:hAnsi="黑体" w:cs="黑体"/>
                <w:b/>
                <w:kern w:val="0"/>
                <w:szCs w:val="21"/>
              </w:rPr>
              <w:t>0.8</w:t>
            </w:r>
            <w:r>
              <w:rPr>
                <w:rFonts w:ascii="黑体" w:eastAsia="黑体" w:hAnsi="黑体" w:cs="黑体" w:hint="eastAsia"/>
                <w:b/>
                <w:kern w:val="0"/>
                <w:szCs w:val="21"/>
              </w:rPr>
              <w:t>+</w:t>
            </w:r>
            <w:r>
              <w:rPr>
                <w:rFonts w:ascii="黑体" w:eastAsia="黑体" w:hAnsi="黑体" w:cs="黑体" w:hint="eastAsia"/>
                <w:b/>
                <w:kern w:val="0"/>
                <w:szCs w:val="21"/>
              </w:rPr>
              <w:t>中债新综合全价</w:t>
            </w:r>
            <w:r>
              <w:rPr>
                <w:rFonts w:ascii="黑体" w:eastAsia="黑体" w:hAnsi="黑体" w:cs="黑体" w:hint="eastAsia"/>
                <w:b/>
                <w:kern w:val="0"/>
                <w:szCs w:val="21"/>
              </w:rPr>
              <w:t>1</w:t>
            </w:r>
            <w:r>
              <w:rPr>
                <w:rFonts w:ascii="黑体" w:eastAsia="黑体" w:hAnsi="黑体" w:cs="黑体" w:hint="eastAsia"/>
                <w:b/>
                <w:kern w:val="0"/>
                <w:szCs w:val="21"/>
              </w:rPr>
              <w:t>年以下指数收益率</w:t>
            </w:r>
            <w:r>
              <w:rPr>
                <w:rFonts w:ascii="黑体" w:eastAsia="黑体" w:hAnsi="黑体" w:cs="黑体" w:hint="eastAsia"/>
                <w:b/>
                <w:kern w:val="0"/>
                <w:szCs w:val="21"/>
              </w:rPr>
              <w:t>x</w:t>
            </w:r>
            <w:r>
              <w:rPr>
                <w:rFonts w:ascii="黑体" w:eastAsia="黑体" w:hAnsi="黑体" w:cs="黑体"/>
                <w:b/>
                <w:kern w:val="0"/>
                <w:szCs w:val="21"/>
              </w:rPr>
              <w:t>0.2</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b/>
                <w:kern w:val="0"/>
                <w:szCs w:val="21"/>
              </w:rPr>
              <w:t>G</w:t>
            </w:r>
            <w:r>
              <w:rPr>
                <w:rFonts w:ascii="黑体" w:eastAsia="黑体" w:hAnsi="黑体" w:cs="黑体"/>
                <w:b/>
                <w:kern w:val="0"/>
                <w:szCs w:val="21"/>
              </w:rPr>
              <w:t>份额：</w:t>
            </w:r>
            <w:r>
              <w:rPr>
                <w:rFonts w:ascii="黑体" w:eastAsia="黑体" w:hAnsi="黑体" w:cs="黑体" w:hint="eastAsia"/>
                <w:b/>
                <w:kern w:val="0"/>
                <w:szCs w:val="21"/>
              </w:rPr>
              <w:t>7</w:t>
            </w:r>
            <w:r>
              <w:rPr>
                <w:rFonts w:ascii="黑体" w:eastAsia="黑体" w:hAnsi="黑体" w:cs="黑体" w:hint="eastAsia"/>
                <w:b/>
                <w:kern w:val="0"/>
                <w:szCs w:val="21"/>
              </w:rPr>
              <w:t>天通知存款利率</w:t>
            </w:r>
            <w:r>
              <w:rPr>
                <w:rFonts w:ascii="黑体" w:eastAsia="黑体" w:hAnsi="黑体" w:cs="黑体" w:hint="eastAsia"/>
                <w:b/>
                <w:kern w:val="0"/>
                <w:szCs w:val="21"/>
              </w:rPr>
              <w:t>x</w:t>
            </w:r>
            <w:r>
              <w:rPr>
                <w:rFonts w:ascii="黑体" w:eastAsia="黑体" w:hAnsi="黑体" w:cs="黑体"/>
                <w:b/>
                <w:kern w:val="0"/>
                <w:szCs w:val="21"/>
              </w:rPr>
              <w:t>0.8</w:t>
            </w:r>
            <w:r>
              <w:rPr>
                <w:rFonts w:ascii="黑体" w:eastAsia="黑体" w:hAnsi="黑体" w:cs="黑体" w:hint="eastAsia"/>
                <w:b/>
                <w:kern w:val="0"/>
                <w:szCs w:val="21"/>
              </w:rPr>
              <w:t>+</w:t>
            </w:r>
            <w:r>
              <w:rPr>
                <w:rFonts w:ascii="黑体" w:eastAsia="黑体" w:hAnsi="黑体" w:cs="黑体" w:hint="eastAsia"/>
                <w:b/>
                <w:kern w:val="0"/>
                <w:szCs w:val="21"/>
              </w:rPr>
              <w:t>中债新综合全价</w:t>
            </w:r>
            <w:r>
              <w:rPr>
                <w:rFonts w:ascii="黑体" w:eastAsia="黑体" w:hAnsi="黑体" w:cs="黑体" w:hint="eastAsia"/>
                <w:b/>
                <w:kern w:val="0"/>
                <w:szCs w:val="21"/>
              </w:rPr>
              <w:t>1</w:t>
            </w:r>
            <w:r>
              <w:rPr>
                <w:rFonts w:ascii="黑体" w:eastAsia="黑体" w:hAnsi="黑体" w:cs="黑体" w:hint="eastAsia"/>
                <w:b/>
                <w:kern w:val="0"/>
                <w:szCs w:val="21"/>
              </w:rPr>
              <w:t>年以下指数收益率</w:t>
            </w:r>
            <w:r>
              <w:rPr>
                <w:rFonts w:ascii="黑体" w:eastAsia="黑体" w:hAnsi="黑体" w:cs="黑体" w:hint="eastAsia"/>
                <w:b/>
                <w:kern w:val="0"/>
                <w:szCs w:val="21"/>
              </w:rPr>
              <w:t>x</w:t>
            </w:r>
            <w:r>
              <w:rPr>
                <w:rFonts w:ascii="黑体" w:eastAsia="黑体" w:hAnsi="黑体" w:cs="黑体"/>
                <w:b/>
                <w:kern w:val="0"/>
                <w:szCs w:val="21"/>
              </w:rPr>
              <w:t>0.2</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J</w:t>
            </w:r>
            <w:r>
              <w:rPr>
                <w:rFonts w:ascii="黑体" w:eastAsia="黑体" w:hAnsi="黑体" w:cs="黑体"/>
                <w:b/>
                <w:kern w:val="0"/>
                <w:szCs w:val="21"/>
              </w:rPr>
              <w:t>份额：</w:t>
            </w:r>
            <w:r>
              <w:rPr>
                <w:rFonts w:ascii="黑体" w:eastAsia="黑体" w:hAnsi="黑体" w:cs="黑体" w:hint="eastAsia"/>
                <w:b/>
                <w:kern w:val="0"/>
                <w:szCs w:val="21"/>
              </w:rPr>
              <w:t>7</w:t>
            </w:r>
            <w:r>
              <w:rPr>
                <w:rFonts w:ascii="黑体" w:eastAsia="黑体" w:hAnsi="黑体" w:cs="黑体" w:hint="eastAsia"/>
                <w:b/>
                <w:kern w:val="0"/>
                <w:szCs w:val="21"/>
              </w:rPr>
              <w:t>天通知存款利率</w:t>
            </w:r>
            <w:r>
              <w:rPr>
                <w:rFonts w:ascii="黑体" w:eastAsia="黑体" w:hAnsi="黑体" w:cs="黑体" w:hint="eastAsia"/>
                <w:b/>
                <w:kern w:val="0"/>
                <w:szCs w:val="21"/>
              </w:rPr>
              <w:t>x</w:t>
            </w:r>
            <w:r>
              <w:rPr>
                <w:rFonts w:ascii="黑体" w:eastAsia="黑体" w:hAnsi="黑体" w:cs="黑体"/>
                <w:b/>
                <w:kern w:val="0"/>
                <w:szCs w:val="21"/>
              </w:rPr>
              <w:t>0.8</w:t>
            </w:r>
            <w:r>
              <w:rPr>
                <w:rFonts w:ascii="黑体" w:eastAsia="黑体" w:hAnsi="黑体" w:cs="黑体" w:hint="eastAsia"/>
                <w:b/>
                <w:kern w:val="0"/>
                <w:szCs w:val="21"/>
              </w:rPr>
              <w:t>+</w:t>
            </w:r>
            <w:r>
              <w:rPr>
                <w:rFonts w:ascii="黑体" w:eastAsia="黑体" w:hAnsi="黑体" w:cs="黑体" w:hint="eastAsia"/>
                <w:b/>
                <w:kern w:val="0"/>
                <w:szCs w:val="21"/>
              </w:rPr>
              <w:t>中债新综合全价</w:t>
            </w:r>
            <w:r>
              <w:rPr>
                <w:rFonts w:ascii="黑体" w:eastAsia="黑体" w:hAnsi="黑体" w:cs="黑体" w:hint="eastAsia"/>
                <w:b/>
                <w:kern w:val="0"/>
                <w:szCs w:val="21"/>
              </w:rPr>
              <w:t>1</w:t>
            </w:r>
            <w:r>
              <w:rPr>
                <w:rFonts w:ascii="黑体" w:eastAsia="黑体" w:hAnsi="黑体" w:cs="黑体" w:hint="eastAsia"/>
                <w:b/>
                <w:kern w:val="0"/>
                <w:szCs w:val="21"/>
              </w:rPr>
              <w:t>年以下指数收益率</w:t>
            </w:r>
            <w:r>
              <w:rPr>
                <w:rFonts w:ascii="黑体" w:eastAsia="黑体" w:hAnsi="黑体" w:cs="黑体" w:hint="eastAsia"/>
                <w:b/>
                <w:kern w:val="0"/>
                <w:szCs w:val="21"/>
              </w:rPr>
              <w:t>x</w:t>
            </w:r>
            <w:r>
              <w:rPr>
                <w:rFonts w:ascii="黑体" w:eastAsia="黑体" w:hAnsi="黑体" w:cs="黑体"/>
                <w:b/>
                <w:kern w:val="0"/>
                <w:szCs w:val="21"/>
              </w:rPr>
              <w:t>0.2</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K</w:t>
            </w:r>
            <w:r>
              <w:rPr>
                <w:rFonts w:ascii="黑体" w:eastAsia="黑体" w:hAnsi="黑体" w:cs="黑体"/>
                <w:b/>
                <w:kern w:val="0"/>
                <w:szCs w:val="21"/>
              </w:rPr>
              <w:t>份额：</w:t>
            </w:r>
            <w:r>
              <w:rPr>
                <w:rFonts w:ascii="黑体" w:eastAsia="黑体" w:hAnsi="黑体" w:cs="黑体" w:hint="eastAsia"/>
                <w:b/>
                <w:kern w:val="0"/>
                <w:szCs w:val="21"/>
              </w:rPr>
              <w:t>7</w:t>
            </w:r>
            <w:r>
              <w:rPr>
                <w:rFonts w:ascii="黑体" w:eastAsia="黑体" w:hAnsi="黑体" w:cs="黑体" w:hint="eastAsia"/>
                <w:b/>
                <w:kern w:val="0"/>
                <w:szCs w:val="21"/>
              </w:rPr>
              <w:t>天通知存款利率</w:t>
            </w:r>
            <w:r>
              <w:rPr>
                <w:rFonts w:ascii="黑体" w:eastAsia="黑体" w:hAnsi="黑体" w:cs="黑体" w:hint="eastAsia"/>
                <w:b/>
                <w:kern w:val="0"/>
                <w:szCs w:val="21"/>
              </w:rPr>
              <w:t>x</w:t>
            </w:r>
            <w:r>
              <w:rPr>
                <w:rFonts w:ascii="黑体" w:eastAsia="黑体" w:hAnsi="黑体" w:cs="黑体"/>
                <w:b/>
                <w:kern w:val="0"/>
                <w:szCs w:val="21"/>
              </w:rPr>
              <w:t>0.8</w:t>
            </w:r>
            <w:r>
              <w:rPr>
                <w:rFonts w:ascii="黑体" w:eastAsia="黑体" w:hAnsi="黑体" w:cs="黑体" w:hint="eastAsia"/>
                <w:b/>
                <w:kern w:val="0"/>
                <w:szCs w:val="21"/>
              </w:rPr>
              <w:t>+</w:t>
            </w:r>
            <w:r>
              <w:rPr>
                <w:rFonts w:ascii="黑体" w:eastAsia="黑体" w:hAnsi="黑体" w:cs="黑体" w:hint="eastAsia"/>
                <w:b/>
                <w:kern w:val="0"/>
                <w:szCs w:val="21"/>
              </w:rPr>
              <w:t>中债新综合全价</w:t>
            </w:r>
            <w:r>
              <w:rPr>
                <w:rFonts w:ascii="黑体" w:eastAsia="黑体" w:hAnsi="黑体" w:cs="黑体" w:hint="eastAsia"/>
                <w:b/>
                <w:kern w:val="0"/>
                <w:szCs w:val="21"/>
              </w:rPr>
              <w:t>1</w:t>
            </w:r>
            <w:r>
              <w:rPr>
                <w:rFonts w:ascii="黑体" w:eastAsia="黑体" w:hAnsi="黑体" w:cs="黑体" w:hint="eastAsia"/>
                <w:b/>
                <w:kern w:val="0"/>
                <w:szCs w:val="21"/>
              </w:rPr>
              <w:t>年以下指数收益率</w:t>
            </w:r>
            <w:r>
              <w:rPr>
                <w:rFonts w:ascii="黑体" w:eastAsia="黑体" w:hAnsi="黑体" w:cs="黑体" w:hint="eastAsia"/>
                <w:b/>
                <w:kern w:val="0"/>
                <w:szCs w:val="21"/>
              </w:rPr>
              <w:t>x</w:t>
            </w:r>
            <w:r>
              <w:rPr>
                <w:rFonts w:ascii="黑体" w:eastAsia="黑体" w:hAnsi="黑体" w:cs="黑体"/>
                <w:b/>
                <w:kern w:val="0"/>
                <w:szCs w:val="21"/>
              </w:rPr>
              <w:t>0.2</w:t>
            </w:r>
            <w:r>
              <w:rPr>
                <w:rFonts w:ascii="黑体" w:eastAsia="黑体" w:hAnsi="黑体" w:cs="黑体" w:hint="eastAsia"/>
                <w:b/>
                <w:kern w:val="0"/>
                <w:szCs w:val="21"/>
              </w:rPr>
              <w:t>+3BP</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L</w:t>
            </w:r>
            <w:r>
              <w:rPr>
                <w:rFonts w:ascii="黑体" w:eastAsia="黑体" w:hAnsi="黑体" w:cs="黑体"/>
                <w:b/>
                <w:kern w:val="0"/>
                <w:szCs w:val="21"/>
              </w:rPr>
              <w:t>份额：</w:t>
            </w:r>
            <w:r>
              <w:rPr>
                <w:rFonts w:ascii="黑体" w:eastAsia="黑体" w:hAnsi="黑体" w:cs="黑体" w:hint="eastAsia"/>
                <w:b/>
                <w:kern w:val="0"/>
                <w:szCs w:val="21"/>
              </w:rPr>
              <w:t>7</w:t>
            </w:r>
            <w:r>
              <w:rPr>
                <w:rFonts w:ascii="黑体" w:eastAsia="黑体" w:hAnsi="黑体" w:cs="黑体" w:hint="eastAsia"/>
                <w:b/>
                <w:kern w:val="0"/>
                <w:szCs w:val="21"/>
              </w:rPr>
              <w:t>天通知存款利率</w:t>
            </w:r>
            <w:r>
              <w:rPr>
                <w:rFonts w:ascii="黑体" w:eastAsia="黑体" w:hAnsi="黑体" w:cs="黑体" w:hint="eastAsia"/>
                <w:b/>
                <w:kern w:val="0"/>
                <w:szCs w:val="21"/>
              </w:rPr>
              <w:t>x</w:t>
            </w:r>
            <w:r>
              <w:rPr>
                <w:rFonts w:ascii="黑体" w:eastAsia="黑体" w:hAnsi="黑体" w:cs="黑体"/>
                <w:b/>
                <w:kern w:val="0"/>
                <w:szCs w:val="21"/>
              </w:rPr>
              <w:t>0.8</w:t>
            </w:r>
            <w:r>
              <w:rPr>
                <w:rFonts w:ascii="黑体" w:eastAsia="黑体" w:hAnsi="黑体" w:cs="黑体" w:hint="eastAsia"/>
                <w:b/>
                <w:kern w:val="0"/>
                <w:szCs w:val="21"/>
              </w:rPr>
              <w:t>+</w:t>
            </w:r>
            <w:r>
              <w:rPr>
                <w:rFonts w:ascii="黑体" w:eastAsia="黑体" w:hAnsi="黑体" w:cs="黑体" w:hint="eastAsia"/>
                <w:b/>
                <w:kern w:val="0"/>
                <w:szCs w:val="21"/>
              </w:rPr>
              <w:t>中债新综合全价</w:t>
            </w:r>
            <w:r>
              <w:rPr>
                <w:rFonts w:ascii="黑体" w:eastAsia="黑体" w:hAnsi="黑体" w:cs="黑体" w:hint="eastAsia"/>
                <w:b/>
                <w:kern w:val="0"/>
                <w:szCs w:val="21"/>
              </w:rPr>
              <w:t>1</w:t>
            </w:r>
            <w:r>
              <w:rPr>
                <w:rFonts w:ascii="黑体" w:eastAsia="黑体" w:hAnsi="黑体" w:cs="黑体" w:hint="eastAsia"/>
                <w:b/>
                <w:kern w:val="0"/>
                <w:szCs w:val="21"/>
              </w:rPr>
              <w:t>年以下指数收益率</w:t>
            </w:r>
            <w:r>
              <w:rPr>
                <w:rFonts w:ascii="黑体" w:eastAsia="黑体" w:hAnsi="黑体" w:cs="黑体" w:hint="eastAsia"/>
                <w:b/>
                <w:kern w:val="0"/>
                <w:szCs w:val="21"/>
              </w:rPr>
              <w:t>x</w:t>
            </w:r>
            <w:r>
              <w:rPr>
                <w:rFonts w:ascii="黑体" w:eastAsia="黑体" w:hAnsi="黑体" w:cs="黑体"/>
                <w:b/>
                <w:kern w:val="0"/>
                <w:szCs w:val="21"/>
              </w:rPr>
              <w:t>0.2</w:t>
            </w:r>
            <w:r>
              <w:rPr>
                <w:rFonts w:ascii="黑体" w:eastAsia="黑体" w:hAnsi="黑体" w:cs="黑体" w:hint="eastAsia"/>
                <w:b/>
                <w:kern w:val="0"/>
                <w:szCs w:val="21"/>
              </w:rPr>
              <w:t>+20BP</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P</w:t>
            </w:r>
            <w:r>
              <w:rPr>
                <w:rFonts w:ascii="黑体" w:eastAsia="黑体" w:hAnsi="黑体" w:cs="黑体"/>
                <w:b/>
                <w:kern w:val="0"/>
                <w:szCs w:val="21"/>
              </w:rPr>
              <w:t>份额：</w:t>
            </w:r>
            <w:r>
              <w:rPr>
                <w:rFonts w:ascii="黑体" w:eastAsia="黑体" w:hAnsi="黑体" w:cs="黑体" w:hint="eastAsia"/>
                <w:b/>
                <w:kern w:val="0"/>
                <w:szCs w:val="21"/>
              </w:rPr>
              <w:t>7</w:t>
            </w:r>
            <w:r>
              <w:rPr>
                <w:rFonts w:ascii="黑体" w:eastAsia="黑体" w:hAnsi="黑体" w:cs="黑体" w:hint="eastAsia"/>
                <w:b/>
                <w:kern w:val="0"/>
                <w:szCs w:val="21"/>
              </w:rPr>
              <w:t>天通知存款利率</w:t>
            </w:r>
            <w:r>
              <w:rPr>
                <w:rFonts w:ascii="黑体" w:eastAsia="黑体" w:hAnsi="黑体" w:cs="黑体" w:hint="eastAsia"/>
                <w:b/>
                <w:kern w:val="0"/>
                <w:szCs w:val="21"/>
              </w:rPr>
              <w:t>x</w:t>
            </w:r>
            <w:r>
              <w:rPr>
                <w:rFonts w:ascii="黑体" w:eastAsia="黑体" w:hAnsi="黑体" w:cs="黑体"/>
                <w:b/>
                <w:kern w:val="0"/>
                <w:szCs w:val="21"/>
              </w:rPr>
              <w:t>0.8</w:t>
            </w:r>
            <w:r>
              <w:rPr>
                <w:rFonts w:ascii="黑体" w:eastAsia="黑体" w:hAnsi="黑体" w:cs="黑体" w:hint="eastAsia"/>
                <w:b/>
                <w:kern w:val="0"/>
                <w:szCs w:val="21"/>
              </w:rPr>
              <w:t>+</w:t>
            </w:r>
            <w:r>
              <w:rPr>
                <w:rFonts w:ascii="黑体" w:eastAsia="黑体" w:hAnsi="黑体" w:cs="黑体" w:hint="eastAsia"/>
                <w:b/>
                <w:kern w:val="0"/>
                <w:szCs w:val="21"/>
              </w:rPr>
              <w:t>中债新综合全价</w:t>
            </w:r>
            <w:r>
              <w:rPr>
                <w:rFonts w:ascii="黑体" w:eastAsia="黑体" w:hAnsi="黑体" w:cs="黑体" w:hint="eastAsia"/>
                <w:b/>
                <w:kern w:val="0"/>
                <w:szCs w:val="21"/>
              </w:rPr>
              <w:t>1</w:t>
            </w:r>
            <w:r>
              <w:rPr>
                <w:rFonts w:ascii="黑体" w:eastAsia="黑体" w:hAnsi="黑体" w:cs="黑体" w:hint="eastAsia"/>
                <w:b/>
                <w:kern w:val="0"/>
                <w:szCs w:val="21"/>
              </w:rPr>
              <w:t>年以下指数收益率</w:t>
            </w:r>
            <w:r>
              <w:rPr>
                <w:rFonts w:ascii="黑体" w:eastAsia="黑体" w:hAnsi="黑体" w:cs="黑体" w:hint="eastAsia"/>
                <w:b/>
                <w:kern w:val="0"/>
                <w:szCs w:val="21"/>
              </w:rPr>
              <w:t>x</w:t>
            </w:r>
            <w:r>
              <w:rPr>
                <w:rFonts w:ascii="黑体" w:eastAsia="黑体" w:hAnsi="黑体" w:cs="黑体"/>
                <w:b/>
                <w:kern w:val="0"/>
                <w:szCs w:val="21"/>
              </w:rPr>
              <w:t>0.2</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color w:val="000000" w:themeColor="text1"/>
                <w:kern w:val="0"/>
                <w:szCs w:val="21"/>
              </w:rPr>
            </w:pPr>
            <w:r>
              <w:rPr>
                <w:rFonts w:ascii="黑体" w:eastAsia="黑体" w:hAnsi="黑体" w:cs="黑体" w:hint="eastAsia"/>
                <w:b/>
                <w:color w:val="000000" w:themeColor="text1"/>
                <w:kern w:val="0"/>
                <w:szCs w:val="21"/>
              </w:rPr>
              <w:t>其中，中债新综合全价</w:t>
            </w:r>
            <w:r>
              <w:rPr>
                <w:rFonts w:ascii="黑体" w:eastAsia="黑体" w:hAnsi="黑体" w:cs="黑体" w:hint="eastAsia"/>
                <w:b/>
                <w:color w:val="000000" w:themeColor="text1"/>
                <w:kern w:val="0"/>
                <w:szCs w:val="21"/>
              </w:rPr>
              <w:t>1</w:t>
            </w:r>
            <w:r>
              <w:rPr>
                <w:rFonts w:ascii="黑体" w:eastAsia="黑体" w:hAnsi="黑体" w:cs="黑体" w:hint="eastAsia"/>
                <w:b/>
                <w:color w:val="000000" w:themeColor="text1"/>
                <w:kern w:val="0"/>
                <w:szCs w:val="21"/>
              </w:rPr>
              <w:t>年以下指数代码为：</w:t>
            </w:r>
            <w:r>
              <w:rPr>
                <w:rFonts w:ascii="黑体" w:eastAsia="黑体" w:hAnsi="黑体" w:cs="黑体"/>
                <w:b/>
                <w:color w:val="000000" w:themeColor="text1"/>
                <w:kern w:val="0"/>
                <w:szCs w:val="21"/>
              </w:rPr>
              <w:t>CBA00113.CS</w:t>
            </w:r>
            <w:r>
              <w:rPr>
                <w:rFonts w:ascii="黑体" w:eastAsia="黑体" w:hAnsi="黑体" w:cs="黑体" w:hint="eastAsia"/>
                <w:b/>
                <w:color w:val="000000" w:themeColor="text1"/>
                <w:kern w:val="0"/>
                <w:szCs w:val="21"/>
              </w:rPr>
              <w:t>，</w:t>
            </w:r>
            <w:r>
              <w:rPr>
                <w:rFonts w:ascii="黑体" w:eastAsia="黑体" w:hAnsi="黑体" w:cs="黑体"/>
                <w:b/>
                <w:color w:val="000000" w:themeColor="text1"/>
                <w:kern w:val="0"/>
                <w:szCs w:val="21"/>
              </w:rPr>
              <w:t>7</w:t>
            </w:r>
            <w:r>
              <w:rPr>
                <w:rFonts w:ascii="黑体" w:eastAsia="黑体" w:hAnsi="黑体" w:cs="黑体"/>
                <w:b/>
                <w:color w:val="000000" w:themeColor="text1"/>
                <w:kern w:val="0"/>
                <w:szCs w:val="21"/>
              </w:rPr>
              <w:t>天通知存款利率为</w:t>
            </w:r>
            <w:r>
              <w:rPr>
                <w:rFonts w:ascii="黑体" w:eastAsia="黑体" w:hAnsi="黑体" w:cs="黑体" w:hint="eastAsia"/>
                <w:b/>
                <w:color w:val="000000" w:themeColor="text1"/>
                <w:kern w:val="0"/>
                <w:szCs w:val="21"/>
              </w:rPr>
              <w:t>中国人民银行公布的</w:t>
            </w:r>
            <w:r>
              <w:rPr>
                <w:rFonts w:ascii="黑体" w:eastAsia="黑体" w:hAnsi="黑体" w:cs="黑体"/>
                <w:b/>
                <w:color w:val="000000" w:themeColor="text1"/>
                <w:kern w:val="0"/>
                <w:szCs w:val="21"/>
              </w:rPr>
              <w:t>7</w:t>
            </w:r>
            <w:r>
              <w:rPr>
                <w:rFonts w:ascii="黑体" w:eastAsia="黑体" w:hAnsi="黑体" w:cs="黑体"/>
                <w:b/>
                <w:color w:val="000000" w:themeColor="text1"/>
                <w:kern w:val="0"/>
                <w:szCs w:val="21"/>
              </w:rPr>
              <w:t>天通知存款利率</w:t>
            </w:r>
            <w:r>
              <w:rPr>
                <w:rFonts w:ascii="黑体" w:eastAsia="黑体" w:hAnsi="黑体" w:cs="黑体" w:hint="eastAsia"/>
                <w:b/>
                <w:color w:val="000000" w:themeColor="text1"/>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业绩比较基准不是预期收益率，不代表产品的未来表现和实际收益，不构成对产品本金的保证和收益的承诺，仅供投资者参考。</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业绩比较基准测算依据：本理财产品业绩比较基准由产品管理人依据理财产品的投资范围和投资策略，基于产品性质和过往经验，并综合考虑市场环境等因素测算得到的年化收益。本产品杠杆率不超过</w:t>
            </w:r>
            <w:r>
              <w:rPr>
                <w:rFonts w:ascii="黑体" w:eastAsia="黑体" w:hAnsi="黑体" w:cs="黑体" w:hint="eastAsia"/>
                <w:b/>
                <w:kern w:val="0"/>
                <w:szCs w:val="21"/>
              </w:rPr>
              <w:t>【</w:t>
            </w:r>
            <w:r>
              <w:rPr>
                <w:rFonts w:ascii="黑体" w:eastAsia="黑体" w:hAnsi="黑体" w:cs="黑体"/>
                <w:b/>
                <w:kern w:val="0"/>
                <w:szCs w:val="21"/>
              </w:rPr>
              <w:t>140%</w:t>
            </w:r>
            <w:r>
              <w:rPr>
                <w:rFonts w:ascii="黑体" w:eastAsia="黑体" w:hAnsi="黑体" w:cs="黑体"/>
                <w:b/>
                <w:kern w:val="0"/>
                <w:szCs w:val="21"/>
              </w:rPr>
              <w:t>】，</w:t>
            </w:r>
            <w:r>
              <w:rPr>
                <w:rFonts w:ascii="黑体" w:eastAsia="黑体" w:hAnsi="黑体" w:cs="黑体" w:hint="eastAsia"/>
                <w:b/>
                <w:kern w:val="0"/>
                <w:szCs w:val="21"/>
              </w:rPr>
              <w:t>计划将</w:t>
            </w:r>
            <w:r>
              <w:rPr>
                <w:rFonts w:ascii="黑体" w:eastAsia="黑体" w:hAnsi="黑体" w:cs="黑体"/>
                <w:b/>
                <w:kern w:val="0"/>
                <w:szCs w:val="21"/>
              </w:rPr>
              <w:t>80%-100%</w:t>
            </w:r>
            <w:r>
              <w:rPr>
                <w:rFonts w:ascii="黑体" w:eastAsia="黑体" w:hAnsi="黑体" w:cs="黑体"/>
                <w:b/>
                <w:kern w:val="0"/>
                <w:szCs w:val="21"/>
              </w:rPr>
              <w:t>的资金投资于固定收益类资产，</w:t>
            </w:r>
            <w:r>
              <w:rPr>
                <w:rFonts w:ascii="黑体" w:eastAsia="黑体" w:hAnsi="黑体" w:cs="黑体"/>
                <w:b/>
                <w:kern w:val="0"/>
                <w:szCs w:val="21"/>
              </w:rPr>
              <w:t>0%-20%</w:t>
            </w:r>
            <w:r>
              <w:rPr>
                <w:rFonts w:ascii="黑体" w:eastAsia="黑体" w:hAnsi="黑体" w:cs="黑体"/>
                <w:b/>
                <w:kern w:val="0"/>
                <w:szCs w:val="21"/>
              </w:rPr>
              <w:t>的资金投资于权益类资产，</w:t>
            </w:r>
            <w:r>
              <w:rPr>
                <w:rFonts w:ascii="黑体" w:eastAsia="黑体" w:hAnsi="黑体" w:cs="黑体"/>
                <w:b/>
                <w:kern w:val="0"/>
                <w:szCs w:val="21"/>
              </w:rPr>
              <w:t>0%-</w:t>
            </w:r>
            <w:r>
              <w:rPr>
                <w:rFonts w:ascii="黑体" w:eastAsia="黑体" w:hAnsi="黑体" w:cs="黑体" w:hint="eastAsia"/>
                <w:b/>
                <w:kern w:val="0"/>
                <w:szCs w:val="21"/>
              </w:rPr>
              <w:t>20</w:t>
            </w:r>
            <w:r>
              <w:rPr>
                <w:rFonts w:ascii="黑体" w:eastAsia="黑体" w:hAnsi="黑体" w:cs="黑体"/>
                <w:b/>
                <w:kern w:val="0"/>
                <w:szCs w:val="21"/>
              </w:rPr>
              <w:t>%</w:t>
            </w:r>
            <w:r>
              <w:rPr>
                <w:rFonts w:ascii="黑体" w:eastAsia="黑体" w:hAnsi="黑体" w:cs="黑体"/>
                <w:b/>
                <w:kern w:val="0"/>
                <w:szCs w:val="21"/>
              </w:rPr>
              <w:t>的资金投资于商品及金融衍生品类资产</w:t>
            </w:r>
            <w:r>
              <w:rPr>
                <w:rFonts w:ascii="黑体" w:eastAsia="黑体" w:hAnsi="黑体" w:cs="黑体" w:hint="eastAsia"/>
                <w:b/>
                <w:kern w:val="0"/>
                <w:szCs w:val="21"/>
              </w:rPr>
              <w:t>，（投资范围详见“三、产品投资管理”部分），参照市场利率水平和投资资产的市场表现，扣除各项费用，经综合测算后设定本产品的业绩比较基准。</w:t>
            </w:r>
          </w:p>
          <w:p w:rsidR="008B0A7D">
            <w:pPr>
              <w:autoSpaceDE w:val="0"/>
              <w:autoSpaceDN w:val="0"/>
              <w:adjustRightInd w:val="0"/>
              <w:jc w:val="left"/>
              <w:rPr>
                <w:rFonts w:ascii="黑体" w:eastAsia="黑体" w:hAnsi="黑体" w:cs="黑体"/>
                <w:b/>
                <w:kern w:val="0"/>
                <w:szCs w:val="21"/>
              </w:rPr>
            </w:pP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本产品将采取灵活的资产配置策略和积极主动的投资管理措</w:t>
            </w:r>
            <w:r>
              <w:rPr>
                <w:rFonts w:ascii="黑体" w:eastAsia="黑体" w:hAnsi="黑体" w:cs="黑体" w:hint="eastAsia"/>
                <w:b/>
                <w:kern w:val="0"/>
                <w:szCs w:val="21"/>
              </w:rPr>
              <w:t>施，并适时运用骑乘策略、杠杆策略和票息策略等投资策略，对投资组合进行收益增厚，在严格控制风险的基础上，力争为投资者提供持续稳健的投资回报。</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业绩比较基准可用于确定产品管理人是否收取超额业绩报酬，投资者所能获得的最终收益以管理人实际支付为准，业绩比较基准不作为产品管理人向投资者支付本产品本金或收益的承诺。</w:t>
            </w:r>
          </w:p>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本产品为净值型产品，业绩表现将随市场情况波动，具有不确定性。当监管政策、市场环境、产品性质等因素发生变化，导致理财产品的业绩比较基准需要调整时，产品管理人将至少于调整日之前</w:t>
            </w:r>
            <w:r>
              <w:rPr>
                <w:rFonts w:ascii="黑体" w:eastAsia="黑体" w:hAnsi="黑体" w:cs="黑体"/>
                <w:kern w:val="0"/>
                <w:szCs w:val="21"/>
              </w:rPr>
              <w:t>3</w:t>
            </w:r>
            <w:r>
              <w:rPr>
                <w:rFonts w:ascii="黑体" w:eastAsia="黑体" w:hAnsi="黑体" w:cs="黑体"/>
                <w:kern w:val="0"/>
                <w:szCs w:val="21"/>
              </w:rPr>
              <w:t>个工作日</w:t>
            </w:r>
            <w:bookmarkStart w:id="3" w:name="_Hlk81141686"/>
            <w:r>
              <w:rPr>
                <w:rFonts w:ascii="黑体" w:eastAsia="黑体" w:hAnsi="黑体" w:cs="黑体" w:hint="eastAsia"/>
                <w:kern w:val="0"/>
                <w:szCs w:val="21"/>
              </w:rPr>
              <w:t>通过机构官方渠道、行业统</w:t>
            </w:r>
            <w:r>
              <w:rPr>
                <w:rFonts w:ascii="黑体" w:eastAsia="黑体" w:hAnsi="黑体" w:cs="黑体" w:hint="eastAsia"/>
                <w:kern w:val="0"/>
                <w:szCs w:val="21"/>
              </w:rPr>
              <w:t>一信息披露渠道或与投资者约定的其他渠道公布调整情况和调整原因。</w:t>
            </w:r>
            <w:bookmarkEnd w:id="3"/>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产品</w:t>
            </w:r>
            <w:r>
              <w:rPr>
                <w:rFonts w:ascii="黑体" w:eastAsia="黑体" w:hAnsi="黑体" w:cs="黑体"/>
                <w:kern w:val="0"/>
                <w:szCs w:val="21"/>
              </w:rPr>
              <w:t>募集期</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b/>
                <w:kern w:val="0"/>
                <w:szCs w:val="21"/>
              </w:rPr>
              <w:t>202</w:t>
            </w:r>
            <w:r>
              <w:rPr>
                <w:rFonts w:ascii="黑体" w:eastAsia="黑体" w:hAnsi="黑体" w:cs="黑体" w:hint="eastAsia"/>
                <w:b/>
                <w:kern w:val="0"/>
                <w:szCs w:val="21"/>
              </w:rPr>
              <w:t>5</w:t>
            </w:r>
            <w:r>
              <w:rPr>
                <w:rFonts w:ascii="黑体" w:eastAsia="黑体" w:hAnsi="黑体" w:cs="黑体"/>
                <w:b/>
                <w:kern w:val="0"/>
                <w:szCs w:val="21"/>
              </w:rPr>
              <w:t>/12/09-202</w:t>
            </w:r>
            <w:r>
              <w:rPr>
                <w:rFonts w:ascii="黑体" w:eastAsia="黑体" w:hAnsi="黑体" w:cs="黑体" w:hint="eastAsia"/>
                <w:b/>
                <w:kern w:val="0"/>
                <w:szCs w:val="21"/>
              </w:rPr>
              <w:t>5</w:t>
            </w:r>
            <w:r>
              <w:rPr>
                <w:rFonts w:ascii="黑体" w:eastAsia="黑体" w:hAnsi="黑体" w:cs="黑体"/>
                <w:b/>
                <w:kern w:val="0"/>
                <w:szCs w:val="21"/>
              </w:rPr>
              <w:t>/12/11</w:t>
            </w:r>
          </w:p>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在本产品募集期内，产品</w:t>
            </w:r>
            <w:r>
              <w:rPr>
                <w:rFonts w:ascii="黑体" w:eastAsia="黑体" w:hAnsi="黑体" w:cs="黑体"/>
                <w:kern w:val="0"/>
                <w:szCs w:val="21"/>
              </w:rPr>
              <w:t>管理人有权根据产品实际募集情况调整产品募集</w:t>
            </w:r>
            <w:r>
              <w:rPr>
                <w:rFonts w:ascii="黑体" w:eastAsia="黑体" w:hAnsi="黑体" w:cs="黑体" w:hint="eastAsia"/>
                <w:kern w:val="0"/>
                <w:szCs w:val="21"/>
              </w:rPr>
              <w:t>结束日，</w:t>
            </w:r>
            <w:r>
              <w:rPr>
                <w:rFonts w:ascii="黑体" w:eastAsia="黑体" w:hAnsi="黑体" w:cs="黑体"/>
                <w:kern w:val="0"/>
                <w:szCs w:val="21"/>
              </w:rPr>
              <w:t>调整前将进行相关</w:t>
            </w:r>
            <w:r>
              <w:rPr>
                <w:rFonts w:ascii="黑体" w:eastAsia="黑体" w:hAnsi="黑体" w:cs="黑体" w:hint="eastAsia"/>
                <w:kern w:val="0"/>
                <w:szCs w:val="21"/>
              </w:rPr>
              <w:t>信息</w:t>
            </w:r>
            <w:r>
              <w:rPr>
                <w:rFonts w:ascii="黑体" w:eastAsia="黑体" w:hAnsi="黑体" w:cs="黑体"/>
                <w:kern w:val="0"/>
                <w:szCs w:val="21"/>
              </w:rPr>
              <w:t>披露</w:t>
            </w:r>
            <w:r>
              <w:rPr>
                <w:rFonts w:ascii="黑体" w:eastAsia="黑体" w:hAnsi="黑体" w:cs="黑体" w:hint="eastAsia"/>
                <w:kern w:val="0"/>
                <w:szCs w:val="21"/>
              </w:rPr>
              <w:t>。</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产品</w:t>
            </w:r>
            <w:r>
              <w:rPr>
                <w:rFonts w:ascii="黑体" w:eastAsia="黑体" w:hAnsi="黑体" w:cs="黑体"/>
                <w:kern w:val="0"/>
                <w:szCs w:val="21"/>
              </w:rPr>
              <w:t>成立日</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b/>
                <w:kern w:val="0"/>
                <w:szCs w:val="21"/>
              </w:rPr>
              <w:t>202</w:t>
            </w:r>
            <w:r>
              <w:rPr>
                <w:rFonts w:ascii="黑体" w:eastAsia="黑体" w:hAnsi="黑体" w:cs="黑体" w:hint="eastAsia"/>
                <w:b/>
                <w:kern w:val="0"/>
                <w:szCs w:val="21"/>
              </w:rPr>
              <w:t>5</w:t>
            </w:r>
            <w:r>
              <w:rPr>
                <w:rFonts w:ascii="黑体" w:eastAsia="黑体" w:hAnsi="黑体" w:cs="黑体"/>
                <w:b/>
                <w:kern w:val="0"/>
                <w:szCs w:val="21"/>
              </w:rPr>
              <w:t>/12/12</w:t>
            </w:r>
          </w:p>
          <w:p w:rsidR="008B0A7D">
            <w:pPr>
              <w:autoSpaceDE w:val="0"/>
              <w:autoSpaceDN w:val="0"/>
              <w:adjustRightInd w:val="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、为保护投资者权益，产品管理人</w:t>
            </w:r>
            <w:r>
              <w:rPr>
                <w:rFonts w:ascii="黑体" w:eastAsia="黑体" w:hAnsi="黑体" w:cs="黑体" w:hint="eastAsia"/>
                <w:kern w:val="0"/>
                <w:szCs w:val="21"/>
              </w:rPr>
              <w:t>可根据市场变化情况缩短或延长募集期并提前或推迟成立，届时</w:t>
            </w:r>
            <w:r>
              <w:rPr>
                <w:rFonts w:ascii="黑体" w:eastAsia="黑体" w:hAnsi="黑体" w:cs="黑体"/>
                <w:kern w:val="0"/>
                <w:szCs w:val="21"/>
              </w:rPr>
              <w:t>产品管理人</w:t>
            </w:r>
            <w:r>
              <w:rPr>
                <w:rFonts w:ascii="黑体" w:eastAsia="黑体" w:hAnsi="黑体" w:cs="黑体" w:hint="eastAsia"/>
                <w:kern w:val="0"/>
                <w:szCs w:val="21"/>
              </w:rPr>
              <w:t>将调整相关日期并进行信息披露。</w:t>
            </w:r>
          </w:p>
          <w:p w:rsidR="008B0A7D">
            <w:pPr>
              <w:autoSpaceDE w:val="0"/>
              <w:autoSpaceDN w:val="0"/>
              <w:adjustRightInd w:val="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kern w:val="0"/>
                <w:szCs w:val="21"/>
              </w:rPr>
              <w:t>、</w:t>
            </w:r>
            <w:r>
              <w:rPr>
                <w:rFonts w:ascii="黑体" w:eastAsia="黑体" w:hAnsi="黑体" w:cs="黑体" w:hint="eastAsia"/>
                <w:kern w:val="0"/>
                <w:szCs w:val="21"/>
              </w:rPr>
              <w:t>若</w:t>
            </w:r>
            <w:r>
              <w:rPr>
                <w:rFonts w:ascii="黑体" w:eastAsia="黑体" w:hAnsi="黑体" w:cs="黑体"/>
                <w:kern w:val="0"/>
                <w:szCs w:val="21"/>
              </w:rPr>
              <w:t>产品认购份额未达到最低成立规模，或</w:t>
            </w:r>
            <w:r>
              <w:rPr>
                <w:rFonts w:ascii="黑体" w:eastAsia="黑体" w:hAnsi="黑体" w:cs="宋体" w:hint="eastAsia"/>
                <w:kern w:val="0"/>
                <w:szCs w:val="21"/>
              </w:rPr>
              <w:t>遇到包括但不限于国家金融政策发生重大调整、金融市场发生重大波动、</w:t>
            </w:r>
            <w:r>
              <w:rPr>
                <w:rFonts w:ascii="黑体" w:eastAsia="黑体" w:hAnsi="黑体" w:cs="黑体"/>
                <w:kern w:val="0"/>
                <w:szCs w:val="21"/>
              </w:rPr>
              <w:t>不可抗力</w:t>
            </w:r>
            <w:r>
              <w:rPr>
                <w:rFonts w:ascii="黑体" w:eastAsia="黑体" w:hAnsi="黑体" w:cs="宋体" w:hint="eastAsia"/>
                <w:kern w:val="0"/>
                <w:szCs w:val="21"/>
              </w:rPr>
              <w:t>或产品管理人</w:t>
            </w:r>
            <w:r>
              <w:rPr>
                <w:rFonts w:ascii="黑体" w:eastAsia="黑体" w:hAnsi="黑体" w:cs="黑体" w:hint="eastAsia"/>
                <w:kern w:val="0"/>
                <w:szCs w:val="21"/>
              </w:rPr>
              <w:t>认为会影响</w:t>
            </w:r>
            <w:r>
              <w:rPr>
                <w:rFonts w:ascii="黑体" w:eastAsia="黑体" w:hAnsi="黑体" w:cs="黑体"/>
                <w:kern w:val="0"/>
                <w:szCs w:val="21"/>
              </w:rPr>
              <w:t>产品成立</w:t>
            </w:r>
            <w:r>
              <w:rPr>
                <w:rFonts w:ascii="黑体" w:eastAsia="黑体" w:hAnsi="黑体" w:cs="黑体" w:hint="eastAsia"/>
                <w:kern w:val="0"/>
                <w:szCs w:val="21"/>
              </w:rPr>
              <w:t>的其他因素时</w:t>
            </w:r>
            <w:r>
              <w:rPr>
                <w:rFonts w:ascii="黑体" w:eastAsia="黑体" w:hAnsi="黑体" w:cs="黑体"/>
                <w:kern w:val="0"/>
                <w:szCs w:val="21"/>
              </w:rPr>
              <w:t>，</w:t>
            </w:r>
            <w:r>
              <w:rPr>
                <w:rFonts w:ascii="黑体" w:eastAsia="黑体" w:hAnsi="黑体" w:cs="黑体" w:hint="eastAsia"/>
                <w:b/>
                <w:kern w:val="0"/>
                <w:szCs w:val="21"/>
              </w:rPr>
              <w:t>产品管理人可以</w:t>
            </w:r>
            <w:r>
              <w:rPr>
                <w:rFonts w:ascii="黑体" w:eastAsia="黑体" w:hAnsi="黑体" w:cs="黑体"/>
                <w:b/>
                <w:kern w:val="0"/>
                <w:szCs w:val="21"/>
              </w:rPr>
              <w:t>宣布产品不成立，</w:t>
            </w:r>
            <w:r>
              <w:rPr>
                <w:rFonts w:ascii="黑体" w:eastAsia="黑体" w:hAnsi="黑体" w:cs="黑体" w:hint="eastAsia"/>
                <w:b/>
                <w:kern w:val="0"/>
                <w:szCs w:val="21"/>
              </w:rPr>
              <w:t>该情形下</w:t>
            </w:r>
            <w:r>
              <w:rPr>
                <w:rFonts w:ascii="黑体" w:eastAsia="黑体" w:hAnsi="黑体" w:cs="黑体"/>
                <w:b/>
                <w:kern w:val="0"/>
                <w:szCs w:val="21"/>
              </w:rPr>
              <w:t>投资者认购资金</w:t>
            </w:r>
            <w:r>
              <w:rPr>
                <w:rFonts w:ascii="黑体" w:eastAsia="黑体" w:hAnsi="黑体" w:cs="黑体" w:hint="eastAsia"/>
                <w:b/>
                <w:kern w:val="0"/>
                <w:szCs w:val="21"/>
              </w:rPr>
              <w:t>将</w:t>
            </w:r>
            <w:r>
              <w:rPr>
                <w:rFonts w:ascii="黑体" w:eastAsia="黑体" w:hAnsi="黑体" w:cs="黑体"/>
                <w:b/>
                <w:kern w:val="0"/>
                <w:szCs w:val="21"/>
              </w:rPr>
              <w:t>于产品</w:t>
            </w:r>
            <w:r>
              <w:rPr>
                <w:rFonts w:ascii="黑体" w:eastAsia="黑体" w:hAnsi="黑体" w:cs="黑体" w:hint="eastAsia"/>
                <w:b/>
                <w:kern w:val="0"/>
                <w:szCs w:val="21"/>
              </w:rPr>
              <w:t>募集</w:t>
            </w:r>
            <w:r>
              <w:rPr>
                <w:rFonts w:ascii="黑体" w:eastAsia="黑体" w:hAnsi="黑体" w:cs="黑体"/>
                <w:b/>
                <w:kern w:val="0"/>
                <w:szCs w:val="21"/>
              </w:rPr>
              <w:t>期结束后</w:t>
            </w:r>
            <w:r>
              <w:rPr>
                <w:rFonts w:ascii="黑体" w:eastAsia="黑体" w:hAnsi="黑体" w:cs="黑体"/>
                <w:b/>
                <w:kern w:val="0"/>
                <w:szCs w:val="21"/>
              </w:rPr>
              <w:t>5</w:t>
            </w:r>
            <w:r>
              <w:rPr>
                <w:rFonts w:ascii="黑体" w:eastAsia="黑体" w:hAnsi="黑体" w:cs="黑体"/>
                <w:b/>
                <w:kern w:val="0"/>
                <w:szCs w:val="21"/>
              </w:rPr>
              <w:t>个工作日内</w:t>
            </w:r>
            <w:r>
              <w:rPr>
                <w:rFonts w:ascii="黑体" w:eastAsia="黑体" w:hAnsi="黑体" w:cs="黑体" w:hint="eastAsia"/>
                <w:b/>
                <w:kern w:val="0"/>
                <w:szCs w:val="21"/>
              </w:rPr>
              <w:t>解冻</w:t>
            </w:r>
            <w:r>
              <w:rPr>
                <w:rFonts w:ascii="黑体" w:eastAsia="黑体" w:hAnsi="黑体" w:cs="黑体"/>
                <w:b/>
                <w:kern w:val="0"/>
                <w:szCs w:val="21"/>
              </w:rPr>
              <w:t>或返还至投资者指定账户，在途期间投资者投资本金不计息。</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产品</w:t>
            </w:r>
            <w:r>
              <w:rPr>
                <w:rFonts w:ascii="黑体" w:eastAsia="黑体" w:hAnsi="黑体" w:cs="黑体"/>
                <w:kern w:val="0"/>
                <w:szCs w:val="21"/>
              </w:rPr>
              <w:t>到期</w:t>
            </w:r>
            <w:r>
              <w:rPr>
                <w:rFonts w:ascii="黑体" w:eastAsia="黑体" w:hAnsi="黑体" w:cs="黑体" w:hint="eastAsia"/>
                <w:kern w:val="0"/>
                <w:szCs w:val="21"/>
              </w:rPr>
              <w:t>日</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b/>
                <w:kern w:val="0"/>
                <w:szCs w:val="21"/>
              </w:rPr>
              <w:t>2050</w:t>
            </w:r>
            <w:r>
              <w:rPr>
                <w:rFonts w:ascii="黑体" w:eastAsia="黑体" w:hAnsi="黑体" w:cs="黑体"/>
                <w:b/>
                <w:kern w:val="0"/>
                <w:szCs w:val="21"/>
              </w:rPr>
              <w:t>年</w:t>
            </w:r>
            <w:r>
              <w:rPr>
                <w:rFonts w:ascii="黑体" w:eastAsia="黑体" w:hAnsi="黑体" w:cs="黑体"/>
                <w:b/>
                <w:kern w:val="0"/>
                <w:szCs w:val="21"/>
              </w:rPr>
              <w:t>12</w:t>
            </w:r>
            <w:r>
              <w:rPr>
                <w:rFonts w:ascii="黑体" w:eastAsia="黑体" w:hAnsi="黑体" w:cs="黑体"/>
                <w:b/>
                <w:kern w:val="0"/>
                <w:szCs w:val="21"/>
              </w:rPr>
              <w:t>月</w:t>
            </w:r>
            <w:r>
              <w:rPr>
                <w:rFonts w:ascii="黑体" w:eastAsia="黑体" w:hAnsi="黑体" w:cs="黑体"/>
                <w:b/>
                <w:kern w:val="0"/>
                <w:szCs w:val="21"/>
              </w:rPr>
              <w:t>31</w:t>
            </w:r>
            <w:r>
              <w:rPr>
                <w:rFonts w:ascii="黑体" w:eastAsia="黑体" w:hAnsi="黑体" w:cs="黑体"/>
                <w:b/>
                <w:kern w:val="0"/>
                <w:szCs w:val="21"/>
              </w:rPr>
              <w:t>日</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产品</w:t>
            </w:r>
            <w:r>
              <w:rPr>
                <w:rFonts w:ascii="黑体" w:eastAsia="黑体" w:hAnsi="黑体" w:cs="黑体"/>
                <w:b/>
                <w:kern w:val="0"/>
                <w:szCs w:val="21"/>
              </w:rPr>
              <w:t>成立日</w:t>
            </w:r>
            <w:r>
              <w:rPr>
                <w:rFonts w:ascii="黑体" w:eastAsia="黑体" w:hAnsi="黑体" w:cs="黑体" w:hint="eastAsia"/>
                <w:b/>
                <w:kern w:val="0"/>
                <w:szCs w:val="21"/>
              </w:rPr>
              <w:t>至</w:t>
            </w:r>
            <w:r>
              <w:rPr>
                <w:rFonts w:ascii="黑体" w:eastAsia="黑体" w:hAnsi="黑体" w:cs="黑体"/>
                <w:b/>
                <w:kern w:val="0"/>
                <w:szCs w:val="21"/>
              </w:rPr>
              <w:t>产品到期日</w:t>
            </w:r>
            <w:r>
              <w:rPr>
                <w:rFonts w:ascii="黑体" w:eastAsia="黑体" w:hAnsi="黑体" w:cs="黑体" w:hint="eastAsia"/>
                <w:b/>
                <w:kern w:val="0"/>
                <w:szCs w:val="21"/>
              </w:rPr>
              <w:t>期</w:t>
            </w:r>
            <w:r>
              <w:rPr>
                <w:rFonts w:ascii="黑体" w:eastAsia="黑体" w:hAnsi="黑体" w:cs="黑体"/>
                <w:b/>
                <w:kern w:val="0"/>
                <w:szCs w:val="21"/>
              </w:rPr>
              <w:t>间为产品存续期。</w:t>
            </w:r>
            <w:r>
              <w:rPr>
                <w:rFonts w:ascii="黑体" w:eastAsia="黑体" w:hAnsi="黑体" w:cs="黑体" w:hint="eastAsia"/>
                <w:b/>
                <w:kern w:val="0"/>
                <w:szCs w:val="21"/>
              </w:rPr>
              <w:t>详见</w:t>
            </w:r>
            <w:r>
              <w:rPr>
                <w:rFonts w:ascii="黑体" w:eastAsia="黑体" w:hAnsi="黑体" w:cs="黑体"/>
                <w:b/>
                <w:kern w:val="0"/>
                <w:szCs w:val="21"/>
              </w:rPr>
              <w:t>本说明书第</w:t>
            </w:r>
            <w:r>
              <w:rPr>
                <w:rFonts w:ascii="黑体" w:eastAsia="黑体" w:hAnsi="黑体" w:cs="黑体" w:hint="eastAsia"/>
                <w:b/>
                <w:kern w:val="0"/>
                <w:szCs w:val="21"/>
              </w:rPr>
              <w:t>七</w:t>
            </w:r>
            <w:r>
              <w:rPr>
                <w:rFonts w:ascii="黑体" w:eastAsia="黑体" w:hAnsi="黑体" w:cs="黑体"/>
                <w:b/>
                <w:kern w:val="0"/>
                <w:szCs w:val="21"/>
              </w:rPr>
              <w:t>部分</w:t>
            </w:r>
            <w:r>
              <w:rPr>
                <w:rFonts w:ascii="黑体" w:eastAsia="黑体" w:hAnsi="黑体" w:cs="黑体" w:hint="eastAsia"/>
                <w:b/>
                <w:bCs/>
                <w:kern w:val="0"/>
                <w:szCs w:val="21"/>
              </w:rPr>
              <w:t>理财产品到期与终止</w:t>
            </w:r>
            <w:r>
              <w:rPr>
                <w:rFonts w:ascii="黑体" w:eastAsia="黑体" w:hAnsi="黑体" w:cs="黑体"/>
                <w:b/>
                <w:kern w:val="0"/>
                <w:szCs w:val="21"/>
              </w:rPr>
              <w:t>。</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最短持有期限</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单个投资者于产品募集期的认购份额自产品成立日（含）起，最短持有期限为</w:t>
            </w:r>
            <w:r>
              <w:rPr>
                <w:rFonts w:ascii="黑体" w:eastAsia="黑体" w:hAnsi="黑体" w:cs="黑体"/>
                <w:b/>
                <w:kern w:val="0"/>
                <w:szCs w:val="21"/>
              </w:rPr>
              <w:t>14</w:t>
            </w:r>
            <w:r>
              <w:rPr>
                <w:rFonts w:ascii="黑体" w:eastAsia="黑体" w:hAnsi="黑体" w:cs="黑体" w:hint="eastAsia"/>
                <w:b/>
                <w:kern w:val="0"/>
                <w:szCs w:val="21"/>
              </w:rPr>
              <w:t>个自然日；</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单个投资者于产品存续期内的单笔申购份额自该份额确认日（含）起，最短持有期限为</w:t>
            </w:r>
            <w:r>
              <w:rPr>
                <w:rFonts w:ascii="黑体" w:eastAsia="黑体" w:hAnsi="黑体" w:cs="黑体"/>
                <w:b/>
                <w:kern w:val="0"/>
                <w:szCs w:val="21"/>
              </w:rPr>
              <w:t>14</w:t>
            </w:r>
            <w:r>
              <w:rPr>
                <w:rFonts w:ascii="黑体" w:eastAsia="黑体" w:hAnsi="黑体" w:cs="黑体" w:hint="eastAsia"/>
                <w:b/>
                <w:kern w:val="0"/>
                <w:szCs w:val="21"/>
              </w:rPr>
              <w:t>个自然日；</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单笔份额自满足最短持有期限后，可由投资者按规则申请赎回。具体赎回规则见后文四、产品交易相关规则。</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产品开放日</w:t>
            </w:r>
            <w:r>
              <w:rPr>
                <w:rFonts w:ascii="黑体" w:eastAsia="黑体" w:hAnsi="黑体" w:cs="黑体" w:hint="eastAsia"/>
                <w:kern w:val="0"/>
                <w:szCs w:val="21"/>
              </w:rPr>
              <w:t>/</w:t>
            </w:r>
            <w:r>
              <w:rPr>
                <w:rFonts w:ascii="黑体" w:eastAsia="黑体" w:hAnsi="黑体" w:cs="黑体" w:hint="eastAsia"/>
                <w:kern w:val="0"/>
                <w:szCs w:val="21"/>
              </w:rPr>
              <w:t>申购开放日</w:t>
            </w:r>
          </w:p>
        </w:tc>
        <w:tc>
          <w:tcPr>
            <w:tcW w:w="6458" w:type="dxa"/>
          </w:tcPr>
          <w:p w:rsidR="008B0A7D">
            <w:pPr>
              <w:autoSpaceDE w:val="0"/>
              <w:autoSpaceDN w:val="0"/>
              <w:adjustRightInd w:val="0"/>
              <w:jc w:val="left"/>
              <w:rPr>
                <w:rFonts w:ascii="黑体" w:eastAsia="黑体" w:hAnsi="黑体" w:cs="黑体"/>
                <w:b/>
                <w:bCs/>
                <w:kern w:val="0"/>
                <w:szCs w:val="21"/>
              </w:rPr>
            </w:pPr>
            <w:r>
              <w:rPr>
                <w:rFonts w:ascii="黑体" w:eastAsia="黑体" w:hAnsi="黑体" w:cs="黑体" w:hint="eastAsia"/>
                <w:b/>
                <w:bCs/>
                <w:kern w:val="0"/>
                <w:szCs w:val="21"/>
              </w:rPr>
              <w:t>自</w:t>
            </w:r>
            <w:r>
              <w:rPr>
                <w:rFonts w:ascii="黑体" w:eastAsia="黑体" w:hAnsi="黑体" w:cs="黑体"/>
                <w:b/>
                <w:bCs/>
                <w:kern w:val="0"/>
                <w:szCs w:val="21"/>
              </w:rPr>
              <w:t>202</w:t>
            </w:r>
            <w:r>
              <w:rPr>
                <w:rFonts w:ascii="黑体" w:eastAsia="黑体" w:hAnsi="黑体" w:cs="黑体" w:hint="eastAsia"/>
                <w:b/>
                <w:bCs/>
                <w:kern w:val="0"/>
                <w:szCs w:val="21"/>
              </w:rPr>
              <w:t>5</w:t>
            </w:r>
            <w:r>
              <w:rPr>
                <w:rFonts w:ascii="黑体" w:eastAsia="黑体" w:hAnsi="黑体" w:cs="黑体" w:hint="eastAsia"/>
                <w:b/>
                <w:bCs/>
                <w:kern w:val="0"/>
                <w:szCs w:val="21"/>
              </w:rPr>
              <w:t>年</w:t>
            </w:r>
            <w:r>
              <w:rPr>
                <w:rFonts w:ascii="黑体" w:eastAsia="黑体" w:hAnsi="黑体" w:cs="黑体" w:hint="eastAsia"/>
                <w:b/>
                <w:bCs/>
                <w:kern w:val="0"/>
                <w:szCs w:val="21"/>
              </w:rPr>
              <w:t>1</w:t>
            </w:r>
            <w:r>
              <w:rPr>
                <w:rFonts w:ascii="黑体" w:eastAsia="黑体" w:hAnsi="黑体" w:cs="黑体"/>
                <w:b/>
                <w:bCs/>
                <w:kern w:val="0"/>
                <w:szCs w:val="21"/>
              </w:rPr>
              <w:t>2</w:t>
            </w:r>
            <w:r>
              <w:rPr>
                <w:rFonts w:ascii="黑体" w:eastAsia="黑体" w:hAnsi="黑体" w:cs="黑体" w:hint="eastAsia"/>
                <w:b/>
                <w:bCs/>
                <w:kern w:val="0"/>
                <w:szCs w:val="21"/>
              </w:rPr>
              <w:t>月</w:t>
            </w:r>
            <w:r>
              <w:rPr>
                <w:rFonts w:ascii="黑体" w:eastAsia="黑体" w:hAnsi="黑体" w:cs="黑体"/>
                <w:b/>
                <w:bCs/>
                <w:kern w:val="0"/>
                <w:szCs w:val="21"/>
              </w:rPr>
              <w:t>15</w:t>
            </w:r>
            <w:r>
              <w:rPr>
                <w:rFonts w:ascii="黑体" w:eastAsia="黑体" w:hAnsi="黑体" w:cs="黑体" w:hint="eastAsia"/>
                <w:b/>
                <w:bCs/>
                <w:kern w:val="0"/>
                <w:szCs w:val="21"/>
              </w:rPr>
              <w:t>日（含）起的产品存续期内，每个工作日为产品开放日，投资者可按规则提交申购和赎回申请。具体交易规则见后文四、产品交易相关规则。</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在理财产品存续期内，本公司有权根据市场情况变化暂停或调整本理财产品的申购、赎回安排，相关安排请以届时提前公告为准。</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认购、申购</w:t>
            </w:r>
            <w:r>
              <w:rPr>
                <w:rFonts w:ascii="黑体" w:eastAsia="黑体" w:hAnsi="黑体" w:cs="黑体"/>
                <w:kern w:val="0"/>
                <w:szCs w:val="21"/>
              </w:rPr>
              <w:t>、赎回</w:t>
            </w:r>
            <w:r>
              <w:rPr>
                <w:rFonts w:ascii="黑体" w:eastAsia="黑体" w:hAnsi="黑体" w:cs="黑体" w:hint="eastAsia"/>
                <w:kern w:val="0"/>
                <w:szCs w:val="21"/>
              </w:rPr>
              <w:t>及撤单</w:t>
            </w:r>
            <w:r>
              <w:rPr>
                <w:rFonts w:ascii="黑体" w:eastAsia="黑体" w:hAnsi="黑体" w:cs="黑体"/>
                <w:kern w:val="0"/>
                <w:szCs w:val="21"/>
              </w:rPr>
              <w:t>时间</w:t>
            </w:r>
          </w:p>
        </w:tc>
        <w:tc>
          <w:tcPr>
            <w:tcW w:w="6458" w:type="dxa"/>
          </w:tcPr>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产品募集期第一日</w:t>
            </w:r>
            <w:r>
              <w:rPr>
                <w:rFonts w:ascii="黑体" w:eastAsia="黑体" w:hAnsi="黑体" w:cs="宋体"/>
                <w:kern w:val="0"/>
                <w:szCs w:val="21"/>
              </w:rPr>
              <w:t>8:30</w:t>
            </w:r>
            <w:r>
              <w:rPr>
                <w:rFonts w:ascii="黑体" w:eastAsia="黑体" w:hAnsi="黑体" w:cs="宋体"/>
                <w:kern w:val="0"/>
                <w:szCs w:val="21"/>
              </w:rPr>
              <w:t>至最后一日</w:t>
            </w:r>
            <w:r>
              <w:rPr>
                <w:rFonts w:ascii="黑体" w:eastAsia="黑体" w:hAnsi="黑体" w:cs="宋体"/>
                <w:kern w:val="0"/>
                <w:szCs w:val="21"/>
              </w:rPr>
              <w:t>17:30</w:t>
            </w:r>
            <w:r>
              <w:rPr>
                <w:rFonts w:ascii="黑体" w:eastAsia="黑体" w:hAnsi="黑体" w:cs="宋体" w:hint="eastAsia"/>
                <w:kern w:val="0"/>
                <w:szCs w:val="21"/>
              </w:rPr>
              <w:t>，</w:t>
            </w:r>
            <w:r>
              <w:rPr>
                <w:rFonts w:ascii="黑体" w:eastAsia="黑体" w:hAnsi="黑体" w:cs="宋体"/>
                <w:kern w:val="0"/>
                <w:szCs w:val="21"/>
              </w:rPr>
              <w:t>投资者可以提交或撤销认购申请；</w:t>
            </w:r>
            <w:r>
              <w:rPr>
                <w:rFonts w:ascii="黑体" w:eastAsia="黑体" w:hAnsi="黑体" w:cs="宋体" w:hint="eastAsia"/>
                <w:kern w:val="0"/>
                <w:szCs w:val="21"/>
              </w:rPr>
              <w:t>产品存续期间，</w:t>
            </w:r>
            <w:r>
              <w:rPr>
                <w:rFonts w:ascii="黑体" w:eastAsia="黑体" w:hAnsi="黑体" w:cs="宋体"/>
                <w:kern w:val="0"/>
                <w:szCs w:val="21"/>
              </w:rPr>
              <w:t>投资者可</w:t>
            </w:r>
            <w:r>
              <w:rPr>
                <w:rFonts w:ascii="黑体" w:eastAsia="黑体" w:hAnsi="黑体" w:cs="宋体" w:hint="eastAsia"/>
                <w:kern w:val="0"/>
                <w:szCs w:val="21"/>
              </w:rPr>
              <w:t>按规则</w:t>
            </w:r>
            <w:r>
              <w:rPr>
                <w:rFonts w:ascii="黑体" w:eastAsia="黑体" w:hAnsi="黑体" w:cs="宋体"/>
                <w:kern w:val="0"/>
                <w:szCs w:val="21"/>
              </w:rPr>
              <w:t>提交申购和赎回申请</w:t>
            </w:r>
            <w:r>
              <w:rPr>
                <w:rFonts w:ascii="黑体" w:eastAsia="黑体" w:hAnsi="黑体" w:cs="宋体" w:hint="eastAsia"/>
                <w:b/>
                <w:kern w:val="0"/>
                <w:szCs w:val="21"/>
              </w:rPr>
              <w:t>（仅可赎回满足最短持有期限的本产品份额）</w:t>
            </w:r>
            <w:r>
              <w:rPr>
                <w:rFonts w:ascii="黑体" w:eastAsia="黑体" w:hAnsi="黑体" w:cs="宋体" w:hint="eastAsia"/>
                <w:kern w:val="0"/>
                <w:szCs w:val="21"/>
              </w:rPr>
              <w:t>。针对投资者在工作日</w:t>
            </w:r>
            <w:r>
              <w:rPr>
                <w:rFonts w:ascii="黑体" w:eastAsia="黑体" w:hAnsi="黑体" w:cs="宋体"/>
                <w:kern w:val="0"/>
                <w:szCs w:val="21"/>
              </w:rPr>
              <w:t>0:00-</w:t>
            </w:r>
            <w:r>
              <w:rPr>
                <w:rFonts w:ascii="黑体" w:eastAsia="黑体" w:hAnsi="黑体" w:cs="黑体"/>
                <w:kern w:val="0"/>
                <w:szCs w:val="21"/>
              </w:rPr>
              <w:t>16:00</w:t>
            </w:r>
            <w:r>
              <w:rPr>
                <w:rFonts w:ascii="黑体" w:eastAsia="黑体" w:hAnsi="黑体" w:cs="宋体" w:hint="eastAsia"/>
                <w:kern w:val="0"/>
                <w:szCs w:val="21"/>
              </w:rPr>
              <w:t>之间提出的申购和赎回申请，投资者可以在提出申请的当日</w:t>
            </w:r>
            <w:r>
              <w:rPr>
                <w:rFonts w:ascii="黑体" w:eastAsia="黑体" w:hAnsi="黑体" w:cs="黑体"/>
                <w:kern w:val="0"/>
                <w:szCs w:val="21"/>
              </w:rPr>
              <w:t>16:00</w:t>
            </w:r>
            <w:r>
              <w:rPr>
                <w:rFonts w:ascii="黑体" w:eastAsia="黑体" w:hAnsi="黑体" w:cs="宋体" w:hint="eastAsia"/>
                <w:kern w:val="0"/>
                <w:szCs w:val="21"/>
              </w:rPr>
              <w:t>前进行撤销；针对投资者在其余时段提出的申购和赎回申请，投资者可以在提出申请的下一工作日</w:t>
            </w:r>
            <w:r>
              <w:rPr>
                <w:rFonts w:ascii="黑体" w:eastAsia="黑体" w:hAnsi="黑体" w:cs="黑体"/>
                <w:kern w:val="0"/>
                <w:szCs w:val="21"/>
              </w:rPr>
              <w:t>16:00</w:t>
            </w:r>
            <w:r>
              <w:rPr>
                <w:rFonts w:ascii="黑体" w:eastAsia="黑体" w:hAnsi="黑体" w:cs="宋体" w:hint="eastAsia"/>
                <w:kern w:val="0"/>
                <w:szCs w:val="21"/>
              </w:rPr>
              <w:t>前进行撤销，具体是否可撤销以销售机构展示为准。具体交易规则见后文四、产品交易相关规则。（具体交易时间以销售机构展示为准）</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产品</w:t>
            </w:r>
            <w:r>
              <w:rPr>
                <w:rFonts w:ascii="黑体" w:eastAsia="黑体" w:hAnsi="黑体" w:cs="黑体"/>
                <w:kern w:val="0"/>
                <w:szCs w:val="21"/>
              </w:rPr>
              <w:t>最低成立规模</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无</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kern w:val="0"/>
                <w:szCs w:val="21"/>
              </w:rPr>
              <w:t>产品规模上限</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产品募集期规模</w:t>
            </w:r>
            <w:r>
              <w:rPr>
                <w:rFonts w:ascii="黑体" w:eastAsia="黑体" w:hAnsi="黑体" w:cs="黑体"/>
                <w:b/>
                <w:kern w:val="0"/>
                <w:szCs w:val="21"/>
              </w:rPr>
              <w:t>上限为</w:t>
            </w:r>
            <w:r>
              <w:rPr>
                <w:rFonts w:ascii="黑体" w:eastAsia="黑体" w:hAnsi="黑体" w:cs="黑体"/>
                <w:b/>
                <w:kern w:val="0"/>
                <w:szCs w:val="21"/>
              </w:rPr>
              <w:t>10</w:t>
            </w:r>
            <w:r>
              <w:rPr>
                <w:rFonts w:ascii="黑体" w:eastAsia="黑体" w:hAnsi="黑体" w:cs="黑体" w:hint="eastAsia"/>
                <w:b/>
                <w:kern w:val="0"/>
                <w:szCs w:val="21"/>
              </w:rPr>
              <w:t>亿元</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若募集期产品认购金额达到产品规模上限，则产品管理人有权停止产品的认购交易，对于超出产品规模上限的部分，产品管理人有权不进行确认。</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产品管理人有权根据产品实际运作情况调整产品存续期间的规模上限，具体以产品销售机构显示为准。</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首次</w:t>
            </w:r>
            <w:r>
              <w:rPr>
                <w:rFonts w:ascii="黑体" w:eastAsia="黑体" w:hAnsi="黑体" w:cs="黑体"/>
                <w:kern w:val="0"/>
                <w:szCs w:val="21"/>
              </w:rPr>
              <w:t>购买起点金额</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kern w:val="0"/>
                <w:szCs w:val="21"/>
              </w:rPr>
              <w:t>A</w:t>
            </w:r>
            <w:r>
              <w:rPr>
                <w:rFonts w:ascii="黑体" w:eastAsia="黑体" w:hAnsi="黑体" w:cs="黑体"/>
                <w:kern w:val="0"/>
                <w:szCs w:val="21"/>
              </w:rPr>
              <w:t>、</w:t>
            </w:r>
            <w:r>
              <w:rPr>
                <w:rFonts w:ascii="黑体" w:eastAsia="黑体" w:hAnsi="黑体" w:cs="黑体"/>
                <w:kern w:val="0"/>
                <w:szCs w:val="21"/>
              </w:rPr>
              <w:t>B</w:t>
            </w:r>
            <w:r>
              <w:rPr>
                <w:rFonts w:ascii="黑体" w:eastAsia="黑体" w:hAnsi="黑体" w:cs="黑体" w:hint="eastAsia"/>
                <w:kern w:val="0"/>
                <w:szCs w:val="21"/>
              </w:rPr>
              <w:t>、</w:t>
            </w:r>
            <w:r>
              <w:rPr>
                <w:rFonts w:ascii="黑体" w:eastAsia="黑体" w:hAnsi="黑体" w:cs="黑体"/>
                <w:kern w:val="0"/>
                <w:szCs w:val="21"/>
              </w:rPr>
              <w:t>D</w:t>
            </w:r>
            <w:r>
              <w:rPr>
                <w:rFonts w:ascii="黑体" w:eastAsia="黑体" w:hAnsi="黑体" w:cs="黑体"/>
                <w:kern w:val="0"/>
                <w:szCs w:val="21"/>
              </w:rPr>
              <w:t>、</w:t>
            </w:r>
            <w:r>
              <w:rPr>
                <w:rFonts w:ascii="黑体" w:eastAsia="黑体" w:hAnsi="黑体" w:cs="黑体"/>
                <w:kern w:val="0"/>
                <w:szCs w:val="21"/>
              </w:rPr>
              <w:t>E</w:t>
            </w:r>
            <w:r>
              <w:rPr>
                <w:rFonts w:ascii="黑体" w:eastAsia="黑体" w:hAnsi="黑体" w:cs="黑体" w:hint="eastAsia"/>
                <w:kern w:val="0"/>
                <w:szCs w:val="21"/>
              </w:rPr>
              <w:t>、</w:t>
            </w:r>
            <w:r>
              <w:rPr>
                <w:rFonts w:ascii="黑体" w:eastAsia="黑体" w:hAnsi="黑体" w:cs="黑体" w:hint="eastAsia"/>
                <w:kern w:val="0"/>
                <w:szCs w:val="21"/>
              </w:rPr>
              <w:t>G</w:t>
            </w:r>
            <w:r>
              <w:rPr>
                <w:rFonts w:ascii="黑体" w:eastAsia="黑体" w:hAnsi="黑体" w:cs="黑体" w:hint="eastAsia"/>
                <w:kern w:val="0"/>
                <w:szCs w:val="21"/>
              </w:rPr>
              <w:t>、</w:t>
            </w:r>
            <w:r>
              <w:rPr>
                <w:rFonts w:ascii="黑体" w:eastAsia="黑体" w:hAnsi="黑体" w:cs="黑体" w:hint="eastAsia"/>
                <w:kern w:val="0"/>
                <w:szCs w:val="21"/>
              </w:rPr>
              <w:t>L</w:t>
            </w:r>
            <w:r>
              <w:rPr>
                <w:rFonts w:ascii="黑体" w:eastAsia="黑体" w:hAnsi="黑体" w:cs="黑体" w:hint="eastAsia"/>
                <w:kern w:val="0"/>
                <w:szCs w:val="21"/>
              </w:rPr>
              <w:t>、</w:t>
            </w:r>
            <w:r>
              <w:rPr>
                <w:rFonts w:ascii="黑体" w:eastAsia="黑体" w:hAnsi="黑体" w:cs="黑体" w:hint="eastAsia"/>
                <w:kern w:val="0"/>
                <w:szCs w:val="21"/>
              </w:rPr>
              <w:t>P</w:t>
            </w:r>
            <w:r>
              <w:rPr>
                <w:rFonts w:ascii="黑体" w:eastAsia="黑体" w:hAnsi="黑体" w:cs="黑体" w:hint="eastAsia"/>
                <w:kern w:val="0"/>
                <w:szCs w:val="21"/>
              </w:rPr>
              <w:t>份额：</w:t>
            </w:r>
            <w:r>
              <w:rPr>
                <w:rFonts w:ascii="黑体" w:eastAsia="黑体" w:hAnsi="黑体" w:cs="黑体"/>
                <w:kern w:val="0"/>
                <w:szCs w:val="21"/>
              </w:rPr>
              <w:t>0.01</w:t>
            </w:r>
            <w:r>
              <w:rPr>
                <w:rFonts w:ascii="黑体" w:eastAsia="黑体" w:hAnsi="黑体" w:cs="黑体"/>
                <w:kern w:val="0"/>
                <w:szCs w:val="21"/>
              </w:rPr>
              <w:t>元起售</w:t>
            </w:r>
            <w:r>
              <w:rPr>
                <w:rFonts w:ascii="黑体" w:eastAsia="黑体" w:hAnsi="黑体" w:cs="黑体" w:hint="eastAsia"/>
                <w:kern w:val="0"/>
                <w:szCs w:val="21"/>
              </w:rPr>
              <w:t>；</w:t>
            </w:r>
            <w:r>
              <w:rPr>
                <w:rFonts w:ascii="黑体" w:eastAsia="黑体" w:hAnsi="黑体" w:cs="黑体" w:hint="eastAsia"/>
                <w:kern w:val="0"/>
                <w:szCs w:val="21"/>
              </w:rPr>
              <w:t>K</w:t>
            </w:r>
            <w:r>
              <w:rPr>
                <w:rFonts w:ascii="黑体" w:eastAsia="黑体" w:hAnsi="黑体" w:cs="黑体" w:hint="eastAsia"/>
                <w:kern w:val="0"/>
                <w:szCs w:val="21"/>
              </w:rPr>
              <w:t>份额：</w:t>
            </w:r>
            <w:r>
              <w:rPr>
                <w:rFonts w:ascii="黑体" w:eastAsia="黑体" w:hAnsi="黑体" w:cs="黑体" w:hint="eastAsia"/>
                <w:kern w:val="0"/>
                <w:szCs w:val="21"/>
              </w:rPr>
              <w:t>1</w:t>
            </w:r>
            <w:r>
              <w:rPr>
                <w:rFonts w:ascii="黑体" w:eastAsia="黑体" w:hAnsi="黑体" w:cs="黑体" w:hint="eastAsia"/>
                <w:kern w:val="0"/>
                <w:szCs w:val="21"/>
              </w:rPr>
              <w:t>万</w:t>
            </w:r>
            <w:r>
              <w:rPr>
                <w:rFonts w:ascii="黑体" w:eastAsia="黑体" w:hAnsi="黑体" w:cs="黑体"/>
                <w:kern w:val="0"/>
                <w:szCs w:val="21"/>
              </w:rPr>
              <w:t>元起售</w:t>
            </w:r>
            <w:r>
              <w:rPr>
                <w:rFonts w:ascii="黑体" w:eastAsia="黑体" w:hAnsi="黑体" w:cs="黑体" w:hint="eastAsia"/>
                <w:kern w:val="0"/>
                <w:szCs w:val="21"/>
              </w:rPr>
              <w:t>；</w:t>
            </w:r>
            <w:r>
              <w:rPr>
                <w:rFonts w:ascii="黑体" w:eastAsia="黑体" w:hAnsi="黑体" w:cs="黑体" w:hint="eastAsia"/>
                <w:kern w:val="0"/>
                <w:szCs w:val="21"/>
              </w:rPr>
              <w:t>J</w:t>
            </w:r>
            <w:r>
              <w:rPr>
                <w:rFonts w:ascii="黑体" w:eastAsia="黑体" w:hAnsi="黑体" w:cs="黑体" w:hint="eastAsia"/>
                <w:kern w:val="0"/>
                <w:szCs w:val="21"/>
              </w:rPr>
              <w:t>份额：</w:t>
            </w:r>
            <w:r>
              <w:rPr>
                <w:rFonts w:ascii="黑体" w:eastAsia="黑体" w:hAnsi="黑体" w:cs="黑体"/>
                <w:kern w:val="0"/>
                <w:szCs w:val="21"/>
              </w:rPr>
              <w:t>1</w:t>
            </w:r>
            <w:r>
              <w:rPr>
                <w:rFonts w:ascii="黑体" w:eastAsia="黑体" w:hAnsi="黑体" w:cs="黑体"/>
                <w:kern w:val="0"/>
                <w:szCs w:val="21"/>
              </w:rPr>
              <w:t>元起售</w:t>
            </w:r>
            <w:r>
              <w:rPr>
                <w:rFonts w:ascii="黑体" w:eastAsia="黑体" w:hAnsi="黑体" w:cs="黑体" w:hint="eastAsia"/>
                <w:kern w:val="0"/>
                <w:szCs w:val="21"/>
              </w:rPr>
              <w:t>；</w:t>
            </w:r>
          </w:p>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（销售机构可以不低于上述标准设置起购金额，投资者购买本理财产品时以该销售机构最终要求为准）</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追加购买</w:t>
            </w:r>
            <w:r>
              <w:rPr>
                <w:rFonts w:ascii="黑体" w:eastAsia="黑体" w:hAnsi="黑体" w:cs="黑体"/>
                <w:kern w:val="0"/>
                <w:szCs w:val="21"/>
              </w:rPr>
              <w:t>金额</w:t>
            </w:r>
          </w:p>
        </w:tc>
        <w:tc>
          <w:tcPr>
            <w:tcW w:w="6458" w:type="dxa"/>
          </w:tcPr>
          <w:p w:rsidR="008B0A7D">
            <w:pPr>
              <w:autoSpaceDE w:val="0"/>
              <w:autoSpaceDN w:val="0"/>
              <w:adjustRightInd w:val="0"/>
              <w:jc w:val="left"/>
              <w:rPr>
                <w:rFonts w:ascii="黑体" w:eastAsia="黑体" w:hAnsi="黑体" w:cs="黑体"/>
                <w:color w:val="000000" w:themeColor="text1"/>
                <w:kern w:val="0"/>
                <w:szCs w:val="21"/>
              </w:rPr>
            </w:pPr>
            <w:r>
              <w:rPr>
                <w:rFonts w:ascii="黑体" w:eastAsia="黑体" w:hAnsi="黑体" w:cs="黑体"/>
                <w:kern w:val="0"/>
                <w:szCs w:val="21"/>
              </w:rPr>
              <w:t>A</w:t>
            </w:r>
            <w:r>
              <w:rPr>
                <w:rFonts w:ascii="黑体" w:eastAsia="黑体" w:hAnsi="黑体" w:cs="黑体"/>
                <w:kern w:val="0"/>
                <w:szCs w:val="21"/>
              </w:rPr>
              <w:t>、</w:t>
            </w:r>
            <w:r>
              <w:rPr>
                <w:rFonts w:ascii="黑体" w:eastAsia="黑体" w:hAnsi="黑体" w:cs="黑体"/>
                <w:kern w:val="0"/>
                <w:szCs w:val="21"/>
              </w:rPr>
              <w:t>B</w:t>
            </w:r>
            <w:r>
              <w:rPr>
                <w:rFonts w:ascii="黑体" w:eastAsia="黑体" w:hAnsi="黑体" w:cs="黑体" w:hint="eastAsia"/>
                <w:kern w:val="0"/>
                <w:szCs w:val="21"/>
              </w:rPr>
              <w:t>、</w:t>
            </w:r>
            <w:r>
              <w:rPr>
                <w:rFonts w:ascii="黑体" w:eastAsia="黑体" w:hAnsi="黑体" w:cs="黑体"/>
                <w:kern w:val="0"/>
                <w:szCs w:val="21"/>
              </w:rPr>
              <w:t>D</w:t>
            </w:r>
            <w:r>
              <w:rPr>
                <w:rFonts w:ascii="黑体" w:eastAsia="黑体" w:hAnsi="黑体" w:cs="黑体"/>
                <w:kern w:val="0"/>
                <w:szCs w:val="21"/>
              </w:rPr>
              <w:t>、</w:t>
            </w:r>
            <w:r>
              <w:rPr>
                <w:rFonts w:ascii="黑体" w:eastAsia="黑体" w:hAnsi="黑体" w:cs="黑体"/>
                <w:kern w:val="0"/>
                <w:szCs w:val="21"/>
              </w:rPr>
              <w:t>E</w:t>
            </w:r>
            <w:r>
              <w:rPr>
                <w:rFonts w:ascii="黑体" w:eastAsia="黑体" w:hAnsi="黑体" w:cs="黑体" w:hint="eastAsia"/>
                <w:kern w:val="0"/>
                <w:szCs w:val="21"/>
              </w:rPr>
              <w:t>、</w:t>
            </w:r>
            <w:r>
              <w:rPr>
                <w:rFonts w:ascii="黑体" w:eastAsia="黑体" w:hAnsi="黑体" w:cs="黑体" w:hint="eastAsia"/>
                <w:kern w:val="0"/>
                <w:szCs w:val="21"/>
              </w:rPr>
              <w:t>G</w:t>
            </w:r>
            <w:r>
              <w:rPr>
                <w:rFonts w:ascii="黑体" w:eastAsia="黑体" w:hAnsi="黑体" w:cs="黑体" w:hint="eastAsia"/>
                <w:kern w:val="0"/>
                <w:szCs w:val="21"/>
              </w:rPr>
              <w:t>、</w:t>
            </w:r>
            <w:r>
              <w:rPr>
                <w:rFonts w:ascii="黑体" w:eastAsia="黑体" w:hAnsi="黑体" w:cs="黑体" w:hint="eastAsia"/>
                <w:kern w:val="0"/>
                <w:szCs w:val="21"/>
              </w:rPr>
              <w:t>J</w:t>
            </w:r>
            <w:r>
              <w:rPr>
                <w:rFonts w:ascii="黑体" w:eastAsia="黑体" w:hAnsi="黑体" w:cs="黑体" w:hint="eastAsia"/>
                <w:kern w:val="0"/>
                <w:szCs w:val="21"/>
              </w:rPr>
              <w:t>、</w:t>
            </w:r>
            <w:r>
              <w:rPr>
                <w:rFonts w:ascii="黑体" w:eastAsia="黑体" w:hAnsi="黑体" w:cs="黑体" w:hint="eastAsia"/>
                <w:kern w:val="0"/>
                <w:szCs w:val="21"/>
              </w:rPr>
              <w:t>K</w:t>
            </w:r>
            <w:r>
              <w:rPr>
                <w:rFonts w:ascii="黑体" w:eastAsia="黑体" w:hAnsi="黑体" w:cs="黑体" w:hint="eastAsia"/>
                <w:kern w:val="0"/>
                <w:szCs w:val="21"/>
              </w:rPr>
              <w:t>、</w:t>
            </w:r>
            <w:r>
              <w:rPr>
                <w:rFonts w:ascii="黑体" w:eastAsia="黑体" w:hAnsi="黑体" w:cs="黑体" w:hint="eastAsia"/>
                <w:kern w:val="0"/>
                <w:szCs w:val="21"/>
              </w:rPr>
              <w:t>L</w:t>
            </w:r>
            <w:r>
              <w:rPr>
                <w:rFonts w:ascii="黑体" w:eastAsia="黑体" w:hAnsi="黑体" w:cs="黑体" w:hint="eastAsia"/>
                <w:kern w:val="0"/>
                <w:szCs w:val="21"/>
              </w:rPr>
              <w:t>、</w:t>
            </w:r>
            <w:r>
              <w:rPr>
                <w:rFonts w:ascii="黑体" w:eastAsia="黑体" w:hAnsi="黑体" w:cs="黑体" w:hint="eastAsia"/>
                <w:kern w:val="0"/>
                <w:szCs w:val="21"/>
              </w:rPr>
              <w:t>P</w:t>
            </w:r>
            <w:r>
              <w:rPr>
                <w:rFonts w:ascii="黑体" w:eastAsia="黑体" w:hAnsi="黑体" w:cs="黑体" w:hint="eastAsia"/>
                <w:kern w:val="0"/>
                <w:szCs w:val="21"/>
              </w:rPr>
              <w:t>份额：</w:t>
            </w:r>
            <w:r>
              <w:rPr>
                <w:rFonts w:ascii="黑体" w:eastAsia="黑体" w:hAnsi="黑体" w:cs="黑体" w:hint="eastAsia"/>
                <w:color w:val="000000" w:themeColor="text1"/>
                <w:kern w:val="0"/>
                <w:szCs w:val="21"/>
              </w:rPr>
              <w:t>追加金额以</w:t>
            </w:r>
            <w:r>
              <w:rPr>
                <w:rFonts w:ascii="黑体" w:eastAsia="黑体" w:hAnsi="黑体" w:cs="黑体" w:hint="eastAsia"/>
                <w:color w:val="000000" w:themeColor="text1"/>
                <w:kern w:val="0"/>
                <w:szCs w:val="21"/>
              </w:rPr>
              <w:t>0</w:t>
            </w:r>
            <w:r>
              <w:rPr>
                <w:rFonts w:ascii="黑体" w:eastAsia="黑体" w:hAnsi="黑体" w:cs="黑体"/>
                <w:color w:val="000000" w:themeColor="text1"/>
                <w:kern w:val="0"/>
                <w:szCs w:val="21"/>
              </w:rPr>
              <w:t>.0</w:t>
            </w:r>
            <w:r>
              <w:rPr>
                <w:rFonts w:ascii="黑体" w:eastAsia="黑体" w:hAnsi="黑体" w:cs="黑体" w:hint="eastAsia"/>
                <w:color w:val="000000" w:themeColor="text1"/>
                <w:kern w:val="0"/>
                <w:szCs w:val="21"/>
              </w:rPr>
              <w:t>1</w:t>
            </w:r>
            <w:r>
              <w:rPr>
                <w:rFonts w:ascii="黑体" w:eastAsia="黑体" w:hAnsi="黑体" w:cs="黑体" w:hint="eastAsia"/>
                <w:color w:val="000000" w:themeColor="text1"/>
                <w:kern w:val="0"/>
                <w:szCs w:val="21"/>
              </w:rPr>
              <w:t>元起，追加购买金额中不足</w:t>
            </w:r>
            <w:r>
              <w:rPr>
                <w:rFonts w:ascii="黑体" w:eastAsia="黑体" w:hAnsi="黑体" w:cs="黑体" w:hint="eastAsia"/>
                <w:color w:val="000000" w:themeColor="text1"/>
                <w:kern w:val="0"/>
                <w:szCs w:val="21"/>
              </w:rPr>
              <w:t>0</w:t>
            </w:r>
            <w:r>
              <w:rPr>
                <w:rFonts w:ascii="黑体" w:eastAsia="黑体" w:hAnsi="黑体" w:cs="黑体"/>
                <w:color w:val="000000" w:themeColor="text1"/>
                <w:kern w:val="0"/>
                <w:szCs w:val="21"/>
              </w:rPr>
              <w:t>.0</w:t>
            </w:r>
            <w:r>
              <w:rPr>
                <w:rFonts w:ascii="黑体" w:eastAsia="黑体" w:hAnsi="黑体" w:cs="黑体" w:hint="eastAsia"/>
                <w:color w:val="000000" w:themeColor="text1"/>
                <w:kern w:val="0"/>
                <w:szCs w:val="21"/>
              </w:rPr>
              <w:t>1</w:t>
            </w:r>
            <w:r>
              <w:rPr>
                <w:rFonts w:ascii="黑体" w:eastAsia="黑体" w:hAnsi="黑体" w:cs="黑体" w:hint="eastAsia"/>
                <w:color w:val="000000" w:themeColor="text1"/>
                <w:kern w:val="0"/>
                <w:szCs w:val="21"/>
              </w:rPr>
              <w:t>元的部分，产品管理人有权不确认</w:t>
            </w:r>
          </w:p>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（销售机构可以不低于上述标准设置追加购买金额，投资者购买本理财产品时以该销售机构最终要求为准）</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最低</w:t>
            </w:r>
            <w:r>
              <w:rPr>
                <w:rFonts w:ascii="黑体" w:eastAsia="黑体" w:hAnsi="黑体" w:cs="黑体"/>
                <w:kern w:val="0"/>
                <w:szCs w:val="21"/>
              </w:rPr>
              <w:t>赎回起点份额</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kern w:val="0"/>
                <w:szCs w:val="21"/>
              </w:rPr>
              <w:t>0.01</w:t>
            </w:r>
            <w:r>
              <w:rPr>
                <w:rFonts w:ascii="黑体" w:eastAsia="黑体" w:hAnsi="黑体" w:cs="黑体"/>
                <w:kern w:val="0"/>
                <w:szCs w:val="21"/>
              </w:rPr>
              <w:t>份（具体以销售机构的规则为准）</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追加</w:t>
            </w:r>
            <w:r>
              <w:rPr>
                <w:rFonts w:ascii="黑体" w:eastAsia="黑体" w:hAnsi="黑体" w:cs="黑体"/>
                <w:kern w:val="0"/>
                <w:szCs w:val="21"/>
              </w:rPr>
              <w:t>赎回份额</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kern w:val="0"/>
                <w:szCs w:val="21"/>
              </w:rPr>
              <w:t>0.01</w:t>
            </w:r>
            <w:r>
              <w:rPr>
                <w:rFonts w:ascii="黑体" w:eastAsia="黑体" w:hAnsi="黑体" w:cs="黑体"/>
                <w:kern w:val="0"/>
                <w:szCs w:val="21"/>
              </w:rPr>
              <w:t>份（具体以销售机构的规则为准）</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单日单户申赎限额</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w:t>
            </w:r>
            <w:r>
              <w:rPr>
                <w:rFonts w:ascii="黑体" w:eastAsia="黑体" w:hAnsi="黑体" w:cs="黑体" w:hint="eastAsia"/>
                <w:b/>
                <w:kern w:val="0"/>
                <w:szCs w:val="21"/>
              </w:rPr>
              <w:t>单个投资者对本产品单个开放日的申购金额上限为</w:t>
            </w:r>
            <w:bookmarkStart w:id="4" w:name="OLE_LINK5"/>
            <w:r>
              <w:rPr>
                <w:rFonts w:ascii="黑体" w:eastAsia="黑体" w:hAnsi="黑体" w:cs="黑体"/>
                <w:b/>
                <w:kern w:val="0"/>
                <w:szCs w:val="21"/>
              </w:rPr>
              <w:t>A</w:t>
            </w:r>
            <w:r>
              <w:rPr>
                <w:rFonts w:ascii="黑体" w:eastAsia="黑体" w:hAnsi="黑体" w:cs="黑体" w:hint="eastAsia"/>
                <w:b/>
                <w:kern w:val="0"/>
                <w:szCs w:val="21"/>
              </w:rPr>
              <w:t>份额：</w:t>
            </w:r>
            <w:r>
              <w:rPr>
                <w:rFonts w:ascii="黑体" w:eastAsia="黑体" w:hAnsi="黑体" w:cs="黑体" w:hint="eastAsia"/>
                <w:b/>
                <w:kern w:val="0"/>
                <w:szCs w:val="21"/>
              </w:rPr>
              <w:t>5</w:t>
            </w:r>
            <w:r>
              <w:rPr>
                <w:rFonts w:ascii="黑体" w:eastAsia="黑体" w:hAnsi="黑体" w:cs="黑体"/>
                <w:b/>
                <w:kern w:val="0"/>
                <w:szCs w:val="21"/>
              </w:rPr>
              <w:t>000</w:t>
            </w:r>
            <w:r>
              <w:rPr>
                <w:rFonts w:ascii="黑体" w:eastAsia="黑体" w:hAnsi="黑体" w:cs="黑体" w:hint="eastAsia"/>
                <w:b/>
                <w:kern w:val="0"/>
                <w:szCs w:val="21"/>
              </w:rPr>
              <w:t>万元</w:t>
            </w:r>
            <w:r>
              <w:rPr>
                <w:rFonts w:ascii="黑体" w:eastAsia="黑体" w:hAnsi="黑体" w:cs="黑体"/>
                <w:b/>
                <w:kern w:val="0"/>
                <w:szCs w:val="21"/>
              </w:rPr>
              <w:t>、</w:t>
            </w:r>
            <w:r>
              <w:rPr>
                <w:rFonts w:ascii="黑体" w:eastAsia="黑体" w:hAnsi="黑体" w:cs="黑体"/>
                <w:b/>
                <w:kern w:val="0"/>
                <w:szCs w:val="21"/>
              </w:rPr>
              <w:t>B</w:t>
            </w:r>
            <w:r>
              <w:rPr>
                <w:rFonts w:ascii="黑体" w:eastAsia="黑体" w:hAnsi="黑体" w:cs="黑体" w:hint="eastAsia"/>
                <w:b/>
                <w:kern w:val="0"/>
                <w:szCs w:val="21"/>
              </w:rPr>
              <w:t>份额：</w:t>
            </w:r>
            <w:r>
              <w:rPr>
                <w:rFonts w:ascii="黑体" w:eastAsia="黑体" w:hAnsi="黑体" w:cs="黑体" w:hint="eastAsia"/>
                <w:b/>
                <w:kern w:val="0"/>
                <w:szCs w:val="21"/>
              </w:rPr>
              <w:t>6</w:t>
            </w:r>
            <w:r>
              <w:rPr>
                <w:rFonts w:ascii="黑体" w:eastAsia="黑体" w:hAnsi="黑体" w:cs="黑体"/>
                <w:b/>
                <w:kern w:val="0"/>
                <w:szCs w:val="21"/>
              </w:rPr>
              <w:t>500</w:t>
            </w:r>
            <w:r>
              <w:rPr>
                <w:rFonts w:ascii="黑体" w:eastAsia="黑体" w:hAnsi="黑体" w:cs="黑体" w:hint="eastAsia"/>
                <w:b/>
                <w:kern w:val="0"/>
                <w:szCs w:val="21"/>
              </w:rPr>
              <w:t>万元、</w:t>
            </w:r>
            <w:r>
              <w:rPr>
                <w:rFonts w:ascii="黑体" w:eastAsia="黑体" w:hAnsi="黑体" w:cs="黑体"/>
                <w:b/>
                <w:kern w:val="0"/>
                <w:szCs w:val="21"/>
              </w:rPr>
              <w:t>D</w:t>
            </w:r>
            <w:r>
              <w:rPr>
                <w:rFonts w:ascii="黑体" w:eastAsia="黑体" w:hAnsi="黑体" w:cs="黑体" w:hint="eastAsia"/>
                <w:b/>
                <w:kern w:val="0"/>
                <w:szCs w:val="21"/>
              </w:rPr>
              <w:t>份额：</w:t>
            </w:r>
            <w:r>
              <w:rPr>
                <w:rFonts w:ascii="黑体" w:eastAsia="黑体" w:hAnsi="黑体" w:cs="黑体" w:hint="eastAsia"/>
                <w:b/>
                <w:kern w:val="0"/>
                <w:szCs w:val="21"/>
              </w:rPr>
              <w:t>1</w:t>
            </w:r>
            <w:r>
              <w:rPr>
                <w:rFonts w:ascii="黑体" w:eastAsia="黑体" w:hAnsi="黑体" w:cs="黑体" w:hint="eastAsia"/>
                <w:b/>
                <w:kern w:val="0"/>
                <w:szCs w:val="21"/>
              </w:rPr>
              <w:t>亿元</w:t>
            </w:r>
            <w:r>
              <w:rPr>
                <w:rFonts w:ascii="黑体" w:eastAsia="黑体" w:hAnsi="黑体" w:cs="黑体"/>
                <w:b/>
                <w:kern w:val="0"/>
                <w:szCs w:val="21"/>
              </w:rPr>
              <w:t>、</w:t>
            </w:r>
            <w:r>
              <w:rPr>
                <w:rFonts w:ascii="黑体" w:eastAsia="黑体" w:hAnsi="黑体" w:cs="黑体"/>
                <w:b/>
                <w:kern w:val="0"/>
                <w:szCs w:val="21"/>
              </w:rPr>
              <w:t>E</w:t>
            </w:r>
            <w:r>
              <w:rPr>
                <w:rFonts w:ascii="黑体" w:eastAsia="黑体" w:hAnsi="黑体" w:cs="黑体" w:hint="eastAsia"/>
                <w:b/>
                <w:kern w:val="0"/>
                <w:szCs w:val="21"/>
              </w:rPr>
              <w:t>份额：</w:t>
            </w:r>
            <w:r>
              <w:rPr>
                <w:rFonts w:ascii="黑体" w:eastAsia="黑体" w:hAnsi="黑体" w:cs="黑体" w:hint="eastAsia"/>
                <w:b/>
                <w:kern w:val="0"/>
                <w:szCs w:val="21"/>
              </w:rPr>
              <w:t>1</w:t>
            </w:r>
            <w:r>
              <w:rPr>
                <w:rFonts w:ascii="黑体" w:eastAsia="黑体" w:hAnsi="黑体" w:cs="黑体" w:hint="eastAsia"/>
                <w:b/>
                <w:kern w:val="0"/>
                <w:szCs w:val="21"/>
              </w:rPr>
              <w:t>亿元、</w:t>
            </w:r>
            <w:r>
              <w:rPr>
                <w:rFonts w:ascii="黑体" w:eastAsia="黑体" w:hAnsi="黑体" w:cs="黑体" w:hint="eastAsia"/>
                <w:b/>
                <w:kern w:val="0"/>
                <w:szCs w:val="21"/>
              </w:rPr>
              <w:t>G</w:t>
            </w:r>
            <w:r>
              <w:rPr>
                <w:rFonts w:ascii="黑体" w:eastAsia="黑体" w:hAnsi="黑体" w:cs="黑体" w:hint="eastAsia"/>
                <w:b/>
                <w:kern w:val="0"/>
                <w:szCs w:val="21"/>
              </w:rPr>
              <w:t>份额：</w:t>
            </w:r>
            <w:r>
              <w:rPr>
                <w:rFonts w:ascii="黑体" w:eastAsia="黑体" w:hAnsi="黑体" w:cs="黑体" w:hint="eastAsia"/>
                <w:b/>
                <w:kern w:val="0"/>
                <w:szCs w:val="21"/>
              </w:rPr>
              <w:t>1</w:t>
            </w:r>
            <w:r>
              <w:rPr>
                <w:rFonts w:ascii="黑体" w:eastAsia="黑体" w:hAnsi="黑体" w:cs="黑体" w:hint="eastAsia"/>
                <w:b/>
                <w:kern w:val="0"/>
                <w:szCs w:val="21"/>
              </w:rPr>
              <w:t>亿元</w:t>
            </w:r>
            <w:bookmarkEnd w:id="4"/>
            <w:r>
              <w:rPr>
                <w:rFonts w:ascii="黑体" w:eastAsia="黑体" w:hAnsi="黑体" w:cs="黑体" w:hint="eastAsia"/>
                <w:b/>
                <w:bCs/>
                <w:kern w:val="0"/>
                <w:szCs w:val="21"/>
              </w:rPr>
              <w:t>；</w:t>
            </w:r>
            <w:r>
              <w:rPr>
                <w:rFonts w:ascii="黑体" w:eastAsia="黑体" w:hAnsi="黑体" w:cs="黑体"/>
                <w:b/>
                <w:bCs/>
                <w:kern w:val="0"/>
                <w:szCs w:val="21"/>
              </w:rPr>
              <w:t>J</w:t>
            </w:r>
            <w:r>
              <w:rPr>
                <w:rFonts w:ascii="黑体" w:eastAsia="黑体" w:hAnsi="黑体" w:cs="黑体" w:hint="eastAsia"/>
                <w:b/>
                <w:bCs/>
                <w:kern w:val="0"/>
                <w:szCs w:val="21"/>
              </w:rPr>
              <w:t>、</w:t>
            </w:r>
            <w:r>
              <w:rPr>
                <w:rFonts w:ascii="黑体" w:eastAsia="黑体" w:hAnsi="黑体" w:cs="黑体"/>
                <w:b/>
                <w:bCs/>
                <w:kern w:val="0"/>
                <w:szCs w:val="21"/>
              </w:rPr>
              <w:t>K</w:t>
            </w:r>
            <w:r>
              <w:rPr>
                <w:rFonts w:ascii="黑体" w:eastAsia="黑体" w:hAnsi="黑体" w:cs="黑体"/>
                <w:b/>
                <w:bCs/>
                <w:kern w:val="0"/>
                <w:szCs w:val="21"/>
              </w:rPr>
              <w:t>、</w:t>
            </w:r>
            <w:r>
              <w:rPr>
                <w:rFonts w:ascii="黑体" w:eastAsia="黑体" w:hAnsi="黑体" w:cs="黑体"/>
                <w:b/>
                <w:bCs/>
                <w:kern w:val="0"/>
                <w:szCs w:val="21"/>
              </w:rPr>
              <w:t>L</w:t>
            </w:r>
            <w:r>
              <w:rPr>
                <w:rFonts w:ascii="黑体" w:eastAsia="黑体" w:hAnsi="黑体" w:cs="黑体"/>
                <w:b/>
                <w:bCs/>
                <w:kern w:val="0"/>
                <w:szCs w:val="21"/>
              </w:rPr>
              <w:t>、</w:t>
            </w:r>
            <w:r>
              <w:rPr>
                <w:rFonts w:ascii="黑体" w:eastAsia="黑体" w:hAnsi="黑体" w:cs="黑体"/>
                <w:b/>
                <w:bCs/>
                <w:kern w:val="0"/>
                <w:szCs w:val="21"/>
              </w:rPr>
              <w:t>P</w:t>
            </w:r>
            <w:r>
              <w:rPr>
                <w:rFonts w:ascii="黑体" w:eastAsia="黑体" w:hAnsi="黑体" w:cs="黑体" w:hint="eastAsia"/>
                <w:b/>
                <w:bCs/>
                <w:kern w:val="0"/>
                <w:szCs w:val="21"/>
              </w:rPr>
              <w:t>份额：</w:t>
            </w:r>
            <w:r>
              <w:rPr>
                <w:rFonts w:ascii="黑体" w:eastAsia="黑体" w:hAnsi="黑体" w:cs="黑体"/>
                <w:b/>
                <w:bCs/>
                <w:kern w:val="0"/>
                <w:szCs w:val="21"/>
              </w:rPr>
              <w:t>1</w:t>
            </w:r>
            <w:r>
              <w:rPr>
                <w:rFonts w:ascii="黑体" w:eastAsia="黑体" w:hAnsi="黑体" w:cs="黑体" w:hint="eastAsia"/>
                <w:b/>
                <w:bCs/>
                <w:kern w:val="0"/>
                <w:szCs w:val="21"/>
              </w:rPr>
              <w:t>亿元；</w:t>
            </w:r>
            <w:r>
              <w:rPr>
                <w:rFonts w:ascii="黑体" w:eastAsia="黑体" w:hAnsi="黑体" w:cs="黑体" w:hint="eastAsia"/>
                <w:kern w:val="0"/>
                <w:szCs w:val="21"/>
              </w:rPr>
              <w:t>若单个投资者在单个开放日对本产品的申购金额达到上限的，产品管理人有权不再继续接受其申购；</w:t>
            </w:r>
          </w:p>
          <w:p w:rsidR="008B0A7D">
            <w:pPr>
              <w:autoSpaceDE w:val="0"/>
              <w:autoSpaceDN w:val="0"/>
              <w:adjustRightInd w:val="0"/>
              <w:jc w:val="left"/>
              <w:rPr>
                <w:rFonts w:ascii="黑体" w:eastAsia="黑体" w:hAnsi="黑体" w:cs="黑体"/>
                <w:kern w:val="0"/>
                <w:szCs w:val="21"/>
              </w:rPr>
            </w:pPr>
            <w:r>
              <w:rPr>
                <w:rFonts w:ascii="黑体" w:eastAsia="黑体" w:hAnsi="黑体" w:cs="黑体"/>
                <w:b/>
                <w:bCs/>
                <w:kern w:val="0"/>
                <w:szCs w:val="21"/>
              </w:rPr>
              <w:t>2</w:t>
            </w:r>
            <w:r>
              <w:rPr>
                <w:rFonts w:ascii="黑体" w:eastAsia="黑体" w:hAnsi="黑体" w:cs="黑体"/>
                <w:b/>
                <w:bCs/>
                <w:kern w:val="0"/>
                <w:szCs w:val="21"/>
              </w:rPr>
              <w:t>、</w:t>
            </w:r>
            <w:r>
              <w:rPr>
                <w:rFonts w:ascii="黑体" w:eastAsia="黑体" w:hAnsi="黑体" w:cs="黑体" w:hint="eastAsia"/>
                <w:b/>
                <w:bCs/>
                <w:kern w:val="0"/>
                <w:szCs w:val="21"/>
              </w:rPr>
              <w:t>单个投资者对本产品单个开放日的赎回份额上限为</w:t>
            </w:r>
            <w:r>
              <w:rPr>
                <w:rFonts w:ascii="黑体" w:eastAsia="黑体" w:hAnsi="黑体" w:cs="黑体"/>
                <w:b/>
                <w:bCs/>
                <w:kern w:val="0"/>
                <w:szCs w:val="21"/>
              </w:rPr>
              <w:t>A</w:t>
            </w:r>
            <w:r>
              <w:rPr>
                <w:rFonts w:ascii="黑体" w:eastAsia="黑体" w:hAnsi="黑体" w:cs="黑体"/>
                <w:b/>
                <w:bCs/>
                <w:kern w:val="0"/>
                <w:szCs w:val="21"/>
              </w:rPr>
              <w:t>、</w:t>
            </w:r>
            <w:r>
              <w:rPr>
                <w:rFonts w:ascii="黑体" w:eastAsia="黑体" w:hAnsi="黑体" w:cs="黑体"/>
                <w:b/>
                <w:bCs/>
                <w:kern w:val="0"/>
                <w:szCs w:val="21"/>
              </w:rPr>
              <w:t>B</w:t>
            </w:r>
            <w:r>
              <w:rPr>
                <w:rFonts w:ascii="黑体" w:eastAsia="黑体" w:hAnsi="黑体" w:cs="黑体" w:hint="eastAsia"/>
                <w:b/>
                <w:bCs/>
                <w:kern w:val="0"/>
                <w:szCs w:val="21"/>
              </w:rPr>
              <w:t>、</w:t>
            </w:r>
            <w:r>
              <w:rPr>
                <w:rFonts w:ascii="黑体" w:eastAsia="黑体" w:hAnsi="黑体" w:cs="黑体"/>
                <w:b/>
                <w:bCs/>
                <w:kern w:val="0"/>
                <w:szCs w:val="21"/>
              </w:rPr>
              <w:t>D</w:t>
            </w:r>
            <w:r>
              <w:rPr>
                <w:rFonts w:ascii="黑体" w:eastAsia="黑体" w:hAnsi="黑体" w:cs="黑体"/>
                <w:b/>
                <w:bCs/>
                <w:kern w:val="0"/>
                <w:szCs w:val="21"/>
              </w:rPr>
              <w:t>、</w:t>
            </w:r>
            <w:r>
              <w:rPr>
                <w:rFonts w:ascii="黑体" w:eastAsia="黑体" w:hAnsi="黑体" w:cs="黑体"/>
                <w:b/>
                <w:bCs/>
                <w:kern w:val="0"/>
                <w:szCs w:val="21"/>
              </w:rPr>
              <w:t>E</w:t>
            </w:r>
            <w:r>
              <w:rPr>
                <w:rFonts w:ascii="黑体" w:eastAsia="黑体" w:hAnsi="黑体" w:cs="黑体" w:hint="eastAsia"/>
                <w:b/>
                <w:bCs/>
                <w:kern w:val="0"/>
                <w:szCs w:val="21"/>
              </w:rPr>
              <w:t>、</w:t>
            </w:r>
            <w:r>
              <w:rPr>
                <w:rFonts w:ascii="黑体" w:eastAsia="黑体" w:hAnsi="黑体" w:cs="黑体" w:hint="eastAsia"/>
                <w:b/>
                <w:bCs/>
                <w:kern w:val="0"/>
                <w:szCs w:val="21"/>
              </w:rPr>
              <w:t>G</w:t>
            </w:r>
            <w:r>
              <w:rPr>
                <w:rFonts w:ascii="黑体" w:eastAsia="黑体" w:hAnsi="黑体" w:cs="黑体" w:hint="eastAsia"/>
                <w:b/>
                <w:bCs/>
                <w:kern w:val="0"/>
                <w:szCs w:val="21"/>
              </w:rPr>
              <w:t>、</w:t>
            </w:r>
            <w:r>
              <w:rPr>
                <w:rFonts w:ascii="黑体" w:eastAsia="黑体" w:hAnsi="黑体" w:cs="黑体" w:hint="eastAsia"/>
                <w:b/>
                <w:bCs/>
                <w:kern w:val="0"/>
                <w:szCs w:val="21"/>
              </w:rPr>
              <w:t>J</w:t>
            </w:r>
            <w:r>
              <w:rPr>
                <w:rFonts w:ascii="黑体" w:eastAsia="黑体" w:hAnsi="黑体" w:cs="黑体" w:hint="eastAsia"/>
                <w:b/>
                <w:bCs/>
                <w:kern w:val="0"/>
                <w:szCs w:val="21"/>
              </w:rPr>
              <w:t>、</w:t>
            </w:r>
            <w:r>
              <w:rPr>
                <w:rFonts w:ascii="黑体" w:eastAsia="黑体" w:hAnsi="黑体" w:cs="黑体" w:hint="eastAsia"/>
                <w:b/>
                <w:bCs/>
                <w:kern w:val="0"/>
                <w:szCs w:val="21"/>
              </w:rPr>
              <w:t>K</w:t>
            </w:r>
            <w:r>
              <w:rPr>
                <w:rFonts w:ascii="黑体" w:eastAsia="黑体" w:hAnsi="黑体" w:cs="黑体" w:hint="eastAsia"/>
                <w:b/>
                <w:bCs/>
                <w:kern w:val="0"/>
                <w:szCs w:val="21"/>
              </w:rPr>
              <w:t>、</w:t>
            </w:r>
            <w:r>
              <w:rPr>
                <w:rFonts w:ascii="黑体" w:eastAsia="黑体" w:hAnsi="黑体" w:cs="黑体" w:hint="eastAsia"/>
                <w:b/>
                <w:bCs/>
                <w:kern w:val="0"/>
                <w:szCs w:val="21"/>
              </w:rPr>
              <w:t>L</w:t>
            </w:r>
            <w:r>
              <w:rPr>
                <w:rFonts w:ascii="黑体" w:eastAsia="黑体" w:hAnsi="黑体" w:cs="黑体" w:hint="eastAsia"/>
                <w:b/>
                <w:bCs/>
                <w:kern w:val="0"/>
                <w:szCs w:val="21"/>
              </w:rPr>
              <w:t>、</w:t>
            </w:r>
            <w:r>
              <w:rPr>
                <w:rFonts w:ascii="黑体" w:eastAsia="黑体" w:hAnsi="黑体" w:cs="黑体" w:hint="eastAsia"/>
                <w:b/>
                <w:bCs/>
                <w:kern w:val="0"/>
                <w:szCs w:val="21"/>
              </w:rPr>
              <w:t>P</w:t>
            </w:r>
            <w:r>
              <w:rPr>
                <w:rFonts w:ascii="黑体" w:eastAsia="黑体" w:hAnsi="黑体" w:cs="黑体" w:hint="eastAsia"/>
                <w:b/>
                <w:bCs/>
                <w:kern w:val="0"/>
                <w:szCs w:val="21"/>
              </w:rPr>
              <w:t>份额：无上限；</w:t>
            </w:r>
            <w:r>
              <w:rPr>
                <w:rFonts w:ascii="黑体" w:eastAsia="黑体" w:hAnsi="黑体" w:cs="黑体" w:hint="eastAsia"/>
                <w:kern w:val="0"/>
                <w:szCs w:val="21"/>
              </w:rPr>
              <w:t>若单个投资者在单个开放日对本产品的赎回份额达到上限的，产品管理人有权不再继续接受其赎回。</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单户</w:t>
            </w:r>
            <w:r>
              <w:rPr>
                <w:rFonts w:ascii="黑体" w:eastAsia="黑体" w:hAnsi="黑体" w:cs="黑体"/>
                <w:kern w:val="0"/>
                <w:szCs w:val="21"/>
              </w:rPr>
              <w:t>限额</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w:t>
            </w:r>
            <w:r>
              <w:rPr>
                <w:rFonts w:ascii="黑体" w:eastAsia="黑体" w:hAnsi="黑体" w:cs="黑体"/>
                <w:b/>
                <w:kern w:val="0"/>
                <w:szCs w:val="21"/>
              </w:rPr>
              <w:t>单</w:t>
            </w:r>
            <w:r>
              <w:rPr>
                <w:rFonts w:ascii="黑体" w:eastAsia="黑体" w:hAnsi="黑体" w:cs="黑体" w:hint="eastAsia"/>
                <w:b/>
                <w:kern w:val="0"/>
                <w:szCs w:val="21"/>
              </w:rPr>
              <w:t>个</w:t>
            </w:r>
            <w:r>
              <w:rPr>
                <w:rFonts w:ascii="黑体" w:eastAsia="黑体" w:hAnsi="黑体" w:cs="黑体"/>
                <w:b/>
                <w:kern w:val="0"/>
                <w:szCs w:val="21"/>
              </w:rPr>
              <w:t>投资者</w:t>
            </w:r>
            <w:r>
              <w:rPr>
                <w:rFonts w:ascii="黑体" w:eastAsia="黑体" w:hAnsi="黑体" w:cs="黑体" w:hint="eastAsia"/>
                <w:b/>
                <w:kern w:val="0"/>
                <w:szCs w:val="21"/>
              </w:rPr>
              <w:t>对</w:t>
            </w:r>
            <w:r>
              <w:rPr>
                <w:rFonts w:ascii="黑体" w:eastAsia="黑体" w:hAnsi="黑体" w:cs="黑体"/>
                <w:b/>
                <w:kern w:val="0"/>
                <w:szCs w:val="21"/>
              </w:rPr>
              <w:t>本产品</w:t>
            </w:r>
            <w:r>
              <w:rPr>
                <w:rFonts w:ascii="黑体" w:eastAsia="黑体" w:hAnsi="黑体" w:cs="黑体" w:hint="eastAsia"/>
                <w:b/>
                <w:kern w:val="0"/>
                <w:szCs w:val="21"/>
              </w:rPr>
              <w:t>持有</w:t>
            </w:r>
            <w:r>
              <w:rPr>
                <w:rFonts w:ascii="黑体" w:eastAsia="黑体" w:hAnsi="黑体" w:cs="黑体"/>
                <w:b/>
                <w:kern w:val="0"/>
                <w:szCs w:val="21"/>
              </w:rPr>
              <w:t>金额上限为</w:t>
            </w:r>
            <w:r>
              <w:rPr>
                <w:rFonts w:ascii="黑体" w:eastAsia="黑体" w:hAnsi="黑体" w:cs="黑体"/>
                <w:b/>
                <w:kern w:val="0"/>
                <w:szCs w:val="21"/>
              </w:rPr>
              <w:t>A</w:t>
            </w:r>
            <w:r>
              <w:rPr>
                <w:rFonts w:ascii="黑体" w:eastAsia="黑体" w:hAnsi="黑体" w:cs="黑体" w:hint="eastAsia"/>
                <w:b/>
                <w:kern w:val="0"/>
                <w:szCs w:val="21"/>
              </w:rPr>
              <w:t>份额：</w:t>
            </w:r>
            <w:r>
              <w:rPr>
                <w:rFonts w:ascii="黑体" w:eastAsia="黑体" w:hAnsi="黑体" w:cs="黑体" w:hint="eastAsia"/>
                <w:b/>
                <w:kern w:val="0"/>
                <w:szCs w:val="21"/>
              </w:rPr>
              <w:t>5</w:t>
            </w:r>
            <w:r>
              <w:rPr>
                <w:rFonts w:ascii="黑体" w:eastAsia="黑体" w:hAnsi="黑体" w:cs="黑体"/>
                <w:b/>
                <w:kern w:val="0"/>
                <w:szCs w:val="21"/>
              </w:rPr>
              <w:t>000</w:t>
            </w:r>
            <w:r>
              <w:rPr>
                <w:rFonts w:ascii="黑体" w:eastAsia="黑体" w:hAnsi="黑体" w:cs="黑体" w:hint="eastAsia"/>
                <w:b/>
                <w:kern w:val="0"/>
                <w:szCs w:val="21"/>
              </w:rPr>
              <w:t>万元</w:t>
            </w:r>
            <w:r>
              <w:rPr>
                <w:rFonts w:ascii="黑体" w:eastAsia="黑体" w:hAnsi="黑体" w:cs="黑体"/>
                <w:b/>
                <w:kern w:val="0"/>
                <w:szCs w:val="21"/>
              </w:rPr>
              <w:t>、</w:t>
            </w:r>
            <w:r>
              <w:rPr>
                <w:rFonts w:ascii="黑体" w:eastAsia="黑体" w:hAnsi="黑体" w:cs="黑体"/>
                <w:b/>
                <w:kern w:val="0"/>
                <w:szCs w:val="21"/>
              </w:rPr>
              <w:t>B</w:t>
            </w:r>
            <w:r>
              <w:rPr>
                <w:rFonts w:ascii="黑体" w:eastAsia="黑体" w:hAnsi="黑体" w:cs="黑体" w:hint="eastAsia"/>
                <w:b/>
                <w:kern w:val="0"/>
                <w:szCs w:val="21"/>
              </w:rPr>
              <w:t>份额：</w:t>
            </w:r>
            <w:r>
              <w:rPr>
                <w:rFonts w:ascii="黑体" w:eastAsia="黑体" w:hAnsi="黑体" w:cs="黑体" w:hint="eastAsia"/>
                <w:b/>
                <w:kern w:val="0"/>
                <w:szCs w:val="21"/>
              </w:rPr>
              <w:t>6</w:t>
            </w:r>
            <w:r>
              <w:rPr>
                <w:rFonts w:ascii="黑体" w:eastAsia="黑体" w:hAnsi="黑体" w:cs="黑体"/>
                <w:b/>
                <w:kern w:val="0"/>
                <w:szCs w:val="21"/>
              </w:rPr>
              <w:t>500</w:t>
            </w:r>
            <w:r>
              <w:rPr>
                <w:rFonts w:ascii="黑体" w:eastAsia="黑体" w:hAnsi="黑体" w:cs="黑体" w:hint="eastAsia"/>
                <w:b/>
                <w:kern w:val="0"/>
                <w:szCs w:val="21"/>
              </w:rPr>
              <w:t>万元、</w:t>
            </w:r>
            <w:r>
              <w:rPr>
                <w:rFonts w:ascii="黑体" w:eastAsia="黑体" w:hAnsi="黑体" w:cs="黑体"/>
                <w:b/>
                <w:kern w:val="0"/>
                <w:szCs w:val="21"/>
              </w:rPr>
              <w:t>D</w:t>
            </w:r>
            <w:r>
              <w:rPr>
                <w:rFonts w:ascii="黑体" w:eastAsia="黑体" w:hAnsi="黑体" w:cs="黑体" w:hint="eastAsia"/>
                <w:b/>
                <w:kern w:val="0"/>
                <w:szCs w:val="21"/>
              </w:rPr>
              <w:t>份额：</w:t>
            </w:r>
            <w:r>
              <w:rPr>
                <w:rFonts w:ascii="黑体" w:eastAsia="黑体" w:hAnsi="黑体" w:cs="黑体" w:hint="eastAsia"/>
                <w:b/>
                <w:kern w:val="0"/>
                <w:szCs w:val="21"/>
              </w:rPr>
              <w:t>1</w:t>
            </w:r>
            <w:r>
              <w:rPr>
                <w:rFonts w:ascii="黑体" w:eastAsia="黑体" w:hAnsi="黑体" w:cs="黑体" w:hint="eastAsia"/>
                <w:b/>
                <w:kern w:val="0"/>
                <w:szCs w:val="21"/>
              </w:rPr>
              <w:t>亿元</w:t>
            </w:r>
            <w:r>
              <w:rPr>
                <w:rFonts w:ascii="黑体" w:eastAsia="黑体" w:hAnsi="黑体" w:cs="黑体"/>
                <w:b/>
                <w:kern w:val="0"/>
                <w:szCs w:val="21"/>
              </w:rPr>
              <w:t>、</w:t>
            </w:r>
            <w:r>
              <w:rPr>
                <w:rFonts w:ascii="黑体" w:eastAsia="黑体" w:hAnsi="黑体" w:cs="黑体"/>
                <w:b/>
                <w:kern w:val="0"/>
                <w:szCs w:val="21"/>
              </w:rPr>
              <w:t>E</w:t>
            </w:r>
            <w:r>
              <w:rPr>
                <w:rFonts w:ascii="黑体" w:eastAsia="黑体" w:hAnsi="黑体" w:cs="黑体" w:hint="eastAsia"/>
                <w:b/>
                <w:kern w:val="0"/>
                <w:szCs w:val="21"/>
              </w:rPr>
              <w:t>份额：</w:t>
            </w:r>
            <w:r>
              <w:rPr>
                <w:rFonts w:ascii="黑体" w:eastAsia="黑体" w:hAnsi="黑体" w:cs="黑体" w:hint="eastAsia"/>
                <w:b/>
                <w:kern w:val="0"/>
                <w:szCs w:val="21"/>
              </w:rPr>
              <w:t>1</w:t>
            </w:r>
            <w:r>
              <w:rPr>
                <w:rFonts w:ascii="黑体" w:eastAsia="黑体" w:hAnsi="黑体" w:cs="黑体" w:hint="eastAsia"/>
                <w:b/>
                <w:kern w:val="0"/>
                <w:szCs w:val="21"/>
              </w:rPr>
              <w:t>亿元、</w:t>
            </w:r>
            <w:r>
              <w:rPr>
                <w:rFonts w:ascii="黑体" w:eastAsia="黑体" w:hAnsi="黑体" w:cs="黑体" w:hint="eastAsia"/>
                <w:b/>
                <w:kern w:val="0"/>
                <w:szCs w:val="21"/>
              </w:rPr>
              <w:t>G</w:t>
            </w:r>
            <w:r>
              <w:rPr>
                <w:rFonts w:ascii="黑体" w:eastAsia="黑体" w:hAnsi="黑体" w:cs="黑体" w:hint="eastAsia"/>
                <w:b/>
                <w:kern w:val="0"/>
                <w:szCs w:val="21"/>
              </w:rPr>
              <w:t>份额：</w:t>
            </w:r>
            <w:r>
              <w:rPr>
                <w:rFonts w:ascii="黑体" w:eastAsia="黑体" w:hAnsi="黑体" w:cs="黑体" w:hint="eastAsia"/>
                <w:b/>
                <w:kern w:val="0"/>
                <w:szCs w:val="21"/>
              </w:rPr>
              <w:t>1</w:t>
            </w:r>
            <w:r>
              <w:rPr>
                <w:rFonts w:ascii="黑体" w:eastAsia="黑体" w:hAnsi="黑体" w:cs="黑体" w:hint="eastAsia"/>
                <w:b/>
                <w:kern w:val="0"/>
                <w:szCs w:val="21"/>
              </w:rPr>
              <w:t>亿元</w:t>
            </w:r>
            <w:r>
              <w:rPr>
                <w:rFonts w:ascii="黑体" w:eastAsia="黑体" w:hAnsi="黑体" w:cs="黑体" w:hint="eastAsia"/>
                <w:kern w:val="0"/>
                <w:szCs w:val="21"/>
              </w:rPr>
              <w:t>；</w:t>
            </w:r>
            <w:r>
              <w:rPr>
                <w:rFonts w:ascii="黑体" w:eastAsia="黑体" w:hAnsi="黑体" w:cs="黑体" w:hint="eastAsia"/>
                <w:b/>
                <w:bCs/>
                <w:kern w:val="0"/>
                <w:szCs w:val="21"/>
              </w:rPr>
              <w:t>J</w:t>
            </w:r>
            <w:r>
              <w:rPr>
                <w:rFonts w:ascii="黑体" w:eastAsia="黑体" w:hAnsi="黑体" w:cs="黑体" w:hint="eastAsia"/>
                <w:b/>
                <w:bCs/>
                <w:kern w:val="0"/>
                <w:szCs w:val="21"/>
              </w:rPr>
              <w:t>、</w:t>
            </w:r>
            <w:r>
              <w:rPr>
                <w:rFonts w:ascii="黑体" w:eastAsia="黑体" w:hAnsi="黑体" w:cs="黑体" w:hint="eastAsia"/>
                <w:b/>
                <w:bCs/>
                <w:kern w:val="0"/>
                <w:szCs w:val="21"/>
              </w:rPr>
              <w:t>K</w:t>
            </w:r>
            <w:r>
              <w:rPr>
                <w:rFonts w:ascii="黑体" w:eastAsia="黑体" w:hAnsi="黑体" w:cs="黑体" w:hint="eastAsia"/>
                <w:b/>
                <w:bCs/>
                <w:kern w:val="0"/>
                <w:szCs w:val="21"/>
              </w:rPr>
              <w:t>、</w:t>
            </w:r>
            <w:r>
              <w:rPr>
                <w:rFonts w:ascii="黑体" w:eastAsia="黑体" w:hAnsi="黑体" w:cs="黑体" w:hint="eastAsia"/>
                <w:b/>
                <w:bCs/>
                <w:kern w:val="0"/>
                <w:szCs w:val="21"/>
              </w:rPr>
              <w:t>L</w:t>
            </w:r>
            <w:r>
              <w:rPr>
                <w:rFonts w:ascii="黑体" w:eastAsia="黑体" w:hAnsi="黑体" w:cs="黑体" w:hint="eastAsia"/>
                <w:b/>
                <w:bCs/>
                <w:kern w:val="0"/>
                <w:szCs w:val="21"/>
              </w:rPr>
              <w:t>、</w:t>
            </w:r>
            <w:r>
              <w:rPr>
                <w:rFonts w:ascii="黑体" w:eastAsia="黑体" w:hAnsi="黑体" w:cs="黑体" w:hint="eastAsia"/>
                <w:b/>
                <w:bCs/>
                <w:kern w:val="0"/>
                <w:szCs w:val="21"/>
              </w:rPr>
              <w:t>P</w:t>
            </w:r>
            <w:r>
              <w:rPr>
                <w:rFonts w:ascii="黑体" w:eastAsia="黑体" w:hAnsi="黑体" w:cs="黑体" w:hint="eastAsia"/>
                <w:b/>
                <w:bCs/>
                <w:kern w:val="0"/>
                <w:szCs w:val="21"/>
              </w:rPr>
              <w:t>份额：</w:t>
            </w:r>
            <w:r>
              <w:rPr>
                <w:rFonts w:ascii="黑体" w:eastAsia="黑体" w:hAnsi="黑体" w:cs="黑体" w:hint="eastAsia"/>
                <w:b/>
                <w:bCs/>
                <w:kern w:val="0"/>
                <w:szCs w:val="21"/>
              </w:rPr>
              <w:t>1</w:t>
            </w:r>
            <w:r>
              <w:rPr>
                <w:rFonts w:ascii="黑体" w:eastAsia="黑体" w:hAnsi="黑体" w:cs="黑体" w:hint="eastAsia"/>
                <w:b/>
                <w:bCs/>
                <w:kern w:val="0"/>
                <w:szCs w:val="21"/>
              </w:rPr>
              <w:t>亿元；</w:t>
            </w:r>
            <w:r>
              <w:rPr>
                <w:rFonts w:ascii="黑体" w:eastAsia="黑体" w:hAnsi="黑体" w:cs="黑体" w:hint="eastAsia"/>
                <w:kern w:val="0"/>
                <w:szCs w:val="21"/>
              </w:rPr>
              <w:t>若</w:t>
            </w:r>
            <w:r>
              <w:rPr>
                <w:rFonts w:ascii="黑体" w:eastAsia="黑体" w:hAnsi="黑体" w:cs="黑体"/>
                <w:kern w:val="0"/>
                <w:szCs w:val="21"/>
              </w:rPr>
              <w:t>单个投资者</w:t>
            </w:r>
            <w:r>
              <w:rPr>
                <w:rFonts w:ascii="黑体" w:eastAsia="黑体" w:hAnsi="黑体" w:cs="黑体" w:hint="eastAsia"/>
                <w:kern w:val="0"/>
                <w:szCs w:val="21"/>
              </w:rPr>
              <w:t>对</w:t>
            </w:r>
            <w:r>
              <w:rPr>
                <w:rFonts w:ascii="黑体" w:eastAsia="黑体" w:hAnsi="黑体" w:cs="黑体"/>
                <w:kern w:val="0"/>
                <w:szCs w:val="21"/>
              </w:rPr>
              <w:t>本产品</w:t>
            </w:r>
            <w:r>
              <w:rPr>
                <w:rFonts w:ascii="黑体" w:eastAsia="黑体" w:hAnsi="黑体" w:cs="黑体" w:hint="eastAsia"/>
                <w:kern w:val="0"/>
                <w:szCs w:val="21"/>
              </w:rPr>
              <w:t>持有金额</w:t>
            </w:r>
            <w:r>
              <w:rPr>
                <w:rFonts w:ascii="黑体" w:eastAsia="黑体" w:hAnsi="黑体" w:cs="黑体"/>
                <w:kern w:val="0"/>
                <w:szCs w:val="21"/>
              </w:rPr>
              <w:t>达到上限的，</w:t>
            </w:r>
            <w:r>
              <w:rPr>
                <w:rFonts w:ascii="黑体" w:eastAsia="黑体" w:hAnsi="黑体" w:cs="黑体" w:hint="eastAsia"/>
                <w:kern w:val="0"/>
                <w:szCs w:val="21"/>
              </w:rPr>
              <w:t>产品</w:t>
            </w:r>
            <w:r>
              <w:rPr>
                <w:rFonts w:ascii="黑体" w:eastAsia="黑体" w:hAnsi="黑体" w:cs="黑体"/>
                <w:kern w:val="0"/>
                <w:szCs w:val="21"/>
              </w:rPr>
              <w:t>管理人</w:t>
            </w:r>
            <w:r>
              <w:rPr>
                <w:rFonts w:ascii="黑体" w:eastAsia="黑体" w:hAnsi="黑体" w:cs="黑体" w:hint="eastAsia"/>
                <w:kern w:val="0"/>
                <w:szCs w:val="21"/>
              </w:rPr>
              <w:t>有权</w:t>
            </w:r>
            <w:r>
              <w:rPr>
                <w:rFonts w:ascii="黑体" w:eastAsia="黑体" w:hAnsi="黑体" w:cs="黑体"/>
                <w:kern w:val="0"/>
                <w:szCs w:val="21"/>
              </w:rPr>
              <w:t>不再继续</w:t>
            </w:r>
            <w:r>
              <w:rPr>
                <w:rFonts w:ascii="黑体" w:eastAsia="黑体" w:hAnsi="黑体" w:cs="黑体" w:hint="eastAsia"/>
                <w:kern w:val="0"/>
                <w:szCs w:val="21"/>
              </w:rPr>
              <w:t>接受其</w:t>
            </w:r>
            <w:r>
              <w:rPr>
                <w:rFonts w:ascii="黑体" w:eastAsia="黑体" w:hAnsi="黑体" w:cs="黑体"/>
                <w:kern w:val="0"/>
                <w:szCs w:val="21"/>
              </w:rPr>
              <w:t>认</w:t>
            </w:r>
            <w:r>
              <w:rPr>
                <w:rFonts w:ascii="黑体" w:eastAsia="黑体" w:hAnsi="黑体" w:cs="黑体" w:hint="eastAsia"/>
                <w:kern w:val="0"/>
                <w:szCs w:val="21"/>
              </w:rPr>
              <w:t>（申）购；若单个投资者对本产品持有金额达到上限以后仍有认</w:t>
            </w:r>
            <w:r>
              <w:rPr>
                <w:rFonts w:ascii="黑体" w:eastAsia="黑体" w:hAnsi="黑体" w:cs="黑体"/>
                <w:kern w:val="0"/>
                <w:szCs w:val="21"/>
              </w:rPr>
              <w:t>(</w:t>
            </w:r>
            <w:r>
              <w:rPr>
                <w:rFonts w:ascii="黑体" w:eastAsia="黑体" w:hAnsi="黑体" w:cs="黑体"/>
                <w:kern w:val="0"/>
                <w:szCs w:val="21"/>
              </w:rPr>
              <w:t>申</w:t>
            </w:r>
            <w:r>
              <w:rPr>
                <w:rFonts w:ascii="黑体" w:eastAsia="黑体" w:hAnsi="黑体" w:cs="黑体"/>
                <w:kern w:val="0"/>
                <w:szCs w:val="21"/>
              </w:rPr>
              <w:t>)</w:t>
            </w:r>
            <w:r>
              <w:rPr>
                <w:rFonts w:ascii="黑体" w:eastAsia="黑体" w:hAnsi="黑体" w:cs="黑体"/>
                <w:kern w:val="0"/>
                <w:szCs w:val="21"/>
              </w:rPr>
              <w:t>购需求的，可咨询本产品销售机构各营业网点或通过电话方式咨询其客服热线，产品管理人将审慎分析</w:t>
            </w:r>
            <w:r>
              <w:rPr>
                <w:rFonts w:ascii="黑体" w:eastAsia="黑体" w:hAnsi="黑体" w:cs="黑体" w:hint="eastAsia"/>
                <w:kern w:val="0"/>
                <w:szCs w:val="21"/>
              </w:rPr>
              <w:t>评估其认</w:t>
            </w:r>
            <w:r>
              <w:rPr>
                <w:rFonts w:ascii="黑体" w:eastAsia="黑体" w:hAnsi="黑体" w:cs="黑体"/>
                <w:kern w:val="0"/>
                <w:szCs w:val="21"/>
              </w:rPr>
              <w:t>(</w:t>
            </w:r>
            <w:r>
              <w:rPr>
                <w:rFonts w:ascii="黑体" w:eastAsia="黑体" w:hAnsi="黑体" w:cs="黑体"/>
                <w:kern w:val="0"/>
                <w:szCs w:val="21"/>
              </w:rPr>
              <w:t>申</w:t>
            </w:r>
            <w:r>
              <w:rPr>
                <w:rFonts w:ascii="黑体" w:eastAsia="黑体" w:hAnsi="黑体" w:cs="黑体"/>
                <w:kern w:val="0"/>
                <w:szCs w:val="21"/>
              </w:rPr>
              <w:t>)</w:t>
            </w:r>
            <w:r>
              <w:rPr>
                <w:rFonts w:ascii="黑体" w:eastAsia="黑体" w:hAnsi="黑体" w:cs="黑体"/>
                <w:kern w:val="0"/>
                <w:szCs w:val="21"/>
              </w:rPr>
              <w:t>购申请，当继续接受其认</w:t>
            </w:r>
            <w:r>
              <w:rPr>
                <w:rFonts w:ascii="黑体" w:eastAsia="黑体" w:hAnsi="黑体" w:cs="黑体"/>
                <w:kern w:val="0"/>
                <w:szCs w:val="21"/>
              </w:rPr>
              <w:t>(</w:t>
            </w:r>
            <w:r>
              <w:rPr>
                <w:rFonts w:ascii="黑体" w:eastAsia="黑体" w:hAnsi="黑体" w:cs="黑体"/>
                <w:kern w:val="0"/>
                <w:szCs w:val="21"/>
              </w:rPr>
              <w:t>申</w:t>
            </w:r>
            <w:r>
              <w:rPr>
                <w:rFonts w:ascii="黑体" w:eastAsia="黑体" w:hAnsi="黑体" w:cs="黑体"/>
                <w:kern w:val="0"/>
                <w:szCs w:val="21"/>
              </w:rPr>
              <w:t>)</w:t>
            </w:r>
            <w:r>
              <w:rPr>
                <w:rFonts w:ascii="黑体" w:eastAsia="黑体" w:hAnsi="黑体" w:cs="黑体"/>
                <w:kern w:val="0"/>
                <w:szCs w:val="21"/>
              </w:rPr>
              <w:t>购可能对理财产品存量投资者利益构成重大不利影响时，或者基于投资运作与风险控制需要，产品管理人有权不再继续接受其认</w:t>
            </w:r>
            <w:r>
              <w:rPr>
                <w:rFonts w:ascii="黑体" w:eastAsia="黑体" w:hAnsi="黑体" w:cs="黑体"/>
                <w:kern w:val="0"/>
                <w:szCs w:val="21"/>
              </w:rPr>
              <w:t>(</w:t>
            </w:r>
            <w:r>
              <w:rPr>
                <w:rFonts w:ascii="黑体" w:eastAsia="黑体" w:hAnsi="黑体" w:cs="黑体"/>
                <w:kern w:val="0"/>
                <w:szCs w:val="21"/>
              </w:rPr>
              <w:t>申</w:t>
            </w:r>
            <w:r>
              <w:rPr>
                <w:rFonts w:ascii="黑体" w:eastAsia="黑体" w:hAnsi="黑体" w:cs="黑体"/>
                <w:kern w:val="0"/>
                <w:szCs w:val="21"/>
              </w:rPr>
              <w:t>)</w:t>
            </w:r>
            <w:r>
              <w:rPr>
                <w:rFonts w:ascii="黑体" w:eastAsia="黑体" w:hAnsi="黑体" w:cs="黑体"/>
                <w:kern w:val="0"/>
                <w:szCs w:val="21"/>
              </w:rPr>
              <w:t>购。</w:t>
            </w:r>
          </w:p>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u w:val="single"/>
              </w:rPr>
              <w:t>非因产品管理人主观因素导致</w:t>
            </w:r>
            <w:r>
              <w:rPr>
                <w:rFonts w:ascii="黑体" w:eastAsia="黑体" w:hAnsi="黑体" w:cs="黑体"/>
                <w:kern w:val="0"/>
                <w:szCs w:val="21"/>
                <w:u w:val="single"/>
              </w:rPr>
              <w:t>单</w:t>
            </w:r>
            <w:r>
              <w:rPr>
                <w:rFonts w:ascii="黑体" w:eastAsia="黑体" w:hAnsi="黑体" w:cs="黑体" w:hint="eastAsia"/>
                <w:kern w:val="0"/>
                <w:szCs w:val="21"/>
                <w:u w:val="single"/>
              </w:rPr>
              <w:t>一</w:t>
            </w:r>
            <w:r>
              <w:rPr>
                <w:rFonts w:ascii="黑体" w:eastAsia="黑体" w:hAnsi="黑体" w:cs="黑体"/>
                <w:kern w:val="0"/>
                <w:szCs w:val="21"/>
                <w:u w:val="single"/>
              </w:rPr>
              <w:t>投资者持有份额比例超过</w:t>
            </w:r>
            <w:r>
              <w:rPr>
                <w:rFonts w:ascii="黑体" w:eastAsia="黑体" w:hAnsi="黑体" w:cs="黑体" w:hint="eastAsia"/>
                <w:kern w:val="0"/>
                <w:szCs w:val="21"/>
                <w:u w:val="single"/>
              </w:rPr>
              <w:t>总份额</w:t>
            </w:r>
            <w:r>
              <w:rPr>
                <w:rFonts w:ascii="黑体" w:eastAsia="黑体" w:hAnsi="黑体" w:cs="黑体"/>
                <w:kern w:val="0"/>
                <w:szCs w:val="21"/>
                <w:u w:val="single"/>
              </w:rPr>
              <w:t>的</w:t>
            </w:r>
            <w:r>
              <w:rPr>
                <w:rFonts w:ascii="黑体" w:eastAsia="黑体" w:hAnsi="黑体" w:cs="黑体"/>
                <w:kern w:val="0"/>
                <w:szCs w:val="21"/>
                <w:u w:val="single"/>
              </w:rPr>
              <w:t>50%</w:t>
            </w:r>
            <w:r>
              <w:rPr>
                <w:rFonts w:ascii="黑体" w:eastAsia="黑体" w:hAnsi="黑体" w:cs="黑体" w:hint="eastAsia"/>
                <w:kern w:val="0"/>
                <w:szCs w:val="21"/>
                <w:u w:val="single"/>
              </w:rPr>
              <w:t>（含</w:t>
            </w:r>
            <w:r>
              <w:rPr>
                <w:rFonts w:ascii="黑体" w:eastAsia="黑体" w:hAnsi="黑体" w:cs="黑体"/>
                <w:kern w:val="0"/>
                <w:szCs w:val="21"/>
                <w:u w:val="single"/>
              </w:rPr>
              <w:t>）时，</w:t>
            </w:r>
            <w:r>
              <w:rPr>
                <w:rFonts w:ascii="黑体" w:eastAsia="黑体" w:hAnsi="黑体" w:cs="黑体" w:hint="eastAsia"/>
                <w:kern w:val="0"/>
                <w:szCs w:val="21"/>
                <w:u w:val="single"/>
              </w:rPr>
              <w:t>产品</w:t>
            </w:r>
            <w:r>
              <w:rPr>
                <w:rFonts w:ascii="黑体" w:eastAsia="黑体" w:hAnsi="黑体" w:cs="黑体"/>
                <w:kern w:val="0"/>
                <w:szCs w:val="21"/>
                <w:u w:val="single"/>
              </w:rPr>
              <w:t>管理人</w:t>
            </w:r>
            <w:r>
              <w:rPr>
                <w:rFonts w:ascii="黑体" w:eastAsia="黑体" w:hAnsi="黑体" w:cs="黑体" w:hint="eastAsia"/>
                <w:kern w:val="0"/>
                <w:szCs w:val="21"/>
                <w:u w:val="single"/>
              </w:rPr>
              <w:t>将暂停接受</w:t>
            </w:r>
            <w:r>
              <w:rPr>
                <w:rFonts w:ascii="黑体" w:eastAsia="黑体" w:hAnsi="黑体" w:cs="黑体"/>
                <w:kern w:val="0"/>
                <w:szCs w:val="21"/>
                <w:u w:val="single"/>
              </w:rPr>
              <w:t>其</w:t>
            </w:r>
            <w:r>
              <w:rPr>
                <w:rFonts w:ascii="黑体" w:eastAsia="黑体" w:hAnsi="黑体" w:cs="黑体" w:hint="eastAsia"/>
                <w:kern w:val="0"/>
                <w:szCs w:val="21"/>
                <w:u w:val="single"/>
              </w:rPr>
              <w:t>认（</w:t>
            </w:r>
            <w:r>
              <w:rPr>
                <w:rFonts w:ascii="黑体" w:eastAsia="黑体" w:hAnsi="黑体" w:cs="黑体"/>
                <w:kern w:val="0"/>
                <w:szCs w:val="21"/>
                <w:u w:val="single"/>
              </w:rPr>
              <w:t>申</w:t>
            </w:r>
            <w:r>
              <w:rPr>
                <w:rFonts w:ascii="黑体" w:eastAsia="黑体" w:hAnsi="黑体" w:cs="黑体" w:hint="eastAsia"/>
                <w:kern w:val="0"/>
                <w:szCs w:val="21"/>
                <w:u w:val="single"/>
              </w:rPr>
              <w:t>）</w:t>
            </w:r>
            <w:r>
              <w:rPr>
                <w:rFonts w:ascii="黑体" w:eastAsia="黑体" w:hAnsi="黑体" w:cs="黑体"/>
                <w:kern w:val="0"/>
                <w:szCs w:val="21"/>
                <w:u w:val="single"/>
              </w:rPr>
              <w:t>购申请。</w:t>
            </w:r>
          </w:p>
          <w:p w:rsidR="008B0A7D">
            <w:pPr>
              <w:rPr>
                <w:rFonts w:ascii="黑体" w:eastAsia="黑体" w:hAnsi="黑体"/>
                <w:szCs w:val="21"/>
              </w:rPr>
            </w:pPr>
            <w:r>
              <w:rPr>
                <w:rFonts w:ascii="黑体" w:eastAsia="黑体" w:hAnsi="黑体" w:cs="黑体"/>
                <w:kern w:val="0"/>
                <w:szCs w:val="21"/>
              </w:rPr>
              <w:t>2</w:t>
            </w:r>
            <w:r>
              <w:rPr>
                <w:rFonts w:ascii="黑体" w:eastAsia="黑体" w:hAnsi="黑体" w:cs="黑体" w:hint="eastAsia"/>
                <w:kern w:val="0"/>
                <w:szCs w:val="21"/>
              </w:rPr>
              <w:t>、单个投资者对本产品</w:t>
            </w:r>
            <w:r>
              <w:rPr>
                <w:rFonts w:ascii="黑体" w:eastAsia="黑体" w:hAnsi="黑体" w:cs="黑体"/>
                <w:kern w:val="0"/>
                <w:szCs w:val="21"/>
              </w:rPr>
              <w:t>的最低持有</w:t>
            </w:r>
            <w:r>
              <w:rPr>
                <w:rFonts w:ascii="黑体" w:eastAsia="黑体" w:hAnsi="黑体" w:cs="黑体" w:hint="eastAsia"/>
                <w:kern w:val="0"/>
                <w:szCs w:val="21"/>
              </w:rPr>
              <w:t>金额</w:t>
            </w:r>
            <w:r>
              <w:rPr>
                <w:rFonts w:ascii="黑体" w:eastAsia="黑体" w:hAnsi="黑体" w:cs="黑体"/>
                <w:kern w:val="0"/>
                <w:szCs w:val="21"/>
              </w:rPr>
              <w:t>为</w:t>
            </w:r>
            <w:r>
              <w:rPr>
                <w:rFonts w:ascii="黑体" w:eastAsia="黑体" w:hAnsi="黑体" w:cs="黑体" w:hint="eastAsia"/>
                <w:b/>
                <w:kern w:val="0"/>
                <w:szCs w:val="21"/>
              </w:rPr>
              <w:t>A</w:t>
            </w:r>
            <w:r>
              <w:rPr>
                <w:rFonts w:ascii="黑体" w:eastAsia="黑体" w:hAnsi="黑体" w:cs="黑体" w:hint="eastAsia"/>
                <w:b/>
                <w:kern w:val="0"/>
                <w:szCs w:val="21"/>
              </w:rPr>
              <w:t>、</w:t>
            </w:r>
            <w:r>
              <w:rPr>
                <w:rFonts w:ascii="黑体" w:eastAsia="黑体" w:hAnsi="黑体" w:cs="黑体" w:hint="eastAsia"/>
                <w:b/>
                <w:kern w:val="0"/>
                <w:szCs w:val="21"/>
              </w:rPr>
              <w:t>B</w:t>
            </w:r>
            <w:r>
              <w:rPr>
                <w:rFonts w:ascii="黑体" w:eastAsia="黑体" w:hAnsi="黑体" w:cs="黑体" w:hint="eastAsia"/>
                <w:b/>
                <w:kern w:val="0"/>
                <w:szCs w:val="21"/>
              </w:rPr>
              <w:t>、</w:t>
            </w:r>
            <w:r>
              <w:rPr>
                <w:rFonts w:ascii="黑体" w:eastAsia="黑体" w:hAnsi="黑体" w:cs="黑体" w:hint="eastAsia"/>
                <w:b/>
                <w:kern w:val="0"/>
                <w:szCs w:val="21"/>
              </w:rPr>
              <w:t>D</w:t>
            </w:r>
            <w:r>
              <w:rPr>
                <w:rFonts w:ascii="黑体" w:eastAsia="黑体" w:hAnsi="黑体" w:cs="黑体" w:hint="eastAsia"/>
                <w:b/>
                <w:kern w:val="0"/>
                <w:szCs w:val="21"/>
              </w:rPr>
              <w:t>、</w:t>
            </w:r>
            <w:r>
              <w:rPr>
                <w:rFonts w:ascii="黑体" w:eastAsia="黑体" w:hAnsi="黑体" w:cs="黑体" w:hint="eastAsia"/>
                <w:b/>
                <w:kern w:val="0"/>
                <w:szCs w:val="21"/>
              </w:rPr>
              <w:t>E</w:t>
            </w:r>
            <w:r>
              <w:rPr>
                <w:rFonts w:ascii="黑体" w:eastAsia="黑体" w:hAnsi="黑体" w:cs="黑体" w:hint="eastAsia"/>
                <w:b/>
                <w:kern w:val="0"/>
                <w:szCs w:val="21"/>
              </w:rPr>
              <w:t>、</w:t>
            </w:r>
            <w:r>
              <w:rPr>
                <w:rFonts w:ascii="黑体" w:eastAsia="黑体" w:hAnsi="黑体" w:cs="黑体" w:hint="eastAsia"/>
                <w:b/>
                <w:kern w:val="0"/>
                <w:szCs w:val="21"/>
              </w:rPr>
              <w:t>G</w:t>
            </w:r>
            <w:r>
              <w:rPr>
                <w:rFonts w:ascii="黑体" w:eastAsia="黑体" w:hAnsi="黑体" w:cs="黑体" w:hint="eastAsia"/>
                <w:b/>
                <w:kern w:val="0"/>
                <w:szCs w:val="21"/>
              </w:rPr>
              <w:t>、</w:t>
            </w:r>
            <w:r>
              <w:rPr>
                <w:rFonts w:ascii="黑体" w:eastAsia="黑体" w:hAnsi="黑体" w:cs="黑体" w:hint="eastAsia"/>
                <w:b/>
                <w:bCs/>
                <w:kern w:val="0"/>
                <w:szCs w:val="21"/>
              </w:rPr>
              <w:t>J</w:t>
            </w:r>
            <w:r>
              <w:rPr>
                <w:rFonts w:ascii="黑体" w:eastAsia="黑体" w:hAnsi="黑体" w:cs="黑体" w:hint="eastAsia"/>
                <w:b/>
                <w:bCs/>
                <w:kern w:val="0"/>
                <w:szCs w:val="21"/>
              </w:rPr>
              <w:t>、</w:t>
            </w:r>
            <w:r>
              <w:rPr>
                <w:rFonts w:ascii="黑体" w:eastAsia="黑体" w:hAnsi="黑体" w:cs="黑体" w:hint="eastAsia"/>
                <w:b/>
                <w:bCs/>
                <w:kern w:val="0"/>
                <w:szCs w:val="21"/>
              </w:rPr>
              <w:t>K</w:t>
            </w:r>
            <w:r>
              <w:rPr>
                <w:rFonts w:ascii="黑体" w:eastAsia="黑体" w:hAnsi="黑体" w:cs="黑体" w:hint="eastAsia"/>
                <w:b/>
                <w:bCs/>
                <w:kern w:val="0"/>
                <w:szCs w:val="21"/>
              </w:rPr>
              <w:t>、</w:t>
            </w:r>
            <w:r>
              <w:rPr>
                <w:rFonts w:ascii="黑体" w:eastAsia="黑体" w:hAnsi="黑体" w:cs="黑体" w:hint="eastAsia"/>
                <w:b/>
                <w:bCs/>
                <w:kern w:val="0"/>
                <w:szCs w:val="21"/>
              </w:rPr>
              <w:t>L</w:t>
            </w:r>
            <w:r>
              <w:rPr>
                <w:rFonts w:ascii="黑体" w:eastAsia="黑体" w:hAnsi="黑体" w:cs="黑体" w:hint="eastAsia"/>
                <w:b/>
                <w:bCs/>
                <w:kern w:val="0"/>
                <w:szCs w:val="21"/>
              </w:rPr>
              <w:t>、</w:t>
            </w:r>
            <w:r>
              <w:rPr>
                <w:rFonts w:ascii="黑体" w:eastAsia="黑体" w:hAnsi="黑体" w:cs="黑体" w:hint="eastAsia"/>
                <w:b/>
                <w:bCs/>
                <w:kern w:val="0"/>
                <w:szCs w:val="21"/>
              </w:rPr>
              <w:t>P</w:t>
            </w:r>
            <w:r>
              <w:rPr>
                <w:rFonts w:ascii="黑体" w:eastAsia="黑体" w:hAnsi="黑体" w:cs="黑体" w:hint="eastAsia"/>
                <w:b/>
                <w:bCs/>
                <w:kern w:val="0"/>
                <w:szCs w:val="21"/>
              </w:rPr>
              <w:t>份额：</w:t>
            </w:r>
            <w:r>
              <w:rPr>
                <w:rFonts w:ascii="黑体" w:eastAsia="黑体" w:hAnsi="黑体" w:cs="黑体" w:hint="eastAsia"/>
                <w:b/>
                <w:bCs/>
                <w:kern w:val="0"/>
                <w:szCs w:val="21"/>
              </w:rPr>
              <w:t>0</w:t>
            </w:r>
            <w:r>
              <w:rPr>
                <w:rFonts w:ascii="黑体" w:eastAsia="黑体" w:hAnsi="黑体" w:cs="黑体"/>
                <w:b/>
                <w:bCs/>
                <w:kern w:val="0"/>
                <w:szCs w:val="21"/>
              </w:rPr>
              <w:t>.01</w:t>
            </w:r>
            <w:r>
              <w:rPr>
                <w:rFonts w:ascii="黑体" w:eastAsia="黑体" w:hAnsi="黑体" w:cs="黑体"/>
                <w:b/>
                <w:bCs/>
                <w:kern w:val="0"/>
                <w:szCs w:val="21"/>
              </w:rPr>
              <w:t>元</w:t>
            </w:r>
            <w:r>
              <w:rPr>
                <w:rFonts w:ascii="黑体" w:eastAsia="黑体" w:hAnsi="黑体" w:cs="黑体" w:hint="eastAsia"/>
                <w:b/>
                <w:bCs/>
                <w:kern w:val="0"/>
                <w:szCs w:val="21"/>
              </w:rPr>
              <w:t>，</w:t>
            </w:r>
            <w:r>
              <w:rPr>
                <w:rFonts w:ascii="黑体" w:eastAsia="黑体" w:hAnsi="黑体" w:cs="黑体"/>
                <w:kern w:val="0"/>
                <w:szCs w:val="21"/>
              </w:rPr>
              <w:t>若投资者持有不足该</w:t>
            </w:r>
            <w:r>
              <w:rPr>
                <w:rFonts w:ascii="黑体" w:eastAsia="黑体" w:hAnsi="黑体" w:cs="黑体" w:hint="eastAsia"/>
                <w:kern w:val="0"/>
                <w:szCs w:val="21"/>
              </w:rPr>
              <w:t>金额</w:t>
            </w:r>
            <w:r>
              <w:rPr>
                <w:rFonts w:ascii="黑体" w:eastAsia="黑体" w:hAnsi="黑体" w:cs="黑体"/>
                <w:kern w:val="0"/>
                <w:szCs w:val="21"/>
              </w:rPr>
              <w:t>时</w:t>
            </w:r>
            <w:r>
              <w:rPr>
                <w:rFonts w:ascii="黑体" w:eastAsia="黑体" w:hAnsi="黑体" w:cs="黑体" w:hint="eastAsia"/>
                <w:kern w:val="0"/>
                <w:szCs w:val="21"/>
              </w:rPr>
              <w:t>，产品管理人可对投资者持有的产品剩余金额进行强制赎回。</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销售</w:t>
            </w:r>
            <w:r>
              <w:rPr>
                <w:rFonts w:ascii="黑体" w:eastAsia="黑体" w:hAnsi="黑体" w:cs="黑体"/>
                <w:kern w:val="0"/>
                <w:szCs w:val="21"/>
              </w:rPr>
              <w:t>区域</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全国（不含港澳台地区）</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管理</w:t>
            </w:r>
            <w:r>
              <w:rPr>
                <w:rFonts w:ascii="黑体" w:eastAsia="黑体" w:hAnsi="黑体" w:cs="黑体"/>
                <w:kern w:val="0"/>
                <w:szCs w:val="21"/>
              </w:rPr>
              <w:t>机构</w:t>
            </w:r>
            <w:r>
              <w:rPr>
                <w:rFonts w:ascii="黑体" w:eastAsia="黑体" w:hAnsi="黑体" w:cs="黑体"/>
                <w:kern w:val="0"/>
                <w:szCs w:val="21"/>
              </w:rPr>
              <w:t>/</w:t>
            </w:r>
            <w:r>
              <w:rPr>
                <w:rFonts w:ascii="黑体" w:eastAsia="黑体" w:hAnsi="黑体" w:cs="黑体"/>
                <w:kern w:val="0"/>
                <w:szCs w:val="21"/>
              </w:rPr>
              <w:t>产品管理人</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宁银理财</w:t>
            </w:r>
            <w:r>
              <w:rPr>
                <w:rFonts w:ascii="黑体" w:eastAsia="黑体" w:hAnsi="黑体" w:cs="黑体"/>
                <w:kern w:val="0"/>
                <w:szCs w:val="21"/>
              </w:rPr>
              <w:t>有限责任公司</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销售</w:t>
            </w:r>
            <w:r>
              <w:rPr>
                <w:rFonts w:ascii="黑体" w:eastAsia="黑体" w:hAnsi="黑体" w:cs="黑体"/>
                <w:kern w:val="0"/>
                <w:szCs w:val="21"/>
              </w:rPr>
              <w:t>机构</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宁波银行股份有限公司、宁银理财</w:t>
            </w:r>
            <w:r>
              <w:rPr>
                <w:rFonts w:ascii="黑体" w:eastAsia="黑体" w:hAnsi="黑体" w:cs="黑体"/>
                <w:kern w:val="0"/>
                <w:szCs w:val="21"/>
              </w:rPr>
              <w:t>有限责任公司</w:t>
            </w:r>
            <w:r>
              <w:rPr>
                <w:rFonts w:ascii="黑体" w:eastAsia="黑体" w:hAnsi="黑体" w:cs="黑体" w:hint="eastAsia"/>
                <w:kern w:val="0"/>
                <w:szCs w:val="21"/>
              </w:rPr>
              <w:t>、上海浦东发展银行股份有限公司、华夏银行股份有限公司、广发银行股份有限公司、苏州银行股份有限公司、兴业银行股份有限公司、东莞银行股份有限公司、长沙银行股份有限公司、交通银行股份有限公司、江苏常熟农村商业银行股份有限公司、广东华兴银行股份有限公司、江苏张家港农村商业</w:t>
            </w:r>
            <w:r>
              <w:rPr>
                <w:rFonts w:ascii="黑体" w:eastAsia="黑体" w:hAnsi="黑体" w:cs="黑体" w:hint="eastAsia"/>
                <w:kern w:val="0"/>
                <w:szCs w:val="21"/>
              </w:rPr>
              <w:t>银行股份有限公司、江苏江南农村商业银行股份有限公司、江苏江阴农村商业银行股份有限公司、桂林银行股份有限公司、云南红塔银行股份有限公司、东莞农村商业银行股份有限公司、渤海银行股份有限公司、甘肃银行股份有限公司、泉州银行股份有限公司、武汉农村商业银行股份有限公司、哈尔滨银行股份有限公司、珠海华润银行股份有限公司、宁夏银行股份有限公司、广东南粤银行股份有限公司、贵阳银行股份有限公司、青岛农村商业银行股份有限公司、广州农村商业银行股份有限公司、吉林银行股份有限公司、台州银行股份有限公司、潍坊银行股份有限公司、广州银</w:t>
            </w:r>
            <w:r>
              <w:rPr>
                <w:rFonts w:ascii="黑体" w:eastAsia="黑体" w:hAnsi="黑体" w:cs="黑体" w:hint="eastAsia"/>
                <w:kern w:val="0"/>
                <w:szCs w:val="21"/>
              </w:rPr>
              <w:t>行股份有限公司、莱商银行股份有限公司、内蒙古银行股份有限公司、北京农村商业银行股份有限公司、昆仑银行股份有限公司</w:t>
            </w:r>
            <w:r>
              <w:rPr>
                <w:rFonts w:ascii="黑体" w:eastAsia="黑体" w:hAnsi="黑体" w:cs="黑体" w:hint="eastAsia"/>
                <w:kern w:val="0"/>
                <w:szCs w:val="21"/>
              </w:rPr>
              <w:t>、沧州银行股份有限公司</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托管机构</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宁波银行股份有限公司</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投资合作机构</w:t>
            </w:r>
          </w:p>
        </w:tc>
        <w:tc>
          <w:tcPr>
            <w:tcW w:w="6458" w:type="dxa"/>
          </w:tcPr>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投资合作机构包括但不限于理财产品所投资资产管理产品的发行机构、根据合同约定从事理财产品受托投资的机构以及与理财产品投资管理相关的投资顾问等。</w:t>
            </w:r>
          </w:p>
          <w:p w:rsidR="008B0A7D">
            <w:pPr>
              <w:autoSpaceDE w:val="0"/>
              <w:autoSpaceDN w:val="0"/>
              <w:adjustRightInd w:val="0"/>
              <w:jc w:val="left"/>
              <w:rPr>
                <w:rFonts w:ascii="黑体" w:eastAsia="黑体" w:hAnsi="黑体" w:cs="黑体"/>
                <w:kern w:val="0"/>
                <w:szCs w:val="21"/>
              </w:rPr>
            </w:pPr>
            <w:bookmarkStart w:id="5" w:name="OLE_LINK3"/>
            <w:bookmarkStart w:id="6" w:name="OLE_LINK4"/>
            <w:r>
              <w:rPr>
                <w:rFonts w:ascii="黑体" w:eastAsia="黑体" w:hAnsi="黑体" w:cs="黑体" w:hint="eastAsia"/>
                <w:kern w:val="0"/>
                <w:szCs w:val="21"/>
              </w:rPr>
              <w:t>本理财产品投资合作机构可能包括但不限于安联保险资产管理有限公司、博时资本管理有限公司、财通证券资产管理有限公司、大家资产管理有限责任公司、东方财富证券股份有限公司、光大永明资产管理股份有限公司、国联证券资产管理有限公司、国投泰康信托有限公司、湖南省财信信托有限责任公司、华能贵诚信托有限公司、华润深国投信托有限公司、华鑫证券有限责任公司、建信信托有限责任公司、建元信托股份有限公司、江苏省国际信托有限责任公司、陆家嘴国际信托有限公司、民生通惠资产管理有限公司、诺德基金管理有限公司、平安信托有限责任公司、上海国泰</w:t>
            </w:r>
            <w:r>
              <w:rPr>
                <w:rFonts w:ascii="黑体" w:eastAsia="黑体" w:hAnsi="黑体" w:cs="黑体" w:hint="eastAsia"/>
                <w:kern w:val="0"/>
                <w:szCs w:val="21"/>
              </w:rPr>
              <w:t>君安证券资产管理有限公司、天津信托有限责任公司、信达澳亚基金管理有限公司、兴业国际信托有限公司、云南国际信托有限公司、长城财富保险资产管理股份有限公司、招商财富资产管理有限公司、浙商金汇信托股份有限公司、浙商期货有限公司、中诚信托有限责任公司、中国对外经济贸易信托有限公司、中国国际金融股份有限公司、中国人保资产管理有限公司、中国人寿资产管理有限公司、中信建投期货有限公司、中信信托有限责任公司等。</w:t>
            </w:r>
          </w:p>
          <w:bookmarkEnd w:id="5"/>
          <w:bookmarkEnd w:id="6"/>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后续新增投资合作机构时，管理人将对合作机构的资质条件、专业服</w:t>
            </w:r>
            <w:r>
              <w:rPr>
                <w:rFonts w:ascii="黑体" w:eastAsia="黑体" w:hAnsi="黑体" w:cs="黑体" w:hint="eastAsia"/>
                <w:kern w:val="0"/>
                <w:szCs w:val="21"/>
              </w:rPr>
              <w:t>务能力和风险管理水平等进行充分评价，切实履行投资管理</w:t>
            </w:r>
            <w:r>
              <w:rPr>
                <w:rFonts w:ascii="黑体" w:eastAsia="黑体" w:hAnsi="黑体" w:cs="黑体" w:hint="eastAsia"/>
                <w:kern w:val="0"/>
                <w:szCs w:val="21"/>
              </w:rPr>
              <w:t>职责。</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产品</w:t>
            </w:r>
            <w:r>
              <w:rPr>
                <w:rFonts w:ascii="黑体" w:eastAsia="黑体" w:hAnsi="黑体" w:cs="黑体"/>
                <w:kern w:val="0"/>
                <w:szCs w:val="21"/>
              </w:rPr>
              <w:t>费用</w:t>
            </w:r>
            <w:r>
              <w:rPr>
                <w:rFonts w:ascii="黑体" w:eastAsia="黑体" w:hAnsi="黑体" w:cs="黑体" w:hint="eastAsia"/>
                <w:kern w:val="0"/>
                <w:szCs w:val="21"/>
              </w:rPr>
              <w:t>及</w:t>
            </w:r>
            <w:r>
              <w:rPr>
                <w:rFonts w:ascii="黑体" w:eastAsia="黑体" w:hAnsi="黑体" w:cs="黑体"/>
                <w:kern w:val="0"/>
                <w:szCs w:val="21"/>
              </w:rPr>
              <w:t>税收</w:t>
            </w:r>
            <w:r>
              <w:rPr>
                <w:rFonts w:ascii="黑体" w:eastAsia="黑体" w:hAnsi="黑体" w:cs="黑体" w:hint="eastAsia"/>
                <w:kern w:val="0"/>
                <w:szCs w:val="21"/>
              </w:rPr>
              <w:t>规定</w:t>
            </w:r>
          </w:p>
        </w:tc>
        <w:tc>
          <w:tcPr>
            <w:tcW w:w="6458" w:type="dxa"/>
          </w:tcPr>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本产品收取的费用为销售服务费、固定管理费、托管费等。其中，</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1</w:t>
            </w:r>
            <w:r>
              <w:rPr>
                <w:rFonts w:ascii="黑体" w:eastAsia="黑体" w:hAnsi="黑体" w:cs="黑体" w:hint="eastAsia"/>
                <w:b/>
                <w:kern w:val="0"/>
                <w:szCs w:val="21"/>
              </w:rPr>
              <w:t>、销售服务费：【</w:t>
            </w:r>
            <w:r>
              <w:rPr>
                <w:rFonts w:ascii="黑体" w:eastAsia="黑体" w:hAnsi="黑体" w:cs="黑体" w:hint="eastAsia"/>
                <w:b/>
                <w:kern w:val="0"/>
                <w:szCs w:val="21"/>
              </w:rPr>
              <w:t>A</w:t>
            </w:r>
            <w:r>
              <w:rPr>
                <w:rFonts w:ascii="黑体" w:eastAsia="黑体" w:hAnsi="黑体" w:cs="黑体" w:hint="eastAsia"/>
                <w:b/>
                <w:kern w:val="0"/>
                <w:szCs w:val="21"/>
              </w:rPr>
              <w:t>份额】年化费率【</w:t>
            </w:r>
            <w:r>
              <w:rPr>
                <w:rFonts w:ascii="黑体" w:eastAsia="黑体" w:hAnsi="黑体" w:cs="黑体" w:hint="eastAsia"/>
                <w:b/>
                <w:kern w:val="0"/>
                <w:szCs w:val="21"/>
              </w:rPr>
              <w:t>0.30%</w:t>
            </w:r>
            <w:r>
              <w:rPr>
                <w:rFonts w:ascii="黑体" w:eastAsia="黑体" w:hAnsi="黑体" w:cs="黑体" w:hint="eastAsia"/>
                <w:b/>
                <w:kern w:val="0"/>
                <w:szCs w:val="21"/>
              </w:rPr>
              <w:t>】、【</w:t>
            </w:r>
            <w:r>
              <w:rPr>
                <w:rFonts w:ascii="黑体" w:eastAsia="黑体" w:hAnsi="黑体" w:cs="黑体" w:hint="eastAsia"/>
                <w:b/>
                <w:kern w:val="0"/>
                <w:szCs w:val="21"/>
              </w:rPr>
              <w:t>B</w:t>
            </w:r>
            <w:r>
              <w:rPr>
                <w:rFonts w:ascii="黑体" w:eastAsia="黑体" w:hAnsi="黑体" w:cs="黑体" w:hint="eastAsia"/>
                <w:b/>
                <w:kern w:val="0"/>
                <w:szCs w:val="21"/>
              </w:rPr>
              <w:t>份额】年化费率【</w:t>
            </w:r>
            <w:r>
              <w:rPr>
                <w:rFonts w:ascii="黑体" w:eastAsia="黑体" w:hAnsi="黑体" w:cs="黑体" w:hint="eastAsia"/>
                <w:b/>
                <w:kern w:val="0"/>
                <w:szCs w:val="21"/>
              </w:rPr>
              <w:t>0.30%</w:t>
            </w:r>
            <w:r>
              <w:rPr>
                <w:rFonts w:ascii="黑体" w:eastAsia="黑体" w:hAnsi="黑体" w:cs="黑体" w:hint="eastAsia"/>
                <w:b/>
                <w:kern w:val="0"/>
                <w:szCs w:val="21"/>
              </w:rPr>
              <w:t>】、【</w:t>
            </w:r>
            <w:r>
              <w:rPr>
                <w:rFonts w:ascii="黑体" w:eastAsia="黑体" w:hAnsi="黑体" w:cs="黑体" w:hint="eastAsia"/>
                <w:b/>
                <w:kern w:val="0"/>
                <w:szCs w:val="21"/>
              </w:rPr>
              <w:t>D</w:t>
            </w:r>
            <w:r>
              <w:rPr>
                <w:rFonts w:ascii="黑体" w:eastAsia="黑体" w:hAnsi="黑体" w:cs="黑体" w:hint="eastAsia"/>
                <w:b/>
                <w:kern w:val="0"/>
                <w:szCs w:val="21"/>
              </w:rPr>
              <w:t>份额】年化费率【</w:t>
            </w:r>
            <w:r>
              <w:rPr>
                <w:rFonts w:ascii="黑体" w:eastAsia="黑体" w:hAnsi="黑体" w:cs="黑体" w:hint="eastAsia"/>
                <w:b/>
                <w:kern w:val="0"/>
                <w:szCs w:val="21"/>
              </w:rPr>
              <w:t>0.30%</w:t>
            </w:r>
            <w:r>
              <w:rPr>
                <w:rFonts w:ascii="黑体" w:eastAsia="黑体" w:hAnsi="黑体" w:cs="黑体" w:hint="eastAsia"/>
                <w:b/>
                <w:kern w:val="0"/>
                <w:szCs w:val="21"/>
              </w:rPr>
              <w:t>】、【</w:t>
            </w:r>
            <w:r>
              <w:rPr>
                <w:rFonts w:ascii="黑体" w:eastAsia="黑体" w:hAnsi="黑体" w:cs="黑体" w:hint="eastAsia"/>
                <w:b/>
                <w:kern w:val="0"/>
                <w:szCs w:val="21"/>
              </w:rPr>
              <w:t>E</w:t>
            </w:r>
            <w:r>
              <w:rPr>
                <w:rFonts w:ascii="黑体" w:eastAsia="黑体" w:hAnsi="黑体" w:cs="黑体" w:hint="eastAsia"/>
                <w:b/>
                <w:kern w:val="0"/>
                <w:szCs w:val="21"/>
              </w:rPr>
              <w:t>份额】年化费率【</w:t>
            </w:r>
            <w:r>
              <w:rPr>
                <w:rFonts w:ascii="黑体" w:eastAsia="黑体" w:hAnsi="黑体" w:cs="黑体" w:hint="eastAsia"/>
                <w:b/>
                <w:kern w:val="0"/>
                <w:szCs w:val="21"/>
              </w:rPr>
              <w:t>0.30%</w:t>
            </w:r>
            <w:r>
              <w:rPr>
                <w:rFonts w:ascii="黑体" w:eastAsia="黑体" w:hAnsi="黑体" w:cs="黑体" w:hint="eastAsia"/>
                <w:b/>
                <w:kern w:val="0"/>
                <w:szCs w:val="21"/>
              </w:rPr>
              <w:t>】、【</w:t>
            </w:r>
            <w:r>
              <w:rPr>
                <w:rFonts w:ascii="黑体" w:eastAsia="黑体" w:hAnsi="黑体" w:cs="黑体" w:hint="eastAsia"/>
                <w:b/>
                <w:kern w:val="0"/>
                <w:szCs w:val="21"/>
              </w:rPr>
              <w:t>G</w:t>
            </w:r>
            <w:r>
              <w:rPr>
                <w:rFonts w:ascii="黑体" w:eastAsia="黑体" w:hAnsi="黑体" w:cs="黑体" w:hint="eastAsia"/>
                <w:b/>
                <w:kern w:val="0"/>
                <w:szCs w:val="21"/>
              </w:rPr>
              <w:t>份额】年化费率【</w:t>
            </w:r>
            <w:r>
              <w:rPr>
                <w:rFonts w:ascii="黑体" w:eastAsia="黑体" w:hAnsi="黑体" w:cs="黑体" w:hint="eastAsia"/>
                <w:b/>
                <w:kern w:val="0"/>
                <w:szCs w:val="21"/>
              </w:rPr>
              <w:t>0.30%</w:t>
            </w:r>
            <w:r>
              <w:rPr>
                <w:rFonts w:ascii="黑体" w:eastAsia="黑体" w:hAnsi="黑体" w:cs="黑体" w:hint="eastAsia"/>
                <w:b/>
                <w:kern w:val="0"/>
                <w:szCs w:val="21"/>
              </w:rPr>
              <w:t>】、【</w:t>
            </w:r>
            <w:r>
              <w:rPr>
                <w:rFonts w:ascii="黑体" w:eastAsia="黑体" w:hAnsi="黑体" w:cs="黑体" w:hint="eastAsia"/>
                <w:b/>
                <w:kern w:val="0"/>
                <w:szCs w:val="21"/>
              </w:rPr>
              <w:t>J</w:t>
            </w:r>
            <w:r>
              <w:rPr>
                <w:rFonts w:ascii="黑体" w:eastAsia="黑体" w:hAnsi="黑体" w:cs="黑体" w:hint="eastAsia"/>
                <w:b/>
                <w:kern w:val="0"/>
                <w:szCs w:val="21"/>
              </w:rPr>
              <w:t>份额】年化费率【</w:t>
            </w:r>
            <w:r>
              <w:rPr>
                <w:rFonts w:ascii="黑体" w:eastAsia="黑体" w:hAnsi="黑体" w:cs="黑体" w:hint="eastAsia"/>
                <w:b/>
                <w:kern w:val="0"/>
                <w:szCs w:val="21"/>
              </w:rPr>
              <w:t>0.30%</w:t>
            </w:r>
            <w:r>
              <w:rPr>
                <w:rFonts w:ascii="黑体" w:eastAsia="黑体" w:hAnsi="黑体" w:cs="黑体" w:hint="eastAsia"/>
                <w:b/>
                <w:kern w:val="0"/>
                <w:szCs w:val="21"/>
              </w:rPr>
              <w:t>】、【</w:t>
            </w:r>
            <w:r>
              <w:rPr>
                <w:rFonts w:ascii="黑体" w:eastAsia="黑体" w:hAnsi="黑体" w:cs="黑体" w:hint="eastAsia"/>
                <w:b/>
                <w:kern w:val="0"/>
                <w:szCs w:val="21"/>
              </w:rPr>
              <w:t>K</w:t>
            </w:r>
            <w:r>
              <w:rPr>
                <w:rFonts w:ascii="黑体" w:eastAsia="黑体" w:hAnsi="黑体" w:cs="黑体" w:hint="eastAsia"/>
                <w:b/>
                <w:kern w:val="0"/>
                <w:szCs w:val="21"/>
              </w:rPr>
              <w:t>份额】年化费率【</w:t>
            </w:r>
            <w:r>
              <w:rPr>
                <w:rFonts w:ascii="黑体" w:eastAsia="黑体" w:hAnsi="黑体" w:cs="黑体" w:hint="eastAsia"/>
                <w:b/>
                <w:kern w:val="0"/>
                <w:szCs w:val="21"/>
              </w:rPr>
              <w:t>0.27%</w:t>
            </w:r>
            <w:r>
              <w:rPr>
                <w:rFonts w:ascii="黑体" w:eastAsia="黑体" w:hAnsi="黑体" w:cs="黑体" w:hint="eastAsia"/>
                <w:b/>
                <w:kern w:val="0"/>
                <w:szCs w:val="21"/>
              </w:rPr>
              <w:t>】、【</w:t>
            </w:r>
            <w:r>
              <w:rPr>
                <w:rFonts w:ascii="黑体" w:eastAsia="黑体" w:hAnsi="黑体" w:cs="黑体" w:hint="eastAsia"/>
                <w:b/>
                <w:kern w:val="0"/>
                <w:szCs w:val="21"/>
              </w:rPr>
              <w:t>L</w:t>
            </w:r>
            <w:r>
              <w:rPr>
                <w:rFonts w:ascii="黑体" w:eastAsia="黑体" w:hAnsi="黑体" w:cs="黑体" w:hint="eastAsia"/>
                <w:b/>
                <w:kern w:val="0"/>
                <w:szCs w:val="21"/>
              </w:rPr>
              <w:t>份额】年化费率【</w:t>
            </w:r>
            <w:r>
              <w:rPr>
                <w:rFonts w:ascii="黑体" w:eastAsia="黑体" w:hAnsi="黑体" w:cs="黑体" w:hint="eastAsia"/>
                <w:b/>
                <w:kern w:val="0"/>
                <w:szCs w:val="21"/>
              </w:rPr>
              <w:t>0.10%</w:t>
            </w:r>
            <w:r>
              <w:rPr>
                <w:rFonts w:ascii="黑体" w:eastAsia="黑体" w:hAnsi="黑体" w:cs="黑体" w:hint="eastAsia"/>
                <w:b/>
                <w:kern w:val="0"/>
                <w:szCs w:val="21"/>
              </w:rPr>
              <w:t>】、【</w:t>
            </w:r>
            <w:r>
              <w:rPr>
                <w:rFonts w:ascii="黑体" w:eastAsia="黑体" w:hAnsi="黑体" w:cs="黑体" w:hint="eastAsia"/>
                <w:b/>
                <w:kern w:val="0"/>
                <w:szCs w:val="21"/>
              </w:rPr>
              <w:t>P</w:t>
            </w:r>
            <w:r>
              <w:rPr>
                <w:rFonts w:ascii="黑体" w:eastAsia="黑体" w:hAnsi="黑体" w:cs="黑体" w:hint="eastAsia"/>
                <w:b/>
                <w:kern w:val="0"/>
                <w:szCs w:val="21"/>
              </w:rPr>
              <w:t>份额】年化费率【</w:t>
            </w:r>
            <w:r>
              <w:rPr>
                <w:rFonts w:ascii="黑体" w:eastAsia="黑体" w:hAnsi="黑体" w:cs="黑体" w:hint="eastAsia"/>
                <w:b/>
                <w:kern w:val="0"/>
                <w:szCs w:val="21"/>
              </w:rPr>
              <w:t>0.30%</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2</w:t>
            </w:r>
            <w:r>
              <w:rPr>
                <w:rFonts w:ascii="黑体" w:eastAsia="黑体" w:hAnsi="黑体" w:cs="黑体" w:hint="eastAsia"/>
                <w:b/>
                <w:kern w:val="0"/>
                <w:szCs w:val="21"/>
              </w:rPr>
              <w:t>、固定管理费：【</w:t>
            </w:r>
            <w:r>
              <w:rPr>
                <w:rFonts w:ascii="黑体" w:eastAsia="黑体" w:hAnsi="黑体" w:cs="黑体"/>
                <w:b/>
                <w:kern w:val="0"/>
                <w:szCs w:val="21"/>
              </w:rPr>
              <w:t>A</w:t>
            </w:r>
            <w:r>
              <w:rPr>
                <w:rFonts w:ascii="黑体" w:eastAsia="黑体" w:hAnsi="黑体" w:cs="黑体"/>
                <w:b/>
                <w:kern w:val="0"/>
                <w:szCs w:val="21"/>
              </w:rPr>
              <w:t>份额</w:t>
            </w:r>
            <w:r>
              <w:rPr>
                <w:rFonts w:ascii="黑体" w:eastAsia="黑体" w:hAnsi="黑体" w:cs="黑体" w:hint="eastAsia"/>
                <w:b/>
                <w:kern w:val="0"/>
                <w:szCs w:val="21"/>
              </w:rPr>
              <w:t>】</w:t>
            </w:r>
            <w:r>
              <w:rPr>
                <w:rFonts w:ascii="黑体" w:eastAsia="黑体" w:hAnsi="黑体" w:cs="黑体"/>
                <w:b/>
                <w:kern w:val="0"/>
                <w:szCs w:val="21"/>
              </w:rPr>
              <w:t>年化</w:t>
            </w:r>
            <w:r>
              <w:rPr>
                <w:rFonts w:ascii="黑体" w:eastAsia="黑体" w:hAnsi="黑体" w:cs="黑体" w:hint="eastAsia"/>
                <w:b/>
                <w:kern w:val="0"/>
                <w:szCs w:val="21"/>
              </w:rPr>
              <w:t>费率【</w:t>
            </w:r>
            <w:r>
              <w:rPr>
                <w:rFonts w:ascii="黑体" w:eastAsia="黑体" w:hAnsi="黑体" w:cs="黑体"/>
                <w:b/>
                <w:kern w:val="0"/>
                <w:szCs w:val="21"/>
              </w:rPr>
              <w:t>0.50%</w:t>
            </w:r>
            <w:r>
              <w:rPr>
                <w:rFonts w:ascii="黑体" w:eastAsia="黑体" w:hAnsi="黑体" w:cs="黑体" w:hint="eastAsia"/>
                <w:b/>
                <w:kern w:val="0"/>
                <w:szCs w:val="21"/>
              </w:rPr>
              <w:t>】、【</w:t>
            </w:r>
            <w:r>
              <w:rPr>
                <w:rFonts w:ascii="黑体" w:eastAsia="黑体" w:hAnsi="黑体" w:cs="黑体"/>
                <w:b/>
                <w:kern w:val="0"/>
                <w:szCs w:val="21"/>
              </w:rPr>
              <w:t>B</w:t>
            </w:r>
            <w:r>
              <w:rPr>
                <w:rFonts w:ascii="黑体" w:eastAsia="黑体" w:hAnsi="黑体" w:cs="黑体"/>
                <w:b/>
                <w:kern w:val="0"/>
                <w:szCs w:val="21"/>
              </w:rPr>
              <w:t>份额</w:t>
            </w:r>
            <w:r>
              <w:rPr>
                <w:rFonts w:ascii="黑体" w:eastAsia="黑体" w:hAnsi="黑体" w:cs="黑体" w:hint="eastAsia"/>
                <w:b/>
                <w:kern w:val="0"/>
                <w:szCs w:val="21"/>
              </w:rPr>
              <w:t>】</w:t>
            </w:r>
            <w:r>
              <w:rPr>
                <w:rFonts w:ascii="黑体" w:eastAsia="黑体" w:hAnsi="黑体" w:cs="黑体"/>
                <w:b/>
                <w:kern w:val="0"/>
                <w:szCs w:val="21"/>
              </w:rPr>
              <w:t>年化</w:t>
            </w:r>
            <w:r>
              <w:rPr>
                <w:rFonts w:ascii="黑体" w:eastAsia="黑体" w:hAnsi="黑体" w:cs="黑体" w:hint="eastAsia"/>
                <w:b/>
                <w:kern w:val="0"/>
                <w:szCs w:val="21"/>
              </w:rPr>
              <w:t>费率【</w:t>
            </w:r>
            <w:r>
              <w:rPr>
                <w:rFonts w:ascii="黑体" w:eastAsia="黑体" w:hAnsi="黑体" w:cs="黑体"/>
                <w:b/>
                <w:kern w:val="0"/>
                <w:szCs w:val="21"/>
              </w:rPr>
              <w:t>0.50%</w:t>
            </w:r>
            <w:r>
              <w:rPr>
                <w:rFonts w:ascii="黑体" w:eastAsia="黑体" w:hAnsi="黑体" w:cs="黑体" w:hint="eastAsia"/>
                <w:b/>
                <w:kern w:val="0"/>
                <w:szCs w:val="21"/>
              </w:rPr>
              <w:t>】、【</w:t>
            </w:r>
            <w:r>
              <w:rPr>
                <w:rFonts w:ascii="黑体" w:eastAsia="黑体" w:hAnsi="黑体" w:cs="黑体"/>
                <w:b/>
                <w:kern w:val="0"/>
                <w:szCs w:val="21"/>
              </w:rPr>
              <w:t>D</w:t>
            </w:r>
            <w:r>
              <w:rPr>
                <w:rFonts w:ascii="黑体" w:eastAsia="黑体" w:hAnsi="黑体" w:cs="黑体"/>
                <w:b/>
                <w:kern w:val="0"/>
                <w:szCs w:val="21"/>
              </w:rPr>
              <w:t>份额</w:t>
            </w:r>
            <w:r>
              <w:rPr>
                <w:rFonts w:ascii="黑体" w:eastAsia="黑体" w:hAnsi="黑体" w:cs="黑体" w:hint="eastAsia"/>
                <w:b/>
                <w:kern w:val="0"/>
                <w:szCs w:val="21"/>
              </w:rPr>
              <w:t>】</w:t>
            </w:r>
            <w:r>
              <w:rPr>
                <w:rFonts w:ascii="黑体" w:eastAsia="黑体" w:hAnsi="黑体" w:cs="黑体"/>
                <w:b/>
                <w:kern w:val="0"/>
                <w:szCs w:val="21"/>
              </w:rPr>
              <w:t>年化</w:t>
            </w:r>
            <w:r>
              <w:rPr>
                <w:rFonts w:ascii="黑体" w:eastAsia="黑体" w:hAnsi="黑体" w:cs="黑体" w:hint="eastAsia"/>
                <w:b/>
                <w:kern w:val="0"/>
                <w:szCs w:val="21"/>
              </w:rPr>
              <w:t>费率【</w:t>
            </w:r>
            <w:r>
              <w:rPr>
                <w:rFonts w:ascii="黑体" w:eastAsia="黑体" w:hAnsi="黑体" w:cs="黑体"/>
                <w:b/>
                <w:kern w:val="0"/>
                <w:szCs w:val="21"/>
              </w:rPr>
              <w:t>0.40%</w:t>
            </w:r>
            <w:r>
              <w:rPr>
                <w:rFonts w:ascii="黑体" w:eastAsia="黑体" w:hAnsi="黑体" w:cs="黑体" w:hint="eastAsia"/>
                <w:b/>
                <w:kern w:val="0"/>
                <w:szCs w:val="21"/>
              </w:rPr>
              <w:t>】、【</w:t>
            </w:r>
            <w:r>
              <w:rPr>
                <w:rFonts w:ascii="黑体" w:eastAsia="黑体" w:hAnsi="黑体" w:cs="黑体"/>
                <w:b/>
                <w:kern w:val="0"/>
                <w:szCs w:val="21"/>
              </w:rPr>
              <w:t>E</w:t>
            </w:r>
            <w:r>
              <w:rPr>
                <w:rFonts w:ascii="黑体" w:eastAsia="黑体" w:hAnsi="黑体" w:cs="黑体"/>
                <w:b/>
                <w:kern w:val="0"/>
                <w:szCs w:val="21"/>
              </w:rPr>
              <w:t>份额</w:t>
            </w:r>
            <w:r>
              <w:rPr>
                <w:rFonts w:ascii="黑体" w:eastAsia="黑体" w:hAnsi="黑体" w:cs="黑体" w:hint="eastAsia"/>
                <w:b/>
                <w:kern w:val="0"/>
                <w:szCs w:val="21"/>
              </w:rPr>
              <w:t>】</w:t>
            </w:r>
            <w:r>
              <w:rPr>
                <w:rFonts w:ascii="黑体" w:eastAsia="黑体" w:hAnsi="黑体" w:cs="黑体"/>
                <w:b/>
                <w:kern w:val="0"/>
                <w:szCs w:val="21"/>
              </w:rPr>
              <w:t>年化</w:t>
            </w:r>
            <w:r>
              <w:rPr>
                <w:rFonts w:ascii="黑体" w:eastAsia="黑体" w:hAnsi="黑体" w:cs="黑体" w:hint="eastAsia"/>
                <w:b/>
                <w:kern w:val="0"/>
                <w:szCs w:val="21"/>
              </w:rPr>
              <w:t>费率【</w:t>
            </w:r>
            <w:r>
              <w:rPr>
                <w:rFonts w:ascii="黑体" w:eastAsia="黑体" w:hAnsi="黑体" w:cs="黑体"/>
                <w:b/>
                <w:kern w:val="0"/>
                <w:szCs w:val="21"/>
              </w:rPr>
              <w:t>0.50%</w:t>
            </w:r>
            <w:r>
              <w:rPr>
                <w:rFonts w:ascii="黑体" w:eastAsia="黑体" w:hAnsi="黑体" w:cs="黑体" w:hint="eastAsia"/>
                <w:b/>
                <w:kern w:val="0"/>
                <w:szCs w:val="21"/>
              </w:rPr>
              <w:t>】、【</w:t>
            </w:r>
            <w:r>
              <w:rPr>
                <w:rFonts w:ascii="黑体" w:eastAsia="黑体" w:hAnsi="黑体" w:cs="黑体" w:hint="eastAsia"/>
                <w:b/>
                <w:kern w:val="0"/>
                <w:szCs w:val="21"/>
              </w:rPr>
              <w:t>G</w:t>
            </w:r>
            <w:r>
              <w:rPr>
                <w:rFonts w:ascii="黑体" w:eastAsia="黑体" w:hAnsi="黑体" w:cs="黑体"/>
                <w:b/>
                <w:kern w:val="0"/>
                <w:szCs w:val="21"/>
              </w:rPr>
              <w:t>份额</w:t>
            </w:r>
            <w:r>
              <w:rPr>
                <w:rFonts w:ascii="黑体" w:eastAsia="黑体" w:hAnsi="黑体" w:cs="黑体" w:hint="eastAsia"/>
                <w:b/>
                <w:kern w:val="0"/>
                <w:szCs w:val="21"/>
              </w:rPr>
              <w:t>】</w:t>
            </w:r>
            <w:r>
              <w:rPr>
                <w:rFonts w:ascii="黑体" w:eastAsia="黑体" w:hAnsi="黑体" w:cs="黑体"/>
                <w:b/>
                <w:kern w:val="0"/>
                <w:szCs w:val="21"/>
              </w:rPr>
              <w:t>年化</w:t>
            </w:r>
            <w:r>
              <w:rPr>
                <w:rFonts w:ascii="黑体" w:eastAsia="黑体" w:hAnsi="黑体" w:cs="黑体" w:hint="eastAsia"/>
                <w:b/>
                <w:kern w:val="0"/>
                <w:szCs w:val="21"/>
              </w:rPr>
              <w:t>费率【</w:t>
            </w:r>
            <w:r>
              <w:rPr>
                <w:rFonts w:ascii="黑体" w:eastAsia="黑体" w:hAnsi="黑体" w:cs="黑体"/>
                <w:b/>
                <w:kern w:val="0"/>
                <w:szCs w:val="21"/>
              </w:rPr>
              <w:t>0.50%</w:t>
            </w:r>
            <w:r>
              <w:rPr>
                <w:rFonts w:ascii="黑体" w:eastAsia="黑体" w:hAnsi="黑体" w:cs="黑体" w:hint="eastAsia"/>
                <w:b/>
                <w:kern w:val="0"/>
                <w:szCs w:val="21"/>
              </w:rPr>
              <w:t>】、【</w:t>
            </w:r>
            <w:r>
              <w:rPr>
                <w:rFonts w:ascii="黑体" w:eastAsia="黑体" w:hAnsi="黑体" w:cs="黑体" w:hint="eastAsia"/>
                <w:b/>
                <w:kern w:val="0"/>
                <w:szCs w:val="21"/>
              </w:rPr>
              <w:t>J</w:t>
            </w:r>
            <w:r>
              <w:rPr>
                <w:rFonts w:ascii="黑体" w:eastAsia="黑体" w:hAnsi="黑体" w:cs="黑体"/>
                <w:b/>
                <w:kern w:val="0"/>
                <w:szCs w:val="21"/>
              </w:rPr>
              <w:t>份额</w:t>
            </w:r>
            <w:r>
              <w:rPr>
                <w:rFonts w:ascii="黑体" w:eastAsia="黑体" w:hAnsi="黑体" w:cs="黑体" w:hint="eastAsia"/>
                <w:b/>
                <w:kern w:val="0"/>
                <w:szCs w:val="21"/>
              </w:rPr>
              <w:t>】</w:t>
            </w:r>
            <w:r>
              <w:rPr>
                <w:rFonts w:ascii="黑体" w:eastAsia="黑体" w:hAnsi="黑体" w:cs="黑体"/>
                <w:b/>
                <w:kern w:val="0"/>
                <w:szCs w:val="21"/>
              </w:rPr>
              <w:t>年化</w:t>
            </w:r>
            <w:r>
              <w:rPr>
                <w:rFonts w:ascii="黑体" w:eastAsia="黑体" w:hAnsi="黑体" w:cs="黑体" w:hint="eastAsia"/>
                <w:b/>
                <w:kern w:val="0"/>
                <w:szCs w:val="21"/>
              </w:rPr>
              <w:t>费率【</w:t>
            </w:r>
            <w:r>
              <w:rPr>
                <w:rFonts w:ascii="黑体" w:eastAsia="黑体" w:hAnsi="黑体" w:cs="黑体"/>
                <w:b/>
                <w:kern w:val="0"/>
                <w:szCs w:val="21"/>
              </w:rPr>
              <w:t>0.50%</w:t>
            </w:r>
            <w:r>
              <w:rPr>
                <w:rFonts w:ascii="黑体" w:eastAsia="黑体" w:hAnsi="黑体" w:cs="黑体" w:hint="eastAsia"/>
                <w:b/>
                <w:kern w:val="0"/>
                <w:szCs w:val="21"/>
              </w:rPr>
              <w:t>】、【</w:t>
            </w:r>
            <w:r>
              <w:rPr>
                <w:rFonts w:ascii="黑体" w:eastAsia="黑体" w:hAnsi="黑体" w:cs="黑体" w:hint="eastAsia"/>
                <w:b/>
                <w:kern w:val="0"/>
                <w:szCs w:val="21"/>
              </w:rPr>
              <w:t>K</w:t>
            </w:r>
            <w:r>
              <w:rPr>
                <w:rFonts w:ascii="黑体" w:eastAsia="黑体" w:hAnsi="黑体" w:cs="黑体"/>
                <w:b/>
                <w:kern w:val="0"/>
                <w:szCs w:val="21"/>
              </w:rPr>
              <w:t>份额</w:t>
            </w:r>
            <w:r>
              <w:rPr>
                <w:rFonts w:ascii="黑体" w:eastAsia="黑体" w:hAnsi="黑体" w:cs="黑体" w:hint="eastAsia"/>
                <w:b/>
                <w:kern w:val="0"/>
                <w:szCs w:val="21"/>
              </w:rPr>
              <w:t>】</w:t>
            </w:r>
            <w:r>
              <w:rPr>
                <w:rFonts w:ascii="黑体" w:eastAsia="黑体" w:hAnsi="黑体" w:cs="黑体"/>
                <w:b/>
                <w:kern w:val="0"/>
                <w:szCs w:val="21"/>
              </w:rPr>
              <w:t>年化</w:t>
            </w:r>
            <w:r>
              <w:rPr>
                <w:rFonts w:ascii="黑体" w:eastAsia="黑体" w:hAnsi="黑体" w:cs="黑体" w:hint="eastAsia"/>
                <w:b/>
                <w:kern w:val="0"/>
                <w:szCs w:val="21"/>
              </w:rPr>
              <w:t>费率【</w:t>
            </w:r>
            <w:r>
              <w:rPr>
                <w:rFonts w:ascii="黑体" w:eastAsia="黑体" w:hAnsi="黑体" w:cs="黑体"/>
                <w:b/>
                <w:kern w:val="0"/>
                <w:szCs w:val="21"/>
              </w:rPr>
              <w:t>0.50%</w:t>
            </w:r>
            <w:r>
              <w:rPr>
                <w:rFonts w:ascii="黑体" w:eastAsia="黑体" w:hAnsi="黑体" w:cs="黑体" w:hint="eastAsia"/>
                <w:b/>
                <w:kern w:val="0"/>
                <w:szCs w:val="21"/>
              </w:rPr>
              <w:t>】、【</w:t>
            </w:r>
            <w:r>
              <w:rPr>
                <w:rFonts w:ascii="黑体" w:eastAsia="黑体" w:hAnsi="黑体" w:cs="黑体" w:hint="eastAsia"/>
                <w:b/>
                <w:kern w:val="0"/>
                <w:szCs w:val="21"/>
              </w:rPr>
              <w:t>L</w:t>
            </w:r>
            <w:r>
              <w:rPr>
                <w:rFonts w:ascii="黑体" w:eastAsia="黑体" w:hAnsi="黑体" w:cs="黑体"/>
                <w:b/>
                <w:kern w:val="0"/>
                <w:szCs w:val="21"/>
              </w:rPr>
              <w:t>份额</w:t>
            </w:r>
            <w:r>
              <w:rPr>
                <w:rFonts w:ascii="黑体" w:eastAsia="黑体" w:hAnsi="黑体" w:cs="黑体" w:hint="eastAsia"/>
                <w:b/>
                <w:kern w:val="0"/>
                <w:szCs w:val="21"/>
              </w:rPr>
              <w:t>】</w:t>
            </w:r>
            <w:r>
              <w:rPr>
                <w:rFonts w:ascii="黑体" w:eastAsia="黑体" w:hAnsi="黑体" w:cs="黑体"/>
                <w:b/>
                <w:kern w:val="0"/>
                <w:szCs w:val="21"/>
              </w:rPr>
              <w:t>年化</w:t>
            </w:r>
            <w:r>
              <w:rPr>
                <w:rFonts w:ascii="黑体" w:eastAsia="黑体" w:hAnsi="黑体" w:cs="黑体" w:hint="eastAsia"/>
                <w:b/>
                <w:kern w:val="0"/>
                <w:szCs w:val="21"/>
              </w:rPr>
              <w:t>费率【</w:t>
            </w:r>
            <w:r>
              <w:rPr>
                <w:rFonts w:ascii="黑体" w:eastAsia="黑体" w:hAnsi="黑体" w:cs="黑体"/>
                <w:b/>
                <w:kern w:val="0"/>
                <w:szCs w:val="21"/>
              </w:rPr>
              <w:t>0.50%</w:t>
            </w:r>
            <w:r>
              <w:rPr>
                <w:rFonts w:ascii="黑体" w:eastAsia="黑体" w:hAnsi="黑体" w:cs="黑体" w:hint="eastAsia"/>
                <w:b/>
                <w:kern w:val="0"/>
                <w:szCs w:val="21"/>
              </w:rPr>
              <w:t>】、【</w:t>
            </w:r>
            <w:r>
              <w:rPr>
                <w:rFonts w:ascii="黑体" w:eastAsia="黑体" w:hAnsi="黑体" w:cs="黑体" w:hint="eastAsia"/>
                <w:b/>
                <w:kern w:val="0"/>
                <w:szCs w:val="21"/>
              </w:rPr>
              <w:t>P</w:t>
            </w:r>
            <w:r>
              <w:rPr>
                <w:rFonts w:ascii="黑体" w:eastAsia="黑体" w:hAnsi="黑体" w:cs="黑体"/>
                <w:b/>
                <w:kern w:val="0"/>
                <w:szCs w:val="21"/>
              </w:rPr>
              <w:t>份额</w:t>
            </w:r>
            <w:r>
              <w:rPr>
                <w:rFonts w:ascii="黑体" w:eastAsia="黑体" w:hAnsi="黑体" w:cs="黑体" w:hint="eastAsia"/>
                <w:b/>
                <w:kern w:val="0"/>
                <w:szCs w:val="21"/>
              </w:rPr>
              <w:t>】</w:t>
            </w:r>
            <w:r>
              <w:rPr>
                <w:rFonts w:ascii="黑体" w:eastAsia="黑体" w:hAnsi="黑体" w:cs="黑体"/>
                <w:b/>
                <w:kern w:val="0"/>
                <w:szCs w:val="21"/>
              </w:rPr>
              <w:t>年化</w:t>
            </w:r>
            <w:r>
              <w:rPr>
                <w:rFonts w:ascii="黑体" w:eastAsia="黑体" w:hAnsi="黑体" w:cs="黑体" w:hint="eastAsia"/>
                <w:b/>
                <w:kern w:val="0"/>
                <w:szCs w:val="21"/>
              </w:rPr>
              <w:t>费率【</w:t>
            </w:r>
            <w:r>
              <w:rPr>
                <w:rFonts w:ascii="黑体" w:eastAsia="黑体" w:hAnsi="黑体" w:cs="黑体"/>
                <w:b/>
                <w:kern w:val="0"/>
                <w:szCs w:val="21"/>
              </w:rPr>
              <w:t>0.50%</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3</w:t>
            </w:r>
            <w:r>
              <w:rPr>
                <w:rFonts w:ascii="黑体" w:eastAsia="黑体" w:hAnsi="黑体" w:cs="黑体" w:hint="eastAsia"/>
                <w:b/>
                <w:kern w:val="0"/>
                <w:szCs w:val="21"/>
              </w:rPr>
              <w:t>、托管费年化费率【</w:t>
            </w:r>
            <w:r>
              <w:rPr>
                <w:rFonts w:ascii="黑体" w:eastAsia="黑体" w:hAnsi="黑体" w:cs="黑体" w:hint="eastAsia"/>
                <w:b/>
                <w:kern w:val="0"/>
                <w:szCs w:val="21"/>
              </w:rPr>
              <w:t>0.01%</w:t>
            </w:r>
            <w:r>
              <w:rPr>
                <w:rFonts w:ascii="黑体" w:eastAsia="黑体" w:hAnsi="黑体" w:cs="黑体" w:hint="eastAsia"/>
                <w:b/>
                <w:kern w:val="0"/>
                <w:szCs w:val="21"/>
              </w:rPr>
              <w:t>】；</w:t>
            </w: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详见</w:t>
            </w:r>
            <w:r>
              <w:rPr>
                <w:rFonts w:ascii="黑体" w:eastAsia="黑体" w:hAnsi="黑体" w:cs="黑体"/>
                <w:b/>
                <w:kern w:val="0"/>
                <w:szCs w:val="21"/>
              </w:rPr>
              <w:t>本说明书第</w:t>
            </w:r>
            <w:r>
              <w:rPr>
                <w:rFonts w:ascii="黑体" w:eastAsia="黑体" w:hAnsi="黑体" w:cs="黑体" w:hint="eastAsia"/>
                <w:b/>
                <w:kern w:val="0"/>
                <w:szCs w:val="21"/>
              </w:rPr>
              <w:t>六</w:t>
            </w:r>
            <w:r>
              <w:rPr>
                <w:rFonts w:ascii="黑体" w:eastAsia="黑体" w:hAnsi="黑体" w:cs="黑体"/>
                <w:b/>
                <w:kern w:val="0"/>
                <w:szCs w:val="21"/>
              </w:rPr>
              <w:t>部分</w:t>
            </w:r>
            <w:r>
              <w:rPr>
                <w:rFonts w:ascii="黑体" w:eastAsia="黑体" w:hAnsi="黑体" w:cs="黑体" w:hint="eastAsia"/>
                <w:b/>
                <w:kern w:val="0"/>
                <w:szCs w:val="21"/>
              </w:rPr>
              <w:t>产品费用、收益及税收说明</w:t>
            </w:r>
            <w:r>
              <w:rPr>
                <w:rFonts w:ascii="黑体" w:eastAsia="黑体" w:hAnsi="黑体" w:cs="黑体"/>
                <w:b/>
                <w:kern w:val="0"/>
                <w:szCs w:val="21"/>
              </w:rPr>
              <w:t>。</w:t>
            </w:r>
          </w:p>
        </w:tc>
      </w:tr>
      <w:tr>
        <w:tblPrEx>
          <w:tblW w:w="0" w:type="auto"/>
          <w:tblLook w:val="04A0"/>
        </w:tblPrEx>
        <w:tc>
          <w:tcPr>
            <w:tcW w:w="1838" w:type="dxa"/>
            <w:vAlign w:val="center"/>
          </w:tcPr>
          <w:p w:rsidR="008B0A7D">
            <w:pPr>
              <w:autoSpaceDE w:val="0"/>
              <w:autoSpaceDN w:val="0"/>
              <w:adjustRightInd w:val="0"/>
              <w:rPr>
                <w:rFonts w:ascii="黑体" w:eastAsia="黑体" w:hAnsi="黑体" w:cs="黑体"/>
                <w:kern w:val="0"/>
                <w:szCs w:val="21"/>
              </w:rPr>
            </w:pPr>
            <w:r>
              <w:rPr>
                <w:rFonts w:ascii="黑体" w:eastAsia="黑体" w:hAnsi="黑体" w:cs="黑体" w:hint="eastAsia"/>
                <w:kern w:val="0"/>
                <w:szCs w:val="21"/>
              </w:rPr>
              <w:t>其他</w:t>
            </w:r>
          </w:p>
        </w:tc>
        <w:tc>
          <w:tcPr>
            <w:tcW w:w="6458" w:type="dxa"/>
          </w:tcPr>
          <w:p w:rsidR="008B0A7D">
            <w:pPr>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w:t>
            </w:r>
            <w:r>
              <w:rPr>
                <w:rFonts w:ascii="黑体" w:eastAsia="黑体" w:hAnsi="黑体" w:cs="黑体" w:hint="eastAsia"/>
                <w:b/>
                <w:kern w:val="0"/>
                <w:szCs w:val="21"/>
              </w:rPr>
              <w:t>在</w:t>
            </w:r>
            <w:r>
              <w:rPr>
                <w:rFonts w:ascii="黑体" w:eastAsia="黑体" w:hAnsi="黑体" w:cs="黑体"/>
                <w:b/>
                <w:kern w:val="0"/>
                <w:szCs w:val="21"/>
              </w:rPr>
              <w:t>本</w:t>
            </w:r>
            <w:r>
              <w:rPr>
                <w:rFonts w:ascii="黑体" w:eastAsia="黑体" w:hAnsi="黑体" w:cs="黑体" w:hint="eastAsia"/>
                <w:b/>
                <w:kern w:val="0"/>
                <w:szCs w:val="21"/>
              </w:rPr>
              <w:t>产品存续期内，产品</w:t>
            </w:r>
            <w:r>
              <w:rPr>
                <w:rFonts w:ascii="黑体" w:eastAsia="黑体" w:hAnsi="黑体" w:cs="黑体"/>
                <w:b/>
                <w:kern w:val="0"/>
                <w:szCs w:val="21"/>
              </w:rPr>
              <w:t>管理人</w:t>
            </w:r>
            <w:r>
              <w:rPr>
                <w:rFonts w:ascii="黑体" w:eastAsia="黑体" w:hAnsi="黑体" w:cs="黑体" w:hint="eastAsia"/>
                <w:b/>
                <w:kern w:val="0"/>
                <w:szCs w:val="21"/>
              </w:rPr>
              <w:t>有权根据市场情况调整本产品前述产品要素，调整前将进行相关信息披露。</w:t>
            </w:r>
          </w:p>
          <w:p w:rsidR="008B0A7D">
            <w:pPr>
              <w:rPr>
                <w:rFonts w:ascii="黑体" w:eastAsia="黑体" w:hAnsi="黑体" w:cs="黑体"/>
                <w:kern w:val="0"/>
                <w:szCs w:val="21"/>
              </w:rPr>
            </w:pPr>
            <w:r>
              <w:rPr>
                <w:rFonts w:ascii="黑体" w:eastAsia="黑体" w:hAnsi="黑体" w:cs="黑体"/>
                <w:kern w:val="0"/>
                <w:szCs w:val="21"/>
              </w:rPr>
              <w:t>2</w:t>
            </w:r>
            <w:r>
              <w:rPr>
                <w:rFonts w:ascii="黑体" w:eastAsia="黑体" w:hAnsi="黑体" w:cs="黑体" w:hint="eastAsia"/>
                <w:kern w:val="0"/>
                <w:szCs w:val="21"/>
              </w:rPr>
              <w:t>、产品成立日和到期日如遇非工作日，则顺延至下一工作日。</w:t>
            </w:r>
          </w:p>
          <w:p w:rsidR="008B0A7D">
            <w:pPr>
              <w:rPr>
                <w:rFonts w:ascii="黑体" w:eastAsia="黑体" w:hAnsi="黑体" w:cs="黑体"/>
                <w:kern w:val="0"/>
                <w:szCs w:val="21"/>
              </w:rPr>
            </w:pPr>
            <w:r>
              <w:rPr>
                <w:rFonts w:ascii="黑体" w:eastAsia="黑体" w:hAnsi="黑体" w:cs="黑体"/>
                <w:kern w:val="0"/>
                <w:szCs w:val="21"/>
              </w:rPr>
              <w:t>3</w:t>
            </w:r>
            <w:r>
              <w:rPr>
                <w:rFonts w:ascii="黑体" w:eastAsia="黑体" w:hAnsi="黑体" w:cs="黑体"/>
                <w:kern w:val="0"/>
                <w:szCs w:val="21"/>
              </w:rPr>
              <w:t>、</w:t>
            </w:r>
            <w:r>
              <w:rPr>
                <w:rFonts w:ascii="黑体" w:eastAsia="黑体" w:hAnsi="黑体" w:cs="黑体" w:hint="eastAsia"/>
                <w:szCs w:val="21"/>
              </w:rPr>
              <w:t>本产品说明书中的工作日指上海证券交易所、深圳证券交易所及全国银行间债券市场同时开放交易的工作日。</w:t>
            </w:r>
          </w:p>
          <w:p w:rsidR="008B0A7D">
            <w:pPr>
              <w:rPr>
                <w:rFonts w:ascii="黑体" w:eastAsia="黑体" w:hAnsi="黑体" w:cs="黑体"/>
                <w:kern w:val="0"/>
                <w:szCs w:val="21"/>
              </w:rPr>
            </w:pPr>
            <w:r>
              <w:rPr>
                <w:rFonts w:ascii="黑体" w:eastAsia="黑体" w:hAnsi="黑体" w:cs="黑体"/>
                <w:kern w:val="0"/>
                <w:szCs w:val="21"/>
              </w:rPr>
              <w:t>4</w:t>
            </w:r>
            <w:r>
              <w:rPr>
                <w:rFonts w:ascii="黑体" w:eastAsia="黑体" w:hAnsi="黑体" w:cs="黑体" w:hint="eastAsia"/>
                <w:kern w:val="0"/>
                <w:szCs w:val="21"/>
              </w:rPr>
              <w:t>、其他：无</w:t>
            </w:r>
          </w:p>
        </w:tc>
      </w:tr>
    </w:tbl>
    <w:p w:rsidR="008B0A7D">
      <w:pPr>
        <w:autoSpaceDE w:val="0"/>
        <w:autoSpaceDN w:val="0"/>
        <w:adjustRightInd w:val="0"/>
        <w:jc w:val="left"/>
        <w:rPr>
          <w:rFonts w:ascii="黑体" w:eastAsia="黑体" w:hAnsi="黑体" w:cs="黑体"/>
          <w:b/>
          <w:kern w:val="0"/>
          <w:szCs w:val="21"/>
        </w:rPr>
      </w:pP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三、产品投资管理</w:t>
      </w:r>
    </w:p>
    <w:p w:rsidR="008B0A7D">
      <w:pPr>
        <w:autoSpaceDE w:val="0"/>
        <w:autoSpaceDN w:val="0"/>
        <w:adjustRightInd w:val="0"/>
        <w:jc w:val="left"/>
        <w:rPr>
          <w:rFonts w:ascii="黑体" w:eastAsia="黑体" w:hAnsi="黑体" w:cs="黑体"/>
          <w:bCs/>
          <w:kern w:val="0"/>
          <w:szCs w:val="21"/>
        </w:rPr>
      </w:pPr>
      <w:r>
        <w:rPr>
          <w:rFonts w:ascii="黑体" w:eastAsia="黑体" w:hAnsi="黑体" w:cs="黑体" w:hint="eastAsia"/>
          <w:bCs/>
          <w:kern w:val="0"/>
          <w:szCs w:val="21"/>
        </w:rPr>
        <w:t>（一</w:t>
      </w:r>
      <w:r>
        <w:rPr>
          <w:rFonts w:ascii="黑体" w:eastAsia="黑体" w:hAnsi="黑体" w:cs="黑体"/>
          <w:bCs/>
          <w:kern w:val="0"/>
          <w:szCs w:val="21"/>
        </w:rPr>
        <w:t>）</w:t>
      </w:r>
      <w:r>
        <w:rPr>
          <w:rFonts w:ascii="黑体" w:eastAsia="黑体" w:hAnsi="黑体" w:cs="黑体" w:hint="eastAsia"/>
          <w:bCs/>
          <w:kern w:val="0"/>
          <w:szCs w:val="21"/>
        </w:rPr>
        <w:t>投资范围</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本产品主要投资于以下符合监管要求的各类资产：</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一是固定收益类资产，包括但不限于各类债券、存款、货币市场工具、质押式和买断式债券回购、公募资产管理产品等；二是权益类资产，本产品权益类资产仅投资优先股；三是商品及金融衍生品类资产，本产品仅投资以套期保值为目的的衍生品工具。以及通过其他具有专业投资能力和资质的受金融监督管理部门监管的机构发行的资产管理产品所投资的前述资产。</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当金融市场发生重大变化、产品出现较大比例规模变化等情况，导致投资比例非因管理人主观因素导致突破下述限制的，产品管理人将在流动性受限资产可出售、可转让或者恢复交易之日的</w:t>
      </w:r>
      <w:r>
        <w:rPr>
          <w:rFonts w:ascii="黑体" w:eastAsia="黑体" w:hAnsi="黑体" w:cs="黑体" w:hint="eastAsia"/>
          <w:kern w:val="0"/>
          <w:szCs w:val="21"/>
        </w:rPr>
        <w:t>15</w:t>
      </w:r>
      <w:r>
        <w:rPr>
          <w:rFonts w:ascii="黑体" w:eastAsia="黑体" w:hAnsi="黑体" w:cs="黑体" w:hint="eastAsia"/>
          <w:kern w:val="0"/>
          <w:szCs w:val="21"/>
        </w:rPr>
        <w:t>个交易日内将投资比</w:t>
      </w:r>
      <w:r>
        <w:rPr>
          <w:rFonts w:ascii="黑体" w:eastAsia="黑体" w:hAnsi="黑体" w:cs="黑体" w:hint="eastAsia"/>
          <w:kern w:val="0"/>
          <w:szCs w:val="21"/>
        </w:rPr>
        <w:t>例调整至符合要求。产品管理人将本着诚实信用、谨慎勤勉的原则，在规定的范围内运用理财资金进行投资。</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具体投向如下：</w:t>
      </w:r>
    </w:p>
    <w:tbl>
      <w:tblPr>
        <w:tblW w:w="43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09"/>
        <w:gridCol w:w="2128"/>
      </w:tblGrid>
      <w:tr>
        <w:tblPrEx>
          <w:tblW w:w="43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3550" w:type="pct"/>
          </w:tcPr>
          <w:p w:rsidR="008B0A7D">
            <w:pPr>
              <w:ind w:firstLine="420" w:firstLineChars="200"/>
              <w:rPr>
                <w:rFonts w:ascii="黑体" w:eastAsia="黑体" w:hAnsi="黑体"/>
                <w:szCs w:val="21"/>
              </w:rPr>
            </w:pPr>
            <w:r>
              <w:rPr>
                <w:rFonts w:ascii="黑体" w:eastAsia="黑体" w:hAnsi="黑体" w:hint="eastAsia"/>
                <w:szCs w:val="21"/>
              </w:rPr>
              <w:t>投资资产</w:t>
            </w:r>
          </w:p>
        </w:tc>
        <w:tc>
          <w:tcPr>
            <w:tcW w:w="1450" w:type="pct"/>
          </w:tcPr>
          <w:p w:rsidR="008B0A7D">
            <w:pPr>
              <w:rPr>
                <w:rFonts w:ascii="黑体" w:eastAsia="黑体" w:hAnsi="黑体"/>
                <w:szCs w:val="21"/>
              </w:rPr>
            </w:pPr>
            <w:r>
              <w:rPr>
                <w:rFonts w:ascii="黑体" w:eastAsia="黑体" w:hAnsi="黑体" w:hint="eastAsia"/>
                <w:szCs w:val="21"/>
              </w:rPr>
              <w:t>计划配置比例</w:t>
            </w:r>
          </w:p>
        </w:tc>
      </w:tr>
      <w:tr>
        <w:tblPrEx>
          <w:tblW w:w="4305" w:type="pct"/>
          <w:jc w:val="center"/>
          <w:tblLook w:val="04A0"/>
        </w:tblPrEx>
        <w:trPr>
          <w:jc w:val="center"/>
        </w:trPr>
        <w:tc>
          <w:tcPr>
            <w:tcW w:w="3550" w:type="pct"/>
            <w:tcBorders>
              <w:top w:val="single" w:sz="4" w:space="0" w:color="auto"/>
              <w:left w:val="single" w:sz="4" w:space="0" w:color="auto"/>
              <w:bottom w:val="single" w:sz="4" w:space="0" w:color="auto"/>
              <w:right w:val="single" w:sz="4" w:space="0" w:color="auto"/>
            </w:tcBorders>
            <w:vAlign w:val="bottom"/>
          </w:tcPr>
          <w:p w:rsidR="008B0A7D">
            <w:pPr>
              <w:ind w:firstLine="420" w:firstLineChars="200"/>
              <w:rPr>
                <w:rFonts w:ascii="黑体" w:eastAsia="黑体" w:hAnsi="黑体"/>
                <w:szCs w:val="21"/>
              </w:rPr>
            </w:pPr>
            <w:r>
              <w:rPr>
                <w:rFonts w:ascii="黑体" w:eastAsia="黑体" w:hAnsi="黑体" w:hint="eastAsia"/>
                <w:szCs w:val="21"/>
              </w:rPr>
              <w:t>固定收益类资产</w:t>
            </w:r>
          </w:p>
        </w:tc>
        <w:tc>
          <w:tcPr>
            <w:tcW w:w="1450" w:type="pct"/>
            <w:tcBorders>
              <w:top w:val="single" w:sz="4" w:space="0" w:color="auto"/>
              <w:left w:val="single" w:sz="4" w:space="0" w:color="auto"/>
              <w:bottom w:val="single" w:sz="4" w:space="0" w:color="auto"/>
              <w:right w:val="single" w:sz="4" w:space="0" w:color="auto"/>
            </w:tcBorders>
          </w:tcPr>
          <w:p w:rsidR="008B0A7D">
            <w:pPr>
              <w:ind w:firstLine="420" w:firstLineChars="200"/>
              <w:rPr>
                <w:rFonts w:ascii="黑体" w:eastAsia="黑体" w:hAnsi="黑体"/>
                <w:szCs w:val="21"/>
              </w:rPr>
            </w:pPr>
            <w:r>
              <w:rPr>
                <w:rFonts w:ascii="黑体" w:eastAsia="黑体" w:hAnsi="黑体"/>
                <w:szCs w:val="21"/>
              </w:rPr>
              <w:t>80%-100%</w:t>
            </w:r>
          </w:p>
        </w:tc>
      </w:tr>
      <w:tr>
        <w:tblPrEx>
          <w:tblW w:w="4305" w:type="pct"/>
          <w:jc w:val="center"/>
          <w:tblLook w:val="04A0"/>
        </w:tblPrEx>
        <w:trPr>
          <w:jc w:val="center"/>
        </w:trPr>
        <w:tc>
          <w:tcPr>
            <w:tcW w:w="3550" w:type="pct"/>
            <w:tcBorders>
              <w:top w:val="single" w:sz="4" w:space="0" w:color="auto"/>
              <w:left w:val="single" w:sz="4" w:space="0" w:color="auto"/>
              <w:bottom w:val="single" w:sz="4" w:space="0" w:color="auto"/>
              <w:right w:val="single" w:sz="4" w:space="0" w:color="auto"/>
            </w:tcBorders>
            <w:vAlign w:val="bottom"/>
          </w:tcPr>
          <w:p w:rsidR="008B0A7D">
            <w:pPr>
              <w:ind w:firstLine="420" w:firstLineChars="200"/>
              <w:rPr>
                <w:rFonts w:ascii="黑体" w:eastAsia="黑体" w:hAnsi="黑体"/>
                <w:szCs w:val="21"/>
              </w:rPr>
            </w:pPr>
            <w:r>
              <w:rPr>
                <w:rFonts w:ascii="黑体" w:eastAsia="黑体" w:hAnsi="黑体" w:hint="eastAsia"/>
                <w:szCs w:val="21"/>
              </w:rPr>
              <w:t>权益类资产</w:t>
            </w:r>
          </w:p>
        </w:tc>
        <w:tc>
          <w:tcPr>
            <w:tcW w:w="1450" w:type="pct"/>
            <w:tcBorders>
              <w:top w:val="single" w:sz="4" w:space="0" w:color="auto"/>
              <w:left w:val="single" w:sz="4" w:space="0" w:color="auto"/>
              <w:bottom w:val="single" w:sz="4" w:space="0" w:color="auto"/>
              <w:right w:val="single" w:sz="4" w:space="0" w:color="auto"/>
            </w:tcBorders>
          </w:tcPr>
          <w:p w:rsidR="008B0A7D">
            <w:pPr>
              <w:ind w:firstLine="420" w:firstLineChars="200"/>
              <w:rPr>
                <w:rFonts w:ascii="黑体" w:eastAsia="黑体" w:hAnsi="黑体"/>
                <w:szCs w:val="21"/>
              </w:rPr>
            </w:pPr>
            <w:r>
              <w:rPr>
                <w:rFonts w:ascii="黑体" w:eastAsia="黑体" w:hAnsi="黑体"/>
                <w:szCs w:val="21"/>
              </w:rPr>
              <w:t>0%-20%</w:t>
            </w:r>
          </w:p>
        </w:tc>
      </w:tr>
      <w:tr>
        <w:tblPrEx>
          <w:tblW w:w="4305" w:type="pct"/>
          <w:jc w:val="center"/>
          <w:tblLook w:val="04A0"/>
        </w:tblPrEx>
        <w:trPr>
          <w:jc w:val="center"/>
        </w:trPr>
        <w:tc>
          <w:tcPr>
            <w:tcW w:w="3550" w:type="pct"/>
            <w:tcBorders>
              <w:top w:val="single" w:sz="4" w:space="0" w:color="auto"/>
              <w:left w:val="single" w:sz="4" w:space="0" w:color="auto"/>
              <w:bottom w:val="single" w:sz="4" w:space="0" w:color="auto"/>
              <w:right w:val="single" w:sz="4" w:space="0" w:color="auto"/>
            </w:tcBorders>
            <w:vAlign w:val="bottom"/>
          </w:tcPr>
          <w:p w:rsidR="008B0A7D">
            <w:pPr>
              <w:ind w:firstLine="420" w:firstLineChars="200"/>
              <w:rPr>
                <w:rFonts w:ascii="黑体" w:eastAsia="黑体" w:hAnsi="黑体"/>
                <w:szCs w:val="21"/>
              </w:rPr>
            </w:pPr>
            <w:r>
              <w:rPr>
                <w:rFonts w:ascii="黑体" w:eastAsia="黑体" w:hAnsi="黑体" w:hint="eastAsia"/>
                <w:szCs w:val="21"/>
              </w:rPr>
              <w:t>商品及金融衍生品类资产</w:t>
            </w:r>
          </w:p>
        </w:tc>
        <w:tc>
          <w:tcPr>
            <w:tcW w:w="1450" w:type="pct"/>
            <w:tcBorders>
              <w:top w:val="single" w:sz="4" w:space="0" w:color="auto"/>
              <w:left w:val="single" w:sz="4" w:space="0" w:color="auto"/>
              <w:bottom w:val="single" w:sz="4" w:space="0" w:color="auto"/>
              <w:right w:val="single" w:sz="4" w:space="0" w:color="auto"/>
            </w:tcBorders>
          </w:tcPr>
          <w:p w:rsidR="008B0A7D">
            <w:pPr>
              <w:ind w:firstLine="420" w:firstLineChars="200"/>
              <w:rPr>
                <w:rFonts w:ascii="黑体" w:eastAsia="黑体" w:hAnsi="黑体"/>
                <w:szCs w:val="21"/>
              </w:rPr>
            </w:pPr>
            <w:r>
              <w:rPr>
                <w:rFonts w:ascii="黑体" w:eastAsia="黑体" w:hAnsi="黑体"/>
                <w:szCs w:val="21"/>
              </w:rPr>
              <w:t>0%-</w:t>
            </w:r>
            <w:r>
              <w:rPr>
                <w:rFonts w:ascii="黑体" w:eastAsia="黑体" w:hAnsi="黑体" w:hint="eastAsia"/>
                <w:szCs w:val="21"/>
              </w:rPr>
              <w:t>20</w:t>
            </w:r>
            <w:r>
              <w:rPr>
                <w:rFonts w:ascii="黑体" w:eastAsia="黑体" w:hAnsi="黑体"/>
                <w:szCs w:val="21"/>
              </w:rPr>
              <w:t>%</w:t>
            </w:r>
          </w:p>
        </w:tc>
      </w:tr>
    </w:tbl>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w:t>
      </w:r>
      <w:r>
        <w:rPr>
          <w:rFonts w:ascii="黑体" w:eastAsia="黑体" w:hAnsi="黑体" w:hint="eastAsia"/>
          <w:szCs w:val="21"/>
        </w:rPr>
        <w:t>本产品可以通过质押式和买断式债券正回购进行融资。</w:t>
      </w:r>
      <w:r>
        <w:rPr>
          <w:rFonts w:ascii="黑体" w:eastAsia="黑体" w:hAnsi="黑体" w:cs="黑体" w:hint="eastAsia"/>
          <w:kern w:val="0"/>
          <w:szCs w:val="21"/>
        </w:rPr>
        <w:t>本产品</w:t>
      </w:r>
      <w:r>
        <w:rPr>
          <w:rFonts w:ascii="黑体" w:eastAsia="黑体" w:hAnsi="黑体" w:cs="黑体"/>
          <w:kern w:val="0"/>
          <w:szCs w:val="21"/>
        </w:rPr>
        <w:t>的</w:t>
      </w:r>
      <w:r>
        <w:rPr>
          <w:rFonts w:ascii="黑体" w:eastAsia="黑体" w:hAnsi="黑体" w:cs="黑体" w:hint="eastAsia"/>
          <w:kern w:val="0"/>
          <w:szCs w:val="21"/>
        </w:rPr>
        <w:t>杠杆率</w:t>
      </w:r>
      <w:r>
        <w:rPr>
          <w:rFonts w:ascii="黑体" w:eastAsia="黑体" w:hAnsi="黑体" w:cs="黑体"/>
          <w:kern w:val="0"/>
          <w:szCs w:val="21"/>
        </w:rPr>
        <w:t>不超过</w:t>
      </w:r>
      <w:r>
        <w:rPr>
          <w:rFonts w:ascii="黑体" w:eastAsia="黑体" w:hAnsi="黑体" w:cs="黑体"/>
          <w:kern w:val="0"/>
          <w:szCs w:val="21"/>
        </w:rPr>
        <w:t>140%</w:t>
      </w:r>
      <w:r>
        <w:rPr>
          <w:rFonts w:ascii="黑体" w:eastAsia="黑体" w:hAnsi="黑体" w:cs="黑体" w:hint="eastAsia"/>
          <w:kern w:val="0"/>
          <w:szCs w:val="21"/>
        </w:rPr>
        <w:t>。</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kern w:val="0"/>
          <w:szCs w:val="21"/>
        </w:rPr>
        <w:t>、本产品存续期间的投资比例将按上述计划配置比例合理浮动，非因主观因素导致突</w:t>
      </w:r>
      <w:r>
        <w:rPr>
          <w:rFonts w:ascii="黑体" w:eastAsia="黑体" w:hAnsi="黑体" w:cs="黑体" w:hint="eastAsia"/>
          <w:kern w:val="0"/>
          <w:szCs w:val="21"/>
        </w:rPr>
        <w:t>破上述比例限制的，产品管理人将在流动性受限资产可出售、可转让或者恢复交易之日的</w:t>
      </w:r>
      <w:r>
        <w:rPr>
          <w:rFonts w:ascii="黑体" w:eastAsia="黑体" w:hAnsi="黑体" w:cs="黑体"/>
          <w:kern w:val="0"/>
          <w:szCs w:val="21"/>
        </w:rPr>
        <w:t>15</w:t>
      </w:r>
      <w:r>
        <w:rPr>
          <w:rFonts w:ascii="黑体" w:eastAsia="黑体" w:hAnsi="黑体" w:cs="黑体"/>
          <w:kern w:val="0"/>
          <w:szCs w:val="21"/>
        </w:rPr>
        <w:t>个</w:t>
      </w:r>
      <w:r>
        <w:rPr>
          <w:rFonts w:ascii="黑体" w:eastAsia="黑体" w:hAnsi="黑体" w:cs="黑体" w:hint="eastAsia"/>
          <w:kern w:val="0"/>
          <w:szCs w:val="21"/>
        </w:rPr>
        <w:t>交易日内</w:t>
      </w:r>
      <w:r>
        <w:rPr>
          <w:rFonts w:ascii="黑体" w:eastAsia="黑体" w:hAnsi="黑体" w:cs="黑体"/>
          <w:kern w:val="0"/>
          <w:szCs w:val="21"/>
        </w:rPr>
        <w:t>将投资比例调整至符合要求</w:t>
      </w:r>
      <w:r>
        <w:rPr>
          <w:rFonts w:ascii="黑体" w:eastAsia="黑体" w:hAnsi="黑体" w:cs="黑体" w:hint="eastAsia"/>
          <w:kern w:val="0"/>
          <w:szCs w:val="21"/>
        </w:rPr>
        <w:t>，国务院银行业监督管理机构规定的特殊情形除外。</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3</w:t>
      </w:r>
      <w:r>
        <w:rPr>
          <w:rFonts w:ascii="黑体" w:eastAsia="黑体" w:hAnsi="黑体" w:cs="黑体"/>
          <w:kern w:val="0"/>
          <w:szCs w:val="21"/>
        </w:rPr>
        <w:t>、在本产品存续期内，前述投资比例暂时超出浮动区间且可能对产品单位净值产生重大影响的，产品管理人将根据</w:t>
      </w:r>
      <w:r>
        <w:rPr>
          <w:rFonts w:ascii="黑体" w:eastAsia="黑体" w:hAnsi="黑体" w:cs="黑体" w:hint="eastAsia"/>
          <w:kern w:val="0"/>
          <w:szCs w:val="21"/>
        </w:rPr>
        <w:t>理财产品销售文件约定向投资者进行信息披露。</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4</w:t>
      </w:r>
      <w:r>
        <w:rPr>
          <w:rFonts w:ascii="黑体" w:eastAsia="黑体" w:hAnsi="黑体" w:cs="黑体"/>
          <w:b/>
          <w:kern w:val="0"/>
          <w:szCs w:val="21"/>
        </w:rPr>
        <w:t>、</w:t>
      </w:r>
      <w:r>
        <w:rPr>
          <w:rFonts w:ascii="黑体" w:eastAsia="黑体" w:hAnsi="黑体" w:cs="黑体" w:hint="eastAsia"/>
          <w:b/>
          <w:kern w:val="0"/>
          <w:szCs w:val="21"/>
        </w:rPr>
        <w:t>产品</w:t>
      </w:r>
      <w:r>
        <w:rPr>
          <w:rFonts w:ascii="黑体" w:eastAsia="黑体" w:hAnsi="黑体" w:cs="黑体"/>
          <w:b/>
          <w:kern w:val="0"/>
          <w:szCs w:val="21"/>
        </w:rPr>
        <w:t>管理人</w:t>
      </w:r>
      <w:r>
        <w:rPr>
          <w:rFonts w:ascii="黑体" w:eastAsia="黑体" w:hAnsi="黑体" w:cs="黑体" w:hint="eastAsia"/>
          <w:b/>
          <w:kern w:val="0"/>
          <w:szCs w:val="21"/>
        </w:rPr>
        <w:t>有权对投资范围、投资品种或投资比例进行调整，若发生调整情况，将提前至少</w:t>
      </w:r>
      <w:r>
        <w:rPr>
          <w:rFonts w:ascii="黑体" w:eastAsia="黑体" w:hAnsi="黑体" w:cs="黑体"/>
          <w:b/>
          <w:kern w:val="0"/>
          <w:szCs w:val="21"/>
        </w:rPr>
        <w:t>3</w:t>
      </w:r>
      <w:r>
        <w:rPr>
          <w:rFonts w:ascii="黑体" w:eastAsia="黑体" w:hAnsi="黑体" w:cs="黑体"/>
          <w:b/>
          <w:kern w:val="0"/>
          <w:szCs w:val="21"/>
        </w:rPr>
        <w:t>个工作日进行相关信息披露。</w:t>
      </w:r>
      <w:r>
        <w:rPr>
          <w:rFonts w:ascii="黑体" w:eastAsia="黑体" w:hAnsi="黑体" w:cs="黑体" w:hint="eastAsia"/>
          <w:b/>
          <w:kern w:val="0"/>
          <w:szCs w:val="21"/>
        </w:rPr>
        <w:t>上述情况下产品</w:t>
      </w:r>
      <w:r>
        <w:rPr>
          <w:rFonts w:ascii="黑体" w:eastAsia="黑体" w:hAnsi="黑体" w:cs="黑体"/>
          <w:b/>
          <w:kern w:val="0"/>
          <w:szCs w:val="21"/>
        </w:rPr>
        <w:t>管理人</w:t>
      </w:r>
      <w:r>
        <w:rPr>
          <w:rFonts w:ascii="黑体" w:eastAsia="黑体" w:hAnsi="黑体" w:cs="黑体" w:hint="eastAsia"/>
          <w:b/>
          <w:kern w:val="0"/>
          <w:szCs w:val="21"/>
        </w:rPr>
        <w:t>将可能开放赎回，具体以信息披露公告为准。投资者不同意公告内容的，可按公告约定全部赎回本产品。若投资者在公告执行后继续持有本产品的，视同接受公告内容。进行上述调整时</w:t>
      </w:r>
      <w:r>
        <w:rPr>
          <w:rFonts w:ascii="黑体" w:eastAsia="黑体" w:hAnsi="黑体" w:cs="黑体" w:hint="eastAsia"/>
          <w:b/>
          <w:kern w:val="0"/>
          <w:szCs w:val="21"/>
        </w:rPr>
        <w:t>，除高风险类型的理财产品超出比例范围投资较低风险资产外，产品</w:t>
      </w:r>
      <w:r>
        <w:rPr>
          <w:rFonts w:ascii="黑体" w:eastAsia="黑体" w:hAnsi="黑体" w:cs="黑体"/>
          <w:b/>
          <w:kern w:val="0"/>
          <w:szCs w:val="21"/>
        </w:rPr>
        <w:t>管理人</w:t>
      </w:r>
      <w:r>
        <w:rPr>
          <w:rFonts w:ascii="黑体" w:eastAsia="黑体" w:hAnsi="黑体" w:cs="黑体" w:hint="eastAsia"/>
          <w:b/>
          <w:kern w:val="0"/>
          <w:szCs w:val="21"/>
        </w:rPr>
        <w:t>将事先取得投资者书面同意。</w:t>
      </w:r>
    </w:p>
    <w:p w:rsidR="008B0A7D">
      <w:pPr>
        <w:autoSpaceDE w:val="0"/>
        <w:autoSpaceDN w:val="0"/>
        <w:adjustRightInd w:val="0"/>
        <w:jc w:val="left"/>
        <w:rPr>
          <w:rFonts w:ascii="黑体" w:eastAsia="黑体" w:hAnsi="黑体" w:cs="黑体"/>
          <w:bCs/>
          <w:kern w:val="0"/>
          <w:szCs w:val="21"/>
        </w:rPr>
      </w:pPr>
      <w:r>
        <w:rPr>
          <w:rFonts w:ascii="黑体" w:eastAsia="黑体" w:hAnsi="黑体" w:cs="黑体" w:hint="eastAsia"/>
          <w:bCs/>
          <w:kern w:val="0"/>
          <w:szCs w:val="21"/>
        </w:rPr>
        <w:t>（二</w:t>
      </w:r>
      <w:r>
        <w:rPr>
          <w:rFonts w:ascii="黑体" w:eastAsia="黑体" w:hAnsi="黑体" w:cs="黑体"/>
          <w:bCs/>
          <w:kern w:val="0"/>
          <w:szCs w:val="21"/>
        </w:rPr>
        <w:t>）</w:t>
      </w:r>
      <w:r>
        <w:rPr>
          <w:rFonts w:ascii="黑体" w:eastAsia="黑体" w:hAnsi="黑体" w:cs="黑体" w:hint="eastAsia"/>
          <w:bCs/>
          <w:kern w:val="0"/>
          <w:szCs w:val="21"/>
        </w:rPr>
        <w:t>拟</w:t>
      </w:r>
      <w:r>
        <w:rPr>
          <w:rFonts w:ascii="黑体" w:eastAsia="黑体" w:hAnsi="黑体" w:cs="黑体"/>
          <w:bCs/>
          <w:kern w:val="0"/>
          <w:szCs w:val="21"/>
        </w:rPr>
        <w:t>投资市场</w:t>
      </w:r>
      <w:r>
        <w:rPr>
          <w:rFonts w:ascii="黑体" w:eastAsia="黑体" w:hAnsi="黑体" w:cs="黑体" w:hint="eastAsia"/>
          <w:bCs/>
          <w:kern w:val="0"/>
          <w:szCs w:val="21"/>
        </w:rPr>
        <w:t>和</w:t>
      </w:r>
      <w:r>
        <w:rPr>
          <w:rFonts w:ascii="黑体" w:eastAsia="黑体" w:hAnsi="黑体" w:cs="黑体"/>
          <w:bCs/>
          <w:kern w:val="0"/>
          <w:szCs w:val="21"/>
        </w:rPr>
        <w:t>资产</w:t>
      </w:r>
      <w:r>
        <w:rPr>
          <w:rFonts w:ascii="黑体" w:eastAsia="黑体" w:hAnsi="黑体" w:cs="黑体" w:hint="eastAsia"/>
          <w:bCs/>
          <w:kern w:val="0"/>
          <w:szCs w:val="21"/>
        </w:rPr>
        <w:t>的</w:t>
      </w:r>
      <w:r>
        <w:rPr>
          <w:rFonts w:ascii="黑体" w:eastAsia="黑体" w:hAnsi="黑体" w:cs="黑体"/>
          <w:bCs/>
          <w:kern w:val="0"/>
          <w:szCs w:val="21"/>
        </w:rPr>
        <w:t>风险评估</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w:t>
      </w:r>
      <w:r>
        <w:rPr>
          <w:rFonts w:ascii="黑体" w:eastAsia="黑体" w:hAnsi="黑体" w:cs="黑体" w:hint="eastAsia"/>
          <w:kern w:val="0"/>
          <w:szCs w:val="21"/>
        </w:rPr>
        <w:t>产品拟</w:t>
      </w:r>
      <w:r>
        <w:rPr>
          <w:rFonts w:ascii="黑体" w:eastAsia="黑体" w:hAnsi="黑体" w:cs="黑体"/>
          <w:kern w:val="0"/>
          <w:szCs w:val="21"/>
        </w:rPr>
        <w:t>投资</w:t>
      </w:r>
      <w:r>
        <w:rPr>
          <w:rFonts w:ascii="黑体" w:eastAsia="黑体" w:hAnsi="黑体" w:cs="黑体" w:hint="eastAsia"/>
          <w:kern w:val="0"/>
          <w:szCs w:val="21"/>
        </w:rPr>
        <w:t>资产</w:t>
      </w:r>
      <w:r>
        <w:rPr>
          <w:rFonts w:ascii="黑体" w:eastAsia="黑体" w:hAnsi="黑体" w:cs="黑体"/>
          <w:kern w:val="0"/>
          <w:szCs w:val="21"/>
        </w:rPr>
        <w:t>类型</w:t>
      </w:r>
      <w:r>
        <w:rPr>
          <w:rFonts w:ascii="黑体" w:eastAsia="黑体" w:hAnsi="黑体" w:cs="黑体" w:hint="eastAsia"/>
          <w:kern w:val="0"/>
          <w:szCs w:val="21"/>
        </w:rPr>
        <w:t>以</w:t>
      </w:r>
      <w:r>
        <w:rPr>
          <w:rFonts w:ascii="黑体" w:eastAsia="黑体" w:hAnsi="黑体" w:cs="黑体"/>
          <w:kern w:val="0"/>
          <w:szCs w:val="21"/>
        </w:rPr>
        <w:t>本说明</w:t>
      </w:r>
      <w:r>
        <w:rPr>
          <w:rFonts w:ascii="黑体" w:eastAsia="黑体" w:hAnsi="黑体" w:cs="黑体" w:hint="eastAsia"/>
          <w:kern w:val="0"/>
          <w:szCs w:val="21"/>
        </w:rPr>
        <w:t>书</w:t>
      </w:r>
      <w:r>
        <w:rPr>
          <w:rFonts w:ascii="黑体" w:eastAsia="黑体" w:hAnsi="黑体" w:cs="黑体"/>
          <w:kern w:val="0"/>
          <w:szCs w:val="21"/>
        </w:rPr>
        <w:t>第</w:t>
      </w:r>
      <w:r>
        <w:rPr>
          <w:rFonts w:ascii="黑体" w:eastAsia="黑体" w:hAnsi="黑体" w:cs="黑体" w:hint="eastAsia"/>
          <w:kern w:val="0"/>
          <w:szCs w:val="21"/>
        </w:rPr>
        <w:t>三（一）</w:t>
      </w:r>
      <w:r>
        <w:rPr>
          <w:rFonts w:ascii="黑体" w:eastAsia="黑体" w:hAnsi="黑体" w:cs="黑体"/>
          <w:kern w:val="0"/>
          <w:szCs w:val="21"/>
        </w:rPr>
        <w:t>条</w:t>
      </w:r>
      <w:r>
        <w:rPr>
          <w:rFonts w:ascii="黑体" w:eastAsia="黑体" w:hAnsi="黑体" w:cs="黑体" w:hint="eastAsia"/>
          <w:kern w:val="0"/>
          <w:szCs w:val="21"/>
        </w:rPr>
        <w:t>载明</w:t>
      </w:r>
      <w:r>
        <w:rPr>
          <w:rFonts w:ascii="黑体" w:eastAsia="黑体" w:hAnsi="黑体" w:cs="黑体"/>
          <w:kern w:val="0"/>
          <w:szCs w:val="21"/>
        </w:rPr>
        <w:t>为准。</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投资于上述</w:t>
      </w:r>
      <w:r>
        <w:rPr>
          <w:rFonts w:ascii="黑体" w:eastAsia="黑体" w:hAnsi="黑体" w:cs="黑体"/>
          <w:b/>
          <w:kern w:val="0"/>
          <w:szCs w:val="21"/>
        </w:rPr>
        <w:t>市场和资产</w:t>
      </w:r>
      <w:r>
        <w:rPr>
          <w:rFonts w:ascii="黑体" w:eastAsia="黑体" w:hAnsi="黑体" w:cs="黑体" w:hint="eastAsia"/>
          <w:b/>
          <w:kern w:val="0"/>
          <w:szCs w:val="21"/>
        </w:rPr>
        <w:t>，可能</w:t>
      </w:r>
      <w:r>
        <w:rPr>
          <w:rFonts w:ascii="黑体" w:eastAsia="黑体" w:hAnsi="黑体" w:cs="黑体"/>
          <w:b/>
          <w:kern w:val="0"/>
          <w:szCs w:val="21"/>
        </w:rPr>
        <w:t>面临</w:t>
      </w:r>
      <w:r>
        <w:rPr>
          <w:rFonts w:ascii="黑体" w:eastAsia="黑体" w:hAnsi="黑体" w:cs="黑体" w:hint="eastAsia"/>
          <w:b/>
          <w:kern w:val="0"/>
          <w:szCs w:val="21"/>
        </w:rPr>
        <w:t>包括但不限于</w:t>
      </w:r>
      <w:r>
        <w:rPr>
          <w:rFonts w:ascii="黑体" w:eastAsia="黑体" w:hAnsi="黑体" w:cs="黑体"/>
          <w:b/>
          <w:kern w:val="0"/>
          <w:szCs w:val="21"/>
        </w:rPr>
        <w:t>如下风险：</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政策风险</w:t>
      </w:r>
      <w:r>
        <w:rPr>
          <w:rFonts w:ascii="黑体" w:eastAsia="黑体" w:hAnsi="黑体" w:cs="黑体"/>
          <w:b/>
          <w:kern w:val="0"/>
          <w:szCs w:val="21"/>
        </w:rPr>
        <w:t>：</w:t>
      </w:r>
      <w:r>
        <w:rPr>
          <w:rFonts w:ascii="黑体" w:eastAsia="黑体" w:hAnsi="黑体" w:cs="黑体" w:hint="eastAsia"/>
          <w:b/>
          <w:kern w:val="0"/>
          <w:szCs w:val="21"/>
        </w:rPr>
        <w:t>理财产品在运作过程中，由于国家宏观政策以及市场相关法律法规、监管规定发生变化，导致产品的发行、投资、兑付等流程受到影响，进而影响产品的投资运作和收益的风险。</w:t>
      </w:r>
    </w:p>
    <w:p w:rsidR="008B0A7D">
      <w:pPr>
        <w:autoSpaceDE w:val="0"/>
        <w:autoSpaceDN w:val="0"/>
        <w:adjustRightInd w:val="0"/>
        <w:ind w:firstLine="420" w:firstLineChars="200"/>
        <w:jc w:val="left"/>
        <w:rPr>
          <w:rFonts w:ascii="黑体" w:eastAsia="黑体" w:hAnsi="黑体" w:cs="黑体"/>
          <w:b/>
          <w:kern w:val="0"/>
          <w:szCs w:val="21"/>
        </w:rPr>
      </w:pPr>
      <w:bookmarkStart w:id="7" w:name="_Hlk81141915"/>
      <w:r>
        <w:rPr>
          <w:rFonts w:ascii="黑体" w:eastAsia="黑体" w:hAnsi="黑体" w:cs="宋体" w:hint="eastAsia"/>
          <w:b/>
          <w:kern w:val="0"/>
          <w:szCs w:val="21"/>
        </w:rPr>
        <w:t>市场风险：</w:t>
      </w:r>
      <w:r>
        <w:rPr>
          <w:rFonts w:ascii="黑体" w:eastAsia="黑体" w:hAnsi="黑体" w:cs="黑体" w:hint="eastAsia"/>
          <w:b/>
          <w:kern w:val="0"/>
          <w:szCs w:val="21"/>
        </w:rPr>
        <w:t>理财产品在运作过程中，由于市场变化造成产品所投资产价格波动、从而影响理财产品收益的风险。市场风险包括但不限于投资债券面临的利率变化及债券价格波动带来的风险，投资股票面临的股票价格波动带来的风险，投资商品及金融衍生品面临的商品及衍生品价格波动带来的风险等。</w:t>
      </w:r>
      <w:bookmarkEnd w:id="7"/>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信用风险：理财产品所投资产的相关债务人或关联责任人（包括但不限于担保人）等信用状况恶化、不能如期履约的风险。</w:t>
      </w:r>
    </w:p>
    <w:p w:rsidR="008B0A7D">
      <w:pPr>
        <w:autoSpaceDE w:val="0"/>
        <w:autoSpaceDN w:val="0"/>
        <w:adjustRightInd w:val="0"/>
        <w:ind w:firstLine="420" w:firstLineChars="200"/>
        <w:jc w:val="left"/>
        <w:rPr>
          <w:rFonts w:ascii="黑体" w:eastAsia="黑体" w:hAnsi="黑体" w:cs="宋体"/>
          <w:b/>
          <w:kern w:val="0"/>
          <w:szCs w:val="21"/>
        </w:rPr>
      </w:pPr>
      <w:r>
        <w:rPr>
          <w:rFonts w:ascii="黑体" w:eastAsia="黑体" w:hAnsi="黑体" w:cs="宋体" w:hint="eastAsia"/>
          <w:b/>
          <w:kern w:val="0"/>
          <w:szCs w:val="21"/>
        </w:rPr>
        <w:t>流动性风险：在特定市场环境下，理财产品所投资的上述部分市场或资产可能出现流动性较差的情况，导致理财产品存在无法通过变现资产等途径以合理成本及时获得充足资金，用于满足投资者赎回需求、履行其他支付义务的风险。对于有明确投资期限的理财产品，在存续期内如果您产生流动性需求，可能面临理财产品投资期限与资金需求日不匹配的流动性风险。此外，针对开放式产品，投资者只能在开放期的交易时间内进行申购、赎回，开放期内若发生巨额赎回，投资者将面临不能及时赎回理财产品的流动性风险。</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宋体" w:hint="eastAsia"/>
          <w:b/>
          <w:kern w:val="0"/>
          <w:szCs w:val="21"/>
        </w:rPr>
        <w:t>提前终止风险：</w:t>
      </w:r>
      <w:r>
        <w:rPr>
          <w:rFonts w:ascii="黑体" w:eastAsia="黑体" w:hAnsi="黑体" w:cs="黑体" w:hint="eastAsia"/>
          <w:b/>
          <w:kern w:val="0"/>
          <w:szCs w:val="21"/>
        </w:rPr>
        <w:t>在本产品存续期内，如遇包括但不限于国</w:t>
      </w:r>
      <w:r>
        <w:rPr>
          <w:rFonts w:ascii="黑体" w:eastAsia="黑体" w:hAnsi="黑体" w:cs="黑体" w:hint="eastAsia"/>
          <w:b/>
          <w:kern w:val="0"/>
          <w:szCs w:val="21"/>
        </w:rPr>
        <w:t>家金融政策发生重大调整、金融市场发生重大波动、</w:t>
      </w:r>
      <w:r>
        <w:rPr>
          <w:rFonts w:ascii="黑体" w:eastAsia="黑体" w:hAnsi="黑体" w:cs="黑体"/>
          <w:b/>
          <w:kern w:val="0"/>
          <w:szCs w:val="21"/>
        </w:rPr>
        <w:t>不可抗力</w:t>
      </w:r>
      <w:r>
        <w:rPr>
          <w:rFonts w:ascii="黑体" w:eastAsia="黑体" w:hAnsi="黑体" w:cs="黑体" w:hint="eastAsia"/>
          <w:b/>
          <w:kern w:val="0"/>
          <w:szCs w:val="21"/>
        </w:rPr>
        <w:t>、产品存续规模低于产品最低成立规模或产品管理人认为影响产品运作需要提前终止产品的其他情况，产品管理人有权提前终止产品，并至少于提前终止日前</w:t>
      </w:r>
      <w:r>
        <w:rPr>
          <w:rFonts w:ascii="黑体" w:eastAsia="黑体" w:hAnsi="黑体" w:cs="黑体"/>
          <w:b/>
          <w:kern w:val="0"/>
          <w:szCs w:val="21"/>
        </w:rPr>
        <w:t>3</w:t>
      </w:r>
      <w:r>
        <w:rPr>
          <w:rFonts w:ascii="黑体" w:eastAsia="黑体" w:hAnsi="黑体" w:cs="黑体"/>
          <w:b/>
          <w:kern w:val="0"/>
          <w:szCs w:val="21"/>
        </w:rPr>
        <w:t>个工作日进行公告，相关兑付安排规则</w:t>
      </w:r>
      <w:r>
        <w:rPr>
          <w:rFonts w:ascii="黑体" w:eastAsia="黑体" w:hAnsi="黑体" w:cs="黑体" w:hint="eastAsia"/>
          <w:b/>
          <w:kern w:val="0"/>
          <w:szCs w:val="21"/>
        </w:rPr>
        <w:t>将在</w:t>
      </w:r>
      <w:r>
        <w:rPr>
          <w:rFonts w:ascii="黑体" w:eastAsia="黑体" w:hAnsi="黑体" w:cs="黑体"/>
          <w:b/>
          <w:kern w:val="0"/>
          <w:szCs w:val="21"/>
        </w:rPr>
        <w:t>公告</w:t>
      </w:r>
      <w:r>
        <w:rPr>
          <w:rFonts w:ascii="黑体" w:eastAsia="黑体" w:hAnsi="黑体" w:cs="黑体" w:hint="eastAsia"/>
          <w:b/>
          <w:kern w:val="0"/>
          <w:szCs w:val="21"/>
        </w:rPr>
        <w:t>中</w:t>
      </w:r>
      <w:r>
        <w:rPr>
          <w:rFonts w:ascii="黑体" w:eastAsia="黑体" w:hAnsi="黑体" w:cs="黑体"/>
          <w:b/>
          <w:kern w:val="0"/>
          <w:szCs w:val="21"/>
        </w:rPr>
        <w:t>披露。</w:t>
      </w:r>
      <w:r>
        <w:rPr>
          <w:rFonts w:ascii="黑体" w:eastAsia="黑体" w:hAnsi="黑体" w:cs="黑体" w:hint="eastAsia"/>
          <w:b/>
          <w:kern w:val="0"/>
          <w:szCs w:val="21"/>
        </w:rPr>
        <w:t>（具体信息及相关规则见七、理财产品到期与终止。）</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b/>
          <w:kern w:val="0"/>
          <w:szCs w:val="21"/>
        </w:rPr>
        <w:t>以上风险仅为列举性质，详见产品风险揭示书。</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kern w:val="0"/>
          <w:szCs w:val="21"/>
        </w:rPr>
        <w:t>、综合考虑本产品的投资组合、同类产品过往业绩和风险水平（包括但不限于拟投资市场和资产的风险评估等）等因素，</w:t>
      </w:r>
      <w:r>
        <w:rPr>
          <w:rFonts w:ascii="黑体" w:eastAsia="黑体" w:hAnsi="黑体" w:cs="黑体"/>
          <w:b/>
          <w:kern w:val="0"/>
          <w:szCs w:val="21"/>
        </w:rPr>
        <w:t>本产品评级为</w:t>
      </w:r>
      <w:r>
        <w:rPr>
          <w:rFonts w:ascii="黑体" w:eastAsia="黑体" w:hAnsi="黑体" w:cs="黑体"/>
          <w:b/>
          <w:kern w:val="0"/>
          <w:szCs w:val="21"/>
        </w:rPr>
        <w:t>PR2</w:t>
      </w:r>
      <w:r>
        <w:rPr>
          <w:rFonts w:ascii="黑体" w:eastAsia="黑体" w:hAnsi="黑体" w:cs="黑体"/>
          <w:b/>
          <w:kern w:val="0"/>
          <w:szCs w:val="21"/>
        </w:rPr>
        <w:t>风险</w:t>
      </w:r>
      <w:r>
        <w:rPr>
          <w:rFonts w:ascii="黑体" w:eastAsia="黑体" w:hAnsi="黑体" w:cs="黑体"/>
          <w:kern w:val="0"/>
          <w:szCs w:val="21"/>
        </w:rPr>
        <w:t>（本评级为公司内部评级，仅供参考</w:t>
      </w:r>
      <w:r>
        <w:rPr>
          <w:rFonts w:ascii="黑体" w:eastAsia="黑体" w:hAnsi="黑体" w:cs="黑体" w:hint="eastAsia"/>
          <w:kern w:val="0"/>
          <w:szCs w:val="21"/>
        </w:rPr>
        <w:t>，该产品通过</w:t>
      </w:r>
      <w:r>
        <w:rPr>
          <w:rFonts w:ascii="黑体" w:eastAsia="黑体" w:hAnsi="黑体" w:cs="黑体" w:hint="eastAsia"/>
          <w:kern w:val="0"/>
          <w:szCs w:val="21"/>
        </w:rPr>
        <w:t>代理销售机构渠道销售的，理财产品评级应当以代理销售机构最终披露的评级结果为准）。</w:t>
      </w:r>
    </w:p>
    <w:p w:rsidR="008B0A7D">
      <w:pPr>
        <w:autoSpaceDE w:val="0"/>
        <w:autoSpaceDN w:val="0"/>
        <w:adjustRightInd w:val="0"/>
        <w:ind w:firstLine="420" w:firstLineChars="200"/>
        <w:jc w:val="left"/>
        <w:rPr>
          <w:rFonts w:ascii="黑体" w:eastAsia="黑体" w:hAnsi="黑体" w:cs="黑体"/>
          <w:kern w:val="0"/>
          <w:szCs w:val="21"/>
        </w:rPr>
      </w:pP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四、产品交易相关规则</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（一）认购和</w:t>
      </w:r>
      <w:r>
        <w:rPr>
          <w:rFonts w:ascii="黑体" w:eastAsia="黑体" w:hAnsi="黑体" w:cs="宋体"/>
          <w:kern w:val="0"/>
          <w:szCs w:val="21"/>
        </w:rPr>
        <w:t>申购</w:t>
      </w:r>
      <w:r>
        <w:rPr>
          <w:rFonts w:ascii="黑体" w:eastAsia="黑体" w:hAnsi="黑体" w:cs="宋体" w:hint="eastAsia"/>
          <w:kern w:val="0"/>
          <w:szCs w:val="21"/>
        </w:rPr>
        <w:t>相关规则</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kern w:val="0"/>
          <w:szCs w:val="21"/>
        </w:rPr>
        <w:t>1</w:t>
      </w:r>
      <w:r>
        <w:rPr>
          <w:rFonts w:ascii="黑体" w:eastAsia="黑体" w:hAnsi="黑体" w:cs="黑体" w:hint="eastAsia"/>
          <w:kern w:val="0"/>
          <w:szCs w:val="21"/>
        </w:rPr>
        <w:t>、产品募集期内，投资者可以</w:t>
      </w:r>
      <w:r>
        <w:rPr>
          <w:rFonts w:ascii="黑体" w:eastAsia="黑体" w:hAnsi="黑体" w:cs="黑体"/>
          <w:kern w:val="0"/>
          <w:szCs w:val="21"/>
        </w:rPr>
        <w:t>对本产品进行认购、追加</w:t>
      </w:r>
      <w:r>
        <w:rPr>
          <w:rFonts w:ascii="黑体" w:eastAsia="黑体" w:hAnsi="黑体" w:cs="黑体" w:hint="eastAsia"/>
          <w:kern w:val="0"/>
          <w:szCs w:val="21"/>
        </w:rPr>
        <w:t>、</w:t>
      </w:r>
      <w:r>
        <w:rPr>
          <w:rFonts w:ascii="黑体" w:eastAsia="黑体" w:hAnsi="黑体" w:cs="黑体"/>
          <w:kern w:val="0"/>
          <w:szCs w:val="21"/>
        </w:rPr>
        <w:t>撤单</w:t>
      </w:r>
      <w:r>
        <w:rPr>
          <w:rFonts w:ascii="黑体" w:eastAsia="黑体" w:hAnsi="黑体" w:cs="黑体" w:hint="eastAsia"/>
          <w:kern w:val="0"/>
          <w:szCs w:val="21"/>
        </w:rPr>
        <w:t>，销售机构有权在投资者指定账户中对相应资金进行冻结或通过相关支付渠道</w:t>
      </w:r>
      <w:r>
        <w:rPr>
          <w:rFonts w:ascii="黑体" w:eastAsia="黑体" w:hAnsi="黑体" w:cs="黑体"/>
          <w:kern w:val="0"/>
          <w:szCs w:val="21"/>
        </w:rPr>
        <w:t>(</w:t>
      </w:r>
      <w:r>
        <w:rPr>
          <w:rFonts w:ascii="黑体" w:eastAsia="黑体" w:hAnsi="黑体" w:cs="黑体" w:hint="eastAsia"/>
          <w:kern w:val="0"/>
          <w:szCs w:val="21"/>
        </w:rPr>
        <w:t>如有</w:t>
      </w:r>
      <w:r>
        <w:rPr>
          <w:rFonts w:ascii="黑体" w:eastAsia="黑体" w:hAnsi="黑体" w:cs="黑体"/>
          <w:kern w:val="0"/>
          <w:szCs w:val="21"/>
        </w:rPr>
        <w:t>)</w:t>
      </w:r>
      <w:r>
        <w:rPr>
          <w:rFonts w:ascii="黑体" w:eastAsia="黑体" w:hAnsi="黑体" w:cs="黑体"/>
          <w:kern w:val="0"/>
          <w:szCs w:val="21"/>
        </w:rPr>
        <w:t>划转，具体以销售机构实际</w:t>
      </w:r>
      <w:r>
        <w:rPr>
          <w:rFonts w:ascii="黑体" w:eastAsia="黑体" w:hAnsi="黑体" w:cs="黑体" w:hint="eastAsia"/>
          <w:kern w:val="0"/>
          <w:szCs w:val="21"/>
        </w:rPr>
        <w:t>处理为准，产品</w:t>
      </w:r>
      <w:r>
        <w:rPr>
          <w:rFonts w:ascii="黑体" w:eastAsia="黑体" w:hAnsi="黑体" w:cs="黑体"/>
          <w:kern w:val="0"/>
          <w:szCs w:val="21"/>
        </w:rPr>
        <w:t>管理人将在</w:t>
      </w:r>
      <w:r>
        <w:rPr>
          <w:rFonts w:ascii="黑体" w:eastAsia="黑体" w:hAnsi="黑体" w:cs="黑体" w:hint="eastAsia"/>
          <w:kern w:val="0"/>
          <w:szCs w:val="21"/>
        </w:rPr>
        <w:t>产品成立日</w:t>
      </w:r>
      <w:r>
        <w:rPr>
          <w:rFonts w:ascii="黑体" w:eastAsia="黑体" w:hAnsi="黑体" w:cs="黑体"/>
          <w:kern w:val="0"/>
          <w:szCs w:val="21"/>
        </w:rPr>
        <w:t>对</w:t>
      </w:r>
      <w:r>
        <w:rPr>
          <w:rFonts w:ascii="黑体" w:eastAsia="黑体" w:hAnsi="黑体" w:cs="黑体" w:hint="eastAsia"/>
          <w:kern w:val="0"/>
          <w:szCs w:val="21"/>
        </w:rPr>
        <w:t>募集期</w:t>
      </w:r>
      <w:r>
        <w:rPr>
          <w:rFonts w:ascii="黑体" w:eastAsia="黑体" w:hAnsi="黑体" w:cs="黑体"/>
          <w:kern w:val="0"/>
          <w:szCs w:val="21"/>
        </w:rPr>
        <w:t>的认购</w:t>
      </w:r>
      <w:r>
        <w:rPr>
          <w:rFonts w:ascii="黑体" w:eastAsia="黑体" w:hAnsi="黑体" w:cs="黑体" w:hint="eastAsia"/>
          <w:kern w:val="0"/>
          <w:szCs w:val="21"/>
        </w:rPr>
        <w:t>及</w:t>
      </w:r>
      <w:r>
        <w:rPr>
          <w:rFonts w:ascii="黑体" w:eastAsia="黑体" w:hAnsi="黑体" w:cs="黑体"/>
          <w:kern w:val="0"/>
          <w:szCs w:val="21"/>
        </w:rPr>
        <w:t>追加</w:t>
      </w:r>
      <w:r>
        <w:rPr>
          <w:rFonts w:ascii="黑体" w:eastAsia="黑体" w:hAnsi="黑体" w:cs="黑体" w:hint="eastAsia"/>
          <w:kern w:val="0"/>
          <w:szCs w:val="21"/>
        </w:rPr>
        <w:t>申请进行</w:t>
      </w:r>
      <w:bookmarkStart w:id="8" w:name="_Hlk33019208"/>
      <w:r>
        <w:rPr>
          <w:rFonts w:ascii="黑体" w:eastAsia="黑体" w:hAnsi="黑体" w:cs="黑体" w:hint="eastAsia"/>
          <w:kern w:val="0"/>
          <w:szCs w:val="21"/>
        </w:rPr>
        <w:t>确认和划款</w:t>
      </w:r>
      <w:bookmarkEnd w:id="8"/>
      <w:r>
        <w:rPr>
          <w:rFonts w:ascii="黑体" w:eastAsia="黑体" w:hAnsi="黑体" w:cs="黑体" w:hint="eastAsia"/>
          <w:kern w:val="0"/>
          <w:szCs w:val="21"/>
        </w:rPr>
        <w:t>。</w:t>
      </w:r>
      <w:r>
        <w:rPr>
          <w:rFonts w:ascii="黑体" w:eastAsia="黑体" w:hAnsi="黑体" w:cs="黑体" w:hint="eastAsia"/>
          <w:b/>
          <w:kern w:val="0"/>
          <w:szCs w:val="21"/>
        </w:rPr>
        <w:t>募集期内管理人不向投资者认购款项计付利息，销售机构是否计付利息以销售机构为准。</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产品募集期单位净值为</w:t>
      </w:r>
      <w:r>
        <w:rPr>
          <w:rFonts w:ascii="黑体" w:eastAsia="黑体" w:hAnsi="黑体" w:cs="黑体"/>
          <w:b/>
          <w:kern w:val="0"/>
          <w:szCs w:val="21"/>
        </w:rPr>
        <w:t>1</w:t>
      </w:r>
      <w:r>
        <w:rPr>
          <w:rFonts w:ascii="黑体" w:eastAsia="黑体" w:hAnsi="黑体" w:cs="黑体"/>
          <w:b/>
          <w:kern w:val="0"/>
          <w:szCs w:val="21"/>
        </w:rPr>
        <w:t>元，募集期认购价格采用募集期单位净值。</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kern w:val="0"/>
          <w:szCs w:val="21"/>
        </w:rPr>
        <w:t>、</w:t>
      </w:r>
      <w:r>
        <w:rPr>
          <w:rFonts w:ascii="黑体" w:eastAsia="黑体" w:hAnsi="黑体" w:cs="黑体" w:hint="eastAsia"/>
          <w:kern w:val="0"/>
          <w:szCs w:val="21"/>
        </w:rPr>
        <w:t>产品存续期间，</w:t>
      </w:r>
      <w:r>
        <w:rPr>
          <w:rFonts w:ascii="黑体" w:eastAsia="黑体" w:hAnsi="黑体" w:cs="黑体" w:hint="eastAsia"/>
          <w:color w:val="000000" w:themeColor="text1"/>
          <w:kern w:val="0"/>
          <w:szCs w:val="21"/>
        </w:rPr>
        <w:t>投资者可以对</w:t>
      </w:r>
      <w:r>
        <w:rPr>
          <w:rFonts w:ascii="黑体" w:eastAsia="黑体" w:hAnsi="黑体" w:cs="黑体" w:hint="eastAsia"/>
          <w:kern w:val="0"/>
          <w:szCs w:val="21"/>
        </w:rPr>
        <w:t>本产品</w:t>
      </w:r>
      <w:r>
        <w:rPr>
          <w:rFonts w:ascii="黑体" w:eastAsia="黑体" w:hAnsi="黑体" w:cs="黑体"/>
          <w:kern w:val="0"/>
          <w:szCs w:val="21"/>
        </w:rPr>
        <w:t>进行申购、追加、撤单</w:t>
      </w:r>
      <w:r>
        <w:rPr>
          <w:rFonts w:ascii="黑体" w:eastAsia="黑体" w:hAnsi="黑体" w:cs="黑体" w:hint="eastAsia"/>
          <w:kern w:val="0"/>
          <w:szCs w:val="21"/>
        </w:rPr>
        <w:t>，销售机构有权在投资者指定账户中对相应资金进行冻结或通过相关支付渠道</w:t>
      </w:r>
      <w:r>
        <w:rPr>
          <w:rFonts w:ascii="黑体" w:eastAsia="黑体" w:hAnsi="黑体" w:cs="黑体"/>
          <w:kern w:val="0"/>
          <w:szCs w:val="21"/>
        </w:rPr>
        <w:t>(</w:t>
      </w:r>
      <w:r>
        <w:rPr>
          <w:rFonts w:ascii="黑体" w:eastAsia="黑体" w:hAnsi="黑体" w:cs="黑体"/>
          <w:kern w:val="0"/>
          <w:szCs w:val="21"/>
        </w:rPr>
        <w:t>如有</w:t>
      </w:r>
      <w:r>
        <w:rPr>
          <w:rFonts w:ascii="黑体" w:eastAsia="黑体" w:hAnsi="黑体" w:cs="黑体"/>
          <w:kern w:val="0"/>
          <w:szCs w:val="21"/>
        </w:rPr>
        <w:t>)</w:t>
      </w:r>
      <w:r>
        <w:rPr>
          <w:rFonts w:ascii="黑体" w:eastAsia="黑体" w:hAnsi="黑体" w:cs="黑体"/>
          <w:kern w:val="0"/>
          <w:szCs w:val="21"/>
        </w:rPr>
        <w:t>划转，具体以销售机构实际处理为准，产品管理人将在申购受理日对上述申购及追加申请进行处理，投资者实际申购、追</w:t>
      </w:r>
      <w:r>
        <w:rPr>
          <w:rFonts w:ascii="黑体" w:eastAsia="黑体" w:hAnsi="黑体" w:cs="黑体"/>
          <w:kern w:val="0"/>
          <w:szCs w:val="21"/>
        </w:rPr>
        <w:t>加申购金额以产品管理人确认的金额为准，投资者的申购、追加申购金额将于申购确认日内划款。产品申购交易时间规则如下：</w:t>
      </w:r>
    </w:p>
    <w:tbl>
      <w:tblPr>
        <w:tblStyle w:val="TableGrid"/>
        <w:tblW w:w="0" w:type="auto"/>
        <w:tblLook w:val="04A0"/>
      </w:tblPr>
      <w:tblGrid>
        <w:gridCol w:w="2765"/>
        <w:gridCol w:w="2765"/>
        <w:gridCol w:w="2766"/>
      </w:tblGrid>
      <w:tr>
        <w:tblPrEx>
          <w:tblW w:w="0" w:type="auto"/>
          <w:tblLook w:val="04A0"/>
        </w:tblPrEx>
        <w:tc>
          <w:tcPr>
            <w:tcW w:w="2765" w:type="dxa"/>
            <w:vAlign w:val="center"/>
          </w:tcPr>
          <w:p w:rsidR="008B0A7D">
            <w:pPr>
              <w:autoSpaceDE w:val="0"/>
              <w:autoSpaceDN w:val="0"/>
              <w:adjustRightInd w:val="0"/>
              <w:jc w:val="center"/>
              <w:rPr>
                <w:rFonts w:ascii="黑体" w:eastAsia="黑体" w:hAnsi="黑体" w:cs="黑体"/>
                <w:b/>
                <w:kern w:val="0"/>
                <w:szCs w:val="21"/>
              </w:rPr>
            </w:pPr>
            <w:r>
              <w:rPr>
                <w:rFonts w:ascii="黑体" w:eastAsia="黑体" w:hAnsi="黑体" w:cs="黑体" w:hint="eastAsia"/>
                <w:b/>
                <w:kern w:val="0"/>
                <w:szCs w:val="21"/>
              </w:rPr>
              <w:t>申购发起时间</w:t>
            </w:r>
          </w:p>
        </w:tc>
        <w:tc>
          <w:tcPr>
            <w:tcW w:w="2765" w:type="dxa"/>
            <w:vAlign w:val="center"/>
          </w:tcPr>
          <w:p w:rsidR="008B0A7D">
            <w:pPr>
              <w:autoSpaceDE w:val="0"/>
              <w:autoSpaceDN w:val="0"/>
              <w:adjustRightInd w:val="0"/>
              <w:jc w:val="center"/>
              <w:rPr>
                <w:rFonts w:ascii="黑体" w:eastAsia="黑体" w:hAnsi="黑体" w:cs="黑体"/>
                <w:b/>
                <w:kern w:val="0"/>
                <w:szCs w:val="21"/>
              </w:rPr>
            </w:pPr>
            <w:r>
              <w:rPr>
                <w:rFonts w:ascii="黑体" w:eastAsia="黑体" w:hAnsi="黑体" w:cs="黑体" w:hint="eastAsia"/>
                <w:b/>
                <w:kern w:val="0"/>
                <w:szCs w:val="21"/>
              </w:rPr>
              <w:t>申购受理日</w:t>
            </w:r>
          </w:p>
        </w:tc>
        <w:tc>
          <w:tcPr>
            <w:tcW w:w="2766" w:type="dxa"/>
            <w:vAlign w:val="center"/>
          </w:tcPr>
          <w:p w:rsidR="008B0A7D">
            <w:pPr>
              <w:autoSpaceDE w:val="0"/>
              <w:autoSpaceDN w:val="0"/>
              <w:adjustRightInd w:val="0"/>
              <w:jc w:val="center"/>
              <w:rPr>
                <w:rFonts w:ascii="黑体" w:eastAsia="黑体" w:hAnsi="黑体" w:cs="黑体"/>
                <w:b/>
                <w:kern w:val="0"/>
                <w:szCs w:val="21"/>
              </w:rPr>
            </w:pPr>
            <w:r>
              <w:rPr>
                <w:rFonts w:ascii="黑体" w:eastAsia="黑体" w:hAnsi="黑体" w:cs="黑体" w:hint="eastAsia"/>
                <w:b/>
                <w:kern w:val="0"/>
                <w:szCs w:val="21"/>
              </w:rPr>
              <w:t>申购确认日</w:t>
            </w:r>
          </w:p>
        </w:tc>
      </w:tr>
      <w:tr>
        <w:tblPrEx>
          <w:tblW w:w="0" w:type="auto"/>
          <w:tblLook w:val="04A0"/>
        </w:tblPrEx>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每个工作日</w:t>
            </w:r>
            <w:r>
              <w:rPr>
                <w:rFonts w:ascii="黑体" w:eastAsia="黑体" w:hAnsi="黑体" w:cs="黑体"/>
                <w:kern w:val="0"/>
                <w:szCs w:val="21"/>
              </w:rPr>
              <w:t>0:00-16:00</w:t>
            </w:r>
          </w:p>
        </w:tc>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发起当日</w:t>
            </w:r>
          </w:p>
        </w:tc>
        <w:tc>
          <w:tcPr>
            <w:tcW w:w="2766"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受理日下一工作日</w:t>
            </w:r>
          </w:p>
        </w:tc>
      </w:tr>
      <w:tr>
        <w:tblPrEx>
          <w:tblW w:w="0" w:type="auto"/>
          <w:tblLook w:val="04A0"/>
        </w:tblPrEx>
        <w:trPr>
          <w:trHeight w:val="187"/>
        </w:trPr>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每个工作日</w:t>
            </w:r>
            <w:r>
              <w:rPr>
                <w:rFonts w:ascii="黑体" w:eastAsia="黑体" w:hAnsi="黑体" w:cs="黑体"/>
                <w:kern w:val="0"/>
                <w:szCs w:val="21"/>
              </w:rPr>
              <w:t>16:00-24:00</w:t>
            </w:r>
          </w:p>
        </w:tc>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发起日下一工作日</w:t>
            </w:r>
          </w:p>
        </w:tc>
        <w:tc>
          <w:tcPr>
            <w:tcW w:w="2766"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受理日下一工作日</w:t>
            </w:r>
          </w:p>
        </w:tc>
      </w:tr>
      <w:tr>
        <w:tblPrEx>
          <w:tblW w:w="0" w:type="auto"/>
          <w:tblLook w:val="04A0"/>
        </w:tblPrEx>
        <w:trPr>
          <w:trHeight w:val="187"/>
        </w:trPr>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非工作日</w:t>
            </w:r>
            <w:r>
              <w:rPr>
                <w:rFonts w:ascii="黑体" w:eastAsia="黑体" w:hAnsi="黑体" w:cs="黑体"/>
                <w:kern w:val="0"/>
                <w:szCs w:val="21"/>
              </w:rPr>
              <w:t>0:00-24:00</w:t>
            </w:r>
          </w:p>
        </w:tc>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发起日下一工作日</w:t>
            </w:r>
          </w:p>
        </w:tc>
        <w:tc>
          <w:tcPr>
            <w:tcW w:w="2766"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受理日下一工作日</w:t>
            </w:r>
          </w:p>
        </w:tc>
      </w:tr>
    </w:tbl>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b/>
          <w:kern w:val="0"/>
          <w:szCs w:val="21"/>
        </w:rPr>
        <w:t>具体申购确认时间以销售机构展示为准。</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申购</w:t>
      </w:r>
      <w:r>
        <w:rPr>
          <w:rFonts w:ascii="黑体" w:eastAsia="黑体" w:hAnsi="黑体" w:cs="黑体"/>
          <w:b/>
          <w:kern w:val="0"/>
          <w:szCs w:val="21"/>
        </w:rPr>
        <w:t>、追加</w:t>
      </w:r>
      <w:r>
        <w:rPr>
          <w:rFonts w:ascii="黑体" w:eastAsia="黑体" w:hAnsi="黑体" w:cs="黑体" w:hint="eastAsia"/>
          <w:b/>
          <w:kern w:val="0"/>
          <w:szCs w:val="21"/>
        </w:rPr>
        <w:t>的价格采用申购受理日的产品净值。</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3</w:t>
      </w:r>
      <w:r>
        <w:rPr>
          <w:rFonts w:ascii="黑体" w:eastAsia="黑体" w:hAnsi="黑体" w:cs="黑体" w:hint="eastAsia"/>
          <w:kern w:val="0"/>
          <w:szCs w:val="21"/>
        </w:rPr>
        <w:t>、产品采用金额认（申）购规则</w:t>
      </w:r>
      <w:r>
        <w:rPr>
          <w:rFonts w:ascii="黑体" w:eastAsia="黑体" w:hAnsi="黑体" w:cs="黑体"/>
          <w:kern w:val="0"/>
          <w:szCs w:val="21"/>
        </w:rPr>
        <w:t>，</w:t>
      </w:r>
      <w:r>
        <w:rPr>
          <w:rFonts w:ascii="黑体" w:eastAsia="黑体" w:hAnsi="黑体" w:cs="黑体" w:hint="eastAsia"/>
          <w:kern w:val="0"/>
          <w:szCs w:val="21"/>
        </w:rPr>
        <w:t>即认（申）购以金额确定投资者</w:t>
      </w:r>
      <w:r>
        <w:rPr>
          <w:rFonts w:ascii="黑体" w:eastAsia="黑体" w:hAnsi="黑体" w:cs="黑体"/>
          <w:kern w:val="0"/>
          <w:szCs w:val="21"/>
        </w:rPr>
        <w:t>对应的</w:t>
      </w:r>
      <w:r>
        <w:rPr>
          <w:rFonts w:ascii="黑体" w:eastAsia="黑体" w:hAnsi="黑体" w:cs="黑体" w:hint="eastAsia"/>
          <w:kern w:val="0"/>
          <w:szCs w:val="21"/>
        </w:rPr>
        <w:t>产品份额</w:t>
      </w:r>
      <w:r>
        <w:rPr>
          <w:rFonts w:ascii="黑体" w:eastAsia="黑体" w:hAnsi="黑体" w:cs="黑体"/>
          <w:kern w:val="0"/>
          <w:szCs w:val="21"/>
        </w:rPr>
        <w:t>。</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4</w:t>
      </w:r>
      <w:r>
        <w:rPr>
          <w:rFonts w:ascii="黑体" w:eastAsia="黑体" w:hAnsi="黑体" w:cs="黑体" w:hint="eastAsia"/>
          <w:b/>
          <w:kern w:val="0"/>
          <w:szCs w:val="21"/>
        </w:rPr>
        <w:t>、产品募集期</w:t>
      </w:r>
      <w:r>
        <w:rPr>
          <w:rFonts w:ascii="黑体" w:eastAsia="黑体" w:hAnsi="黑体" w:cs="黑体"/>
          <w:b/>
          <w:kern w:val="0"/>
          <w:szCs w:val="21"/>
        </w:rPr>
        <w:t>及</w:t>
      </w:r>
      <w:r>
        <w:rPr>
          <w:rFonts w:ascii="黑体" w:eastAsia="黑体" w:hAnsi="黑体" w:cs="黑体" w:hint="eastAsia"/>
          <w:b/>
          <w:kern w:val="0"/>
          <w:szCs w:val="21"/>
        </w:rPr>
        <w:t>存续期内，若出现以下情况，产品</w:t>
      </w:r>
      <w:r>
        <w:rPr>
          <w:rFonts w:ascii="黑体" w:eastAsia="黑体" w:hAnsi="黑体" w:cs="黑体"/>
          <w:b/>
          <w:kern w:val="0"/>
          <w:szCs w:val="21"/>
        </w:rPr>
        <w:t>管理人</w:t>
      </w:r>
      <w:r>
        <w:rPr>
          <w:rFonts w:ascii="黑体" w:eastAsia="黑体" w:hAnsi="黑体" w:cs="黑体" w:hint="eastAsia"/>
          <w:b/>
          <w:kern w:val="0"/>
          <w:szCs w:val="21"/>
        </w:rPr>
        <w:t>有权拒绝或暂停接受投资者的认（申）购或追加认（申）购申请：</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w:t>
      </w:r>
      <w:r>
        <w:rPr>
          <w:rFonts w:ascii="黑体" w:eastAsia="黑体" w:hAnsi="黑体" w:cs="黑体"/>
          <w:kern w:val="0"/>
          <w:szCs w:val="21"/>
        </w:rPr>
        <w:t>1</w:t>
      </w:r>
      <w:r>
        <w:rPr>
          <w:rFonts w:ascii="黑体" w:eastAsia="黑体" w:hAnsi="黑体" w:cs="黑体"/>
          <w:kern w:val="0"/>
          <w:szCs w:val="21"/>
        </w:rPr>
        <w:t>）因不可抗力导致</w:t>
      </w:r>
      <w:r>
        <w:rPr>
          <w:rFonts w:ascii="黑体" w:eastAsia="黑体" w:hAnsi="黑体" w:cs="黑体" w:hint="eastAsia"/>
          <w:kern w:val="0"/>
          <w:szCs w:val="21"/>
        </w:rPr>
        <w:t>产品管理机构无法接受投资者认（申）购或追加认（申）购申请；</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w:t>
      </w:r>
      <w:r>
        <w:rPr>
          <w:rFonts w:ascii="黑体" w:eastAsia="黑体" w:hAnsi="黑体" w:cs="黑体"/>
          <w:kern w:val="0"/>
          <w:szCs w:val="21"/>
        </w:rPr>
        <w:t>2</w:t>
      </w:r>
      <w:r>
        <w:rPr>
          <w:rFonts w:ascii="黑体" w:eastAsia="黑体" w:hAnsi="黑体" w:cs="黑体"/>
          <w:kern w:val="0"/>
          <w:szCs w:val="21"/>
        </w:rPr>
        <w:t>）继续接受认（申）购申请可能对产品存量投资者利益构成重大不利影响；</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w:t>
      </w:r>
      <w:r>
        <w:rPr>
          <w:rFonts w:ascii="黑体" w:eastAsia="黑体" w:hAnsi="黑体" w:cs="黑体"/>
          <w:kern w:val="0"/>
          <w:szCs w:val="21"/>
        </w:rPr>
        <w:t>3</w:t>
      </w:r>
      <w:r>
        <w:rPr>
          <w:rFonts w:ascii="黑体" w:eastAsia="黑体" w:hAnsi="黑体" w:cs="黑体" w:hint="eastAsia"/>
          <w:kern w:val="0"/>
          <w:szCs w:val="21"/>
        </w:rPr>
        <w:t>）法律、法规或相关监管认定的其他情形，以及本说明书约定的其他情形。</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5</w:t>
      </w:r>
      <w:r>
        <w:rPr>
          <w:rFonts w:ascii="黑体" w:eastAsia="黑体" w:hAnsi="黑体" w:cs="黑体"/>
          <w:kern w:val="0"/>
          <w:szCs w:val="21"/>
        </w:rPr>
        <w:t>、其他</w:t>
      </w:r>
      <w:r>
        <w:rPr>
          <w:rFonts w:ascii="黑体" w:eastAsia="黑体" w:hAnsi="黑体" w:cs="黑体" w:hint="eastAsia"/>
          <w:kern w:val="0"/>
          <w:szCs w:val="21"/>
        </w:rPr>
        <w:t>：无</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（二）赎回相关规则</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hint="eastAsia"/>
          <w:kern w:val="0"/>
          <w:szCs w:val="21"/>
        </w:rPr>
        <w:t>、</w:t>
      </w:r>
      <w:r>
        <w:rPr>
          <w:rFonts w:ascii="黑体" w:hAnsi="黑体" w:hint="eastAsia"/>
          <w:kern w:val="0"/>
        </w:rPr>
        <w:t>产品</w:t>
      </w:r>
      <w:r>
        <w:rPr>
          <w:rFonts w:ascii="黑体" w:eastAsia="黑体" w:hAnsi="黑体" w:cs="黑体" w:hint="eastAsia"/>
          <w:kern w:val="0"/>
          <w:szCs w:val="21"/>
        </w:rPr>
        <w:t>存续期间，投资者可以对满足最短持有期限要求的本产品份额进行</w:t>
      </w:r>
      <w:r>
        <w:rPr>
          <w:rFonts w:ascii="黑体" w:hAnsi="黑体" w:hint="eastAsia"/>
          <w:kern w:val="0"/>
        </w:rPr>
        <w:t>赎回</w:t>
      </w:r>
      <w:r>
        <w:rPr>
          <w:rFonts w:ascii="黑体" w:eastAsia="黑体" w:hAnsi="黑体" w:cs="黑体" w:hint="eastAsia"/>
          <w:kern w:val="0"/>
          <w:szCs w:val="21"/>
        </w:rPr>
        <w:t>，产品管理人将在赎回受理日对上述赎回申请进行处理，在赎回确认日</w:t>
      </w:r>
      <w:r>
        <w:rPr>
          <w:rFonts w:ascii="黑体" w:eastAsia="黑体" w:hAnsi="黑体" w:cs="黑体"/>
          <w:kern w:val="0"/>
          <w:szCs w:val="21"/>
        </w:rPr>
        <w:t>对上述赎回申请进行确认，</w:t>
      </w:r>
      <w:r>
        <w:rPr>
          <w:rFonts w:ascii="黑体" w:eastAsia="黑体" w:hAnsi="黑体" w:cs="黑体" w:hint="eastAsia"/>
          <w:kern w:val="0"/>
          <w:szCs w:val="21"/>
        </w:rPr>
        <w:t>投资者实际赎回份额以产品管理人确认的份额为准，</w:t>
      </w:r>
      <w:r>
        <w:rPr>
          <w:rFonts w:ascii="黑体" w:eastAsia="黑体" w:hAnsi="黑体" w:cs="黑体" w:hint="eastAsia"/>
          <w:b/>
          <w:kern w:val="0"/>
          <w:szCs w:val="21"/>
        </w:rPr>
        <w:t>投资者的赎回金额将于赎回确认日后</w:t>
      </w:r>
      <w:r>
        <w:rPr>
          <w:rFonts w:ascii="黑体" w:eastAsia="黑体" w:hAnsi="黑体" w:cs="黑体"/>
          <w:b/>
          <w:kern w:val="0"/>
          <w:szCs w:val="21"/>
        </w:rPr>
        <w:t>3</w:t>
      </w:r>
      <w:r>
        <w:rPr>
          <w:rFonts w:ascii="黑体" w:eastAsia="黑体" w:hAnsi="黑体" w:cs="黑体" w:hint="eastAsia"/>
          <w:b/>
          <w:kern w:val="0"/>
          <w:szCs w:val="21"/>
        </w:rPr>
        <w:t>个工作日内到账</w:t>
      </w:r>
      <w:r>
        <w:rPr>
          <w:rFonts w:ascii="黑体" w:eastAsia="黑体" w:hAnsi="黑体" w:cs="黑体" w:hint="eastAsia"/>
          <w:kern w:val="0"/>
          <w:szCs w:val="21"/>
        </w:rPr>
        <w:t>。</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赎回交易时间规则如下表所示：</w:t>
      </w:r>
    </w:p>
    <w:tbl>
      <w:tblPr>
        <w:tblStyle w:val="TableGrid"/>
        <w:tblW w:w="0" w:type="auto"/>
        <w:tblLook w:val="04A0"/>
      </w:tblPr>
      <w:tblGrid>
        <w:gridCol w:w="2765"/>
        <w:gridCol w:w="2765"/>
        <w:gridCol w:w="2766"/>
      </w:tblGrid>
      <w:tr>
        <w:tblPrEx>
          <w:tblW w:w="0" w:type="auto"/>
          <w:tblLook w:val="04A0"/>
        </w:tblPrEx>
        <w:tc>
          <w:tcPr>
            <w:tcW w:w="2765" w:type="dxa"/>
            <w:vAlign w:val="center"/>
          </w:tcPr>
          <w:p w:rsidR="008B0A7D">
            <w:pPr>
              <w:autoSpaceDE w:val="0"/>
              <w:autoSpaceDN w:val="0"/>
              <w:adjustRightInd w:val="0"/>
              <w:jc w:val="center"/>
              <w:rPr>
                <w:rFonts w:ascii="黑体" w:eastAsia="黑体" w:hAnsi="黑体" w:cs="黑体"/>
                <w:b/>
                <w:kern w:val="0"/>
                <w:szCs w:val="21"/>
              </w:rPr>
            </w:pPr>
            <w:r>
              <w:rPr>
                <w:rFonts w:ascii="黑体" w:eastAsia="黑体" w:hAnsi="黑体" w:cs="黑体" w:hint="eastAsia"/>
                <w:b/>
                <w:kern w:val="0"/>
                <w:szCs w:val="21"/>
              </w:rPr>
              <w:t>赎回发起时间</w:t>
            </w:r>
          </w:p>
        </w:tc>
        <w:tc>
          <w:tcPr>
            <w:tcW w:w="2765" w:type="dxa"/>
            <w:vAlign w:val="center"/>
          </w:tcPr>
          <w:p w:rsidR="008B0A7D">
            <w:pPr>
              <w:autoSpaceDE w:val="0"/>
              <w:autoSpaceDN w:val="0"/>
              <w:adjustRightInd w:val="0"/>
              <w:jc w:val="center"/>
              <w:rPr>
                <w:rFonts w:ascii="黑体" w:eastAsia="黑体" w:hAnsi="黑体" w:cs="黑体"/>
                <w:b/>
                <w:kern w:val="0"/>
                <w:szCs w:val="21"/>
              </w:rPr>
            </w:pPr>
            <w:r>
              <w:rPr>
                <w:rFonts w:ascii="黑体" w:eastAsia="黑体" w:hAnsi="黑体" w:cs="黑体" w:hint="eastAsia"/>
                <w:b/>
                <w:kern w:val="0"/>
                <w:szCs w:val="21"/>
              </w:rPr>
              <w:t>赎回受理日</w:t>
            </w:r>
          </w:p>
        </w:tc>
        <w:tc>
          <w:tcPr>
            <w:tcW w:w="2766" w:type="dxa"/>
            <w:vAlign w:val="center"/>
          </w:tcPr>
          <w:p w:rsidR="008B0A7D">
            <w:pPr>
              <w:autoSpaceDE w:val="0"/>
              <w:autoSpaceDN w:val="0"/>
              <w:adjustRightInd w:val="0"/>
              <w:jc w:val="center"/>
              <w:rPr>
                <w:rFonts w:ascii="黑体" w:eastAsia="黑体" w:hAnsi="黑体" w:cs="黑体"/>
                <w:b/>
                <w:kern w:val="0"/>
                <w:szCs w:val="21"/>
              </w:rPr>
            </w:pPr>
            <w:r>
              <w:rPr>
                <w:rFonts w:ascii="黑体" w:eastAsia="黑体" w:hAnsi="黑体" w:cs="黑体" w:hint="eastAsia"/>
                <w:b/>
                <w:kern w:val="0"/>
                <w:szCs w:val="21"/>
              </w:rPr>
              <w:t>赎回确认日</w:t>
            </w:r>
          </w:p>
        </w:tc>
      </w:tr>
      <w:tr>
        <w:tblPrEx>
          <w:tblW w:w="0" w:type="auto"/>
          <w:tblLook w:val="04A0"/>
        </w:tblPrEx>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每个工作日</w:t>
            </w:r>
            <w:r>
              <w:rPr>
                <w:rFonts w:ascii="黑体" w:eastAsia="黑体" w:hAnsi="黑体" w:cs="黑体"/>
                <w:kern w:val="0"/>
                <w:szCs w:val="21"/>
              </w:rPr>
              <w:t>0:00-16:00</w:t>
            </w:r>
          </w:p>
        </w:tc>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发起当日</w:t>
            </w:r>
          </w:p>
        </w:tc>
        <w:tc>
          <w:tcPr>
            <w:tcW w:w="2766"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受理日下一工作日</w:t>
            </w:r>
          </w:p>
        </w:tc>
      </w:tr>
      <w:tr>
        <w:tblPrEx>
          <w:tblW w:w="0" w:type="auto"/>
          <w:tblLook w:val="04A0"/>
        </w:tblPrEx>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每个工作日</w:t>
            </w:r>
            <w:r>
              <w:rPr>
                <w:rFonts w:ascii="黑体" w:eastAsia="黑体" w:hAnsi="黑体" w:cs="黑体"/>
                <w:kern w:val="0"/>
                <w:szCs w:val="21"/>
              </w:rPr>
              <w:t>16:00-24:00</w:t>
            </w:r>
          </w:p>
        </w:tc>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发起日下一工作日</w:t>
            </w:r>
          </w:p>
        </w:tc>
        <w:tc>
          <w:tcPr>
            <w:tcW w:w="2766"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受理日下一工作日</w:t>
            </w:r>
          </w:p>
        </w:tc>
      </w:tr>
      <w:tr>
        <w:tblPrEx>
          <w:tblW w:w="0" w:type="auto"/>
          <w:tblLook w:val="04A0"/>
        </w:tblPrEx>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非工作日</w:t>
            </w:r>
            <w:r>
              <w:rPr>
                <w:rFonts w:ascii="黑体" w:eastAsia="黑体" w:hAnsi="黑体" w:cs="黑体"/>
                <w:kern w:val="0"/>
                <w:szCs w:val="21"/>
              </w:rPr>
              <w:t>0:00-24:00</w:t>
            </w:r>
          </w:p>
        </w:tc>
        <w:tc>
          <w:tcPr>
            <w:tcW w:w="2765"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发起日下一工作日</w:t>
            </w:r>
          </w:p>
        </w:tc>
        <w:tc>
          <w:tcPr>
            <w:tcW w:w="2766" w:type="dxa"/>
            <w:vAlign w:val="center"/>
          </w:tcPr>
          <w:p w:rsidR="008B0A7D">
            <w:pPr>
              <w:autoSpaceDE w:val="0"/>
              <w:autoSpaceDN w:val="0"/>
              <w:adjustRightInd w:val="0"/>
              <w:jc w:val="center"/>
              <w:rPr>
                <w:rFonts w:ascii="黑体" w:eastAsia="黑体" w:hAnsi="黑体" w:cs="黑体"/>
                <w:kern w:val="0"/>
                <w:szCs w:val="21"/>
              </w:rPr>
            </w:pPr>
            <w:r>
              <w:rPr>
                <w:rFonts w:ascii="黑体" w:eastAsia="黑体" w:hAnsi="黑体" w:cs="黑体" w:hint="eastAsia"/>
                <w:kern w:val="0"/>
                <w:szCs w:val="21"/>
              </w:rPr>
              <w:t>受理日下一工作日</w:t>
            </w:r>
          </w:p>
        </w:tc>
      </w:tr>
    </w:tbl>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b/>
          <w:kern w:val="0"/>
          <w:szCs w:val="21"/>
        </w:rPr>
        <w:t>具体赎回确认时间以销售机构展示为准，在途期间投资者资金不计息。</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hint="eastAsia"/>
          <w:b/>
          <w:kern w:val="0"/>
        </w:rPr>
        <w:t>赎回价格采用</w:t>
      </w:r>
      <w:r>
        <w:rPr>
          <w:rFonts w:ascii="黑体" w:eastAsia="黑体" w:hAnsi="黑体" w:cs="黑体" w:hint="eastAsia"/>
          <w:b/>
          <w:kern w:val="0"/>
          <w:szCs w:val="21"/>
        </w:rPr>
        <w:t>赎回受理日</w:t>
      </w:r>
      <w:r>
        <w:rPr>
          <w:rFonts w:ascii="黑体" w:eastAsia="黑体" w:hAnsi="黑体" w:hint="eastAsia"/>
          <w:b/>
          <w:kern w:val="0"/>
        </w:rPr>
        <w:t>的产品净值。</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hint="eastAsia"/>
          <w:kern w:val="0"/>
          <w:szCs w:val="21"/>
        </w:rPr>
        <w:t>、投资者</w:t>
      </w:r>
      <w:r>
        <w:rPr>
          <w:rFonts w:ascii="黑体" w:eastAsia="黑体" w:hAnsi="黑体" w:cs="黑体"/>
          <w:kern w:val="0"/>
          <w:szCs w:val="21"/>
        </w:rPr>
        <w:t>持有</w:t>
      </w:r>
      <w:r>
        <w:rPr>
          <w:rFonts w:ascii="黑体" w:eastAsia="黑体" w:hAnsi="黑体" w:cs="黑体" w:hint="eastAsia"/>
          <w:kern w:val="0"/>
          <w:szCs w:val="21"/>
        </w:rPr>
        <w:t>本产品</w:t>
      </w:r>
      <w:r>
        <w:rPr>
          <w:rFonts w:ascii="黑体" w:eastAsia="黑体" w:hAnsi="黑体" w:cs="黑体"/>
          <w:kern w:val="0"/>
          <w:szCs w:val="21"/>
        </w:rPr>
        <w:t>份额根据</w:t>
      </w:r>
      <w:r>
        <w:rPr>
          <w:rFonts w:ascii="黑体" w:eastAsia="黑体" w:hAnsi="黑体" w:cs="黑体" w:hint="eastAsia"/>
          <w:kern w:val="0"/>
          <w:szCs w:val="21"/>
        </w:rPr>
        <w:t>认（申）</w:t>
      </w:r>
      <w:r>
        <w:rPr>
          <w:rFonts w:ascii="黑体" w:eastAsia="黑体" w:hAnsi="黑体" w:cs="黑体"/>
          <w:kern w:val="0"/>
          <w:szCs w:val="21"/>
        </w:rPr>
        <w:t>购交易</w:t>
      </w:r>
      <w:r>
        <w:rPr>
          <w:rFonts w:ascii="黑体" w:eastAsia="黑体" w:hAnsi="黑体" w:cs="黑体" w:hint="eastAsia"/>
          <w:kern w:val="0"/>
          <w:szCs w:val="21"/>
        </w:rPr>
        <w:t>记录逐</w:t>
      </w:r>
      <w:r>
        <w:rPr>
          <w:rFonts w:ascii="黑体" w:eastAsia="黑体" w:hAnsi="黑体" w:cs="黑体"/>
          <w:kern w:val="0"/>
          <w:szCs w:val="21"/>
        </w:rPr>
        <w:t>笔</w:t>
      </w:r>
      <w:r>
        <w:rPr>
          <w:rFonts w:ascii="黑体" w:eastAsia="黑体" w:hAnsi="黑体" w:cs="黑体" w:hint="eastAsia"/>
          <w:kern w:val="0"/>
          <w:szCs w:val="21"/>
        </w:rPr>
        <w:t>列出</w:t>
      </w:r>
      <w:r>
        <w:rPr>
          <w:rFonts w:ascii="黑体" w:eastAsia="黑体" w:hAnsi="黑体" w:cs="黑体"/>
          <w:kern w:val="0"/>
          <w:szCs w:val="21"/>
        </w:rPr>
        <w:t>，</w:t>
      </w:r>
      <w:r>
        <w:rPr>
          <w:rFonts w:ascii="黑体" w:eastAsia="黑体" w:hAnsi="黑体" w:cs="黑体" w:hint="eastAsia"/>
          <w:kern w:val="0"/>
          <w:szCs w:val="21"/>
        </w:rPr>
        <w:t>投资者</w:t>
      </w:r>
      <w:r>
        <w:rPr>
          <w:rFonts w:ascii="黑体" w:eastAsia="黑体" w:hAnsi="黑体" w:cs="黑体"/>
          <w:kern w:val="0"/>
          <w:szCs w:val="21"/>
        </w:rPr>
        <w:t>可选择</w:t>
      </w:r>
      <w:r>
        <w:rPr>
          <w:rFonts w:ascii="黑体" w:eastAsia="黑体" w:hAnsi="黑体" w:cs="黑体" w:hint="eastAsia"/>
          <w:kern w:val="0"/>
          <w:szCs w:val="21"/>
        </w:rPr>
        <w:t>相应</w:t>
      </w:r>
      <w:r>
        <w:rPr>
          <w:rFonts w:ascii="黑体" w:eastAsia="黑体" w:hAnsi="黑体" w:cs="黑体"/>
          <w:kern w:val="0"/>
          <w:szCs w:val="21"/>
        </w:rPr>
        <w:t>的份额进行赎回</w:t>
      </w:r>
      <w:r>
        <w:rPr>
          <w:rFonts w:ascii="黑体" w:eastAsia="黑体" w:hAnsi="黑体" w:cs="黑体" w:hint="eastAsia"/>
          <w:kern w:val="0"/>
          <w:szCs w:val="21"/>
        </w:rPr>
        <w:t>，或</w:t>
      </w:r>
      <w:r>
        <w:rPr>
          <w:rFonts w:ascii="黑体" w:eastAsia="黑体" w:hAnsi="黑体" w:cs="黑体"/>
          <w:kern w:val="0"/>
          <w:szCs w:val="21"/>
        </w:rPr>
        <w:t>遵循</w:t>
      </w:r>
      <w:r>
        <w:rPr>
          <w:rFonts w:ascii="黑体" w:eastAsia="黑体" w:hAnsi="黑体" w:cs="黑体"/>
          <w:kern w:val="0"/>
          <w:szCs w:val="21"/>
        </w:rPr>
        <w:t>“</w:t>
      </w:r>
      <w:r>
        <w:rPr>
          <w:rFonts w:ascii="黑体" w:eastAsia="黑体" w:hAnsi="黑体" w:cs="黑体"/>
          <w:kern w:val="0"/>
          <w:szCs w:val="21"/>
        </w:rPr>
        <w:t>先进先出</w:t>
      </w:r>
      <w:r>
        <w:rPr>
          <w:rFonts w:ascii="黑体" w:eastAsia="黑体" w:hAnsi="黑体" w:cs="黑体"/>
          <w:kern w:val="0"/>
          <w:szCs w:val="21"/>
        </w:rPr>
        <w:t>”</w:t>
      </w:r>
      <w:r>
        <w:rPr>
          <w:rFonts w:ascii="黑体" w:eastAsia="黑体" w:hAnsi="黑体" w:cs="黑体"/>
          <w:kern w:val="0"/>
          <w:szCs w:val="21"/>
        </w:rPr>
        <w:t>原则，即按照投资者持有该理财份额的先后次序进行顺序赎回</w:t>
      </w:r>
      <w:r>
        <w:rPr>
          <w:rFonts w:ascii="黑体" w:eastAsia="黑体" w:hAnsi="黑体" w:cs="黑体" w:hint="eastAsia"/>
          <w:kern w:val="0"/>
          <w:szCs w:val="21"/>
        </w:rPr>
        <w:t>，具体以销售机构实际展示或处理为准</w:t>
      </w:r>
      <w:r>
        <w:rPr>
          <w:rFonts w:ascii="黑体" w:eastAsia="黑体" w:hAnsi="黑体" w:cs="黑体"/>
          <w:kern w:val="0"/>
          <w:szCs w:val="21"/>
        </w:rPr>
        <w:t>。</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3</w:t>
      </w:r>
      <w:r>
        <w:rPr>
          <w:rFonts w:ascii="黑体" w:eastAsia="黑体" w:hAnsi="黑体" w:cs="黑体" w:hint="eastAsia"/>
          <w:kern w:val="0"/>
          <w:szCs w:val="21"/>
        </w:rPr>
        <w:t>、产品采用份额赎回规则</w:t>
      </w:r>
      <w:r>
        <w:rPr>
          <w:rFonts w:ascii="黑体" w:eastAsia="黑体" w:hAnsi="黑体" w:cs="黑体"/>
          <w:kern w:val="0"/>
          <w:szCs w:val="21"/>
        </w:rPr>
        <w:t>，</w:t>
      </w:r>
      <w:r>
        <w:rPr>
          <w:rFonts w:ascii="黑体" w:eastAsia="黑体" w:hAnsi="黑体" w:cs="黑体" w:hint="eastAsia"/>
          <w:kern w:val="0"/>
          <w:szCs w:val="21"/>
        </w:rPr>
        <w:t>即赎回以份额确定投资者</w:t>
      </w:r>
      <w:r>
        <w:rPr>
          <w:rFonts w:ascii="黑体" w:eastAsia="黑体" w:hAnsi="黑体" w:cs="黑体"/>
          <w:kern w:val="0"/>
          <w:szCs w:val="21"/>
        </w:rPr>
        <w:t>对应的</w:t>
      </w:r>
      <w:r>
        <w:rPr>
          <w:rFonts w:ascii="黑体" w:eastAsia="黑体" w:hAnsi="黑体" w:cs="黑体" w:hint="eastAsia"/>
          <w:kern w:val="0"/>
          <w:szCs w:val="21"/>
        </w:rPr>
        <w:t>产品金额</w:t>
      </w:r>
      <w:r>
        <w:rPr>
          <w:rFonts w:ascii="黑体" w:eastAsia="黑体" w:hAnsi="黑体" w:cs="黑体"/>
          <w:kern w:val="0"/>
          <w:szCs w:val="21"/>
        </w:rPr>
        <w:t>。</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kern w:val="0"/>
          <w:szCs w:val="21"/>
        </w:rPr>
        <w:t>4</w:t>
      </w:r>
      <w:r>
        <w:rPr>
          <w:rFonts w:ascii="黑体" w:eastAsia="黑体" w:hAnsi="黑体" w:cs="黑体"/>
          <w:kern w:val="0"/>
          <w:szCs w:val="21"/>
        </w:rPr>
        <w:t>、产品到期日时，</w:t>
      </w:r>
      <w:r>
        <w:rPr>
          <w:rFonts w:ascii="黑体" w:eastAsia="黑体" w:hAnsi="黑体" w:cs="黑体" w:hint="eastAsia"/>
          <w:kern w:val="0"/>
          <w:szCs w:val="21"/>
        </w:rPr>
        <w:t>投资者持有的理财份额将在产品到期日全部自动赎回，</w:t>
      </w:r>
      <w:r>
        <w:rPr>
          <w:rFonts w:ascii="黑体" w:eastAsia="黑体" w:hAnsi="黑体" w:cs="黑体" w:hint="eastAsia"/>
          <w:b/>
          <w:kern w:val="0"/>
          <w:szCs w:val="21"/>
        </w:rPr>
        <w:t>赎回价格采用到期时的产品净值。</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5</w:t>
      </w:r>
      <w:r>
        <w:rPr>
          <w:rFonts w:ascii="黑体" w:eastAsia="黑体" w:hAnsi="黑体" w:cs="黑体" w:hint="eastAsia"/>
          <w:b/>
          <w:kern w:val="0"/>
          <w:szCs w:val="21"/>
        </w:rPr>
        <w:t>、产品存续期内，若出现以下情况，产品</w:t>
      </w:r>
      <w:r>
        <w:rPr>
          <w:rFonts w:ascii="黑体" w:eastAsia="黑体" w:hAnsi="黑体" w:cs="黑体"/>
          <w:b/>
          <w:kern w:val="0"/>
          <w:szCs w:val="21"/>
        </w:rPr>
        <w:t>管理人</w:t>
      </w:r>
      <w:r>
        <w:rPr>
          <w:rFonts w:ascii="黑体" w:eastAsia="黑体" w:hAnsi="黑体" w:cs="黑体" w:hint="eastAsia"/>
          <w:b/>
          <w:kern w:val="0"/>
          <w:szCs w:val="21"/>
        </w:rPr>
        <w:t>有权拒绝或暂停接受投资者的全部或部分赎回申请：</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w:t>
      </w:r>
      <w:r>
        <w:rPr>
          <w:rFonts w:ascii="黑体" w:eastAsia="黑体" w:hAnsi="黑体" w:cs="黑体"/>
          <w:kern w:val="0"/>
          <w:szCs w:val="21"/>
        </w:rPr>
        <w:t>1</w:t>
      </w:r>
      <w:r>
        <w:rPr>
          <w:rFonts w:ascii="黑体" w:eastAsia="黑体" w:hAnsi="黑体" w:cs="黑体"/>
          <w:kern w:val="0"/>
          <w:szCs w:val="21"/>
        </w:rPr>
        <w:t>）因不可抗力导致</w:t>
      </w:r>
      <w:r>
        <w:rPr>
          <w:rFonts w:ascii="黑体" w:eastAsia="黑体" w:hAnsi="黑体" w:cs="黑体" w:hint="eastAsia"/>
          <w:kern w:val="0"/>
          <w:szCs w:val="21"/>
        </w:rPr>
        <w:t>产品管理机构无法接受投资者赎回申请；</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w:t>
      </w:r>
      <w:r>
        <w:rPr>
          <w:rFonts w:ascii="黑体" w:eastAsia="黑体" w:hAnsi="黑体" w:cs="黑体"/>
          <w:kern w:val="0"/>
          <w:szCs w:val="21"/>
        </w:rPr>
        <w:t>2</w:t>
      </w:r>
      <w:r>
        <w:rPr>
          <w:rFonts w:ascii="黑体" w:eastAsia="黑体" w:hAnsi="黑体" w:cs="黑体" w:hint="eastAsia"/>
          <w:kern w:val="0"/>
          <w:szCs w:val="21"/>
        </w:rPr>
        <w:t>）产品</w:t>
      </w:r>
      <w:r>
        <w:rPr>
          <w:rFonts w:ascii="黑体" w:eastAsia="黑体" w:hAnsi="黑体" w:cs="黑体"/>
          <w:kern w:val="0"/>
          <w:szCs w:val="21"/>
        </w:rPr>
        <w:t>所投资</w:t>
      </w:r>
      <w:r>
        <w:rPr>
          <w:rFonts w:ascii="黑体" w:eastAsia="黑体" w:hAnsi="黑体" w:cs="黑体" w:hint="eastAsia"/>
          <w:kern w:val="0"/>
          <w:szCs w:val="21"/>
        </w:rPr>
        <w:t>资产无法及时、足额变现；</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w:t>
      </w:r>
      <w:r>
        <w:rPr>
          <w:rFonts w:ascii="黑体" w:eastAsia="黑体" w:hAnsi="黑体" w:cs="黑体"/>
          <w:kern w:val="0"/>
          <w:szCs w:val="21"/>
        </w:rPr>
        <w:t>3</w:t>
      </w:r>
      <w:r>
        <w:rPr>
          <w:rFonts w:ascii="黑体" w:eastAsia="黑体" w:hAnsi="黑体" w:cs="黑体" w:hint="eastAsia"/>
          <w:kern w:val="0"/>
          <w:szCs w:val="21"/>
        </w:rPr>
        <w:t>）触发</w:t>
      </w:r>
      <w:r>
        <w:rPr>
          <w:rFonts w:ascii="黑体" w:eastAsia="黑体" w:hAnsi="黑体" w:cs="黑体"/>
          <w:kern w:val="0"/>
          <w:szCs w:val="21"/>
        </w:rPr>
        <w:t>巨额赎回情形</w:t>
      </w:r>
      <w:r>
        <w:rPr>
          <w:rFonts w:ascii="黑体" w:eastAsia="黑体" w:hAnsi="黑体" w:cs="黑体" w:hint="eastAsia"/>
          <w:kern w:val="0"/>
          <w:szCs w:val="21"/>
        </w:rPr>
        <w:t>（</w:t>
      </w:r>
      <w:r>
        <w:rPr>
          <w:rFonts w:ascii="黑体" w:eastAsia="黑体" w:hAnsi="黑体" w:cs="黑体"/>
          <w:kern w:val="0"/>
          <w:szCs w:val="21"/>
        </w:rPr>
        <w:t>详见</w:t>
      </w:r>
      <w:r>
        <w:rPr>
          <w:rFonts w:ascii="黑体" w:eastAsia="黑体" w:hAnsi="黑体" w:cs="黑体" w:hint="eastAsia"/>
          <w:kern w:val="0"/>
          <w:szCs w:val="21"/>
        </w:rPr>
        <w:t>本</w:t>
      </w:r>
      <w:r>
        <w:rPr>
          <w:rFonts w:ascii="黑体" w:eastAsia="黑体" w:hAnsi="黑体" w:cs="黑体"/>
          <w:kern w:val="0"/>
          <w:szCs w:val="21"/>
        </w:rPr>
        <w:t>节第</w:t>
      </w:r>
      <w:r>
        <w:rPr>
          <w:rFonts w:ascii="黑体" w:eastAsia="黑体" w:hAnsi="黑体" w:cs="黑体" w:hint="eastAsia"/>
          <w:kern w:val="0"/>
          <w:szCs w:val="21"/>
        </w:rPr>
        <w:t>五</w:t>
      </w:r>
      <w:r>
        <w:rPr>
          <w:rFonts w:ascii="黑体" w:eastAsia="黑体" w:hAnsi="黑体" w:cs="黑体"/>
          <w:kern w:val="0"/>
          <w:szCs w:val="21"/>
        </w:rPr>
        <w:t>部分）</w:t>
      </w:r>
      <w:r>
        <w:rPr>
          <w:rFonts w:ascii="黑体" w:eastAsia="黑体" w:hAnsi="黑体" w:cs="黑体" w:hint="eastAsia"/>
          <w:kern w:val="0"/>
          <w:szCs w:val="21"/>
        </w:rPr>
        <w:t>；</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w:t>
      </w:r>
      <w:r>
        <w:rPr>
          <w:rFonts w:ascii="黑体" w:eastAsia="黑体" w:hAnsi="黑体" w:cs="黑体"/>
          <w:kern w:val="0"/>
          <w:szCs w:val="21"/>
        </w:rPr>
        <w:t>4</w:t>
      </w:r>
      <w:r>
        <w:rPr>
          <w:rFonts w:ascii="黑体" w:eastAsia="黑体" w:hAnsi="黑体" w:cs="黑体" w:hint="eastAsia"/>
          <w:kern w:val="0"/>
          <w:szCs w:val="21"/>
        </w:rPr>
        <w:t>）法律、法规或相关监管认定的其他情形。</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6</w:t>
      </w:r>
      <w:r>
        <w:rPr>
          <w:rFonts w:ascii="黑体" w:eastAsia="黑体" w:hAnsi="黑体" w:cs="黑体" w:hint="eastAsia"/>
          <w:kern w:val="0"/>
          <w:szCs w:val="21"/>
        </w:rPr>
        <w:t>、</w:t>
      </w:r>
      <w:r>
        <w:rPr>
          <w:rFonts w:ascii="黑体" w:eastAsia="黑体" w:hAnsi="黑体" w:cs="黑体"/>
          <w:kern w:val="0"/>
          <w:szCs w:val="21"/>
        </w:rPr>
        <w:t>其他</w:t>
      </w:r>
      <w:r>
        <w:rPr>
          <w:rFonts w:ascii="黑体" w:eastAsia="黑体" w:hAnsi="黑体" w:cs="黑体" w:hint="eastAsia"/>
          <w:kern w:val="0"/>
          <w:szCs w:val="21"/>
        </w:rPr>
        <w:t>：无</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（三</w:t>
      </w:r>
      <w:r>
        <w:rPr>
          <w:rFonts w:ascii="黑体" w:eastAsia="黑体" w:hAnsi="黑体" w:cs="宋体"/>
          <w:kern w:val="0"/>
          <w:szCs w:val="21"/>
        </w:rPr>
        <w:t>）产品净值公布方式</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w:t>
      </w:r>
      <w:r>
        <w:rPr>
          <w:rFonts w:ascii="黑体" w:eastAsia="黑体" w:hAnsi="黑体" w:cs="黑体" w:hint="eastAsia"/>
          <w:kern w:val="0"/>
          <w:szCs w:val="21"/>
        </w:rPr>
        <w:t>产品净值</w:t>
      </w:r>
      <w:r>
        <w:rPr>
          <w:rFonts w:ascii="黑体" w:eastAsia="黑体" w:hAnsi="黑体" w:cs="黑体"/>
          <w:kern w:val="0"/>
          <w:szCs w:val="21"/>
        </w:rPr>
        <w:t>的计算按照四舍五入原则，保留至小数点后</w:t>
      </w:r>
      <w:r>
        <w:rPr>
          <w:rFonts w:ascii="黑体" w:eastAsia="黑体" w:hAnsi="黑体" w:cs="黑体"/>
          <w:kern w:val="0"/>
          <w:szCs w:val="21"/>
        </w:rPr>
        <w:t>6</w:t>
      </w:r>
      <w:r>
        <w:rPr>
          <w:rFonts w:ascii="黑体" w:eastAsia="黑体" w:hAnsi="黑体" w:cs="黑体" w:hint="eastAsia"/>
          <w:kern w:val="0"/>
          <w:szCs w:val="21"/>
        </w:rPr>
        <w:t>位</w:t>
      </w:r>
      <w:r>
        <w:rPr>
          <w:rFonts w:ascii="黑体" w:eastAsia="黑体" w:hAnsi="黑体" w:cs="黑体"/>
          <w:kern w:val="0"/>
          <w:szCs w:val="21"/>
        </w:rPr>
        <w:t>。单位</w:t>
      </w:r>
      <w:r>
        <w:rPr>
          <w:rFonts w:ascii="黑体" w:eastAsia="黑体" w:hAnsi="黑体" w:cs="黑体" w:hint="eastAsia"/>
          <w:kern w:val="0"/>
          <w:szCs w:val="21"/>
        </w:rPr>
        <w:t>净值</w:t>
      </w:r>
      <w:r>
        <w:rPr>
          <w:rFonts w:ascii="黑体" w:eastAsia="黑体" w:hAnsi="黑体" w:cs="黑体"/>
          <w:kern w:val="0"/>
          <w:szCs w:val="21"/>
        </w:rPr>
        <w:t>为</w:t>
      </w:r>
      <w:r>
        <w:rPr>
          <w:rFonts w:ascii="黑体" w:eastAsia="黑体" w:hAnsi="黑体" w:cs="黑体" w:hint="eastAsia"/>
          <w:kern w:val="0"/>
          <w:szCs w:val="21"/>
        </w:rPr>
        <w:t>扣除固定管理费、销售服务费、托管</w:t>
      </w:r>
      <w:r>
        <w:rPr>
          <w:rFonts w:ascii="黑体" w:hAnsi="黑体" w:hint="eastAsia"/>
          <w:kern w:val="0"/>
        </w:rPr>
        <w:t>费</w:t>
      </w:r>
      <w:r>
        <w:rPr>
          <w:rFonts w:ascii="黑体" w:eastAsia="黑体" w:hAnsi="黑体" w:cs="黑体" w:hint="eastAsia"/>
          <w:kern w:val="0"/>
          <w:szCs w:val="21"/>
        </w:rPr>
        <w:t>、产品运作和清算中产生的其他费用、产品运营中发生的增值税及附加税费等费用</w:t>
      </w:r>
      <w:r>
        <w:rPr>
          <w:rFonts w:ascii="黑体" w:eastAsia="黑体" w:hAnsi="黑体" w:hint="eastAsia"/>
          <w:kern w:val="0"/>
        </w:rPr>
        <w:t>后</w:t>
      </w:r>
      <w:r>
        <w:rPr>
          <w:rFonts w:ascii="黑体" w:eastAsia="黑体" w:hAnsi="黑体" w:cs="黑体"/>
          <w:kern w:val="0"/>
          <w:szCs w:val="21"/>
        </w:rPr>
        <w:t>的单位产品净值。</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hint="eastAsia"/>
          <w:b/>
          <w:kern w:val="0"/>
        </w:rPr>
        <w:t>本产品成立后，每个产品开放日披露前一工作日的净值信息</w:t>
      </w:r>
      <w:r>
        <w:rPr>
          <w:rFonts w:ascii="黑体" w:eastAsia="黑体" w:hAnsi="黑体" w:cs="黑体" w:hint="eastAsia"/>
          <w:b/>
          <w:kern w:val="0"/>
          <w:szCs w:val="21"/>
        </w:rPr>
        <w:t>，</w:t>
      </w:r>
      <w:r>
        <w:rPr>
          <w:rFonts w:ascii="黑体" w:eastAsia="黑体" w:hAnsi="黑体" w:cs="黑体" w:hint="eastAsia"/>
          <w:kern w:val="0"/>
          <w:szCs w:val="21"/>
        </w:rPr>
        <w:t>每个产品开放日结束后</w:t>
      </w:r>
      <w:r>
        <w:rPr>
          <w:rFonts w:ascii="黑体" w:eastAsia="黑体" w:hAnsi="黑体" w:cs="黑体"/>
          <w:kern w:val="0"/>
          <w:szCs w:val="21"/>
        </w:rPr>
        <w:t>2</w:t>
      </w:r>
      <w:r>
        <w:rPr>
          <w:rFonts w:ascii="黑体" w:eastAsia="黑体" w:hAnsi="黑体" w:cs="黑体" w:hint="eastAsia"/>
          <w:kern w:val="0"/>
          <w:szCs w:val="21"/>
        </w:rPr>
        <w:t>个工作日内公告该产品开放日的产品净值、</w:t>
      </w:r>
      <w:r>
        <w:rPr>
          <w:rFonts w:ascii="黑体" w:eastAsia="黑体" w:hAnsi="黑体" w:cs="黑体"/>
          <w:kern w:val="0"/>
          <w:szCs w:val="21"/>
        </w:rPr>
        <w:t>申购和赎回价格</w:t>
      </w:r>
      <w:r>
        <w:rPr>
          <w:rFonts w:ascii="黑体" w:eastAsia="黑体" w:hAnsi="黑体" w:cs="黑体" w:hint="eastAsia"/>
          <w:kern w:val="0"/>
          <w:szCs w:val="21"/>
        </w:rPr>
        <w:t>。如有</w:t>
      </w:r>
      <w:r>
        <w:rPr>
          <w:rFonts w:ascii="黑体" w:eastAsia="黑体" w:hAnsi="黑体" w:cs="黑体"/>
          <w:kern w:val="0"/>
          <w:szCs w:val="21"/>
        </w:rPr>
        <w:t>其它</w:t>
      </w:r>
      <w:r>
        <w:rPr>
          <w:rFonts w:ascii="黑体" w:eastAsia="黑体" w:hAnsi="黑体" w:cs="黑体" w:hint="eastAsia"/>
          <w:kern w:val="0"/>
          <w:szCs w:val="21"/>
        </w:rPr>
        <w:t>特殊情况的</w:t>
      </w:r>
      <w:r>
        <w:rPr>
          <w:rFonts w:ascii="黑体" w:eastAsia="黑体" w:hAnsi="黑体" w:cs="黑体"/>
          <w:kern w:val="0"/>
          <w:szCs w:val="21"/>
        </w:rPr>
        <w:t>，以</w:t>
      </w:r>
      <w:r>
        <w:rPr>
          <w:rFonts w:ascii="黑体" w:eastAsia="黑体" w:hAnsi="黑体" w:cs="黑体" w:hint="eastAsia"/>
          <w:kern w:val="0"/>
          <w:szCs w:val="21"/>
        </w:rPr>
        <w:t>产品管理人</w:t>
      </w:r>
      <w:r>
        <w:rPr>
          <w:rFonts w:ascii="黑体" w:eastAsia="黑体" w:hAnsi="黑体" w:cs="黑体"/>
          <w:kern w:val="0"/>
          <w:szCs w:val="21"/>
        </w:rPr>
        <w:t>公告</w:t>
      </w:r>
      <w:r>
        <w:rPr>
          <w:rFonts w:ascii="黑体" w:eastAsia="黑体" w:hAnsi="黑体" w:cs="黑体" w:hint="eastAsia"/>
          <w:kern w:val="0"/>
          <w:szCs w:val="21"/>
        </w:rPr>
        <w:t>为准</w:t>
      </w:r>
      <w:r>
        <w:rPr>
          <w:rFonts w:ascii="黑体" w:eastAsia="黑体" w:hAnsi="黑体" w:cs="黑体"/>
          <w:kern w:val="0"/>
          <w:szCs w:val="21"/>
        </w:rPr>
        <w:t>。</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kern w:val="0"/>
          <w:szCs w:val="21"/>
        </w:rPr>
        <w:t>、其他：</w:t>
      </w:r>
      <w:r>
        <w:rPr>
          <w:rFonts w:ascii="黑体" w:eastAsia="黑体" w:hAnsi="黑体" w:cs="黑体" w:hint="eastAsia"/>
          <w:kern w:val="0"/>
          <w:szCs w:val="21"/>
        </w:rPr>
        <w:t>若产品开放日后一个工作日遇非工作日，则产品开放日的相关净值信息在开放日申赎交易确认当日日终前披露</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（四</w:t>
      </w:r>
      <w:r>
        <w:rPr>
          <w:rFonts w:ascii="黑体" w:eastAsia="黑体" w:hAnsi="黑体" w:cs="宋体"/>
          <w:kern w:val="0"/>
          <w:szCs w:val="21"/>
        </w:rPr>
        <w:t>）</w:t>
      </w:r>
      <w:r>
        <w:rPr>
          <w:rFonts w:ascii="黑体" w:eastAsia="黑体" w:hAnsi="黑体" w:cs="宋体" w:hint="eastAsia"/>
          <w:kern w:val="0"/>
          <w:szCs w:val="21"/>
        </w:rPr>
        <w:t>投资者持有份额及金额计算规则</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、计算规则</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认购确认份额</w:t>
      </w:r>
      <w:r>
        <w:rPr>
          <w:rFonts w:ascii="黑体" w:eastAsia="黑体" w:hAnsi="黑体" w:cs="黑体"/>
          <w:b/>
          <w:kern w:val="0"/>
          <w:szCs w:val="21"/>
        </w:rPr>
        <w:t>=</w:t>
      </w:r>
      <w:r>
        <w:rPr>
          <w:rFonts w:ascii="黑体" w:eastAsia="黑体" w:hAnsi="黑体" w:cs="黑体" w:hint="eastAsia"/>
          <w:b/>
          <w:kern w:val="0"/>
          <w:szCs w:val="21"/>
        </w:rPr>
        <w:t>认购金额</w:t>
      </w:r>
      <w:r>
        <w:rPr>
          <w:rFonts w:ascii="黑体" w:eastAsia="黑体" w:hAnsi="黑体" w:cs="黑体"/>
          <w:b/>
          <w:kern w:val="0"/>
          <w:szCs w:val="21"/>
        </w:rPr>
        <w:t>/</w:t>
      </w:r>
      <w:r>
        <w:rPr>
          <w:rFonts w:ascii="黑体" w:eastAsia="黑体" w:hAnsi="黑体" w:cs="黑体" w:hint="eastAsia"/>
          <w:b/>
          <w:kern w:val="0"/>
          <w:szCs w:val="21"/>
        </w:rPr>
        <w:t>认购价格</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申购确认份额</w:t>
      </w:r>
      <w:r>
        <w:rPr>
          <w:rFonts w:ascii="黑体" w:eastAsia="黑体" w:hAnsi="黑体" w:cs="黑体"/>
          <w:b/>
          <w:kern w:val="0"/>
          <w:szCs w:val="21"/>
        </w:rPr>
        <w:t>=</w:t>
      </w:r>
      <w:r>
        <w:rPr>
          <w:rFonts w:ascii="黑体" w:eastAsia="黑体" w:hAnsi="黑体" w:cs="黑体" w:hint="eastAsia"/>
          <w:b/>
          <w:kern w:val="0"/>
          <w:szCs w:val="21"/>
        </w:rPr>
        <w:t>申购金额</w:t>
      </w:r>
      <w:r>
        <w:rPr>
          <w:rFonts w:ascii="黑体" w:eastAsia="黑体" w:hAnsi="黑体" w:cs="黑体"/>
          <w:b/>
          <w:kern w:val="0"/>
          <w:szCs w:val="21"/>
        </w:rPr>
        <w:t>/</w:t>
      </w:r>
      <w:r>
        <w:rPr>
          <w:rFonts w:ascii="黑体" w:eastAsia="黑体" w:hAnsi="黑体" w:cs="黑体" w:hint="eastAsia"/>
          <w:b/>
          <w:kern w:val="0"/>
          <w:szCs w:val="21"/>
        </w:rPr>
        <w:t>申购价格</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赎回确认金额</w:t>
      </w:r>
      <w:r>
        <w:rPr>
          <w:rFonts w:ascii="黑体" w:eastAsia="黑体" w:hAnsi="黑体" w:cs="黑体"/>
          <w:b/>
          <w:kern w:val="0"/>
          <w:szCs w:val="21"/>
        </w:rPr>
        <w:t>=</w:t>
      </w:r>
      <w:r>
        <w:rPr>
          <w:rFonts w:ascii="黑体" w:eastAsia="黑体" w:hAnsi="黑体" w:cs="黑体" w:hint="eastAsia"/>
          <w:b/>
          <w:kern w:val="0"/>
          <w:szCs w:val="21"/>
        </w:rPr>
        <w:t>赎回份额</w:t>
      </w:r>
      <w:r>
        <w:rPr>
          <w:rFonts w:ascii="黑体" w:eastAsia="黑体" w:hAnsi="黑体" w:cs="黑体"/>
          <w:b/>
          <w:kern w:val="0"/>
          <w:szCs w:val="21"/>
        </w:rPr>
        <w:t>*</w:t>
      </w:r>
      <w:r>
        <w:rPr>
          <w:rFonts w:ascii="黑体" w:eastAsia="黑体" w:hAnsi="黑体" w:cs="黑体" w:hint="eastAsia"/>
          <w:b/>
          <w:kern w:val="0"/>
          <w:szCs w:val="21"/>
        </w:rPr>
        <w:t>赎回价格</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计算得出</w:t>
      </w:r>
      <w:r>
        <w:rPr>
          <w:rFonts w:ascii="黑体" w:eastAsia="黑体" w:hAnsi="黑体" w:cs="黑体"/>
          <w:kern w:val="0"/>
          <w:szCs w:val="21"/>
        </w:rPr>
        <w:t>的</w:t>
      </w:r>
      <w:r>
        <w:rPr>
          <w:rFonts w:ascii="黑体" w:eastAsia="黑体" w:hAnsi="黑体" w:cs="黑体" w:hint="eastAsia"/>
          <w:kern w:val="0"/>
          <w:szCs w:val="21"/>
        </w:rPr>
        <w:t>金额采取四舍五入后精确到小数点后</w:t>
      </w:r>
      <w:r>
        <w:rPr>
          <w:rFonts w:ascii="黑体" w:eastAsia="黑体" w:hAnsi="黑体" w:cs="黑体"/>
          <w:kern w:val="0"/>
          <w:szCs w:val="21"/>
        </w:rPr>
        <w:t>2</w:t>
      </w:r>
      <w:r>
        <w:rPr>
          <w:rFonts w:ascii="黑体" w:eastAsia="黑体" w:hAnsi="黑体" w:cs="黑体"/>
          <w:kern w:val="0"/>
          <w:szCs w:val="21"/>
        </w:rPr>
        <w:t>位</w:t>
      </w:r>
      <w:r>
        <w:rPr>
          <w:rFonts w:ascii="黑体" w:eastAsia="黑体" w:hAnsi="黑体" w:cs="黑体" w:hint="eastAsia"/>
          <w:kern w:val="0"/>
          <w:szCs w:val="21"/>
        </w:rPr>
        <w:t>或采取截位规则</w:t>
      </w:r>
      <w:r>
        <w:rPr>
          <w:rFonts w:ascii="黑体" w:eastAsia="黑体" w:hAnsi="黑体" w:cs="黑体"/>
          <w:kern w:val="0"/>
          <w:szCs w:val="21"/>
        </w:rPr>
        <w:t>，</w:t>
      </w:r>
      <w:r>
        <w:rPr>
          <w:rFonts w:ascii="黑体" w:eastAsia="黑体" w:hAnsi="黑体" w:cs="黑体" w:hint="eastAsia"/>
          <w:kern w:val="0"/>
          <w:szCs w:val="21"/>
        </w:rPr>
        <w:t>计算得出的份额采取四舍五入后精确到小数点后</w:t>
      </w:r>
      <w:r>
        <w:rPr>
          <w:rFonts w:ascii="黑体" w:eastAsia="黑体" w:hAnsi="黑体" w:cs="黑体" w:hint="eastAsia"/>
          <w:kern w:val="0"/>
          <w:szCs w:val="21"/>
        </w:rPr>
        <w:t>2</w:t>
      </w:r>
      <w:r>
        <w:rPr>
          <w:rFonts w:ascii="黑体" w:eastAsia="黑体" w:hAnsi="黑体" w:cs="黑体" w:hint="eastAsia"/>
          <w:kern w:val="0"/>
          <w:szCs w:val="21"/>
        </w:rPr>
        <w:t>位，具体以产品管理人实际确认为准。</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kern w:val="0"/>
          <w:szCs w:val="21"/>
        </w:rPr>
        <w:t>、计算示例</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情景</w:t>
      </w:r>
      <w:r>
        <w:rPr>
          <w:rFonts w:ascii="黑体" w:eastAsia="黑体" w:hAnsi="黑体" w:cs="黑体"/>
          <w:kern w:val="0"/>
          <w:szCs w:val="21"/>
        </w:rPr>
        <w:t>1</w:t>
      </w:r>
      <w:r>
        <w:rPr>
          <w:rFonts w:ascii="黑体" w:eastAsia="黑体" w:hAnsi="黑体" w:cs="黑体"/>
          <w:kern w:val="0"/>
          <w:szCs w:val="21"/>
        </w:rPr>
        <w:t>：假设投资者于募集期内认购本产品，投资本金为</w:t>
      </w:r>
      <w:r>
        <w:rPr>
          <w:rFonts w:ascii="黑体" w:eastAsia="黑体" w:hAnsi="黑体" w:cs="黑体"/>
          <w:kern w:val="0"/>
          <w:szCs w:val="21"/>
        </w:rPr>
        <w:t>100,000.00</w:t>
      </w:r>
      <w:r>
        <w:rPr>
          <w:rFonts w:ascii="黑体" w:eastAsia="黑体" w:hAnsi="黑体" w:cs="黑体" w:hint="eastAsia"/>
          <w:kern w:val="0"/>
          <w:szCs w:val="21"/>
        </w:rPr>
        <w:t>元人民币，购买价格为</w:t>
      </w:r>
      <w:r>
        <w:rPr>
          <w:rFonts w:ascii="黑体" w:eastAsia="黑体" w:hAnsi="黑体" w:cs="黑体"/>
          <w:kern w:val="0"/>
          <w:szCs w:val="21"/>
        </w:rPr>
        <w:t>1</w:t>
      </w:r>
      <w:r>
        <w:rPr>
          <w:rFonts w:ascii="黑体" w:eastAsia="黑体" w:hAnsi="黑体" w:cs="黑体"/>
          <w:kern w:val="0"/>
          <w:szCs w:val="21"/>
        </w:rPr>
        <w:t>元</w:t>
      </w:r>
      <w:r>
        <w:rPr>
          <w:rFonts w:ascii="黑体" w:eastAsia="黑体" w:hAnsi="黑体" w:cs="黑体"/>
          <w:kern w:val="0"/>
          <w:szCs w:val="21"/>
        </w:rPr>
        <w:t>/</w:t>
      </w:r>
      <w:r>
        <w:rPr>
          <w:rFonts w:ascii="黑体" w:eastAsia="黑体" w:hAnsi="黑体" w:cs="黑体"/>
          <w:kern w:val="0"/>
          <w:szCs w:val="21"/>
        </w:rPr>
        <w:t>份，则投资者认购确认份额为：</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认购确认份额</w:t>
      </w:r>
      <w:r>
        <w:rPr>
          <w:rFonts w:ascii="黑体" w:eastAsia="黑体" w:hAnsi="黑体" w:cs="黑体"/>
          <w:kern w:val="0"/>
          <w:szCs w:val="21"/>
        </w:rPr>
        <w:t>=100,000.00÷1=100,000.00</w:t>
      </w:r>
      <w:r>
        <w:rPr>
          <w:rFonts w:ascii="黑体" w:eastAsia="黑体" w:hAnsi="黑体" w:cs="黑体"/>
          <w:kern w:val="0"/>
          <w:szCs w:val="21"/>
        </w:rPr>
        <w:t>（份）</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情景</w:t>
      </w:r>
      <w:r>
        <w:rPr>
          <w:rFonts w:ascii="黑体" w:eastAsia="黑体" w:hAnsi="黑体" w:cs="黑体"/>
          <w:kern w:val="0"/>
          <w:szCs w:val="21"/>
        </w:rPr>
        <w:t>2</w:t>
      </w:r>
      <w:r>
        <w:rPr>
          <w:rFonts w:ascii="黑体" w:eastAsia="黑体" w:hAnsi="黑体" w:cs="黑体"/>
          <w:kern w:val="0"/>
          <w:szCs w:val="21"/>
        </w:rPr>
        <w:t>：假设投资者于产品存续期申购本产品，投资本金为</w:t>
      </w:r>
      <w:r>
        <w:rPr>
          <w:rFonts w:ascii="黑体" w:eastAsia="黑体" w:hAnsi="黑体" w:cs="黑体"/>
          <w:kern w:val="0"/>
          <w:szCs w:val="21"/>
        </w:rPr>
        <w:t>100,000.00</w:t>
      </w:r>
      <w:r>
        <w:rPr>
          <w:rFonts w:ascii="黑体" w:eastAsia="黑体" w:hAnsi="黑体" w:cs="黑体" w:hint="eastAsia"/>
          <w:kern w:val="0"/>
          <w:szCs w:val="21"/>
        </w:rPr>
        <w:t>元人民币，购买价格为</w:t>
      </w:r>
      <w:r>
        <w:rPr>
          <w:rFonts w:ascii="黑体" w:eastAsia="黑体" w:hAnsi="黑体" w:cs="黑体"/>
          <w:kern w:val="0"/>
          <w:szCs w:val="21"/>
        </w:rPr>
        <w:t>1.2</w:t>
      </w:r>
      <w:r>
        <w:rPr>
          <w:rFonts w:ascii="黑体" w:eastAsia="黑体" w:hAnsi="黑体" w:cs="黑体"/>
          <w:kern w:val="0"/>
          <w:szCs w:val="21"/>
        </w:rPr>
        <w:t>元</w:t>
      </w:r>
      <w:r>
        <w:rPr>
          <w:rFonts w:ascii="黑体" w:eastAsia="黑体" w:hAnsi="黑体" w:cs="黑体"/>
          <w:kern w:val="0"/>
          <w:szCs w:val="21"/>
        </w:rPr>
        <w:t>/</w:t>
      </w:r>
      <w:r>
        <w:rPr>
          <w:rFonts w:ascii="黑体" w:eastAsia="黑体" w:hAnsi="黑体" w:cs="黑体"/>
          <w:kern w:val="0"/>
          <w:szCs w:val="21"/>
        </w:rPr>
        <w:t>份，则投资者申购确认份额为：</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申购确认份</w:t>
      </w:r>
      <w:r>
        <w:rPr>
          <w:rFonts w:ascii="黑体" w:eastAsia="黑体" w:hAnsi="黑体" w:cs="黑体" w:hint="eastAsia"/>
          <w:kern w:val="0"/>
          <w:szCs w:val="21"/>
        </w:rPr>
        <w:t>额</w:t>
      </w:r>
      <w:r>
        <w:rPr>
          <w:rFonts w:ascii="黑体" w:eastAsia="黑体" w:hAnsi="黑体" w:cs="黑体"/>
          <w:kern w:val="0"/>
          <w:szCs w:val="21"/>
        </w:rPr>
        <w:t>=100,000.00÷1.2=83,333.33</w:t>
      </w:r>
      <w:r>
        <w:rPr>
          <w:rFonts w:ascii="黑体" w:eastAsia="黑体" w:hAnsi="黑体" w:cs="黑体"/>
          <w:kern w:val="0"/>
          <w:szCs w:val="21"/>
        </w:rPr>
        <w:t>（份）</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情景</w:t>
      </w:r>
      <w:r>
        <w:rPr>
          <w:rFonts w:ascii="黑体" w:eastAsia="黑体" w:hAnsi="黑体" w:cs="黑体"/>
          <w:kern w:val="0"/>
          <w:szCs w:val="21"/>
        </w:rPr>
        <w:t>3</w:t>
      </w:r>
      <w:r>
        <w:rPr>
          <w:rFonts w:ascii="黑体" w:eastAsia="黑体" w:hAnsi="黑体" w:cs="黑体"/>
          <w:kern w:val="0"/>
          <w:szCs w:val="21"/>
        </w:rPr>
        <w:t>：假设投资者某日赎回持有份额</w:t>
      </w:r>
      <w:r>
        <w:rPr>
          <w:rFonts w:ascii="黑体" w:eastAsia="黑体" w:hAnsi="黑体" w:cs="黑体"/>
          <w:kern w:val="0"/>
          <w:szCs w:val="21"/>
        </w:rPr>
        <w:t>100,000.00</w:t>
      </w:r>
      <w:r>
        <w:rPr>
          <w:rFonts w:ascii="黑体" w:eastAsia="黑体" w:hAnsi="黑体" w:cs="黑体" w:hint="eastAsia"/>
          <w:kern w:val="0"/>
          <w:szCs w:val="21"/>
        </w:rPr>
        <w:t>份，赎回价格为</w:t>
      </w:r>
      <w:r>
        <w:rPr>
          <w:rFonts w:ascii="黑体" w:eastAsia="黑体" w:hAnsi="黑体" w:cs="黑体"/>
          <w:kern w:val="0"/>
          <w:szCs w:val="21"/>
        </w:rPr>
        <w:t>1.0243</w:t>
      </w:r>
      <w:r>
        <w:rPr>
          <w:rFonts w:ascii="黑体" w:eastAsia="黑体" w:hAnsi="黑体" w:cs="黑体" w:hint="eastAsia"/>
          <w:kern w:val="0"/>
          <w:szCs w:val="21"/>
        </w:rPr>
        <w:t>元</w:t>
      </w:r>
      <w:r>
        <w:rPr>
          <w:rFonts w:ascii="黑体" w:eastAsia="黑体" w:hAnsi="黑体" w:cs="黑体"/>
          <w:kern w:val="0"/>
          <w:szCs w:val="21"/>
        </w:rPr>
        <w:t>/</w:t>
      </w:r>
      <w:r>
        <w:rPr>
          <w:rFonts w:ascii="黑体" w:eastAsia="黑体" w:hAnsi="黑体" w:cs="黑体"/>
          <w:kern w:val="0"/>
          <w:szCs w:val="21"/>
        </w:rPr>
        <w:t>份，若赎回确认金额采取四舍五入后精确到小数点后</w:t>
      </w:r>
      <w:r>
        <w:rPr>
          <w:rFonts w:ascii="黑体" w:eastAsia="黑体" w:hAnsi="黑体" w:cs="黑体"/>
          <w:kern w:val="0"/>
          <w:szCs w:val="21"/>
        </w:rPr>
        <w:t>2</w:t>
      </w:r>
      <w:r>
        <w:rPr>
          <w:rFonts w:ascii="黑体" w:eastAsia="黑体" w:hAnsi="黑体" w:cs="黑体"/>
          <w:kern w:val="0"/>
          <w:szCs w:val="21"/>
        </w:rPr>
        <w:t>位，则兑付投资者的赎回确认金额为：</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赎回确认金额</w:t>
      </w:r>
      <w:r>
        <w:rPr>
          <w:rFonts w:ascii="黑体" w:eastAsia="黑体" w:hAnsi="黑体" w:cs="黑体"/>
          <w:kern w:val="0"/>
          <w:szCs w:val="21"/>
        </w:rPr>
        <w:t>=100,000.00×1.0243=102,430.00</w:t>
      </w:r>
      <w:r>
        <w:rPr>
          <w:rFonts w:ascii="黑体" w:eastAsia="黑体" w:hAnsi="黑体" w:cs="黑体"/>
          <w:kern w:val="0"/>
          <w:szCs w:val="21"/>
        </w:rPr>
        <w:t>（元）</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测算收益不等于实际收益，投资须谨慎。</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（五）巨额赎回</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hint="eastAsia"/>
          <w:kern w:val="0"/>
          <w:szCs w:val="21"/>
        </w:rPr>
        <w:t>、在单个产品开放日，产品累计净赎回份额（累计赎回份额</w:t>
      </w:r>
      <w:r>
        <w:rPr>
          <w:rFonts w:ascii="黑体" w:eastAsia="黑体" w:hAnsi="黑体" w:cs="黑体"/>
          <w:kern w:val="0"/>
          <w:szCs w:val="21"/>
        </w:rPr>
        <w:t>-</w:t>
      </w:r>
      <w:r>
        <w:rPr>
          <w:rFonts w:ascii="黑体" w:eastAsia="黑体" w:hAnsi="黑体" w:cs="黑体"/>
          <w:kern w:val="0"/>
          <w:szCs w:val="21"/>
        </w:rPr>
        <w:t>累计</w:t>
      </w:r>
      <w:r>
        <w:rPr>
          <w:rFonts w:ascii="黑体" w:eastAsia="黑体" w:hAnsi="黑体" w:cs="黑体" w:hint="eastAsia"/>
          <w:kern w:val="0"/>
          <w:szCs w:val="21"/>
        </w:rPr>
        <w:t>申购份额）超过开放日前一个工作日日终份额的</w:t>
      </w:r>
      <w:r>
        <w:rPr>
          <w:rFonts w:ascii="黑体" w:eastAsia="黑体" w:hAnsi="黑体" w:cs="黑体"/>
          <w:kern w:val="0"/>
          <w:szCs w:val="21"/>
        </w:rPr>
        <w:t>10%</w:t>
      </w:r>
      <w:r>
        <w:rPr>
          <w:rFonts w:ascii="黑体" w:eastAsia="黑体" w:hAnsi="黑体" w:cs="黑体" w:hint="eastAsia"/>
          <w:kern w:val="0"/>
          <w:szCs w:val="21"/>
        </w:rPr>
        <w:t>时，触发巨额赎回。</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2</w:t>
      </w:r>
      <w:r>
        <w:rPr>
          <w:rFonts w:ascii="黑体" w:eastAsia="黑体" w:hAnsi="黑体" w:cs="宋体"/>
          <w:kern w:val="0"/>
          <w:szCs w:val="21"/>
        </w:rPr>
        <w:t>、</w:t>
      </w:r>
      <w:r>
        <w:rPr>
          <w:rFonts w:ascii="黑体" w:eastAsia="黑体" w:hAnsi="黑体" w:cs="宋体" w:hint="eastAsia"/>
          <w:kern w:val="0"/>
          <w:szCs w:val="21"/>
        </w:rPr>
        <w:t>产品在开放日发生巨额赎回时，产品管理人有权根据产品当时的投资运作情况决定采取全额赎回、部分赎回、暂停赎回、收取短期赎回费等措施。在运用部分赎回、暂停赎回、收取短期赎回费等措施后，产品管理人将在巨额赎回发生后</w:t>
      </w:r>
      <w:r>
        <w:rPr>
          <w:rFonts w:ascii="黑体" w:eastAsia="黑体" w:hAnsi="黑体" w:cs="宋体"/>
          <w:kern w:val="0"/>
          <w:szCs w:val="21"/>
        </w:rPr>
        <w:t>3</w:t>
      </w:r>
      <w:r>
        <w:rPr>
          <w:rFonts w:ascii="黑体" w:eastAsia="黑体" w:hAnsi="黑体" w:cs="宋体"/>
          <w:kern w:val="0"/>
          <w:szCs w:val="21"/>
        </w:rPr>
        <w:t>个工作日内进行信息披露，并说明运用相关措施的原因、拟采取的应对安排等。</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w:t>
      </w:r>
      <w:r>
        <w:rPr>
          <w:rFonts w:ascii="黑体" w:eastAsia="黑体" w:hAnsi="黑体" w:cs="宋体"/>
          <w:kern w:val="0"/>
          <w:szCs w:val="21"/>
        </w:rPr>
        <w:t>1</w:t>
      </w:r>
      <w:r>
        <w:rPr>
          <w:rFonts w:ascii="黑体" w:eastAsia="黑体" w:hAnsi="黑体" w:cs="宋体"/>
          <w:kern w:val="0"/>
          <w:szCs w:val="21"/>
        </w:rPr>
        <w:t>）全额赎回：当产品管理人有能力兑付投资者的全部赎回申请时，将在申请确认日按投资者申请赎回份额执行正常赎回程序。</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w:t>
      </w:r>
      <w:r>
        <w:rPr>
          <w:rFonts w:ascii="黑体" w:eastAsia="黑体" w:hAnsi="黑体" w:cs="宋体"/>
          <w:kern w:val="0"/>
          <w:szCs w:val="21"/>
        </w:rPr>
        <w:t>2</w:t>
      </w:r>
      <w:r>
        <w:rPr>
          <w:rFonts w:ascii="黑体" w:eastAsia="黑体" w:hAnsi="黑体" w:cs="宋体"/>
          <w:kern w:val="0"/>
          <w:szCs w:val="21"/>
        </w:rPr>
        <w:t>）部分赎回：产品管理人在申请确认日</w:t>
      </w:r>
      <w:r>
        <w:rPr>
          <w:rFonts w:ascii="黑体" w:eastAsia="黑体" w:hAnsi="黑体" w:cs="宋体" w:hint="eastAsia"/>
          <w:kern w:val="0"/>
          <w:szCs w:val="21"/>
        </w:rPr>
        <w:t>确认受理赎回比例不低于上一日产品总份额</w:t>
      </w:r>
      <w:r>
        <w:rPr>
          <w:rFonts w:ascii="黑体" w:eastAsia="黑体" w:hAnsi="黑体" w:cs="宋体"/>
          <w:kern w:val="0"/>
          <w:szCs w:val="21"/>
        </w:rPr>
        <w:t>10%</w:t>
      </w:r>
      <w:r>
        <w:rPr>
          <w:rFonts w:ascii="黑体" w:eastAsia="黑体" w:hAnsi="黑体" w:cs="宋体"/>
          <w:kern w:val="0"/>
          <w:szCs w:val="21"/>
        </w:rPr>
        <w:t>的前提下，有权拒绝</w:t>
      </w:r>
      <w:r>
        <w:rPr>
          <w:rFonts w:ascii="黑体" w:eastAsia="黑体" w:hAnsi="黑体" w:cs="宋体" w:hint="eastAsia"/>
          <w:kern w:val="0"/>
          <w:szCs w:val="21"/>
        </w:rPr>
        <w:t>受理其余部分或全</w:t>
      </w:r>
      <w:r>
        <w:rPr>
          <w:rFonts w:ascii="黑体" w:eastAsia="黑体" w:hAnsi="黑体" w:cs="宋体" w:hint="eastAsia"/>
          <w:kern w:val="0"/>
          <w:szCs w:val="21"/>
        </w:rPr>
        <w:t>部赎回申请。对于当期确认受理的总赎回申请份额，产品管理人将在申请确认日按单个投资者申请赎回份额占当期申请赎回总份额的比例，确定受理该单个投资者当期的赎回份额。针对当日未确认受理的赎回申请份额，投资者可在申请赎回时选择予以撤销，未选择撤销的赎回申请，产品管理人可以延迟至下一开放日处理，延迟至下一开放日的赎回申请不享有优先确认权。巨额赎回处理方式具体以销售机构展示为准。</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w:t>
      </w:r>
      <w:r>
        <w:rPr>
          <w:rFonts w:ascii="黑体" w:eastAsia="黑体" w:hAnsi="黑体" w:cs="宋体"/>
          <w:kern w:val="0"/>
          <w:szCs w:val="21"/>
        </w:rPr>
        <w:t>3</w:t>
      </w:r>
      <w:r>
        <w:rPr>
          <w:rFonts w:ascii="黑体" w:eastAsia="黑体" w:hAnsi="黑体" w:cs="宋体"/>
          <w:kern w:val="0"/>
          <w:szCs w:val="21"/>
        </w:rPr>
        <w:t>）暂停赎回：</w:t>
      </w:r>
      <w:r>
        <w:rPr>
          <w:rFonts w:ascii="黑体" w:eastAsia="黑体" w:hAnsi="黑体" w:cs="宋体" w:hint="eastAsia"/>
          <w:kern w:val="0"/>
          <w:szCs w:val="21"/>
        </w:rPr>
        <w:t>产品连续</w:t>
      </w:r>
      <w:r>
        <w:rPr>
          <w:rFonts w:ascii="黑体" w:eastAsia="黑体" w:hAnsi="黑体" w:cs="宋体"/>
          <w:kern w:val="0"/>
          <w:szCs w:val="21"/>
        </w:rPr>
        <w:t>2</w:t>
      </w:r>
      <w:r>
        <w:rPr>
          <w:rFonts w:ascii="黑体" w:eastAsia="黑体" w:hAnsi="黑体" w:cs="宋体"/>
          <w:kern w:val="0"/>
          <w:szCs w:val="21"/>
        </w:rPr>
        <w:t>个以上开放日发生巨额赎回的，除采取上述措施外，如产品管理人认为有必要，可暂停接受产品的赎回申请；对于已经接受的赎回申</w:t>
      </w:r>
      <w:r>
        <w:rPr>
          <w:rFonts w:ascii="黑体" w:eastAsia="黑体" w:hAnsi="黑体" w:cs="宋体"/>
          <w:kern w:val="0"/>
          <w:szCs w:val="21"/>
        </w:rPr>
        <w:t>请，产品管理人有权</w:t>
      </w:r>
      <w:r>
        <w:rPr>
          <w:rFonts w:ascii="黑体" w:eastAsia="黑体" w:hAnsi="黑体" w:cs="宋体" w:hint="eastAsia"/>
          <w:kern w:val="0"/>
          <w:szCs w:val="21"/>
        </w:rPr>
        <w:t>延缓支付赎回款项，但延缓期限不得超过</w:t>
      </w:r>
      <w:r>
        <w:rPr>
          <w:rFonts w:ascii="黑体" w:eastAsia="黑体" w:hAnsi="黑体" w:cs="宋体"/>
          <w:kern w:val="0"/>
          <w:szCs w:val="21"/>
        </w:rPr>
        <w:t>20</w:t>
      </w:r>
      <w:r>
        <w:rPr>
          <w:rFonts w:ascii="黑体" w:eastAsia="黑体" w:hAnsi="黑体" w:cs="宋体"/>
          <w:kern w:val="0"/>
          <w:szCs w:val="21"/>
        </w:rPr>
        <w:t>个工作日。</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宋体" w:hint="eastAsia"/>
          <w:b/>
          <w:kern w:val="0"/>
          <w:szCs w:val="21"/>
        </w:rPr>
        <w:t>（</w:t>
      </w:r>
      <w:r>
        <w:rPr>
          <w:rFonts w:ascii="黑体" w:eastAsia="黑体" w:hAnsi="黑体" w:cs="宋体"/>
          <w:b/>
          <w:kern w:val="0"/>
          <w:szCs w:val="21"/>
        </w:rPr>
        <w:t>4</w:t>
      </w:r>
      <w:r>
        <w:rPr>
          <w:rFonts w:ascii="黑体" w:eastAsia="黑体" w:hAnsi="黑体" w:cs="宋体"/>
          <w:b/>
          <w:kern w:val="0"/>
          <w:szCs w:val="21"/>
        </w:rPr>
        <w:t>）收取短期赎回费：产品发生巨额赎回或产品管理人认为可能会导致产品流动性风险的其他情形下，产品管理人可向连续持有少于</w:t>
      </w:r>
      <w:r>
        <w:rPr>
          <w:rFonts w:ascii="黑体" w:eastAsia="黑体" w:hAnsi="黑体" w:cs="宋体"/>
          <w:b/>
          <w:kern w:val="0"/>
          <w:szCs w:val="21"/>
        </w:rPr>
        <w:t>7</w:t>
      </w:r>
      <w:r>
        <w:rPr>
          <w:rFonts w:ascii="黑体" w:eastAsia="黑体" w:hAnsi="黑体" w:cs="宋体"/>
          <w:b/>
          <w:kern w:val="0"/>
          <w:szCs w:val="21"/>
        </w:rPr>
        <w:t>日的开放式理财产品投资者收取短期赎回</w:t>
      </w:r>
      <w:r>
        <w:rPr>
          <w:rFonts w:ascii="黑体" w:eastAsia="黑体" w:hAnsi="黑体" w:cs="宋体"/>
          <w:b/>
          <w:kern w:val="0"/>
          <w:szCs w:val="21"/>
        </w:rPr>
        <w:t>费，并将上述短期赎回费全额计入理财产品财产。</w:t>
      </w:r>
      <w:r>
        <w:rPr>
          <w:rFonts w:ascii="黑体" w:eastAsia="黑体" w:hAnsi="黑体" w:cs="黑体" w:hint="eastAsia"/>
          <w:b/>
          <w:kern w:val="0"/>
          <w:szCs w:val="21"/>
        </w:rPr>
        <w:t>产品</w:t>
      </w:r>
      <w:r>
        <w:rPr>
          <w:rFonts w:ascii="黑体" w:eastAsia="黑体" w:hAnsi="黑体" w:cs="黑体"/>
          <w:b/>
          <w:kern w:val="0"/>
          <w:szCs w:val="21"/>
        </w:rPr>
        <w:t>管理人将在</w:t>
      </w:r>
      <w:r>
        <w:rPr>
          <w:rFonts w:ascii="黑体" w:eastAsia="黑体" w:hAnsi="黑体" w:cs="黑体" w:hint="eastAsia"/>
          <w:b/>
          <w:kern w:val="0"/>
          <w:szCs w:val="21"/>
        </w:rPr>
        <w:t>收取</w:t>
      </w:r>
      <w:r>
        <w:rPr>
          <w:rFonts w:ascii="黑体" w:eastAsia="黑体" w:hAnsi="黑体" w:cs="黑体"/>
          <w:b/>
          <w:kern w:val="0"/>
          <w:szCs w:val="21"/>
        </w:rPr>
        <w:t>短期赎回费</w:t>
      </w:r>
      <w:r>
        <w:rPr>
          <w:rFonts w:ascii="黑体" w:eastAsia="黑体" w:hAnsi="黑体" w:cs="黑体" w:hint="eastAsia"/>
          <w:b/>
          <w:kern w:val="0"/>
          <w:szCs w:val="21"/>
        </w:rPr>
        <w:t>后</w:t>
      </w:r>
      <w:r>
        <w:rPr>
          <w:rFonts w:ascii="黑体" w:eastAsia="黑体" w:hAnsi="黑体" w:cs="黑体"/>
          <w:b/>
          <w:kern w:val="0"/>
          <w:szCs w:val="21"/>
        </w:rPr>
        <w:t>3</w:t>
      </w:r>
      <w:r>
        <w:rPr>
          <w:rFonts w:ascii="黑体" w:eastAsia="黑体" w:hAnsi="黑体" w:cs="黑体"/>
          <w:b/>
          <w:kern w:val="0"/>
          <w:szCs w:val="21"/>
        </w:rPr>
        <w:t>个工作日内</w:t>
      </w:r>
      <w:r>
        <w:rPr>
          <w:rFonts w:ascii="黑体" w:eastAsia="黑体" w:hAnsi="黑体" w:cs="黑体" w:hint="eastAsia"/>
          <w:b/>
          <w:kern w:val="0"/>
          <w:szCs w:val="21"/>
        </w:rPr>
        <w:t>通过公告的形式</w:t>
      </w:r>
      <w:r>
        <w:rPr>
          <w:rFonts w:ascii="黑体" w:eastAsia="黑体" w:hAnsi="黑体" w:cs="黑体"/>
          <w:b/>
          <w:kern w:val="0"/>
          <w:szCs w:val="21"/>
        </w:rPr>
        <w:t>向相关</w:t>
      </w:r>
      <w:r>
        <w:rPr>
          <w:rFonts w:ascii="黑体" w:eastAsia="黑体" w:hAnsi="黑体" w:cs="黑体" w:hint="eastAsia"/>
          <w:b/>
          <w:kern w:val="0"/>
          <w:szCs w:val="21"/>
        </w:rPr>
        <w:t>投资者</w:t>
      </w:r>
      <w:r>
        <w:rPr>
          <w:rFonts w:ascii="黑体" w:eastAsia="黑体" w:hAnsi="黑体" w:cs="黑体"/>
          <w:b/>
          <w:kern w:val="0"/>
          <w:szCs w:val="21"/>
        </w:rPr>
        <w:t>披露</w:t>
      </w:r>
      <w:r>
        <w:rPr>
          <w:rFonts w:ascii="黑体" w:eastAsia="黑体" w:hAnsi="黑体" w:cs="黑体" w:hint="eastAsia"/>
          <w:b/>
          <w:kern w:val="0"/>
          <w:szCs w:val="21"/>
        </w:rPr>
        <w:t>短期赎回费率、费用计算方式、收费方式等信息</w:t>
      </w:r>
      <w:r>
        <w:rPr>
          <w:rFonts w:ascii="黑体" w:eastAsia="黑体" w:hAnsi="黑体" w:cs="黑体"/>
          <w:b/>
          <w:kern w:val="0"/>
          <w:szCs w:val="21"/>
        </w:rPr>
        <w:t>。</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3</w:t>
      </w:r>
      <w:r>
        <w:rPr>
          <w:rFonts w:ascii="黑体" w:eastAsia="黑体" w:hAnsi="黑体" w:cs="黑体" w:hint="eastAsia"/>
          <w:kern w:val="0"/>
          <w:szCs w:val="21"/>
        </w:rPr>
        <w:t>、</w:t>
      </w:r>
      <w:r>
        <w:rPr>
          <w:rFonts w:ascii="黑体" w:eastAsia="黑体" w:hAnsi="黑体" w:cs="黑体"/>
          <w:kern w:val="0"/>
          <w:szCs w:val="21"/>
        </w:rPr>
        <w:t>其他</w:t>
      </w:r>
      <w:r>
        <w:rPr>
          <w:rFonts w:ascii="黑体" w:eastAsia="黑体" w:hAnsi="黑体" w:cs="黑体" w:hint="eastAsia"/>
          <w:kern w:val="0"/>
          <w:szCs w:val="21"/>
        </w:rPr>
        <w:t>：无</w:t>
      </w:r>
    </w:p>
    <w:p w:rsidR="008B0A7D">
      <w:pPr>
        <w:autoSpaceDE w:val="0"/>
        <w:autoSpaceDN w:val="0"/>
        <w:adjustRightInd w:val="0"/>
        <w:jc w:val="left"/>
        <w:rPr>
          <w:rFonts w:ascii="黑体" w:eastAsia="黑体" w:hAnsi="黑体" w:cs="黑体"/>
          <w:kern w:val="0"/>
          <w:szCs w:val="21"/>
        </w:rPr>
      </w:pPr>
      <w:r>
        <w:rPr>
          <w:rFonts w:ascii="黑体" w:eastAsia="黑体" w:hAnsi="黑体" w:cs="黑体" w:hint="eastAsia"/>
          <w:kern w:val="0"/>
          <w:szCs w:val="21"/>
        </w:rPr>
        <w:t>（六</w:t>
      </w:r>
      <w:r>
        <w:rPr>
          <w:rFonts w:ascii="黑体" w:eastAsia="黑体" w:hAnsi="黑体" w:cs="黑体"/>
          <w:kern w:val="0"/>
          <w:szCs w:val="21"/>
        </w:rPr>
        <w:t>）分红规则</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w:t>
      </w:r>
      <w:r>
        <w:rPr>
          <w:rFonts w:ascii="黑体" w:eastAsia="黑体" w:hAnsi="黑体" w:cs="黑体" w:hint="eastAsia"/>
          <w:kern w:val="0"/>
          <w:szCs w:val="21"/>
        </w:rPr>
        <w:t>本产品存续期间不分红。</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kern w:val="0"/>
          <w:szCs w:val="21"/>
        </w:rPr>
        <w:t>、产品管理人有权根据产品实际运作情况，对本产品的分红规则进行调整，如有相应调整，公司将于调整</w:t>
      </w:r>
      <w:r>
        <w:rPr>
          <w:rFonts w:ascii="黑体" w:hAnsi="黑体" w:hint="eastAsia"/>
          <w:kern w:val="0"/>
        </w:rPr>
        <w:t>前</w:t>
      </w:r>
      <w:r>
        <w:rPr>
          <w:rFonts w:ascii="黑体" w:eastAsia="黑体" w:hAnsi="黑体" w:cs="黑体"/>
          <w:kern w:val="0"/>
          <w:szCs w:val="21"/>
        </w:rPr>
        <w:t>3</w:t>
      </w:r>
      <w:r>
        <w:rPr>
          <w:rFonts w:ascii="黑体" w:eastAsia="黑体" w:hAnsi="黑体" w:cs="黑体" w:hint="eastAsia"/>
          <w:kern w:val="0"/>
          <w:szCs w:val="21"/>
        </w:rPr>
        <w:t>个工作日进行信息披露。</w:t>
      </w:r>
    </w:p>
    <w:p w:rsidR="008B0A7D">
      <w:pPr>
        <w:autoSpaceDE w:val="0"/>
        <w:autoSpaceDN w:val="0"/>
        <w:adjustRightInd w:val="0"/>
        <w:jc w:val="left"/>
        <w:rPr>
          <w:rFonts w:ascii="黑体" w:eastAsia="黑体" w:hAnsi="黑体" w:cs="ËÎÌå"/>
          <w:kern w:val="0"/>
          <w:szCs w:val="21"/>
        </w:rPr>
      </w:pPr>
      <w:r>
        <w:rPr>
          <w:rFonts w:ascii="黑体" w:eastAsia="黑体" w:hAnsi="黑体" w:cs="黑体" w:hint="eastAsia"/>
          <w:kern w:val="0"/>
          <w:szCs w:val="21"/>
        </w:rPr>
        <w:t>（七）</w:t>
      </w:r>
      <w:r>
        <w:rPr>
          <w:rFonts w:ascii="黑体" w:eastAsia="黑体" w:hAnsi="黑体" w:cs="ËÎÌå" w:hint="eastAsia"/>
          <w:kern w:val="0"/>
          <w:szCs w:val="21"/>
        </w:rPr>
        <w:t>摆动定价机制</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当本产品发生大额认（申）购或赎回情形时，产品管理人可采用摆动定价机制，以确保产品估值的公平性，并于实施后</w:t>
      </w:r>
      <w:r>
        <w:rPr>
          <w:rFonts w:ascii="黑体" w:eastAsia="黑体" w:hAnsi="黑体" w:cs="黑体"/>
          <w:kern w:val="0"/>
          <w:szCs w:val="21"/>
        </w:rPr>
        <w:t>3</w:t>
      </w:r>
      <w:r>
        <w:rPr>
          <w:rFonts w:ascii="黑体" w:eastAsia="黑体" w:hAnsi="黑体" w:cs="黑体"/>
          <w:kern w:val="0"/>
          <w:szCs w:val="21"/>
        </w:rPr>
        <w:t>个工作日内进行公告。摆动定价机制指当本产品遭遇大额认（申）购或赎回时，通过调整理财产品份额净值的方式，将理财产品调整投资组合的市场冲击成本分配给实际认（申）购、赎回的投资者，从而减少对存量理财产品份额持有人利益的不利影响。</w:t>
      </w:r>
      <w:r>
        <w:rPr>
          <w:rFonts w:ascii="黑体" w:eastAsia="黑体" w:hAnsi="黑体" w:cs="黑体" w:hint="eastAsia"/>
          <w:kern w:val="0"/>
          <w:szCs w:val="21"/>
        </w:rPr>
        <w:t>具体操作按照相关法律法规、监管规定和自律规</w:t>
      </w:r>
      <w:r>
        <w:rPr>
          <w:rFonts w:ascii="黑体" w:eastAsia="黑体" w:hAnsi="黑体" w:cs="黑体" w:hint="eastAsia"/>
          <w:kern w:val="0"/>
          <w:szCs w:val="21"/>
        </w:rPr>
        <w:t>则执行。</w:t>
      </w:r>
    </w:p>
    <w:p w:rsidR="008B0A7D">
      <w:pPr>
        <w:autoSpaceDE w:val="0"/>
        <w:autoSpaceDN w:val="0"/>
        <w:adjustRightInd w:val="0"/>
        <w:ind w:firstLine="420" w:firstLineChars="200"/>
        <w:jc w:val="left"/>
        <w:rPr>
          <w:rFonts w:ascii="黑体" w:eastAsia="黑体" w:hAnsi="黑体" w:cs="黑体"/>
          <w:kern w:val="0"/>
          <w:szCs w:val="21"/>
        </w:rPr>
      </w:pP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五、产品资产估值原则</w:t>
      </w:r>
      <w:r>
        <w:rPr>
          <w:rFonts w:ascii="黑体" w:eastAsia="黑体" w:hAnsi="黑体" w:cs="黑体"/>
          <w:b/>
          <w:kern w:val="0"/>
          <w:szCs w:val="21"/>
        </w:rPr>
        <w:t>及方法</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（一）估值日</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本产品估值日为国家法定工作日。</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（二</w:t>
      </w:r>
      <w:r>
        <w:rPr>
          <w:rFonts w:ascii="黑体" w:eastAsia="黑体" w:hAnsi="黑体" w:cs="宋体"/>
          <w:kern w:val="0"/>
          <w:szCs w:val="21"/>
        </w:rPr>
        <w:t>）</w:t>
      </w:r>
      <w:r>
        <w:rPr>
          <w:rFonts w:ascii="黑体" w:eastAsia="黑体" w:hAnsi="黑体" w:cs="宋体" w:hint="eastAsia"/>
          <w:kern w:val="0"/>
          <w:szCs w:val="21"/>
        </w:rPr>
        <w:t>估值</w:t>
      </w:r>
      <w:r>
        <w:rPr>
          <w:rFonts w:ascii="黑体" w:eastAsia="黑体" w:hAnsi="黑体" w:cs="宋体"/>
          <w:kern w:val="0"/>
          <w:szCs w:val="21"/>
        </w:rPr>
        <w:t>原则</w:t>
      </w:r>
    </w:p>
    <w:p w:rsidR="008B0A7D">
      <w:pPr>
        <w:autoSpaceDE w:val="0"/>
        <w:autoSpaceDN w:val="0"/>
        <w:adjustRightInd w:val="0"/>
        <w:ind w:firstLine="420" w:firstLineChars="200"/>
        <w:rPr>
          <w:rFonts w:ascii="黑体" w:eastAsia="黑体" w:hAnsi="黑体" w:cs="黑体"/>
          <w:b/>
          <w:kern w:val="0"/>
          <w:szCs w:val="21"/>
        </w:rPr>
      </w:pPr>
      <w:r>
        <w:rPr>
          <w:rFonts w:ascii="黑体" w:eastAsia="黑体" w:hAnsi="黑体" w:cs="黑体" w:hint="eastAsia"/>
          <w:kern w:val="0"/>
          <w:szCs w:val="21"/>
        </w:rPr>
        <w:t>公司理财产品投资金融资产在符合企业会计准则的前提下坚持公允价值计量原则，鼓励使用市值计量。</w:t>
      </w:r>
      <w:r>
        <w:rPr>
          <w:rFonts w:ascii="黑体" w:eastAsia="黑体" w:hAnsi="黑体" w:cs="黑体" w:hint="eastAsia"/>
          <w:b/>
          <w:kern w:val="0"/>
          <w:szCs w:val="21"/>
        </w:rPr>
        <w:t>符合以下条件之一的，可按照企业会计准则以摊余成本进行计量：</w:t>
      </w:r>
    </w:p>
    <w:p w:rsidR="008B0A7D">
      <w:pPr>
        <w:autoSpaceDE w:val="0"/>
        <w:autoSpaceDN w:val="0"/>
        <w:adjustRightInd w:val="0"/>
        <w:ind w:firstLine="420" w:firstLineChars="200"/>
        <w:rPr>
          <w:rFonts w:ascii="黑体" w:eastAsia="黑体" w:hAnsi="黑体" w:cs="黑体"/>
          <w:kern w:val="0"/>
          <w:szCs w:val="21"/>
        </w:rPr>
      </w:pPr>
      <w:r>
        <w:rPr>
          <w:rFonts w:ascii="黑体" w:eastAsia="黑体" w:hAnsi="黑体" w:cs="黑体" w:hint="eastAsia"/>
          <w:kern w:val="0"/>
          <w:szCs w:val="21"/>
        </w:rPr>
        <w:t>（</w:t>
      </w:r>
      <w:r>
        <w:rPr>
          <w:rFonts w:ascii="黑体" w:eastAsia="黑体" w:hAnsi="黑体" w:cs="黑体"/>
          <w:kern w:val="0"/>
          <w:szCs w:val="21"/>
        </w:rPr>
        <w:t>1</w:t>
      </w:r>
      <w:r>
        <w:rPr>
          <w:rFonts w:ascii="黑体" w:eastAsia="黑体" w:hAnsi="黑体" w:cs="黑体"/>
          <w:kern w:val="0"/>
          <w:szCs w:val="21"/>
        </w:rPr>
        <w:t>）资产管理产品为封闭式产品，且所投金融资产以收取合同现金流量为目的并且持有到期。</w:t>
      </w:r>
    </w:p>
    <w:p w:rsidR="008B0A7D">
      <w:pPr>
        <w:autoSpaceDE w:val="0"/>
        <w:autoSpaceDN w:val="0"/>
        <w:adjustRightInd w:val="0"/>
        <w:ind w:firstLine="420" w:firstLineChars="200"/>
        <w:rPr>
          <w:rFonts w:ascii="黑体" w:eastAsia="黑体" w:hAnsi="黑体" w:cs="黑体"/>
          <w:kern w:val="0"/>
          <w:szCs w:val="21"/>
        </w:rPr>
      </w:pPr>
      <w:r>
        <w:rPr>
          <w:rFonts w:ascii="黑体" w:eastAsia="黑体" w:hAnsi="黑体" w:cs="黑体" w:hint="eastAsia"/>
          <w:kern w:val="0"/>
          <w:szCs w:val="21"/>
        </w:rPr>
        <w:t>（</w:t>
      </w:r>
      <w:r>
        <w:rPr>
          <w:rFonts w:ascii="黑体" w:eastAsia="黑体" w:hAnsi="黑体" w:cs="黑体"/>
          <w:kern w:val="0"/>
          <w:szCs w:val="21"/>
        </w:rPr>
        <w:t>2</w:t>
      </w:r>
      <w:r>
        <w:rPr>
          <w:rFonts w:ascii="黑体" w:eastAsia="黑体" w:hAnsi="黑体" w:cs="黑体"/>
          <w:kern w:val="0"/>
          <w:szCs w:val="21"/>
        </w:rPr>
        <w:t>）资产管理产品为封闭式产品，且所投金融资产暂不具备活跃交易市场，或者在活跃市场中没有报价、也不能采用估值技术可靠计量公允价值。</w:t>
      </w:r>
    </w:p>
    <w:p w:rsidR="008B0A7D">
      <w:pPr>
        <w:autoSpaceDE w:val="0"/>
        <w:autoSpaceDN w:val="0"/>
        <w:adjustRightInd w:val="0"/>
        <w:ind w:firstLine="420" w:firstLineChars="200"/>
        <w:rPr>
          <w:rFonts w:ascii="黑体" w:eastAsia="黑体" w:hAnsi="黑体" w:cs="黑体"/>
          <w:b/>
          <w:kern w:val="0"/>
          <w:szCs w:val="21"/>
        </w:rPr>
      </w:pPr>
      <w:r>
        <w:rPr>
          <w:rFonts w:ascii="黑体" w:eastAsia="黑体" w:hAnsi="黑体" w:cs="黑体" w:hint="eastAsia"/>
          <w:kern w:val="0"/>
          <w:szCs w:val="21"/>
        </w:rPr>
        <w:t>现金管理类产品按照《企业会计准则》和《关于规范金融机构资产管理业务的指导意见》关于金融资产估值核算的相关规定，确认和计量现金管理类产品的净值。可在确保现金管理类产品资产净值能够公允地反映投资组合价值的前提下，采用摊余成本法对持有的投资组合进行会计核算。</w:t>
      </w:r>
      <w:r>
        <w:rPr>
          <w:rFonts w:ascii="黑体" w:eastAsia="黑体" w:hAnsi="黑体" w:cs="黑体" w:hint="eastAsia"/>
          <w:b/>
          <w:kern w:val="0"/>
          <w:szCs w:val="21"/>
        </w:rPr>
        <w:t>由于按摊余成本法计量可能会出现被计量对象的其他可参考公允价值指标和摊余成本之间的偏离，为消除或减少因理财产品资产净值的背离导致理财产品份额持有人权益的稀释或其他不公平的结果，在实际操作中，产品管理人和托管机构将采用估值技术，对理财产品持有的估值对象进行重新评估</w:t>
      </w:r>
      <w:r>
        <w:rPr>
          <w:rFonts w:ascii="黑体" w:eastAsia="黑体" w:hAnsi="黑体" w:cs="黑体" w:hint="eastAsia"/>
          <w:b/>
          <w:kern w:val="0"/>
          <w:szCs w:val="21"/>
        </w:rPr>
        <w:t>，即“影子定价”。当影子定价确定的现金管理类产品资产净值与摊余成本法计算的资产净值正偏离度绝对值达到</w:t>
      </w:r>
      <w:r>
        <w:rPr>
          <w:rFonts w:ascii="黑体" w:eastAsia="黑体" w:hAnsi="黑体" w:cs="黑体"/>
          <w:b/>
          <w:kern w:val="0"/>
          <w:szCs w:val="21"/>
        </w:rPr>
        <w:t>0.5%</w:t>
      </w:r>
      <w:r>
        <w:rPr>
          <w:rFonts w:ascii="黑体" w:eastAsia="黑体" w:hAnsi="黑体" w:cs="黑体"/>
          <w:b/>
          <w:kern w:val="0"/>
          <w:szCs w:val="21"/>
        </w:rPr>
        <w:t>时，产品管理人将暂停接受认购并在</w:t>
      </w:r>
      <w:r>
        <w:rPr>
          <w:rFonts w:ascii="黑体" w:eastAsia="黑体" w:hAnsi="黑体" w:cs="黑体"/>
          <w:b/>
          <w:kern w:val="0"/>
          <w:szCs w:val="21"/>
        </w:rPr>
        <w:t>5</w:t>
      </w:r>
      <w:r>
        <w:rPr>
          <w:rFonts w:ascii="黑体" w:eastAsia="黑体" w:hAnsi="黑体" w:cs="黑体"/>
          <w:b/>
          <w:kern w:val="0"/>
          <w:szCs w:val="21"/>
        </w:rPr>
        <w:t>个交易日内将正偏离度绝对值调整到</w:t>
      </w:r>
      <w:r>
        <w:rPr>
          <w:rFonts w:ascii="黑体" w:eastAsia="黑体" w:hAnsi="黑体" w:cs="黑体"/>
          <w:b/>
          <w:kern w:val="0"/>
          <w:szCs w:val="21"/>
        </w:rPr>
        <w:t>0.5%</w:t>
      </w:r>
      <w:r>
        <w:rPr>
          <w:rFonts w:ascii="黑体" w:eastAsia="黑体" w:hAnsi="黑体" w:cs="黑体"/>
          <w:b/>
          <w:kern w:val="0"/>
          <w:szCs w:val="21"/>
        </w:rPr>
        <w:t>以内。当负偏离度绝对值达到</w:t>
      </w:r>
      <w:r>
        <w:rPr>
          <w:rFonts w:ascii="黑体" w:eastAsia="黑体" w:hAnsi="黑体" w:cs="黑体"/>
          <w:b/>
          <w:kern w:val="0"/>
          <w:szCs w:val="21"/>
        </w:rPr>
        <w:t>0.25%</w:t>
      </w:r>
      <w:r>
        <w:rPr>
          <w:rFonts w:ascii="黑体" w:eastAsia="黑体" w:hAnsi="黑体" w:cs="黑体"/>
          <w:b/>
          <w:kern w:val="0"/>
          <w:szCs w:val="21"/>
        </w:rPr>
        <w:t>时，产品管理人将在</w:t>
      </w:r>
      <w:r>
        <w:rPr>
          <w:rFonts w:ascii="黑体" w:eastAsia="黑体" w:hAnsi="黑体" w:cs="黑体"/>
          <w:b/>
          <w:kern w:val="0"/>
          <w:szCs w:val="21"/>
        </w:rPr>
        <w:t>5</w:t>
      </w:r>
      <w:r>
        <w:rPr>
          <w:rFonts w:ascii="黑体" w:eastAsia="黑体" w:hAnsi="黑体" w:cs="黑体"/>
          <w:b/>
          <w:kern w:val="0"/>
          <w:szCs w:val="21"/>
        </w:rPr>
        <w:t>个交易日内将负偏离度绝对值调整到</w:t>
      </w:r>
      <w:r>
        <w:rPr>
          <w:rFonts w:ascii="黑体" w:eastAsia="黑体" w:hAnsi="黑体" w:cs="黑体"/>
          <w:b/>
          <w:kern w:val="0"/>
          <w:szCs w:val="21"/>
        </w:rPr>
        <w:t>0.25%</w:t>
      </w:r>
      <w:r>
        <w:rPr>
          <w:rFonts w:ascii="黑体" w:eastAsia="黑体" w:hAnsi="黑体" w:cs="黑体"/>
          <w:b/>
          <w:kern w:val="0"/>
          <w:szCs w:val="21"/>
        </w:rPr>
        <w:t>以内。当负偏离度绝对值达到</w:t>
      </w:r>
      <w:r>
        <w:rPr>
          <w:rFonts w:ascii="黑体" w:eastAsia="黑体" w:hAnsi="黑体" w:cs="黑体"/>
          <w:b/>
          <w:kern w:val="0"/>
          <w:szCs w:val="21"/>
        </w:rPr>
        <w:t>0.5%</w:t>
      </w:r>
      <w:r>
        <w:rPr>
          <w:rFonts w:ascii="黑体" w:eastAsia="黑体" w:hAnsi="黑体" w:cs="黑体"/>
          <w:b/>
          <w:kern w:val="0"/>
          <w:szCs w:val="21"/>
        </w:rPr>
        <w:t>时，产品管理人将采取相应措施，将负偏离度绝对值控制在</w:t>
      </w:r>
      <w:r>
        <w:rPr>
          <w:rFonts w:ascii="黑体" w:eastAsia="黑体" w:hAnsi="黑体" w:cs="黑体"/>
          <w:b/>
          <w:kern w:val="0"/>
          <w:szCs w:val="21"/>
        </w:rPr>
        <w:t>0.5%</w:t>
      </w:r>
      <w:r>
        <w:rPr>
          <w:rFonts w:ascii="黑体" w:eastAsia="黑体" w:hAnsi="黑体" w:cs="黑体"/>
          <w:b/>
          <w:kern w:val="0"/>
          <w:szCs w:val="21"/>
        </w:rPr>
        <w:t>以内。当负偏离度绝对值连续两个交易日超过</w:t>
      </w:r>
      <w:r>
        <w:rPr>
          <w:rFonts w:ascii="黑体" w:eastAsia="黑体" w:hAnsi="黑体" w:cs="黑体"/>
          <w:b/>
          <w:kern w:val="0"/>
          <w:szCs w:val="21"/>
        </w:rPr>
        <w:t>0.5%</w:t>
      </w:r>
      <w:r>
        <w:rPr>
          <w:rFonts w:ascii="黑体" w:eastAsia="黑体" w:hAnsi="黑体" w:cs="黑体"/>
          <w:b/>
          <w:kern w:val="0"/>
          <w:szCs w:val="21"/>
        </w:rPr>
        <w:t>时，产品管理人将采用公允价值估值方法对持有投资组合的账面价值进行调整，或者采取暂停接受所有</w:t>
      </w:r>
      <w:r>
        <w:rPr>
          <w:rFonts w:ascii="黑体" w:eastAsia="黑体" w:hAnsi="黑体" w:cs="黑体"/>
          <w:b/>
          <w:kern w:val="0"/>
          <w:szCs w:val="21"/>
        </w:rPr>
        <w:t>赎回申请并终止产品合同进行财产清算等措施。若采取上述处理方式，产品管理人将于发生后三个工作日内进行信息披露。</w:t>
      </w:r>
    </w:p>
    <w:p w:rsidR="008B0A7D">
      <w:pPr>
        <w:autoSpaceDE w:val="0"/>
        <w:autoSpaceDN w:val="0"/>
        <w:adjustRightInd w:val="0"/>
        <w:ind w:firstLine="420" w:firstLineChars="200"/>
        <w:rPr>
          <w:rFonts w:ascii="黑体" w:eastAsia="黑体" w:hAnsi="黑体" w:cs="黑体"/>
          <w:kern w:val="0"/>
          <w:szCs w:val="21"/>
        </w:rPr>
      </w:pPr>
      <w:r>
        <w:rPr>
          <w:rFonts w:ascii="黑体" w:eastAsia="黑体" w:hAnsi="黑体" w:cs="黑体" w:hint="eastAsia"/>
          <w:kern w:val="0"/>
          <w:szCs w:val="21"/>
        </w:rPr>
        <w:t>如财政部、中国人民银行、国家金融监督管理总局等有关部门对估值原则另有规定的，从其规定。</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（三）估值对象</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本产品所持有的所有资产。</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（四）资产估值方法</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1</w:t>
      </w:r>
      <w:r>
        <w:rPr>
          <w:rFonts w:ascii="黑体" w:eastAsia="黑体" w:hAnsi="黑体" w:cs="宋体"/>
          <w:kern w:val="0"/>
          <w:szCs w:val="21"/>
        </w:rPr>
        <w:t>、权益类证券</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参考类似投资品种的现</w:t>
      </w:r>
      <w:r>
        <w:rPr>
          <w:rFonts w:ascii="黑体" w:eastAsia="黑体" w:hAnsi="黑体" w:cs="宋体" w:hint="eastAsia"/>
          <w:kern w:val="0"/>
          <w:szCs w:val="21"/>
        </w:rPr>
        <w:t>行价格及重大变化因素，调整最近交易日的收盘价确定公允价值。</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2</w:t>
      </w:r>
      <w:r>
        <w:rPr>
          <w:rFonts w:ascii="黑体" w:eastAsia="黑体" w:hAnsi="黑体" w:cs="宋体"/>
          <w:kern w:val="0"/>
          <w:szCs w:val="21"/>
        </w:rPr>
        <w:t>、固定收益类证券</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理财产品直接持有的在证券交易所和全国银行间市场交易的债券，以交易为目的的，</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按第三方估值机构（中债、中证等）提供的估值数据，对本组合持有的债券进行估值，具体第三方估值机构由管理人和托管行具体协商确定；以收取合同现金流量为目的并持有到期的，在符合监管规定的情况下按摊余成本法计量。因经济环境发生重大变化或债券发行主体发生重大事件等，导致债券价格发生重大变化的或导致债券发行主体无法履行应尽的偿债义务的，经管理人合理判断后，参考第三方估</w:t>
      </w:r>
      <w:r>
        <w:rPr>
          <w:rFonts w:ascii="黑体" w:eastAsia="黑体" w:hAnsi="黑体" w:cs="宋体" w:hint="eastAsia"/>
          <w:kern w:val="0"/>
          <w:szCs w:val="21"/>
        </w:rPr>
        <w:t>值机构提供的估值数据、市场价格及债券发行主体实际状况等，对该债券的价值进行重估，并合理确定随后该债券遵循的估值方法。资产支持证券和资产支持票据原则上按第三方估值机构（中债、中证等）提供的估值数据进行估值具体第三方估值机构由管理人和托管行具体协商确定。但若因其交易不活跃或未来现金流难以确认等客观原因，导致第三方估值机构提供的估值数据无法反映其公允价值的，为保护投资者利益，经管理人和托管行合理判断后，可采用其他估值技术对其进行估值。管理人应持续评估上述估值技术的适当性，并在此情况发生改变时做出适当调整。</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3</w:t>
      </w:r>
      <w:r>
        <w:rPr>
          <w:rFonts w:ascii="黑体" w:eastAsia="黑体" w:hAnsi="黑体" w:cs="宋体"/>
          <w:kern w:val="0"/>
          <w:szCs w:val="21"/>
        </w:rPr>
        <w:t>、存</w:t>
      </w:r>
      <w:r>
        <w:rPr>
          <w:rFonts w:ascii="黑体" w:eastAsia="黑体" w:hAnsi="黑体" w:cs="宋体"/>
          <w:kern w:val="0"/>
          <w:szCs w:val="21"/>
        </w:rPr>
        <w:t>款类资产</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包括：活期存款、定期存款、通知存款、存放同业、大额存单等。按照约定利率在持有期内逐日计提应收利息，在利息到账日以实收利息入账。</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4</w:t>
      </w:r>
      <w:r>
        <w:rPr>
          <w:rFonts w:ascii="黑体" w:eastAsia="黑体" w:hAnsi="黑体" w:cs="宋体"/>
          <w:kern w:val="0"/>
          <w:szCs w:val="21"/>
        </w:rPr>
        <w:t>、非上市基金</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理财产品投资的境内非货币市场基金，</w:t>
      </w:r>
      <w:r>
        <w:rPr>
          <w:rFonts w:ascii="黑体" w:eastAsia="黑体" w:hAnsi="黑体" w:cs="黑体" w:hint="eastAsia"/>
          <w:kern w:val="0"/>
          <w:szCs w:val="21"/>
        </w:rPr>
        <w:t>根据理财产品估值频率，以其最近公布的基金份额净值为基础估值</w:t>
      </w:r>
      <w:r>
        <w:rPr>
          <w:rFonts w:ascii="黑体" w:eastAsia="黑体" w:hAnsi="黑体" w:cs="宋体" w:hint="eastAsia"/>
          <w:kern w:val="0"/>
          <w:szCs w:val="21"/>
        </w:rPr>
        <w:t>；境内货币市场基金，按所投资基金前一估值日后至估值日期间（含节假日）的万份收益计提估值日基金收益。</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5</w:t>
      </w:r>
      <w:r>
        <w:rPr>
          <w:rFonts w:ascii="黑体" w:eastAsia="黑体" w:hAnsi="黑体" w:cs="宋体"/>
          <w:kern w:val="0"/>
          <w:szCs w:val="21"/>
        </w:rPr>
        <w:t>、上市证券投资基金</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理财产品投资的</w:t>
      </w:r>
      <w:r>
        <w:rPr>
          <w:rFonts w:ascii="黑体" w:eastAsia="黑体" w:hAnsi="黑体" w:cs="宋体"/>
          <w:kern w:val="0"/>
          <w:szCs w:val="21"/>
        </w:rPr>
        <w:t>ETF</w:t>
      </w:r>
      <w:r>
        <w:rPr>
          <w:rFonts w:ascii="黑体" w:eastAsia="黑体" w:hAnsi="黑体" w:cs="宋体" w:hint="eastAsia"/>
          <w:kern w:val="0"/>
          <w:szCs w:val="21"/>
        </w:rPr>
        <w:t>基金、境内上市定期开放式基金、封闭式基金，按所投资基金估值日的收盘价估值；境内上市开放式基金（</w:t>
      </w:r>
      <w:r>
        <w:rPr>
          <w:rFonts w:ascii="黑体" w:eastAsia="黑体" w:hAnsi="黑体" w:cs="宋体"/>
          <w:kern w:val="0"/>
          <w:szCs w:val="21"/>
        </w:rPr>
        <w:t>LOF</w:t>
      </w:r>
      <w:r>
        <w:rPr>
          <w:rFonts w:ascii="黑体" w:eastAsia="黑体" w:hAnsi="黑体" w:cs="宋体"/>
          <w:kern w:val="0"/>
          <w:szCs w:val="21"/>
        </w:rPr>
        <w:t>）、境内上市交易型货币市场基金，如所投资基金披露份额净值，则按所投资基金估值日的份额净值估值，估值日未公布净值的，按其最近公布的基金份额净值为基础估值；如所投资基金披露万份收益，则按所投资基金前一估值日后至估值日期间（含节假日）的万份收益计提估值日基金收益。</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6</w:t>
      </w:r>
      <w:r>
        <w:rPr>
          <w:rFonts w:ascii="黑体" w:eastAsia="黑体" w:hAnsi="黑体" w:cs="宋体"/>
          <w:kern w:val="0"/>
          <w:szCs w:val="21"/>
        </w:rPr>
        <w:t>、净值型资管产品</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净值型资管产品包括基金资管计划、信托计划等。理财产品投资的资产管理产品，按资产管理人提供的资管产品份额净值估值，净值频率以管理人发布为准。</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7</w:t>
      </w:r>
      <w:r>
        <w:rPr>
          <w:rFonts w:ascii="黑体" w:eastAsia="黑体" w:hAnsi="黑体" w:cs="宋体"/>
          <w:kern w:val="0"/>
          <w:szCs w:val="21"/>
        </w:rPr>
        <w:t>、衍生品</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对证券交易所或银行间市场上交易的衍生品，若存在活跃市场的情况下，以活跃市场</w:t>
      </w:r>
      <w:r>
        <w:rPr>
          <w:rFonts w:ascii="黑体" w:eastAsia="黑体" w:hAnsi="黑体" w:cs="宋体" w:hint="eastAsia"/>
          <w:kern w:val="0"/>
          <w:szCs w:val="21"/>
        </w:rPr>
        <w:t>上未经调整的报价作为计量日的公允价值；若活跃市场报价未能代表计量日公允价值的情况下，对市场报价进行调整以确认计量日的公允价值；对于不存在市场活动或市场活动很少的情况下，当采用第三方估值或估值技术确定其公允价值。</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对非上市交易的衍生品，且第三方估值机构（中证或中债）未提供估值价格的，采用估值技术确定其公允价值。</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8</w:t>
      </w:r>
      <w:r>
        <w:rPr>
          <w:rFonts w:ascii="黑体" w:eastAsia="黑体" w:hAnsi="黑体" w:cs="宋体"/>
          <w:kern w:val="0"/>
          <w:szCs w:val="21"/>
        </w:rPr>
        <w:t>、非标准化债权资产</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符合《关于规范金融机构资产管理业务的指导意见》中规定的可以使用摊余成本法计量的非标准化债权资产，可使用摊余成本法计量，其余采用公允价值法计量。</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9</w:t>
      </w:r>
      <w:r>
        <w:rPr>
          <w:rFonts w:ascii="黑体" w:eastAsia="黑体" w:hAnsi="黑体" w:cs="宋体"/>
          <w:kern w:val="0"/>
          <w:szCs w:val="21"/>
        </w:rPr>
        <w:t>、其他</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各类资产具体估值方法的确</w:t>
      </w:r>
      <w:r>
        <w:rPr>
          <w:rFonts w:ascii="黑体" w:eastAsia="黑体" w:hAnsi="黑体" w:cs="宋体" w:hint="eastAsia"/>
          <w:kern w:val="0"/>
          <w:szCs w:val="21"/>
        </w:rPr>
        <w:t>认，可参考《企业会计准则》以及相关监管政策的规定。</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10</w:t>
      </w:r>
      <w:r>
        <w:rPr>
          <w:rFonts w:ascii="黑体" w:eastAsia="黑体" w:hAnsi="黑体" w:cs="宋体"/>
          <w:kern w:val="0"/>
          <w:szCs w:val="21"/>
        </w:rPr>
        <w:t>、若产品管理人或产品托管人认为按以上规定方法不能真实反映理财产品资产公允价值的，经产品管理人和产品托管人协商一致后，可以变更资产价值的确定方式。国家或相关监管机构有最新规定的，按其规定进行估值。</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11</w:t>
      </w:r>
      <w:r>
        <w:rPr>
          <w:rFonts w:ascii="黑体" w:eastAsia="黑体" w:hAnsi="黑体" w:cs="宋体"/>
          <w:kern w:val="0"/>
          <w:szCs w:val="21"/>
        </w:rPr>
        <w:t>、在任何情况下，产品管理人与托管人所共同认可的估值方式均视为客观、公允的估值方法。该产品估值均以产品公布的估值结果为准。</w:t>
      </w:r>
    </w:p>
    <w:p w:rsidR="008B0A7D">
      <w:pPr>
        <w:autoSpaceDE w:val="0"/>
        <w:autoSpaceDN w:val="0"/>
        <w:adjustRightInd w:val="0"/>
        <w:ind w:firstLine="420" w:firstLineChars="200"/>
        <w:rPr>
          <w:rFonts w:ascii="黑体" w:eastAsia="黑体" w:hAnsi="黑体" w:cs="黑体"/>
          <w:color w:val="000000" w:themeColor="text1"/>
          <w:kern w:val="0"/>
          <w:szCs w:val="21"/>
        </w:rPr>
      </w:pPr>
      <w:r>
        <w:rPr>
          <w:rFonts w:ascii="黑体" w:eastAsia="黑体" w:hAnsi="黑体" w:cs="黑体"/>
          <w:color w:val="000000" w:themeColor="text1"/>
          <w:kern w:val="0"/>
          <w:szCs w:val="21"/>
        </w:rPr>
        <w:t>12</w:t>
      </w:r>
      <w:r>
        <w:rPr>
          <w:rFonts w:ascii="黑体" w:eastAsia="黑体" w:hAnsi="黑体" w:cs="黑体"/>
          <w:color w:val="000000" w:themeColor="text1"/>
          <w:kern w:val="0"/>
          <w:szCs w:val="21"/>
        </w:rPr>
        <w:t>、以上估值方法所涉及的资产类型仅为条款完备性而列举，不代表本产品实际投向该类型资产。本产品的投资范围以说明书</w:t>
      </w:r>
      <w:r>
        <w:rPr>
          <w:rFonts w:ascii="黑体" w:eastAsia="黑体" w:hAnsi="黑体" w:cs="黑体"/>
          <w:color w:val="000000" w:themeColor="text1"/>
          <w:kern w:val="0"/>
          <w:szCs w:val="21"/>
        </w:rPr>
        <w:t>“</w:t>
      </w:r>
      <w:r>
        <w:rPr>
          <w:rFonts w:ascii="黑体" w:eastAsia="黑体" w:hAnsi="黑体" w:cs="黑体"/>
          <w:color w:val="000000" w:themeColor="text1"/>
          <w:kern w:val="0"/>
          <w:szCs w:val="21"/>
        </w:rPr>
        <w:t>三、产品投资管理（一</w:t>
      </w:r>
      <w:r>
        <w:rPr>
          <w:rFonts w:ascii="黑体" w:eastAsia="黑体" w:hAnsi="黑体" w:cs="黑体"/>
          <w:color w:val="000000" w:themeColor="text1"/>
          <w:kern w:val="0"/>
          <w:szCs w:val="21"/>
        </w:rPr>
        <w:t>）投资范围</w:t>
      </w:r>
      <w:r>
        <w:rPr>
          <w:rFonts w:ascii="黑体" w:eastAsia="黑体" w:hAnsi="黑体" w:cs="黑体"/>
          <w:color w:val="000000" w:themeColor="text1"/>
          <w:kern w:val="0"/>
          <w:szCs w:val="21"/>
        </w:rPr>
        <w:t>”</w:t>
      </w:r>
      <w:r>
        <w:rPr>
          <w:rFonts w:ascii="黑体" w:eastAsia="黑体" w:hAnsi="黑体" w:cs="黑体"/>
          <w:color w:val="000000" w:themeColor="text1"/>
          <w:kern w:val="0"/>
          <w:szCs w:val="21"/>
        </w:rPr>
        <w:t>载明为准。</w:t>
      </w:r>
    </w:p>
    <w:p w:rsidR="008B0A7D">
      <w:pPr>
        <w:autoSpaceDE w:val="0"/>
        <w:autoSpaceDN w:val="0"/>
        <w:adjustRightInd w:val="0"/>
        <w:ind w:firstLine="420" w:firstLineChars="200"/>
        <w:jc w:val="left"/>
        <w:rPr>
          <w:rFonts w:ascii="黑体" w:eastAsia="黑体" w:hAnsi="黑体" w:cs="宋体"/>
          <w:kern w:val="0"/>
          <w:szCs w:val="21"/>
        </w:rPr>
      </w:pPr>
    </w:p>
    <w:p w:rsidR="008B0A7D">
      <w:pPr>
        <w:autoSpaceDE w:val="0"/>
        <w:autoSpaceDN w:val="0"/>
        <w:adjustRightInd w:val="0"/>
        <w:jc w:val="left"/>
        <w:rPr>
          <w:rFonts w:ascii="黑体" w:eastAsia="黑体" w:hAnsi="黑体" w:cs="ËÎÌå"/>
          <w:kern w:val="0"/>
          <w:szCs w:val="21"/>
        </w:rPr>
      </w:pPr>
      <w:r>
        <w:rPr>
          <w:rFonts w:ascii="黑体" w:eastAsia="黑体" w:hAnsi="黑体" w:cs="ËÎÌå" w:hint="eastAsia"/>
          <w:kern w:val="0"/>
          <w:szCs w:val="21"/>
        </w:rPr>
        <w:t>（五）估值错误的处理</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产品</w:t>
      </w:r>
      <w:r>
        <w:rPr>
          <w:rFonts w:ascii="黑体" w:eastAsia="黑体" w:hAnsi="黑体" w:cs="黑体"/>
          <w:kern w:val="0"/>
          <w:szCs w:val="21"/>
        </w:rPr>
        <w:t>管理人</w:t>
      </w:r>
      <w:r>
        <w:rPr>
          <w:rFonts w:ascii="黑体" w:eastAsia="黑体" w:hAnsi="黑体" w:cs="黑体" w:hint="eastAsia"/>
          <w:kern w:val="0"/>
          <w:szCs w:val="21"/>
        </w:rPr>
        <w:t>和托管机构将采取必要、适当合理的措施确保产品资产估值的准确性、及时性。当产品单位净值出现错误时，产品</w:t>
      </w:r>
      <w:r>
        <w:rPr>
          <w:rFonts w:ascii="黑体" w:eastAsia="黑体" w:hAnsi="黑体" w:cs="黑体"/>
          <w:kern w:val="0"/>
          <w:szCs w:val="21"/>
        </w:rPr>
        <w:t>管理人</w:t>
      </w:r>
      <w:r>
        <w:rPr>
          <w:rFonts w:ascii="黑体" w:eastAsia="黑体" w:hAnsi="黑体" w:cs="黑体" w:hint="eastAsia"/>
          <w:kern w:val="0"/>
          <w:szCs w:val="21"/>
        </w:rPr>
        <w:t>应当立即予以纠正，并采取合理的措施防止损失进一步扩大。由于本产品估值所用的价格来源出现错误，或由于其它不可抗力原因，产品</w:t>
      </w:r>
      <w:r>
        <w:rPr>
          <w:rFonts w:ascii="黑体" w:eastAsia="黑体" w:hAnsi="黑体" w:cs="黑体"/>
          <w:kern w:val="0"/>
          <w:szCs w:val="21"/>
        </w:rPr>
        <w:t>管理人</w:t>
      </w:r>
      <w:r>
        <w:rPr>
          <w:rFonts w:ascii="黑体" w:eastAsia="黑体" w:hAnsi="黑体" w:cs="黑体" w:hint="eastAsia"/>
          <w:kern w:val="0"/>
          <w:szCs w:val="21"/>
        </w:rPr>
        <w:t>和托管机构虽然已经采取必要、适当、合理的措施进行检查，但是未能发现该错误的，</w:t>
      </w:r>
      <w:r>
        <w:rPr>
          <w:rFonts w:ascii="黑体" w:eastAsia="黑体" w:hAnsi="黑体" w:cs="黑体" w:hint="eastAsia"/>
          <w:b/>
          <w:kern w:val="0"/>
          <w:szCs w:val="21"/>
        </w:rPr>
        <w:t>由此造成的产品资产估值错误，产品</w:t>
      </w:r>
      <w:r>
        <w:rPr>
          <w:rFonts w:ascii="黑体" w:eastAsia="黑体" w:hAnsi="黑体" w:cs="黑体"/>
          <w:b/>
          <w:kern w:val="0"/>
          <w:szCs w:val="21"/>
        </w:rPr>
        <w:t>管理人</w:t>
      </w:r>
      <w:r>
        <w:rPr>
          <w:rFonts w:ascii="黑体" w:eastAsia="黑体" w:hAnsi="黑体" w:cs="黑体" w:hint="eastAsia"/>
          <w:b/>
          <w:kern w:val="0"/>
          <w:szCs w:val="21"/>
        </w:rPr>
        <w:t>和托管机构不承担责任。</w:t>
      </w:r>
      <w:r>
        <w:rPr>
          <w:rFonts w:ascii="黑体" w:eastAsia="黑体" w:hAnsi="黑体" w:cs="黑体" w:hint="eastAsia"/>
          <w:kern w:val="0"/>
          <w:szCs w:val="21"/>
        </w:rPr>
        <w:t>但产品</w:t>
      </w:r>
      <w:r>
        <w:rPr>
          <w:rFonts w:ascii="黑体" w:eastAsia="黑体" w:hAnsi="黑体" w:cs="黑体"/>
          <w:kern w:val="0"/>
          <w:szCs w:val="21"/>
        </w:rPr>
        <w:t>管理人</w:t>
      </w:r>
      <w:r>
        <w:rPr>
          <w:rFonts w:ascii="黑体" w:eastAsia="黑体" w:hAnsi="黑体" w:cs="黑体" w:hint="eastAsia"/>
          <w:kern w:val="0"/>
          <w:szCs w:val="21"/>
        </w:rPr>
        <w:t>和托管机构应当积极采取必要的措施消除或减轻由此造成的影响。</w:t>
      </w:r>
    </w:p>
    <w:p w:rsidR="008B0A7D">
      <w:pPr>
        <w:autoSpaceDE w:val="0"/>
        <w:autoSpaceDN w:val="0"/>
        <w:adjustRightInd w:val="0"/>
        <w:jc w:val="left"/>
        <w:rPr>
          <w:rFonts w:ascii="黑体" w:eastAsia="黑体" w:hAnsi="黑体" w:cs="ËÎÌå"/>
          <w:kern w:val="0"/>
          <w:szCs w:val="21"/>
        </w:rPr>
      </w:pPr>
      <w:r>
        <w:rPr>
          <w:rFonts w:ascii="黑体" w:eastAsia="黑体" w:hAnsi="黑体" w:cs="ËÎÌå" w:hint="eastAsia"/>
          <w:kern w:val="0"/>
          <w:szCs w:val="21"/>
        </w:rPr>
        <w:t>（六）暂停估值</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当本产品资产的估值因不可抗力或其它情形致使产品</w:t>
      </w:r>
      <w:r>
        <w:rPr>
          <w:rFonts w:ascii="黑体" w:eastAsia="黑体" w:hAnsi="黑体" w:cs="黑体"/>
          <w:kern w:val="0"/>
          <w:szCs w:val="21"/>
        </w:rPr>
        <w:t>管理人</w:t>
      </w:r>
      <w:r>
        <w:rPr>
          <w:rFonts w:ascii="黑体" w:eastAsia="黑体" w:hAnsi="黑体" w:cs="黑体" w:hint="eastAsia"/>
          <w:kern w:val="0"/>
          <w:szCs w:val="21"/>
        </w:rPr>
        <w:t>、托管机构无法准确评估产品资产价值的，当本产品在前一估值日内，产品资产净值</w:t>
      </w:r>
      <w:r>
        <w:rPr>
          <w:rFonts w:ascii="黑体" w:eastAsia="黑体" w:hAnsi="黑体" w:cs="黑体"/>
          <w:kern w:val="0"/>
          <w:szCs w:val="21"/>
        </w:rPr>
        <w:t>50%</w:t>
      </w:r>
      <w:r>
        <w:rPr>
          <w:rFonts w:ascii="黑体" w:eastAsia="黑体" w:hAnsi="黑体" w:cs="黑体"/>
          <w:kern w:val="0"/>
          <w:szCs w:val="21"/>
        </w:rPr>
        <w:t>以上的资产不具备活跃交易市场或者在活跃市场中无报价，且不能采用估值技术可靠计量公允价值</w:t>
      </w:r>
      <w:r>
        <w:rPr>
          <w:rFonts w:ascii="黑体" w:eastAsia="黑体" w:hAnsi="黑体" w:cs="黑体" w:hint="eastAsia"/>
          <w:kern w:val="0"/>
          <w:szCs w:val="21"/>
        </w:rPr>
        <w:t>的，或当本产品存在国家金融监督管理总局认定的导致无法准确估值的其它情形的，产品</w:t>
      </w:r>
      <w:r>
        <w:rPr>
          <w:rFonts w:ascii="黑体" w:eastAsia="黑体" w:hAnsi="黑体" w:cs="黑体"/>
          <w:kern w:val="0"/>
          <w:szCs w:val="21"/>
        </w:rPr>
        <w:t>管理人</w:t>
      </w:r>
      <w:r>
        <w:rPr>
          <w:rFonts w:ascii="黑体" w:eastAsia="黑体" w:hAnsi="黑体" w:cs="黑体" w:hint="eastAsia"/>
          <w:kern w:val="0"/>
          <w:szCs w:val="21"/>
        </w:rPr>
        <w:t>可暂停产品的估值直至另行通知，并采取延缓支付赎回款项或暂停接受理财产品认（申）购、赎回申请等措施，同时在</w:t>
      </w:r>
      <w:r>
        <w:rPr>
          <w:rFonts w:ascii="黑体" w:eastAsia="黑体" w:hAnsi="黑体" w:cs="黑体"/>
          <w:kern w:val="0"/>
          <w:szCs w:val="21"/>
        </w:rPr>
        <w:t>3</w:t>
      </w:r>
      <w:r>
        <w:rPr>
          <w:rFonts w:ascii="黑体" w:eastAsia="黑体" w:hAnsi="黑体" w:cs="黑体"/>
          <w:kern w:val="0"/>
          <w:szCs w:val="21"/>
        </w:rPr>
        <w:t>个工作日内告知本产品的投资者，并说明运用相关措施的原因、拟采取的应对安排等。</w:t>
      </w:r>
      <w:r>
        <w:rPr>
          <w:rFonts w:ascii="黑体" w:eastAsia="黑体" w:hAnsi="黑体" w:cs="黑体" w:hint="eastAsia"/>
          <w:b/>
          <w:kern w:val="0"/>
          <w:szCs w:val="21"/>
        </w:rPr>
        <w:t>由此造成的损失，产品</w:t>
      </w:r>
      <w:r>
        <w:rPr>
          <w:rFonts w:ascii="黑体" w:eastAsia="黑体" w:hAnsi="黑体" w:cs="黑体"/>
          <w:b/>
          <w:kern w:val="0"/>
          <w:szCs w:val="21"/>
        </w:rPr>
        <w:t>管理人</w:t>
      </w:r>
      <w:r>
        <w:rPr>
          <w:rFonts w:ascii="黑体" w:eastAsia="黑体" w:hAnsi="黑体" w:cs="黑体" w:hint="eastAsia"/>
          <w:b/>
          <w:kern w:val="0"/>
          <w:szCs w:val="21"/>
        </w:rPr>
        <w:t>和托管机构不承担责任。</w:t>
      </w:r>
    </w:p>
    <w:p w:rsidR="008B0A7D">
      <w:pPr>
        <w:autoSpaceDE w:val="0"/>
        <w:autoSpaceDN w:val="0"/>
        <w:adjustRightInd w:val="0"/>
        <w:ind w:firstLine="496" w:firstLineChars="236"/>
        <w:jc w:val="left"/>
        <w:rPr>
          <w:rFonts w:ascii="黑体" w:eastAsia="黑体" w:hAnsi="黑体" w:cs="ËÎÌå"/>
          <w:kern w:val="0"/>
          <w:szCs w:val="21"/>
        </w:rPr>
      </w:pP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六、产品费用、收益及税收说明</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（一）产品费用计提方法、计提标准和支付方式</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本产品收取的费用包括销售服务费、固定管理费、托管费等</w:t>
      </w:r>
      <w:r>
        <w:rPr>
          <w:rFonts w:ascii="黑体" w:eastAsia="黑体" w:hAnsi="黑体" w:cs="黑体"/>
          <w:b/>
          <w:kern w:val="0"/>
          <w:szCs w:val="21"/>
        </w:rPr>
        <w:t>，具体计提方法、计提标准和支付方式如下：</w:t>
      </w:r>
    </w:p>
    <w:p w:rsidR="008B0A7D">
      <w:pPr>
        <w:autoSpaceDE w:val="0"/>
        <w:autoSpaceDN w:val="0"/>
        <w:adjustRightInd w:val="0"/>
        <w:ind w:firstLine="420" w:firstLineChars="200"/>
        <w:jc w:val="left"/>
        <w:rPr>
          <w:rFonts w:ascii="黑体" w:eastAsia="黑体" w:hAnsi="黑体"/>
          <w:b/>
          <w:color w:val="000000" w:themeColor="text1"/>
          <w:kern w:val="0"/>
        </w:rPr>
      </w:pPr>
      <w:bookmarkStart w:id="9" w:name="_Hlk33053751"/>
      <w:bookmarkStart w:id="10" w:name="_Hlk33107492"/>
      <w:r>
        <w:rPr>
          <w:rFonts w:ascii="黑体" w:eastAsia="黑体" w:hAnsi="黑体" w:cs="黑体"/>
          <w:b/>
          <w:kern w:val="0"/>
          <w:szCs w:val="21"/>
        </w:rPr>
        <w:t>1</w:t>
      </w:r>
      <w:r>
        <w:rPr>
          <w:rFonts w:ascii="黑体" w:eastAsia="黑体" w:hAnsi="黑体" w:cs="黑体" w:hint="eastAsia"/>
          <w:b/>
          <w:kern w:val="0"/>
          <w:szCs w:val="21"/>
        </w:rPr>
        <w:t>、销售服务费：本产品</w:t>
      </w:r>
      <w:r>
        <w:rPr>
          <w:rFonts w:ascii="黑体" w:eastAsia="黑体" w:hAnsi="黑体" w:hint="eastAsia"/>
          <w:b/>
          <w:color w:val="000000" w:themeColor="text1"/>
          <w:kern w:val="0"/>
        </w:rPr>
        <w:t>销售服务费按</w:t>
      </w:r>
      <w:r>
        <w:rPr>
          <w:rFonts w:ascii="黑体" w:eastAsia="黑体" w:hAnsi="黑体" w:cs="黑体"/>
          <w:b/>
          <w:color w:val="000000" w:themeColor="text1"/>
          <w:kern w:val="0"/>
          <w:szCs w:val="21"/>
        </w:rPr>
        <w:t>当日产品扣除回购融资、产品运作及清算中产生的其他费用、产品运营中发生的增值税及附加税费等费用后的资产净值的</w:t>
      </w:r>
      <w:r>
        <w:rPr>
          <w:rFonts w:ascii="黑体" w:eastAsia="黑体" w:hAnsi="黑体" w:cs="黑体"/>
          <w:b/>
          <w:color w:val="000000" w:themeColor="text1"/>
          <w:kern w:val="0"/>
          <w:szCs w:val="21"/>
        </w:rPr>
        <w:t>0.30%</w:t>
      </w:r>
      <w:r>
        <w:rPr>
          <w:rFonts w:ascii="黑体" w:eastAsia="黑体" w:hAnsi="黑体" w:cs="黑体" w:hint="eastAsia"/>
          <w:b/>
          <w:color w:val="000000" w:themeColor="text1"/>
          <w:kern w:val="0"/>
          <w:szCs w:val="21"/>
        </w:rPr>
        <w:t>（适用于</w:t>
      </w:r>
      <w:r>
        <w:rPr>
          <w:rFonts w:ascii="黑体" w:eastAsia="黑体" w:hAnsi="黑体" w:cs="黑体"/>
          <w:b/>
          <w:color w:val="000000" w:themeColor="text1"/>
          <w:kern w:val="0"/>
          <w:szCs w:val="21"/>
        </w:rPr>
        <w:t>A</w:t>
      </w:r>
      <w:r>
        <w:rPr>
          <w:rFonts w:ascii="黑体" w:eastAsia="黑体" w:hAnsi="黑体" w:cs="黑体"/>
          <w:b/>
          <w:color w:val="000000" w:themeColor="text1"/>
          <w:kern w:val="0"/>
          <w:szCs w:val="21"/>
        </w:rPr>
        <w:t>、</w:t>
      </w:r>
      <w:r>
        <w:rPr>
          <w:rFonts w:ascii="黑体" w:eastAsia="黑体" w:hAnsi="黑体" w:cs="黑体"/>
          <w:b/>
          <w:color w:val="000000" w:themeColor="text1"/>
          <w:kern w:val="0"/>
          <w:szCs w:val="21"/>
        </w:rPr>
        <w:t>B</w:t>
      </w:r>
      <w:r>
        <w:rPr>
          <w:rFonts w:ascii="黑体" w:eastAsia="黑体" w:hAnsi="黑体" w:cs="黑体" w:hint="eastAsia"/>
          <w:b/>
          <w:color w:val="000000" w:themeColor="text1"/>
          <w:kern w:val="0"/>
          <w:szCs w:val="21"/>
        </w:rPr>
        <w:t>、</w:t>
      </w:r>
      <w:r>
        <w:rPr>
          <w:rFonts w:ascii="黑体" w:eastAsia="黑体" w:hAnsi="黑体" w:cs="黑体"/>
          <w:b/>
          <w:color w:val="000000" w:themeColor="text1"/>
          <w:kern w:val="0"/>
          <w:szCs w:val="21"/>
        </w:rPr>
        <w:t>D</w:t>
      </w:r>
      <w:r>
        <w:rPr>
          <w:rFonts w:ascii="黑体" w:eastAsia="黑体" w:hAnsi="黑体" w:cs="黑体"/>
          <w:b/>
          <w:color w:val="000000" w:themeColor="text1"/>
          <w:kern w:val="0"/>
          <w:szCs w:val="21"/>
        </w:rPr>
        <w:t>、</w:t>
      </w:r>
      <w:r>
        <w:rPr>
          <w:rFonts w:ascii="黑体" w:eastAsia="黑体" w:hAnsi="黑体" w:cs="黑体"/>
          <w:b/>
          <w:color w:val="000000" w:themeColor="text1"/>
          <w:kern w:val="0"/>
          <w:szCs w:val="21"/>
        </w:rPr>
        <w:t>E</w:t>
      </w:r>
      <w:r>
        <w:rPr>
          <w:rFonts w:ascii="黑体" w:eastAsia="黑体" w:hAnsi="黑体" w:cs="黑体" w:hint="eastAsia"/>
          <w:b/>
          <w:color w:val="000000" w:themeColor="text1"/>
          <w:kern w:val="0"/>
          <w:szCs w:val="21"/>
        </w:rPr>
        <w:t>、</w:t>
      </w:r>
      <w:r>
        <w:rPr>
          <w:rFonts w:ascii="黑体" w:eastAsia="黑体" w:hAnsi="黑体" w:cs="黑体" w:hint="eastAsia"/>
          <w:b/>
          <w:color w:val="000000" w:themeColor="text1"/>
          <w:kern w:val="0"/>
          <w:szCs w:val="21"/>
        </w:rPr>
        <w:t>G</w:t>
      </w:r>
      <w:r>
        <w:rPr>
          <w:rFonts w:ascii="黑体" w:eastAsia="黑体" w:hAnsi="黑体" w:cs="黑体" w:hint="eastAsia"/>
          <w:b/>
          <w:color w:val="000000" w:themeColor="text1"/>
          <w:kern w:val="0"/>
          <w:szCs w:val="21"/>
        </w:rPr>
        <w:t>、</w:t>
      </w:r>
      <w:r>
        <w:rPr>
          <w:rFonts w:ascii="黑体" w:eastAsia="黑体" w:hAnsi="黑体" w:cs="黑体" w:hint="eastAsia"/>
          <w:b/>
          <w:color w:val="000000" w:themeColor="text1"/>
          <w:kern w:val="0"/>
          <w:szCs w:val="21"/>
        </w:rPr>
        <w:t>J</w:t>
      </w:r>
      <w:r>
        <w:rPr>
          <w:rFonts w:ascii="黑体" w:eastAsia="黑体" w:hAnsi="黑体" w:cs="黑体" w:hint="eastAsia"/>
          <w:b/>
          <w:color w:val="000000" w:themeColor="text1"/>
          <w:kern w:val="0"/>
          <w:szCs w:val="21"/>
        </w:rPr>
        <w:t>、</w:t>
      </w:r>
      <w:r>
        <w:rPr>
          <w:rFonts w:ascii="黑体" w:eastAsia="黑体" w:hAnsi="黑体" w:cs="黑体" w:hint="eastAsia"/>
          <w:b/>
          <w:color w:val="000000" w:themeColor="text1"/>
          <w:kern w:val="0"/>
          <w:szCs w:val="21"/>
        </w:rPr>
        <w:t>P</w:t>
      </w:r>
      <w:r>
        <w:rPr>
          <w:rFonts w:ascii="黑体" w:eastAsia="黑体" w:hAnsi="黑体" w:cs="黑体" w:hint="eastAsia"/>
          <w:b/>
          <w:color w:val="000000" w:themeColor="text1"/>
          <w:kern w:val="0"/>
          <w:szCs w:val="21"/>
        </w:rPr>
        <w:t>份额）</w:t>
      </w:r>
      <w:r>
        <w:rPr>
          <w:rFonts w:ascii="黑体" w:eastAsia="黑体" w:hAnsi="黑体" w:cs="黑体" w:hint="eastAsia"/>
          <w:b/>
          <w:color w:val="000000" w:themeColor="text1"/>
          <w:kern w:val="0"/>
          <w:szCs w:val="21"/>
        </w:rPr>
        <w:t>/</w:t>
      </w:r>
      <w:r>
        <w:rPr>
          <w:rFonts w:ascii="黑体" w:eastAsia="黑体" w:hAnsi="黑体" w:cs="黑体"/>
          <w:b/>
          <w:color w:val="000000" w:themeColor="text1"/>
          <w:kern w:val="0"/>
          <w:szCs w:val="21"/>
        </w:rPr>
        <w:t>0.</w:t>
      </w:r>
      <w:r>
        <w:rPr>
          <w:rFonts w:ascii="黑体" w:eastAsia="黑体" w:hAnsi="黑体" w:cs="黑体" w:hint="eastAsia"/>
          <w:b/>
          <w:color w:val="000000" w:themeColor="text1"/>
          <w:kern w:val="0"/>
          <w:szCs w:val="21"/>
        </w:rPr>
        <w:t>27</w:t>
      </w:r>
      <w:r>
        <w:rPr>
          <w:rFonts w:ascii="黑体" w:eastAsia="黑体" w:hAnsi="黑体" w:cs="黑体"/>
          <w:b/>
          <w:color w:val="000000" w:themeColor="text1"/>
          <w:kern w:val="0"/>
          <w:szCs w:val="21"/>
        </w:rPr>
        <w:t>%</w:t>
      </w:r>
      <w:r>
        <w:rPr>
          <w:rFonts w:ascii="黑体" w:eastAsia="黑体" w:hAnsi="黑体" w:cs="黑体" w:hint="eastAsia"/>
          <w:b/>
          <w:color w:val="000000" w:themeColor="text1"/>
          <w:kern w:val="0"/>
          <w:szCs w:val="21"/>
        </w:rPr>
        <w:t>（适用于</w:t>
      </w:r>
      <w:r>
        <w:rPr>
          <w:rFonts w:ascii="黑体" w:eastAsia="黑体" w:hAnsi="黑体" w:cs="黑体" w:hint="eastAsia"/>
          <w:b/>
          <w:color w:val="000000" w:themeColor="text1"/>
          <w:kern w:val="0"/>
          <w:szCs w:val="21"/>
        </w:rPr>
        <w:t>K</w:t>
      </w:r>
      <w:r>
        <w:rPr>
          <w:rFonts w:ascii="黑体" w:eastAsia="黑体" w:hAnsi="黑体" w:cs="黑体" w:hint="eastAsia"/>
          <w:b/>
          <w:color w:val="000000" w:themeColor="text1"/>
          <w:kern w:val="0"/>
          <w:szCs w:val="21"/>
        </w:rPr>
        <w:t>份额）</w:t>
      </w:r>
      <w:r>
        <w:rPr>
          <w:rFonts w:ascii="黑体" w:eastAsia="黑体" w:hAnsi="黑体" w:cs="黑体" w:hint="eastAsia"/>
          <w:b/>
          <w:color w:val="000000" w:themeColor="text1"/>
          <w:kern w:val="0"/>
          <w:szCs w:val="21"/>
        </w:rPr>
        <w:t>/</w:t>
      </w:r>
      <w:r>
        <w:rPr>
          <w:rFonts w:ascii="黑体" w:eastAsia="黑体" w:hAnsi="黑体" w:cs="黑体"/>
          <w:b/>
          <w:color w:val="000000" w:themeColor="text1"/>
          <w:kern w:val="0"/>
          <w:szCs w:val="21"/>
        </w:rPr>
        <w:t>0.</w:t>
      </w:r>
      <w:r>
        <w:rPr>
          <w:rFonts w:ascii="黑体" w:eastAsia="黑体" w:hAnsi="黑体" w:cs="黑体" w:hint="eastAsia"/>
          <w:b/>
          <w:color w:val="000000" w:themeColor="text1"/>
          <w:kern w:val="0"/>
          <w:szCs w:val="21"/>
        </w:rPr>
        <w:t>10</w:t>
      </w:r>
      <w:r>
        <w:rPr>
          <w:rFonts w:ascii="黑体" w:eastAsia="黑体" w:hAnsi="黑体" w:cs="黑体"/>
          <w:b/>
          <w:color w:val="000000" w:themeColor="text1"/>
          <w:kern w:val="0"/>
          <w:szCs w:val="21"/>
        </w:rPr>
        <w:t>%</w:t>
      </w:r>
      <w:r>
        <w:rPr>
          <w:rFonts w:ascii="黑体" w:eastAsia="黑体" w:hAnsi="黑体" w:cs="黑体" w:hint="eastAsia"/>
          <w:b/>
          <w:color w:val="000000" w:themeColor="text1"/>
          <w:kern w:val="0"/>
          <w:szCs w:val="21"/>
        </w:rPr>
        <w:t>（适用于</w:t>
      </w:r>
      <w:r>
        <w:rPr>
          <w:rFonts w:ascii="黑体" w:eastAsia="黑体" w:hAnsi="黑体" w:cs="黑体" w:hint="eastAsia"/>
          <w:b/>
          <w:color w:val="000000" w:themeColor="text1"/>
          <w:kern w:val="0"/>
          <w:szCs w:val="21"/>
        </w:rPr>
        <w:t>L</w:t>
      </w:r>
      <w:r>
        <w:rPr>
          <w:rFonts w:ascii="黑体" w:eastAsia="黑体" w:hAnsi="黑体" w:cs="黑体" w:hint="eastAsia"/>
          <w:b/>
          <w:color w:val="000000" w:themeColor="text1"/>
          <w:kern w:val="0"/>
          <w:szCs w:val="21"/>
        </w:rPr>
        <w:t>份额）年费率计提。</w:t>
      </w:r>
      <w:r>
        <w:rPr>
          <w:rFonts w:ascii="黑体" w:eastAsia="黑体" w:hAnsi="黑体" w:hint="eastAsia"/>
          <w:b/>
          <w:color w:val="000000" w:themeColor="text1"/>
          <w:kern w:val="0"/>
        </w:rPr>
        <w:t>计算方法如下：</w:t>
      </w:r>
    </w:p>
    <w:p w:rsidR="008B0A7D">
      <w:pPr>
        <w:autoSpaceDE w:val="0"/>
        <w:autoSpaceDN w:val="0"/>
        <w:adjustRightInd w:val="0"/>
        <w:ind w:left="420" w:leftChars="200"/>
        <w:jc w:val="left"/>
        <w:rPr>
          <w:rFonts w:ascii="黑体" w:eastAsia="黑体" w:hAnsi="黑体" w:cs="黑体"/>
          <w:b/>
          <w:color w:val="000000" w:themeColor="text1"/>
          <w:kern w:val="0"/>
          <w:szCs w:val="21"/>
        </w:rPr>
      </w:pPr>
      <w:r>
        <w:rPr>
          <w:rFonts w:ascii="黑体" w:eastAsia="黑体" w:hAnsi="黑体" w:cs="黑体"/>
          <w:b/>
          <w:color w:val="000000" w:themeColor="text1"/>
          <w:kern w:val="0"/>
          <w:szCs w:val="21"/>
        </w:rPr>
        <w:t>F=E×</w:t>
      </w:r>
      <w:r>
        <w:rPr>
          <w:rFonts w:ascii="黑体" w:eastAsia="黑体" w:hAnsi="黑体" w:cs="黑体"/>
          <w:b/>
          <w:color w:val="000000" w:themeColor="text1"/>
          <w:kern w:val="0"/>
          <w:szCs w:val="21"/>
        </w:rPr>
        <w:t>销售服务费率（年化）</w:t>
      </w:r>
      <w:r>
        <w:rPr>
          <w:rFonts w:ascii="黑体" w:eastAsia="黑体" w:hAnsi="黑体" w:cs="黑体"/>
          <w:b/>
          <w:color w:val="000000" w:themeColor="text1"/>
          <w:kern w:val="0"/>
          <w:szCs w:val="21"/>
        </w:rPr>
        <w:t>÷365</w:t>
      </w:r>
      <w:r>
        <w:rPr>
          <w:rFonts w:ascii="黑体" w:eastAsia="黑体" w:hAnsi="黑体" w:cs="黑体"/>
          <w:b/>
          <w:color w:val="000000" w:themeColor="text1"/>
          <w:kern w:val="0"/>
          <w:szCs w:val="21"/>
        </w:rPr>
        <w:br/>
      </w:r>
      <w:r>
        <w:rPr>
          <w:rFonts w:ascii="黑体" w:eastAsia="黑体" w:hAnsi="黑体" w:cs="黑体"/>
          <w:b/>
          <w:color w:val="000000" w:themeColor="text1"/>
          <w:kern w:val="0"/>
          <w:szCs w:val="21"/>
        </w:rPr>
        <w:t>F</w:t>
      </w:r>
      <w:r>
        <w:rPr>
          <w:rFonts w:ascii="黑体" w:eastAsia="黑体" w:hAnsi="黑体" w:cs="黑体"/>
          <w:b/>
          <w:color w:val="000000" w:themeColor="text1"/>
          <w:kern w:val="0"/>
          <w:szCs w:val="21"/>
        </w:rPr>
        <w:t>为每一自然日应计提的销售服务费</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b/>
          <w:color w:val="000000" w:themeColor="text1"/>
          <w:kern w:val="0"/>
          <w:szCs w:val="21"/>
        </w:rPr>
        <w:t>E</w:t>
      </w:r>
      <w:r>
        <w:rPr>
          <w:rFonts w:ascii="黑体" w:eastAsia="黑体" w:hAnsi="黑体" w:cs="黑体"/>
          <w:b/>
          <w:color w:val="000000" w:themeColor="text1"/>
          <w:kern w:val="0"/>
          <w:szCs w:val="21"/>
        </w:rPr>
        <w:t>为</w:t>
      </w:r>
      <w:r>
        <w:rPr>
          <w:rFonts w:ascii="黑体" w:eastAsia="黑体" w:hAnsi="黑体" w:cs="黑体" w:hint="eastAsia"/>
          <w:b/>
          <w:color w:val="000000" w:themeColor="text1"/>
          <w:kern w:val="0"/>
          <w:szCs w:val="21"/>
        </w:rPr>
        <w:t>估值日产品扣除回购融资、产品运作及清算中产生的其他费用、产品运营中发生的增值税及附加税费等费用后的资产净值</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hint="eastAsia"/>
          <w:b/>
          <w:color w:val="000000" w:themeColor="text1"/>
          <w:kern w:val="0"/>
          <w:szCs w:val="21"/>
        </w:rPr>
        <w:t>销售服务费每日计提，按季支付，或由管理人向托管人发送指令，托管人复核后从产品资产中支付。</w:t>
      </w:r>
    </w:p>
    <w:p w:rsidR="008B0A7D">
      <w:pPr>
        <w:autoSpaceDE w:val="0"/>
        <w:autoSpaceDN w:val="0"/>
        <w:adjustRightInd w:val="0"/>
        <w:jc w:val="left"/>
        <w:rPr>
          <w:rFonts w:ascii="黑体" w:eastAsia="黑体" w:hAnsi="黑体" w:cs="黑体"/>
          <w:b/>
          <w:color w:val="000000" w:themeColor="text1"/>
          <w:kern w:val="0"/>
          <w:szCs w:val="21"/>
        </w:rPr>
      </w:pP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2</w:t>
      </w:r>
      <w:r>
        <w:rPr>
          <w:rFonts w:ascii="黑体" w:eastAsia="黑体" w:hAnsi="黑体" w:cs="黑体" w:hint="eastAsia"/>
          <w:b/>
          <w:kern w:val="0"/>
          <w:szCs w:val="21"/>
        </w:rPr>
        <w:t>、固定管理费：本产品固定管理费按当日产品扣除回购融资、产品运作及清算中产生的其他费用、产品运营中发生的增值税及附加税费等费用后的资产净值的</w:t>
      </w:r>
      <w:r>
        <w:rPr>
          <w:rFonts w:ascii="黑体" w:eastAsia="黑体" w:hAnsi="黑体" w:cs="黑体"/>
          <w:b/>
          <w:kern w:val="0"/>
          <w:szCs w:val="21"/>
        </w:rPr>
        <w:t>0.50%</w:t>
      </w:r>
      <w:r>
        <w:rPr>
          <w:rFonts w:ascii="黑体" w:eastAsia="黑体" w:hAnsi="黑体" w:cs="黑体" w:hint="eastAsia"/>
          <w:b/>
          <w:color w:val="000000" w:themeColor="text1"/>
          <w:kern w:val="0"/>
          <w:szCs w:val="21"/>
        </w:rPr>
        <w:t>（适用于</w:t>
      </w:r>
      <w:r>
        <w:rPr>
          <w:rFonts w:ascii="黑体" w:eastAsia="黑体" w:hAnsi="黑体" w:cs="黑体"/>
          <w:b/>
          <w:color w:val="000000" w:themeColor="text1"/>
          <w:kern w:val="0"/>
          <w:szCs w:val="21"/>
        </w:rPr>
        <w:t>A</w:t>
      </w:r>
      <w:r>
        <w:rPr>
          <w:rFonts w:ascii="黑体" w:eastAsia="黑体" w:hAnsi="黑体" w:cs="黑体"/>
          <w:b/>
          <w:color w:val="000000" w:themeColor="text1"/>
          <w:kern w:val="0"/>
          <w:szCs w:val="21"/>
        </w:rPr>
        <w:t>、</w:t>
      </w:r>
      <w:r>
        <w:rPr>
          <w:rFonts w:ascii="黑体" w:eastAsia="黑体" w:hAnsi="黑体" w:cs="黑体"/>
          <w:b/>
          <w:color w:val="000000" w:themeColor="text1"/>
          <w:kern w:val="0"/>
          <w:szCs w:val="21"/>
        </w:rPr>
        <w:t>B</w:t>
      </w:r>
      <w:r>
        <w:rPr>
          <w:rFonts w:ascii="黑体" w:eastAsia="黑体" w:hAnsi="黑体" w:cs="黑体" w:hint="eastAsia"/>
          <w:b/>
          <w:color w:val="000000" w:themeColor="text1"/>
          <w:kern w:val="0"/>
          <w:szCs w:val="21"/>
        </w:rPr>
        <w:t>、</w:t>
      </w:r>
      <w:r>
        <w:rPr>
          <w:rFonts w:ascii="黑体" w:eastAsia="黑体" w:hAnsi="黑体" w:cs="黑体"/>
          <w:b/>
          <w:color w:val="000000" w:themeColor="text1"/>
          <w:kern w:val="0"/>
          <w:szCs w:val="21"/>
        </w:rPr>
        <w:t>E</w:t>
      </w:r>
      <w:r>
        <w:rPr>
          <w:rFonts w:ascii="黑体" w:eastAsia="黑体" w:hAnsi="黑体" w:cs="黑体" w:hint="eastAsia"/>
          <w:b/>
          <w:color w:val="000000" w:themeColor="text1"/>
          <w:kern w:val="0"/>
          <w:szCs w:val="21"/>
        </w:rPr>
        <w:t>、</w:t>
      </w:r>
      <w:r>
        <w:rPr>
          <w:rFonts w:ascii="黑体" w:eastAsia="黑体" w:hAnsi="黑体" w:cs="黑体" w:hint="eastAsia"/>
          <w:b/>
          <w:color w:val="000000" w:themeColor="text1"/>
          <w:kern w:val="0"/>
          <w:szCs w:val="21"/>
        </w:rPr>
        <w:t>G</w:t>
      </w:r>
      <w:r>
        <w:rPr>
          <w:rFonts w:ascii="黑体" w:eastAsia="黑体" w:hAnsi="黑体" w:cs="黑体" w:hint="eastAsia"/>
          <w:b/>
          <w:color w:val="000000" w:themeColor="text1"/>
          <w:kern w:val="0"/>
          <w:szCs w:val="21"/>
        </w:rPr>
        <w:t>、</w:t>
      </w:r>
      <w:r>
        <w:rPr>
          <w:rFonts w:ascii="黑体" w:eastAsia="黑体" w:hAnsi="黑体" w:cs="黑体" w:hint="eastAsia"/>
          <w:b/>
          <w:color w:val="000000" w:themeColor="text1"/>
          <w:kern w:val="0"/>
          <w:szCs w:val="21"/>
        </w:rPr>
        <w:t>J</w:t>
      </w:r>
      <w:r>
        <w:rPr>
          <w:rFonts w:ascii="黑体" w:eastAsia="黑体" w:hAnsi="黑体" w:cs="黑体" w:hint="eastAsia"/>
          <w:b/>
          <w:color w:val="000000" w:themeColor="text1"/>
          <w:kern w:val="0"/>
          <w:szCs w:val="21"/>
        </w:rPr>
        <w:t>、</w:t>
      </w:r>
      <w:r>
        <w:rPr>
          <w:rFonts w:ascii="黑体" w:eastAsia="黑体" w:hAnsi="黑体" w:cs="黑体" w:hint="eastAsia"/>
          <w:b/>
          <w:color w:val="000000" w:themeColor="text1"/>
          <w:kern w:val="0"/>
          <w:szCs w:val="21"/>
        </w:rPr>
        <w:t>K</w:t>
      </w:r>
      <w:r>
        <w:rPr>
          <w:rFonts w:ascii="黑体" w:eastAsia="黑体" w:hAnsi="黑体" w:cs="黑体" w:hint="eastAsia"/>
          <w:b/>
          <w:color w:val="000000" w:themeColor="text1"/>
          <w:kern w:val="0"/>
          <w:szCs w:val="21"/>
        </w:rPr>
        <w:t>、</w:t>
      </w:r>
      <w:r>
        <w:rPr>
          <w:rFonts w:ascii="黑体" w:eastAsia="黑体" w:hAnsi="黑体" w:cs="黑体" w:hint="eastAsia"/>
          <w:b/>
          <w:color w:val="000000" w:themeColor="text1"/>
          <w:kern w:val="0"/>
          <w:szCs w:val="21"/>
        </w:rPr>
        <w:t>L</w:t>
      </w:r>
      <w:r>
        <w:rPr>
          <w:rFonts w:ascii="黑体" w:eastAsia="黑体" w:hAnsi="黑体" w:cs="黑体" w:hint="eastAsia"/>
          <w:b/>
          <w:color w:val="000000" w:themeColor="text1"/>
          <w:kern w:val="0"/>
          <w:szCs w:val="21"/>
        </w:rPr>
        <w:t>、</w:t>
      </w:r>
      <w:r>
        <w:rPr>
          <w:rFonts w:ascii="黑体" w:eastAsia="黑体" w:hAnsi="黑体" w:cs="黑体" w:hint="eastAsia"/>
          <w:b/>
          <w:color w:val="000000" w:themeColor="text1"/>
          <w:kern w:val="0"/>
          <w:szCs w:val="21"/>
        </w:rPr>
        <w:t>P</w:t>
      </w:r>
      <w:r>
        <w:rPr>
          <w:rFonts w:ascii="黑体" w:eastAsia="黑体" w:hAnsi="黑体" w:cs="黑体" w:hint="eastAsia"/>
          <w:b/>
          <w:color w:val="000000" w:themeColor="text1"/>
          <w:kern w:val="0"/>
          <w:szCs w:val="21"/>
        </w:rPr>
        <w:t>份额）</w:t>
      </w:r>
      <w:r>
        <w:rPr>
          <w:rFonts w:ascii="黑体" w:eastAsia="黑体" w:hAnsi="黑体" w:cs="黑体"/>
          <w:b/>
          <w:color w:val="000000" w:themeColor="text1"/>
          <w:kern w:val="0"/>
          <w:szCs w:val="21"/>
        </w:rPr>
        <w:t>/</w:t>
      </w:r>
      <w:r>
        <w:rPr>
          <w:rFonts w:ascii="黑体" w:eastAsia="黑体" w:hAnsi="黑体" w:cs="黑体"/>
          <w:b/>
          <w:kern w:val="0"/>
          <w:szCs w:val="21"/>
        </w:rPr>
        <w:t>0.40%</w:t>
      </w:r>
      <w:r>
        <w:rPr>
          <w:rFonts w:ascii="黑体" w:eastAsia="黑体" w:hAnsi="黑体" w:cs="黑体" w:hint="eastAsia"/>
          <w:b/>
          <w:color w:val="000000" w:themeColor="text1"/>
          <w:kern w:val="0"/>
          <w:szCs w:val="21"/>
        </w:rPr>
        <w:t>（适用于</w:t>
      </w:r>
      <w:r>
        <w:rPr>
          <w:rFonts w:ascii="黑体" w:eastAsia="黑体" w:hAnsi="黑体" w:cs="黑体"/>
          <w:b/>
          <w:color w:val="000000" w:themeColor="text1"/>
          <w:kern w:val="0"/>
          <w:szCs w:val="21"/>
        </w:rPr>
        <w:t>D</w:t>
      </w:r>
      <w:r>
        <w:rPr>
          <w:rFonts w:ascii="黑体" w:eastAsia="黑体" w:hAnsi="黑体" w:cs="黑体"/>
          <w:b/>
          <w:color w:val="000000" w:themeColor="text1"/>
          <w:kern w:val="0"/>
          <w:szCs w:val="21"/>
        </w:rPr>
        <w:t>份额）</w:t>
      </w:r>
      <w:r>
        <w:rPr>
          <w:rFonts w:ascii="黑体" w:eastAsia="黑体" w:hAnsi="黑体" w:cs="黑体"/>
          <w:b/>
          <w:kern w:val="0"/>
          <w:szCs w:val="21"/>
        </w:rPr>
        <w:t>年费率计提。计算方法如下：</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b/>
          <w:color w:val="000000" w:themeColor="text1"/>
          <w:kern w:val="0"/>
          <w:szCs w:val="21"/>
        </w:rPr>
        <w:t>H=Y×</w:t>
      </w:r>
      <w:r>
        <w:rPr>
          <w:rFonts w:ascii="黑体" w:eastAsia="黑体" w:hAnsi="黑体" w:cs="黑体"/>
          <w:b/>
          <w:color w:val="000000" w:themeColor="text1"/>
          <w:kern w:val="0"/>
          <w:szCs w:val="21"/>
        </w:rPr>
        <w:t>固定管理费率（年</w:t>
      </w:r>
      <w:r>
        <w:rPr>
          <w:rFonts w:ascii="黑体" w:eastAsia="黑体" w:hAnsi="黑体" w:cs="黑体"/>
          <w:b/>
          <w:color w:val="000000" w:themeColor="text1"/>
          <w:kern w:val="0"/>
          <w:szCs w:val="21"/>
        </w:rPr>
        <w:t>化）</w:t>
      </w:r>
      <w:r>
        <w:rPr>
          <w:rFonts w:ascii="黑体" w:eastAsia="黑体" w:hAnsi="黑体" w:cs="黑体"/>
          <w:b/>
          <w:color w:val="000000" w:themeColor="text1"/>
          <w:kern w:val="0"/>
          <w:szCs w:val="21"/>
        </w:rPr>
        <w:t>÷365</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b/>
          <w:color w:val="000000" w:themeColor="text1"/>
          <w:kern w:val="0"/>
          <w:szCs w:val="21"/>
        </w:rPr>
        <w:t>H</w:t>
      </w:r>
      <w:r>
        <w:rPr>
          <w:rFonts w:ascii="黑体" w:eastAsia="黑体" w:hAnsi="黑体" w:cs="黑体"/>
          <w:b/>
          <w:color w:val="000000" w:themeColor="text1"/>
          <w:kern w:val="0"/>
          <w:szCs w:val="21"/>
        </w:rPr>
        <w:t>为每一自然日应计提的固定管理费</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b/>
          <w:color w:val="000000" w:themeColor="text1"/>
          <w:kern w:val="0"/>
          <w:szCs w:val="21"/>
        </w:rPr>
        <w:t>Y</w:t>
      </w:r>
      <w:r>
        <w:rPr>
          <w:rFonts w:ascii="黑体" w:eastAsia="黑体" w:hAnsi="黑体" w:cs="黑体"/>
          <w:b/>
          <w:color w:val="000000" w:themeColor="text1"/>
          <w:kern w:val="0"/>
          <w:szCs w:val="21"/>
        </w:rPr>
        <w:t>为估值日产品扣除回购融资、产品运作及清算中产生的其他费用、产品运营中发生的增值税及附加税费等费用后的资产净值</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hint="eastAsia"/>
          <w:b/>
          <w:color w:val="000000" w:themeColor="text1"/>
          <w:kern w:val="0"/>
          <w:szCs w:val="21"/>
        </w:rPr>
        <w:t>固定管理费每日计提，按季支付，或由管理人向托管人发送指令，托管人复核后从产品资产中支付。</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b/>
          <w:color w:val="000000" w:themeColor="text1"/>
          <w:kern w:val="0"/>
          <w:szCs w:val="21"/>
        </w:rPr>
        <w:t>3</w:t>
      </w:r>
      <w:r>
        <w:rPr>
          <w:rFonts w:ascii="黑体" w:eastAsia="黑体" w:hAnsi="黑体" w:cs="黑体" w:hint="eastAsia"/>
          <w:b/>
          <w:color w:val="000000" w:themeColor="text1"/>
          <w:kern w:val="0"/>
          <w:szCs w:val="21"/>
        </w:rPr>
        <w:t>、浮动管理费：无</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p>
    <w:p w:rsidR="008B0A7D">
      <w:pPr>
        <w:autoSpaceDE w:val="0"/>
        <w:autoSpaceDN w:val="0"/>
        <w:adjustRightInd w:val="0"/>
        <w:ind w:firstLine="420" w:firstLineChars="200"/>
        <w:jc w:val="left"/>
        <w:rPr>
          <w:rFonts w:ascii="黑体" w:eastAsia="黑体" w:hAnsi="黑体"/>
          <w:b/>
          <w:color w:val="000000" w:themeColor="text1"/>
          <w:kern w:val="0"/>
        </w:rPr>
      </w:pPr>
      <w:r>
        <w:rPr>
          <w:rFonts w:ascii="黑体" w:eastAsia="黑体" w:hAnsi="黑体"/>
          <w:b/>
          <w:color w:val="000000" w:themeColor="text1"/>
          <w:kern w:val="0"/>
        </w:rPr>
        <w:t>4</w:t>
      </w:r>
      <w:r>
        <w:rPr>
          <w:rFonts w:ascii="黑体" w:eastAsia="黑体" w:hAnsi="黑体" w:hint="eastAsia"/>
          <w:b/>
          <w:color w:val="000000" w:themeColor="text1"/>
          <w:kern w:val="0"/>
        </w:rPr>
        <w:t>、托管费：本产品托管费按</w:t>
      </w:r>
      <w:r>
        <w:rPr>
          <w:rFonts w:ascii="黑体" w:eastAsia="黑体" w:hAnsi="黑体" w:cs="黑体" w:hint="eastAsia"/>
          <w:b/>
          <w:color w:val="000000" w:themeColor="text1"/>
          <w:kern w:val="0"/>
          <w:szCs w:val="21"/>
        </w:rPr>
        <w:t>当日产品扣除回购融资、产品运作及清算中产生的其他费用、产品运营中发生的增值税及附加税费等费用后的资产净值的</w:t>
      </w:r>
      <w:r>
        <w:rPr>
          <w:rFonts w:ascii="黑体" w:eastAsia="黑体" w:hAnsi="黑体" w:cs="黑体"/>
          <w:b/>
          <w:color w:val="000000" w:themeColor="text1"/>
          <w:kern w:val="0"/>
          <w:szCs w:val="21"/>
        </w:rPr>
        <w:t>0.01%</w:t>
      </w:r>
      <w:r>
        <w:rPr>
          <w:rFonts w:ascii="黑体" w:eastAsia="黑体" w:hAnsi="黑体" w:cs="黑体"/>
          <w:b/>
          <w:color w:val="000000" w:themeColor="text1"/>
          <w:kern w:val="0"/>
          <w:szCs w:val="21"/>
        </w:rPr>
        <w:t>年费率计提。</w:t>
      </w:r>
      <w:r>
        <w:rPr>
          <w:rFonts w:ascii="黑体" w:eastAsia="黑体" w:hAnsi="黑体" w:hint="eastAsia"/>
          <w:b/>
          <w:color w:val="000000" w:themeColor="text1"/>
          <w:kern w:val="0"/>
        </w:rPr>
        <w:t>计算方法如下：</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b/>
          <w:color w:val="000000" w:themeColor="text1"/>
          <w:kern w:val="0"/>
          <w:szCs w:val="21"/>
        </w:rPr>
        <w:t>T</w:t>
      </w:r>
      <w:r>
        <w:rPr>
          <w:rFonts w:ascii="黑体" w:eastAsia="黑体" w:hAnsi="黑体" w:cs="黑体"/>
          <w:b/>
          <w:color w:val="000000" w:themeColor="text1"/>
          <w:kern w:val="0"/>
          <w:szCs w:val="21"/>
        </w:rPr>
        <w:t>＝</w:t>
      </w:r>
      <w:r>
        <w:rPr>
          <w:rFonts w:ascii="黑体" w:eastAsia="黑体" w:hAnsi="黑体" w:cs="黑体"/>
          <w:b/>
          <w:color w:val="000000" w:themeColor="text1"/>
          <w:kern w:val="0"/>
          <w:szCs w:val="21"/>
        </w:rPr>
        <w:t>B×</w:t>
      </w:r>
      <w:r>
        <w:rPr>
          <w:rFonts w:ascii="黑体" w:eastAsia="黑体" w:hAnsi="黑体" w:cs="黑体"/>
          <w:b/>
          <w:color w:val="000000" w:themeColor="text1"/>
          <w:kern w:val="0"/>
          <w:szCs w:val="21"/>
        </w:rPr>
        <w:t>托管费率（年化）</w:t>
      </w:r>
      <w:r>
        <w:rPr>
          <w:rFonts w:ascii="黑体" w:eastAsia="黑体" w:hAnsi="黑体" w:cs="黑体"/>
          <w:b/>
          <w:color w:val="000000" w:themeColor="text1"/>
          <w:kern w:val="0"/>
          <w:szCs w:val="21"/>
        </w:rPr>
        <w:t>÷365</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b/>
          <w:color w:val="000000" w:themeColor="text1"/>
          <w:kern w:val="0"/>
          <w:szCs w:val="21"/>
        </w:rPr>
        <w:t>T</w:t>
      </w:r>
      <w:r>
        <w:rPr>
          <w:rFonts w:ascii="黑体" w:eastAsia="黑体" w:hAnsi="黑体" w:cs="黑体"/>
          <w:b/>
          <w:color w:val="000000" w:themeColor="text1"/>
          <w:kern w:val="0"/>
          <w:szCs w:val="21"/>
        </w:rPr>
        <w:t>为每一自然日应计提的产品托管费</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b/>
          <w:color w:val="000000" w:themeColor="text1"/>
          <w:kern w:val="0"/>
          <w:szCs w:val="21"/>
        </w:rPr>
        <w:t>B</w:t>
      </w:r>
      <w:r>
        <w:rPr>
          <w:rFonts w:ascii="黑体" w:eastAsia="黑体" w:hAnsi="黑体" w:cs="黑体"/>
          <w:b/>
          <w:color w:val="000000" w:themeColor="text1"/>
          <w:kern w:val="0"/>
          <w:szCs w:val="21"/>
        </w:rPr>
        <w:t>为估值日产品扣除回购融资、产品运作及清算中产生的其他费用、产品运营中发生的增值税及附加税费等费用后的资产净值</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r>
        <w:rPr>
          <w:rFonts w:ascii="黑体" w:eastAsia="黑体" w:hAnsi="黑体" w:cs="黑体" w:hint="eastAsia"/>
          <w:b/>
          <w:color w:val="000000" w:themeColor="text1"/>
          <w:kern w:val="0"/>
          <w:szCs w:val="21"/>
        </w:rPr>
        <w:t>托管费每日计提，按季支付，或由管理人向托管人发送指令，托管人复核后从产品资产中支付。</w:t>
      </w:r>
    </w:p>
    <w:p w:rsidR="008B0A7D">
      <w:pPr>
        <w:autoSpaceDE w:val="0"/>
        <w:autoSpaceDN w:val="0"/>
        <w:adjustRightInd w:val="0"/>
        <w:ind w:firstLine="420" w:firstLineChars="200"/>
        <w:jc w:val="left"/>
        <w:rPr>
          <w:rFonts w:ascii="黑体" w:eastAsia="黑体" w:hAnsi="黑体" w:cs="黑体"/>
          <w:b/>
          <w:color w:val="000000" w:themeColor="text1"/>
          <w:kern w:val="0"/>
          <w:szCs w:val="21"/>
        </w:rPr>
      </w:pP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5</w:t>
      </w:r>
      <w:r>
        <w:rPr>
          <w:rFonts w:ascii="黑体" w:eastAsia="黑体" w:hAnsi="黑体" w:cs="黑体" w:hint="eastAsia"/>
          <w:b/>
          <w:kern w:val="0"/>
          <w:szCs w:val="21"/>
        </w:rPr>
        <w:t>、手续费</w:t>
      </w:r>
      <w:r>
        <w:rPr>
          <w:rFonts w:ascii="黑体" w:eastAsia="黑体" w:hAnsi="黑体" w:cs="黑体"/>
          <w:b/>
          <w:kern w:val="0"/>
          <w:szCs w:val="21"/>
        </w:rPr>
        <w:t>：</w:t>
      </w:r>
      <w:bookmarkStart w:id="11" w:name="_Hlk33053737"/>
      <w:r>
        <w:rPr>
          <w:rFonts w:ascii="黑体" w:eastAsia="黑体" w:hAnsi="黑体" w:cs="黑体" w:hint="eastAsia"/>
          <w:b/>
          <w:kern w:val="0"/>
          <w:szCs w:val="21"/>
        </w:rPr>
        <w:t>无</w:t>
      </w:r>
    </w:p>
    <w:bookmarkEnd w:id="11"/>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6</w:t>
      </w:r>
      <w:r>
        <w:rPr>
          <w:rFonts w:ascii="黑体" w:eastAsia="黑体" w:hAnsi="黑体" w:cs="黑体"/>
          <w:b/>
          <w:kern w:val="0"/>
          <w:szCs w:val="21"/>
        </w:rPr>
        <w:t>、其他费用：</w:t>
      </w:r>
      <w:r>
        <w:rPr>
          <w:rFonts w:ascii="黑体" w:eastAsia="黑体" w:hAnsi="黑体" w:cs="黑体" w:hint="eastAsia"/>
          <w:b/>
          <w:kern w:val="0"/>
          <w:szCs w:val="21"/>
        </w:rPr>
        <w:t>无</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7</w:t>
      </w:r>
      <w:r>
        <w:rPr>
          <w:rFonts w:ascii="黑体" w:eastAsia="黑体" w:hAnsi="黑体" w:cs="黑体"/>
          <w:b/>
          <w:kern w:val="0"/>
          <w:szCs w:val="21"/>
        </w:rPr>
        <w:t>、</w:t>
      </w:r>
      <w:r>
        <w:rPr>
          <w:rFonts w:ascii="黑体" w:eastAsia="黑体" w:hAnsi="黑体" w:cs="黑体" w:hint="eastAsia"/>
          <w:b/>
          <w:kern w:val="0"/>
          <w:szCs w:val="21"/>
        </w:rPr>
        <w:t>产品运作和清算中产生的其他费用，包括但不限于资金汇划费、结算费、交易手续费、注册登记费、信息披露费、账户服务费、审计费、项目推荐费、相关机构为本理财产品投资交易提供保管、咨询、顾问、管理等服务所收取的费用、代表投资者利益行使诉讼权利或实施其他法律行为所产生的费用（包括但不限于资产处置费、诉讼费、仲裁费、保全费、律师费、鉴定费、公证费、评估费）等，按照实际发生情况从产品中列支。</w:t>
      </w:r>
      <w:bookmarkEnd w:id="9"/>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8</w:t>
      </w:r>
      <w:r>
        <w:rPr>
          <w:rFonts w:ascii="黑体" w:eastAsia="黑体" w:hAnsi="黑体" w:cs="黑体" w:hint="eastAsia"/>
          <w:kern w:val="0"/>
          <w:szCs w:val="21"/>
        </w:rPr>
        <w:t>、上述费用将按相关</w:t>
      </w:r>
      <w:r>
        <w:rPr>
          <w:rFonts w:ascii="黑体" w:eastAsia="黑体" w:hAnsi="黑体" w:cs="黑体"/>
          <w:kern w:val="0"/>
          <w:szCs w:val="21"/>
        </w:rPr>
        <w:t>合同</w:t>
      </w:r>
      <w:r>
        <w:rPr>
          <w:rFonts w:ascii="黑体" w:eastAsia="黑体" w:hAnsi="黑体" w:cs="黑体" w:hint="eastAsia"/>
          <w:kern w:val="0"/>
          <w:szCs w:val="21"/>
        </w:rPr>
        <w:t>约定的时间和方式支付给收款方。</w:t>
      </w:r>
    </w:p>
    <w:bookmarkEnd w:id="10"/>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9</w:t>
      </w:r>
      <w:r>
        <w:rPr>
          <w:rFonts w:ascii="黑体" w:eastAsia="黑体" w:hAnsi="黑体" w:cs="黑体" w:hint="eastAsia"/>
          <w:b/>
          <w:kern w:val="0"/>
          <w:szCs w:val="21"/>
        </w:rPr>
        <w:t>、产品管理人有权根据市场情况等调整上述各项收费项目、收费条件、收费标准和收费方式，并至少于调整日之前</w:t>
      </w:r>
      <w:r>
        <w:rPr>
          <w:rFonts w:ascii="黑体" w:eastAsia="黑体" w:hAnsi="黑体" w:cs="黑体"/>
          <w:b/>
          <w:kern w:val="0"/>
          <w:szCs w:val="21"/>
        </w:rPr>
        <w:t>3</w:t>
      </w:r>
      <w:r>
        <w:rPr>
          <w:rFonts w:ascii="黑体" w:eastAsia="黑体" w:hAnsi="黑体" w:cs="黑体" w:hint="eastAsia"/>
          <w:b/>
          <w:kern w:val="0"/>
          <w:szCs w:val="21"/>
        </w:rPr>
        <w:t>个工作日进行公告。上述情况下产品</w:t>
      </w:r>
      <w:r>
        <w:rPr>
          <w:rFonts w:ascii="黑体" w:eastAsia="黑体" w:hAnsi="黑体" w:cs="黑体"/>
          <w:b/>
          <w:kern w:val="0"/>
          <w:szCs w:val="21"/>
        </w:rPr>
        <w:t>管理人</w:t>
      </w:r>
      <w:r>
        <w:rPr>
          <w:rFonts w:ascii="黑体" w:eastAsia="黑体" w:hAnsi="黑体" w:cs="黑体" w:hint="eastAsia"/>
          <w:b/>
          <w:kern w:val="0"/>
          <w:szCs w:val="21"/>
        </w:rPr>
        <w:t>将可能开放赎回，具体以信息披露公告为准。投资者不同意公告内容的，可按公告约定全部赎回本产品。若投资者在公告执行后继续持有本产品的，视同接受公告内容。</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（二）</w:t>
      </w:r>
      <w:bookmarkStart w:id="12" w:name="_Hlk33085424"/>
      <w:r>
        <w:rPr>
          <w:rFonts w:ascii="黑体" w:eastAsia="黑体" w:hAnsi="黑体" w:cs="宋体" w:hint="eastAsia"/>
          <w:kern w:val="0"/>
          <w:szCs w:val="21"/>
        </w:rPr>
        <w:t>产品收益计算示例</w:t>
      </w:r>
      <w:bookmarkEnd w:id="12"/>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以下示例均为</w:t>
      </w:r>
      <w:r>
        <w:rPr>
          <w:rFonts w:ascii="黑体" w:eastAsia="黑体" w:hAnsi="黑体" w:cs="黑体" w:hint="eastAsia"/>
          <w:b/>
          <w:kern w:val="0"/>
          <w:szCs w:val="21"/>
        </w:rPr>
        <w:t>采用假设数据计算。具体产品的认购、申购、赎回相关规则详见本说明书第四部分产品交易相关规则，费用计算以展示不同情境下费用计算过程为目的，具体产品费率以本说明书第六部分产品费用、收益及税收说明和相关公告为准，测算收益不等于实际收益，投资须谨慎。</w:t>
      </w:r>
    </w:p>
    <w:p w:rsidR="008B0A7D">
      <w:pPr>
        <w:autoSpaceDE w:val="0"/>
        <w:autoSpaceDN w:val="0"/>
        <w:adjustRightInd w:val="0"/>
        <w:ind w:firstLine="420" w:firstLineChars="200"/>
        <w:jc w:val="left"/>
        <w:rPr>
          <w:rFonts w:ascii="黑体" w:eastAsia="黑体" w:hAnsi="黑体" w:cs="黑体"/>
          <w:color w:val="000000" w:themeColor="text1"/>
          <w:kern w:val="0"/>
          <w:szCs w:val="21"/>
        </w:rPr>
      </w:pPr>
      <w:r>
        <w:rPr>
          <w:rFonts w:ascii="黑体" w:eastAsia="黑体" w:hAnsi="黑体" w:cs="黑体" w:hint="eastAsia"/>
          <w:color w:val="000000" w:themeColor="text1"/>
          <w:kern w:val="0"/>
          <w:szCs w:val="21"/>
        </w:rPr>
        <w:t>示例</w:t>
      </w:r>
      <w:r>
        <w:rPr>
          <w:rFonts w:ascii="黑体" w:eastAsia="黑体" w:hAnsi="黑体" w:cs="黑体" w:hint="eastAsia"/>
          <w:color w:val="000000" w:themeColor="text1"/>
          <w:kern w:val="0"/>
          <w:szCs w:val="21"/>
        </w:rPr>
        <w:t>1</w:t>
      </w:r>
      <w:r>
        <w:rPr>
          <w:rFonts w:ascii="黑体" w:eastAsia="黑体" w:hAnsi="黑体" w:cs="黑体" w:hint="eastAsia"/>
          <w:color w:val="000000" w:themeColor="text1"/>
          <w:kern w:val="0"/>
          <w:szCs w:val="21"/>
        </w:rPr>
        <w:t>：份额持有区间年化收益率超过【当期浮动管理费的提取基准】。</w:t>
      </w:r>
    </w:p>
    <w:p w:rsidR="008B0A7D">
      <w:pPr>
        <w:autoSpaceDE w:val="0"/>
        <w:autoSpaceDN w:val="0"/>
        <w:adjustRightInd w:val="0"/>
        <w:ind w:firstLine="420" w:firstLineChars="200"/>
        <w:jc w:val="left"/>
        <w:rPr>
          <w:rFonts w:ascii="黑体" w:eastAsia="黑体" w:hAnsi="黑体" w:cs="黑体"/>
          <w:color w:val="000000" w:themeColor="text1"/>
          <w:kern w:val="0"/>
          <w:szCs w:val="21"/>
        </w:rPr>
      </w:pPr>
      <w:r>
        <w:rPr>
          <w:rFonts w:ascii="黑体" w:eastAsia="黑体" w:hAnsi="黑体" w:cs="黑体" w:hint="eastAsia"/>
          <w:color w:val="000000" w:themeColor="text1"/>
          <w:kern w:val="0"/>
          <w:szCs w:val="21"/>
        </w:rPr>
        <w:t>假设投资者本金为</w:t>
      </w:r>
      <w:r>
        <w:rPr>
          <w:rFonts w:ascii="黑体" w:eastAsia="黑体" w:hAnsi="黑体" w:cs="黑体" w:hint="eastAsia"/>
          <w:color w:val="000000" w:themeColor="text1"/>
          <w:kern w:val="0"/>
          <w:szCs w:val="21"/>
        </w:rPr>
        <w:t>10000</w:t>
      </w:r>
      <w:r>
        <w:rPr>
          <w:rFonts w:ascii="黑体" w:eastAsia="黑体" w:hAnsi="黑体" w:cs="黑体" w:hint="eastAsia"/>
          <w:color w:val="000000" w:themeColor="text1"/>
          <w:kern w:val="0"/>
          <w:szCs w:val="21"/>
        </w:rPr>
        <w:t>元，申购受理日产品的单位净值和累计净值均为</w:t>
      </w:r>
      <w:r>
        <w:rPr>
          <w:rFonts w:ascii="黑体" w:eastAsia="黑体" w:hAnsi="黑体" w:cs="黑体" w:hint="eastAsia"/>
          <w:color w:val="000000" w:themeColor="text1"/>
          <w:kern w:val="0"/>
          <w:szCs w:val="21"/>
        </w:rPr>
        <w:t>1.00</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份，则投资者持有份额为</w:t>
      </w:r>
      <w:r>
        <w:rPr>
          <w:rFonts w:ascii="黑体" w:eastAsia="黑体" w:hAnsi="黑体" w:cs="黑体" w:hint="eastAsia"/>
          <w:color w:val="000000" w:themeColor="text1"/>
          <w:kern w:val="0"/>
          <w:szCs w:val="21"/>
        </w:rPr>
        <w:t>10000</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rPr>
        <w:t>投资者持有满产品最短持有期后依照说明书约定提交全部份额的赎回申请（假设提交赎回申请时投资</w:t>
      </w:r>
      <w:r>
        <w:rPr>
          <w:rFonts w:ascii="黑体" w:eastAsia="黑体" w:hAnsi="黑体" w:cs="黑体" w:hint="eastAsia"/>
          <w:color w:val="000000" w:themeColor="text1"/>
          <w:kern w:val="0"/>
        </w:rPr>
        <w:t>者持有该产品</w:t>
      </w:r>
      <w:r>
        <w:rPr>
          <w:rFonts w:ascii="黑体" w:eastAsia="黑体" w:hAnsi="黑体" w:cs="黑体" w:hint="eastAsia"/>
          <w:color w:val="000000" w:themeColor="text1"/>
          <w:kern w:val="0"/>
        </w:rPr>
        <w:t>300</w:t>
      </w:r>
      <w:r>
        <w:rPr>
          <w:rFonts w:ascii="黑体" w:eastAsia="黑体" w:hAnsi="黑体" w:cs="黑体" w:hint="eastAsia"/>
          <w:color w:val="000000" w:themeColor="text1"/>
          <w:kern w:val="0"/>
        </w:rPr>
        <w:t>天），</w:t>
      </w:r>
      <w:r>
        <w:rPr>
          <w:rFonts w:ascii="黑体" w:eastAsia="黑体" w:hAnsi="黑体" w:cs="黑体" w:hint="eastAsia"/>
          <w:color w:val="000000" w:themeColor="text1"/>
          <w:kern w:val="0"/>
          <w:szCs w:val="21"/>
        </w:rPr>
        <w:t>赎回受理日产品的累计净值为</w:t>
      </w:r>
      <w:r>
        <w:rPr>
          <w:rFonts w:ascii="黑体" w:eastAsia="黑体" w:hAnsi="黑体" w:cs="黑体" w:hint="eastAsia"/>
          <w:color w:val="000000" w:themeColor="text1"/>
          <w:kern w:val="0"/>
          <w:szCs w:val="21"/>
        </w:rPr>
        <w:t>1.</w:t>
      </w:r>
      <w:r>
        <w:rPr>
          <w:rFonts w:ascii="黑体" w:eastAsia="黑体" w:hAnsi="黑体" w:cs="黑体"/>
          <w:color w:val="000000" w:themeColor="text1"/>
          <w:kern w:val="0"/>
          <w:szCs w:val="21"/>
        </w:rPr>
        <w:t>05</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份，单位净值为</w:t>
      </w:r>
      <w:r>
        <w:rPr>
          <w:rFonts w:ascii="黑体" w:eastAsia="黑体" w:hAnsi="黑体" w:cs="黑体" w:hint="eastAsia"/>
          <w:color w:val="000000" w:themeColor="text1"/>
          <w:kern w:val="0"/>
          <w:szCs w:val="21"/>
        </w:rPr>
        <w:t>1.</w:t>
      </w:r>
      <w:r>
        <w:rPr>
          <w:rFonts w:ascii="黑体" w:eastAsia="黑体" w:hAnsi="黑体" w:cs="黑体"/>
          <w:color w:val="000000" w:themeColor="text1"/>
          <w:kern w:val="0"/>
          <w:szCs w:val="21"/>
        </w:rPr>
        <w:t>05</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份，则投资者所赎回份额的持有区间年化收益率为（</w:t>
      </w:r>
      <w:r>
        <w:rPr>
          <w:rFonts w:ascii="黑体" w:eastAsia="黑体" w:hAnsi="黑体" w:cs="黑体" w:hint="eastAsia"/>
          <w:color w:val="000000" w:themeColor="text1"/>
          <w:kern w:val="0"/>
          <w:szCs w:val="21"/>
        </w:rPr>
        <w:t>1.</w:t>
      </w:r>
      <w:r>
        <w:rPr>
          <w:rFonts w:ascii="黑体" w:eastAsia="黑体" w:hAnsi="黑体" w:cs="黑体"/>
          <w:color w:val="000000" w:themeColor="text1"/>
          <w:kern w:val="0"/>
          <w:szCs w:val="21"/>
        </w:rPr>
        <w:t>05</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-1.00</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w:t>
      </w:r>
      <w:r>
        <w:rPr>
          <w:rFonts w:ascii="黑体" w:eastAsia="黑体" w:hAnsi="黑体" w:cs="黑体"/>
          <w:color w:val="000000" w:themeColor="text1"/>
          <w:kern w:val="0"/>
          <w:szCs w:val="21"/>
        </w:rPr>
        <w:t>300</w:t>
      </w:r>
      <w:r>
        <w:rPr>
          <w:rFonts w:ascii="黑体" w:eastAsia="黑体" w:hAnsi="黑体" w:cs="黑体" w:hint="eastAsia"/>
          <w:color w:val="000000" w:themeColor="text1"/>
          <w:kern w:val="0"/>
          <w:szCs w:val="21"/>
        </w:rPr>
        <w:t>*365=</w:t>
      </w:r>
      <w:r>
        <w:rPr>
          <w:rFonts w:ascii="黑体" w:eastAsia="黑体" w:hAnsi="黑体" w:cs="黑体"/>
          <w:color w:val="000000" w:themeColor="text1"/>
          <w:kern w:val="0"/>
          <w:szCs w:val="21"/>
        </w:rPr>
        <w:t>6.08</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，假设当期浮动管理费的提取基准为</w:t>
      </w:r>
      <w:r>
        <w:rPr>
          <w:rFonts w:ascii="黑体" w:eastAsia="黑体" w:hAnsi="黑体" w:cs="黑体" w:hint="eastAsia"/>
          <w:color w:val="000000" w:themeColor="text1"/>
          <w:kern w:val="0"/>
          <w:szCs w:val="21"/>
        </w:rPr>
        <w:t>4%</w:t>
      </w:r>
      <w:r>
        <w:rPr>
          <w:rFonts w:ascii="黑体" w:eastAsia="黑体" w:hAnsi="黑体" w:cs="黑体" w:hint="eastAsia"/>
          <w:color w:val="000000" w:themeColor="text1"/>
          <w:kern w:val="0"/>
          <w:szCs w:val="21"/>
        </w:rPr>
        <w:t>，</w:t>
      </w:r>
      <w:r>
        <w:rPr>
          <w:rFonts w:ascii="黑体" w:eastAsia="黑体" w:hAnsi="黑体" w:cs="黑体" w:hint="eastAsia"/>
          <w:kern w:val="0"/>
          <w:szCs w:val="21"/>
        </w:rPr>
        <w:t>浮费提取比例为</w:t>
      </w:r>
      <w:r>
        <w:rPr>
          <w:rFonts w:ascii="黑体" w:eastAsia="黑体" w:hAnsi="黑体" w:cs="黑体" w:hint="eastAsia"/>
          <w:kern w:val="0"/>
          <w:szCs w:val="21"/>
        </w:rPr>
        <w:t>30%</w:t>
      </w:r>
      <w:r>
        <w:rPr>
          <w:rFonts w:ascii="黑体" w:eastAsia="黑体" w:hAnsi="黑体" w:cs="黑体" w:hint="eastAsia"/>
          <w:kern w:val="0"/>
          <w:szCs w:val="21"/>
        </w:rPr>
        <w:t>，</w:t>
      </w:r>
      <w:r>
        <w:rPr>
          <w:rFonts w:ascii="黑体" w:eastAsia="黑体" w:hAnsi="黑体" w:cs="黑体" w:hint="eastAsia"/>
          <w:color w:val="000000" w:themeColor="text1"/>
          <w:kern w:val="0"/>
          <w:szCs w:val="21"/>
        </w:rPr>
        <w:t>则产品管理人提取的浮动管理费为：（</w:t>
      </w:r>
      <w:r>
        <w:rPr>
          <w:rFonts w:ascii="黑体" w:eastAsia="黑体" w:hAnsi="黑体" w:cs="黑体"/>
          <w:color w:val="000000" w:themeColor="text1"/>
          <w:kern w:val="0"/>
          <w:szCs w:val="21"/>
        </w:rPr>
        <w:t>6.08</w:t>
      </w:r>
      <w:r>
        <w:rPr>
          <w:rFonts w:ascii="黑体" w:eastAsia="黑体" w:hAnsi="黑体" w:cs="黑体" w:hint="eastAsia"/>
          <w:color w:val="000000" w:themeColor="text1"/>
          <w:kern w:val="0"/>
          <w:szCs w:val="21"/>
        </w:rPr>
        <w:t>%-</w:t>
      </w:r>
      <w:r>
        <w:rPr>
          <w:rFonts w:ascii="黑体" w:eastAsia="黑体" w:hAnsi="黑体" w:cs="黑体"/>
          <w:color w:val="000000" w:themeColor="text1"/>
          <w:kern w:val="0"/>
          <w:szCs w:val="21"/>
        </w:rPr>
        <w:t>4</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*3</w:t>
      </w:r>
      <w:r>
        <w:rPr>
          <w:rFonts w:ascii="黑体" w:eastAsia="黑体" w:hAnsi="黑体" w:cs="黑体"/>
          <w:color w:val="000000" w:themeColor="text1"/>
          <w:kern w:val="0"/>
          <w:szCs w:val="21"/>
        </w:rPr>
        <w:t>0</w:t>
      </w:r>
      <w:r>
        <w:rPr>
          <w:rFonts w:ascii="黑体" w:eastAsia="黑体" w:hAnsi="黑体" w:cs="黑体" w:hint="eastAsia"/>
          <w:color w:val="000000" w:themeColor="text1"/>
          <w:kern w:val="0"/>
          <w:szCs w:val="21"/>
        </w:rPr>
        <w:t>%*10000</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w:t>
      </w:r>
      <w:r>
        <w:rPr>
          <w:rFonts w:ascii="黑体" w:eastAsia="黑体" w:hAnsi="黑体" w:cs="黑体"/>
          <w:color w:val="000000" w:themeColor="text1"/>
          <w:kern w:val="0"/>
          <w:szCs w:val="21"/>
        </w:rPr>
        <w:t>300</w:t>
      </w:r>
      <w:r>
        <w:rPr>
          <w:rFonts w:ascii="黑体" w:eastAsia="黑体" w:hAnsi="黑体" w:cs="黑体" w:hint="eastAsia"/>
          <w:color w:val="000000" w:themeColor="text1"/>
          <w:kern w:val="0"/>
          <w:szCs w:val="21"/>
        </w:rPr>
        <w:t>/365=</w:t>
      </w:r>
      <w:r>
        <w:rPr>
          <w:rFonts w:ascii="黑体" w:eastAsia="黑体" w:hAnsi="黑体" w:cs="黑体"/>
          <w:color w:val="000000" w:themeColor="text1"/>
          <w:kern w:val="0"/>
          <w:szCs w:val="21"/>
        </w:rPr>
        <w:t>51.37</w:t>
      </w:r>
      <w:r>
        <w:rPr>
          <w:rFonts w:ascii="黑体" w:eastAsia="黑体" w:hAnsi="黑体" w:cs="黑体" w:hint="eastAsia"/>
          <w:color w:val="000000" w:themeColor="text1"/>
          <w:kern w:val="0"/>
          <w:szCs w:val="21"/>
        </w:rPr>
        <w:t>元，若赎回确认金额采取四舍五入后精确到小数点后</w:t>
      </w:r>
      <w:r>
        <w:rPr>
          <w:rFonts w:ascii="黑体" w:eastAsia="黑体" w:hAnsi="黑体" w:cs="黑体" w:hint="eastAsia"/>
          <w:color w:val="000000" w:themeColor="text1"/>
          <w:kern w:val="0"/>
          <w:szCs w:val="21"/>
        </w:rPr>
        <w:t>2</w:t>
      </w:r>
      <w:r>
        <w:rPr>
          <w:rFonts w:ascii="黑体" w:eastAsia="黑体" w:hAnsi="黑体" w:cs="黑体" w:hint="eastAsia"/>
          <w:color w:val="000000" w:themeColor="text1"/>
          <w:kern w:val="0"/>
          <w:szCs w:val="21"/>
        </w:rPr>
        <w:t>位，则投资者赎回份额的兑付金额为：</w:t>
      </w:r>
      <w:r>
        <w:rPr>
          <w:rFonts w:ascii="黑体" w:eastAsia="黑体" w:hAnsi="黑体" w:cs="黑体" w:hint="eastAsia"/>
          <w:color w:val="000000" w:themeColor="text1"/>
          <w:kern w:val="0"/>
          <w:szCs w:val="21"/>
        </w:rPr>
        <w:t>10000</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1.</w:t>
      </w:r>
      <w:r>
        <w:rPr>
          <w:rFonts w:ascii="黑体" w:eastAsia="黑体" w:hAnsi="黑体" w:cs="黑体"/>
          <w:color w:val="000000" w:themeColor="text1"/>
          <w:kern w:val="0"/>
          <w:szCs w:val="21"/>
        </w:rPr>
        <w:t>05</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w:t>
      </w:r>
      <w:r>
        <w:rPr>
          <w:rFonts w:ascii="黑体" w:eastAsia="黑体" w:hAnsi="黑体" w:cs="黑体"/>
          <w:color w:val="000000" w:themeColor="text1"/>
          <w:kern w:val="0"/>
          <w:szCs w:val="21"/>
        </w:rPr>
        <w:t>51.37</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1</w:t>
      </w:r>
      <w:r>
        <w:rPr>
          <w:rFonts w:ascii="黑体" w:eastAsia="黑体" w:hAnsi="黑体" w:cs="黑体"/>
          <w:color w:val="000000" w:themeColor="text1"/>
          <w:kern w:val="0"/>
          <w:szCs w:val="21"/>
        </w:rPr>
        <w:t>0448.63</w:t>
      </w:r>
      <w:r>
        <w:rPr>
          <w:rFonts w:ascii="黑体" w:eastAsia="黑体" w:hAnsi="黑体" w:cs="黑体" w:hint="eastAsia"/>
          <w:color w:val="000000" w:themeColor="text1"/>
          <w:kern w:val="0"/>
          <w:szCs w:val="21"/>
        </w:rPr>
        <w:t>元，投资者理财收益</w:t>
      </w:r>
      <w:r>
        <w:rPr>
          <w:rFonts w:ascii="黑体" w:eastAsia="黑体" w:hAnsi="黑体" w:cs="黑体"/>
          <w:color w:val="000000" w:themeColor="text1"/>
          <w:kern w:val="0"/>
          <w:szCs w:val="21"/>
        </w:rPr>
        <w:t>448.63</w:t>
      </w:r>
      <w:r>
        <w:rPr>
          <w:rFonts w:ascii="黑体" w:eastAsia="黑体" w:hAnsi="黑体" w:cs="黑体" w:hint="eastAsia"/>
          <w:color w:val="000000" w:themeColor="text1"/>
          <w:kern w:val="0"/>
          <w:szCs w:val="21"/>
        </w:rPr>
        <w:t>元。</w:t>
      </w:r>
    </w:p>
    <w:p w:rsidR="008B0A7D">
      <w:pPr>
        <w:autoSpaceDE w:val="0"/>
        <w:autoSpaceDN w:val="0"/>
        <w:adjustRightInd w:val="0"/>
        <w:ind w:firstLine="420" w:firstLineChars="200"/>
        <w:jc w:val="left"/>
        <w:rPr>
          <w:rFonts w:ascii="黑体" w:eastAsia="黑体" w:hAnsi="黑体" w:cs="黑体"/>
          <w:color w:val="000000" w:themeColor="text1"/>
          <w:kern w:val="0"/>
          <w:szCs w:val="21"/>
        </w:rPr>
      </w:pPr>
    </w:p>
    <w:p w:rsidR="008B0A7D">
      <w:pPr>
        <w:autoSpaceDE w:val="0"/>
        <w:autoSpaceDN w:val="0"/>
        <w:adjustRightInd w:val="0"/>
        <w:ind w:firstLine="420" w:firstLineChars="200"/>
        <w:jc w:val="left"/>
        <w:rPr>
          <w:rFonts w:ascii="黑体" w:eastAsia="黑体" w:hAnsi="黑体" w:cs="黑体"/>
          <w:color w:val="000000" w:themeColor="text1"/>
          <w:kern w:val="0"/>
          <w:szCs w:val="21"/>
        </w:rPr>
      </w:pPr>
      <w:r>
        <w:rPr>
          <w:rFonts w:ascii="黑体" w:eastAsia="黑体" w:hAnsi="黑体" w:cs="黑体" w:hint="eastAsia"/>
          <w:color w:val="000000" w:themeColor="text1"/>
          <w:kern w:val="0"/>
          <w:szCs w:val="21"/>
        </w:rPr>
        <w:t>示例</w:t>
      </w:r>
      <w:r>
        <w:rPr>
          <w:rFonts w:ascii="黑体" w:eastAsia="黑体" w:hAnsi="黑体" w:cs="黑体" w:hint="eastAsia"/>
          <w:color w:val="000000" w:themeColor="text1"/>
          <w:kern w:val="0"/>
          <w:szCs w:val="21"/>
        </w:rPr>
        <w:t>2</w:t>
      </w:r>
      <w:r>
        <w:rPr>
          <w:rFonts w:ascii="黑体" w:eastAsia="黑体" w:hAnsi="黑体" w:cs="黑体" w:hint="eastAsia"/>
          <w:color w:val="000000" w:themeColor="text1"/>
          <w:kern w:val="0"/>
          <w:szCs w:val="21"/>
        </w:rPr>
        <w:t>：份额持有区间年化收益率为正，但未达到【当期浮动管理费的提取基准】。</w:t>
      </w:r>
    </w:p>
    <w:p w:rsidR="008B0A7D">
      <w:pPr>
        <w:autoSpaceDE w:val="0"/>
        <w:autoSpaceDN w:val="0"/>
        <w:adjustRightInd w:val="0"/>
        <w:ind w:firstLine="420" w:firstLineChars="200"/>
        <w:jc w:val="left"/>
        <w:rPr>
          <w:rFonts w:ascii="黑体" w:eastAsia="黑体" w:hAnsi="黑体" w:cs="黑体"/>
          <w:color w:val="000000" w:themeColor="text1"/>
          <w:kern w:val="0"/>
          <w:szCs w:val="21"/>
        </w:rPr>
      </w:pPr>
      <w:r>
        <w:rPr>
          <w:rFonts w:ascii="黑体" w:eastAsia="黑体" w:hAnsi="黑体" w:cs="黑体" w:hint="eastAsia"/>
          <w:color w:val="000000" w:themeColor="text1"/>
          <w:kern w:val="0"/>
          <w:szCs w:val="21"/>
        </w:rPr>
        <w:t>假设投资者本金为</w:t>
      </w:r>
      <w:r>
        <w:rPr>
          <w:rFonts w:ascii="黑体" w:eastAsia="黑体" w:hAnsi="黑体" w:cs="黑体" w:hint="eastAsia"/>
          <w:color w:val="000000" w:themeColor="text1"/>
          <w:kern w:val="0"/>
          <w:szCs w:val="21"/>
        </w:rPr>
        <w:t>10000</w:t>
      </w:r>
      <w:r>
        <w:rPr>
          <w:rFonts w:ascii="黑体" w:eastAsia="黑体" w:hAnsi="黑体" w:cs="黑体" w:hint="eastAsia"/>
          <w:color w:val="000000" w:themeColor="text1"/>
          <w:kern w:val="0"/>
          <w:szCs w:val="21"/>
        </w:rPr>
        <w:t>元，申购受理日产品的单位净值和累计净值均为</w:t>
      </w:r>
      <w:r>
        <w:rPr>
          <w:rFonts w:ascii="黑体" w:eastAsia="黑体" w:hAnsi="黑体" w:cs="黑体" w:hint="eastAsia"/>
          <w:color w:val="000000" w:themeColor="text1"/>
          <w:kern w:val="0"/>
          <w:szCs w:val="21"/>
        </w:rPr>
        <w:t>1.00</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份，则投资者持有份额为</w:t>
      </w:r>
      <w:r>
        <w:rPr>
          <w:rFonts w:ascii="黑体" w:eastAsia="黑体" w:hAnsi="黑体" w:cs="黑体" w:hint="eastAsia"/>
          <w:color w:val="000000" w:themeColor="text1"/>
          <w:kern w:val="0"/>
          <w:szCs w:val="21"/>
        </w:rPr>
        <w:t>10000</w:t>
      </w:r>
      <w:r>
        <w:rPr>
          <w:rFonts w:ascii="黑体" w:eastAsia="黑体" w:hAnsi="黑体" w:cs="黑体" w:hint="eastAsia"/>
          <w:color w:val="000000" w:themeColor="text1"/>
          <w:kern w:val="0"/>
          <w:szCs w:val="21"/>
        </w:rPr>
        <w:t>份，投资者持有满产品最短持有期后依照说明书约定提交全部份额的赎回申请（假设提交赎回申请时投资者持有该产品</w:t>
      </w:r>
      <w:r>
        <w:rPr>
          <w:rFonts w:ascii="黑体" w:eastAsia="黑体" w:hAnsi="黑体" w:cs="黑体" w:hint="eastAsia"/>
          <w:color w:val="000000" w:themeColor="text1"/>
          <w:kern w:val="0"/>
          <w:szCs w:val="21"/>
        </w:rPr>
        <w:t>300</w:t>
      </w:r>
      <w:r>
        <w:rPr>
          <w:rFonts w:ascii="黑体" w:eastAsia="黑体" w:hAnsi="黑体" w:cs="黑体" w:hint="eastAsia"/>
          <w:color w:val="000000" w:themeColor="text1"/>
          <w:kern w:val="0"/>
          <w:szCs w:val="21"/>
        </w:rPr>
        <w:t>天），赎回受理日产品的累计净值为</w:t>
      </w:r>
      <w:r>
        <w:rPr>
          <w:rFonts w:ascii="黑体" w:eastAsia="黑体" w:hAnsi="黑体" w:cs="黑体" w:hint="eastAsia"/>
          <w:color w:val="000000" w:themeColor="text1"/>
          <w:kern w:val="0"/>
          <w:szCs w:val="21"/>
        </w:rPr>
        <w:t>1.0</w:t>
      </w:r>
      <w:r>
        <w:rPr>
          <w:rFonts w:ascii="黑体" w:eastAsia="黑体" w:hAnsi="黑体" w:cs="黑体"/>
          <w:color w:val="000000" w:themeColor="text1"/>
          <w:kern w:val="0"/>
          <w:szCs w:val="21"/>
        </w:rPr>
        <w:t>1</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份，单位净值为</w:t>
      </w:r>
      <w:r>
        <w:rPr>
          <w:rFonts w:ascii="黑体" w:eastAsia="黑体" w:hAnsi="黑体" w:cs="黑体" w:hint="eastAsia"/>
          <w:color w:val="000000" w:themeColor="text1"/>
          <w:kern w:val="0"/>
          <w:szCs w:val="21"/>
        </w:rPr>
        <w:t>1.0</w:t>
      </w:r>
      <w:r>
        <w:rPr>
          <w:rFonts w:ascii="黑体" w:eastAsia="黑体" w:hAnsi="黑体" w:cs="黑体"/>
          <w:color w:val="000000" w:themeColor="text1"/>
          <w:kern w:val="0"/>
          <w:szCs w:val="21"/>
        </w:rPr>
        <w:t>1</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份，则投资者所赎回份额的持有区间年化收益率为（</w:t>
      </w:r>
      <w:r>
        <w:rPr>
          <w:rFonts w:ascii="黑体" w:eastAsia="黑体" w:hAnsi="黑体" w:cs="黑体" w:hint="eastAsia"/>
          <w:color w:val="000000" w:themeColor="text1"/>
          <w:kern w:val="0"/>
          <w:szCs w:val="21"/>
        </w:rPr>
        <w:t>1.0</w:t>
      </w:r>
      <w:r>
        <w:rPr>
          <w:rFonts w:ascii="黑体" w:eastAsia="黑体" w:hAnsi="黑体" w:cs="黑体"/>
          <w:color w:val="000000" w:themeColor="text1"/>
          <w:kern w:val="0"/>
          <w:szCs w:val="21"/>
        </w:rPr>
        <w:t>1</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-1.00</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w:t>
      </w:r>
      <w:r>
        <w:rPr>
          <w:rFonts w:ascii="黑体" w:eastAsia="黑体" w:hAnsi="黑体" w:cs="黑体"/>
          <w:color w:val="000000" w:themeColor="text1"/>
          <w:kern w:val="0"/>
          <w:szCs w:val="21"/>
        </w:rPr>
        <w:t>300</w:t>
      </w:r>
      <w:r>
        <w:rPr>
          <w:rFonts w:ascii="黑体" w:eastAsia="黑体" w:hAnsi="黑体" w:cs="黑体" w:hint="eastAsia"/>
          <w:color w:val="000000" w:themeColor="text1"/>
          <w:kern w:val="0"/>
          <w:szCs w:val="21"/>
        </w:rPr>
        <w:t>*365=</w:t>
      </w:r>
      <w:r>
        <w:rPr>
          <w:rFonts w:ascii="黑体" w:eastAsia="黑体" w:hAnsi="黑体" w:cs="黑体"/>
          <w:color w:val="000000" w:themeColor="text1"/>
          <w:kern w:val="0"/>
          <w:szCs w:val="21"/>
        </w:rPr>
        <w:t>1.22</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，假设当期浮动管理费的提取基准为</w:t>
      </w:r>
      <w:r>
        <w:rPr>
          <w:rFonts w:ascii="黑体" w:eastAsia="黑体" w:hAnsi="黑体" w:cs="黑体" w:hint="eastAsia"/>
          <w:color w:val="000000" w:themeColor="text1"/>
          <w:kern w:val="0"/>
          <w:szCs w:val="21"/>
        </w:rPr>
        <w:t>4%</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1</w:t>
      </w:r>
      <w:r>
        <w:rPr>
          <w:rFonts w:ascii="黑体" w:eastAsia="黑体" w:hAnsi="黑体" w:cs="黑体"/>
          <w:color w:val="000000" w:themeColor="text1"/>
          <w:kern w:val="0"/>
          <w:szCs w:val="21"/>
        </w:rPr>
        <w:t>.22</w:t>
      </w:r>
      <w:r>
        <w:rPr>
          <w:rFonts w:ascii="黑体" w:eastAsia="黑体" w:hAnsi="黑体" w:cs="黑体" w:hint="eastAsia"/>
          <w:color w:val="000000" w:themeColor="text1"/>
          <w:kern w:val="0"/>
          <w:szCs w:val="21"/>
        </w:rPr>
        <w:t xml:space="preserve">% &lt; </w:t>
      </w:r>
      <w:r>
        <w:rPr>
          <w:rFonts w:ascii="黑体" w:eastAsia="黑体" w:hAnsi="黑体" w:cs="黑体"/>
          <w:color w:val="000000" w:themeColor="text1"/>
          <w:kern w:val="0"/>
          <w:szCs w:val="21"/>
        </w:rPr>
        <w:t>4</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，则产品管理人不提取浮动管理费。若赎回确认金额采取四舍五入后精确到小数点后</w:t>
      </w:r>
      <w:r>
        <w:rPr>
          <w:rFonts w:ascii="黑体" w:eastAsia="黑体" w:hAnsi="黑体" w:cs="黑体" w:hint="eastAsia"/>
          <w:color w:val="000000" w:themeColor="text1"/>
          <w:kern w:val="0"/>
          <w:szCs w:val="21"/>
        </w:rPr>
        <w:t>2</w:t>
      </w:r>
      <w:r>
        <w:rPr>
          <w:rFonts w:ascii="黑体" w:eastAsia="黑体" w:hAnsi="黑体" w:cs="黑体" w:hint="eastAsia"/>
          <w:color w:val="000000" w:themeColor="text1"/>
          <w:kern w:val="0"/>
          <w:szCs w:val="21"/>
        </w:rPr>
        <w:t>位，则投资者赎回份额的兑付金额为：</w:t>
      </w:r>
      <w:r>
        <w:rPr>
          <w:rFonts w:ascii="黑体" w:eastAsia="黑体" w:hAnsi="黑体" w:cs="黑体" w:hint="eastAsia"/>
          <w:color w:val="000000" w:themeColor="text1"/>
          <w:kern w:val="0"/>
          <w:szCs w:val="21"/>
        </w:rPr>
        <w:t>10000</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1.0</w:t>
      </w:r>
      <w:r>
        <w:rPr>
          <w:rFonts w:ascii="黑体" w:eastAsia="黑体" w:hAnsi="黑体" w:cs="黑体"/>
          <w:color w:val="000000" w:themeColor="text1"/>
          <w:kern w:val="0"/>
          <w:szCs w:val="21"/>
        </w:rPr>
        <w:t>1</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10</w:t>
      </w:r>
      <w:r>
        <w:rPr>
          <w:rFonts w:ascii="黑体" w:eastAsia="黑体" w:hAnsi="黑体" w:cs="黑体"/>
          <w:color w:val="000000" w:themeColor="text1"/>
          <w:kern w:val="0"/>
          <w:szCs w:val="21"/>
        </w:rPr>
        <w:t>1</w:t>
      </w:r>
      <w:r>
        <w:rPr>
          <w:rFonts w:ascii="黑体" w:eastAsia="黑体" w:hAnsi="黑体" w:cs="黑体" w:hint="eastAsia"/>
          <w:color w:val="000000" w:themeColor="text1"/>
          <w:kern w:val="0"/>
          <w:szCs w:val="21"/>
        </w:rPr>
        <w:t>00.00</w:t>
      </w:r>
      <w:r>
        <w:rPr>
          <w:rFonts w:ascii="黑体" w:eastAsia="黑体" w:hAnsi="黑体" w:cs="黑体" w:hint="eastAsia"/>
          <w:color w:val="000000" w:themeColor="text1"/>
          <w:kern w:val="0"/>
          <w:szCs w:val="21"/>
        </w:rPr>
        <w:t>元，投资者理财收益</w:t>
      </w:r>
      <w:r>
        <w:rPr>
          <w:rFonts w:ascii="黑体" w:eastAsia="黑体" w:hAnsi="黑体" w:cs="黑体"/>
          <w:color w:val="000000" w:themeColor="text1"/>
          <w:kern w:val="0"/>
          <w:szCs w:val="21"/>
        </w:rPr>
        <w:t>1</w:t>
      </w:r>
      <w:r>
        <w:rPr>
          <w:rFonts w:ascii="黑体" w:eastAsia="黑体" w:hAnsi="黑体" w:cs="黑体" w:hint="eastAsia"/>
          <w:color w:val="000000" w:themeColor="text1"/>
          <w:kern w:val="0"/>
          <w:szCs w:val="21"/>
        </w:rPr>
        <w:t>00.00</w:t>
      </w:r>
      <w:r>
        <w:rPr>
          <w:rFonts w:ascii="黑体" w:eastAsia="黑体" w:hAnsi="黑体" w:cs="黑体" w:hint="eastAsia"/>
          <w:color w:val="000000" w:themeColor="text1"/>
          <w:kern w:val="0"/>
          <w:szCs w:val="21"/>
        </w:rPr>
        <w:t>元。</w:t>
      </w:r>
    </w:p>
    <w:p w:rsidR="008B0A7D">
      <w:pPr>
        <w:autoSpaceDE w:val="0"/>
        <w:autoSpaceDN w:val="0"/>
        <w:adjustRightInd w:val="0"/>
        <w:ind w:firstLine="420" w:firstLineChars="200"/>
        <w:jc w:val="left"/>
        <w:rPr>
          <w:rFonts w:ascii="黑体" w:eastAsia="黑体" w:hAnsi="黑体" w:cs="黑体"/>
          <w:color w:val="000000" w:themeColor="text1"/>
          <w:kern w:val="0"/>
          <w:szCs w:val="21"/>
        </w:rPr>
      </w:pPr>
    </w:p>
    <w:p w:rsidR="008B0A7D">
      <w:pPr>
        <w:autoSpaceDE w:val="0"/>
        <w:autoSpaceDN w:val="0"/>
        <w:adjustRightInd w:val="0"/>
        <w:ind w:firstLine="420" w:firstLineChars="200"/>
        <w:jc w:val="left"/>
        <w:rPr>
          <w:rFonts w:ascii="黑体" w:eastAsia="黑体" w:hAnsi="黑体" w:cs="黑体"/>
          <w:color w:val="000000" w:themeColor="text1"/>
          <w:kern w:val="0"/>
          <w:szCs w:val="21"/>
        </w:rPr>
      </w:pPr>
      <w:r>
        <w:rPr>
          <w:rFonts w:ascii="黑体" w:eastAsia="黑体" w:hAnsi="黑体" w:cs="黑体" w:hint="eastAsia"/>
          <w:color w:val="000000" w:themeColor="text1"/>
          <w:kern w:val="0"/>
          <w:szCs w:val="21"/>
        </w:rPr>
        <w:t>示例</w:t>
      </w:r>
      <w:r>
        <w:rPr>
          <w:rFonts w:ascii="黑体" w:eastAsia="黑体" w:hAnsi="黑体" w:cs="黑体" w:hint="eastAsia"/>
          <w:color w:val="000000" w:themeColor="text1"/>
          <w:kern w:val="0"/>
          <w:szCs w:val="21"/>
        </w:rPr>
        <w:t>3</w:t>
      </w:r>
      <w:r>
        <w:rPr>
          <w:rFonts w:ascii="黑体" w:eastAsia="黑体" w:hAnsi="黑体" w:cs="黑体" w:hint="eastAsia"/>
          <w:color w:val="000000" w:themeColor="text1"/>
          <w:kern w:val="0"/>
          <w:szCs w:val="21"/>
        </w:rPr>
        <w:t>：份额持有区间年化收益率为负，投资发生亏损。</w:t>
      </w:r>
    </w:p>
    <w:p w:rsidR="008B0A7D">
      <w:pPr>
        <w:autoSpaceDE w:val="0"/>
        <w:autoSpaceDN w:val="0"/>
        <w:adjustRightInd w:val="0"/>
        <w:ind w:firstLine="420" w:firstLineChars="200"/>
        <w:jc w:val="left"/>
        <w:rPr>
          <w:rFonts w:ascii="黑体" w:eastAsia="黑体" w:hAnsi="黑体" w:cs="黑体"/>
          <w:color w:val="000000" w:themeColor="text1"/>
          <w:kern w:val="0"/>
          <w:szCs w:val="21"/>
        </w:rPr>
      </w:pPr>
      <w:r>
        <w:rPr>
          <w:rFonts w:ascii="黑体" w:eastAsia="黑体" w:hAnsi="黑体" w:cs="黑体" w:hint="eastAsia"/>
          <w:color w:val="000000" w:themeColor="text1"/>
          <w:kern w:val="0"/>
          <w:szCs w:val="21"/>
        </w:rPr>
        <w:t>假设投资者本金为</w:t>
      </w:r>
      <w:r>
        <w:rPr>
          <w:rFonts w:ascii="黑体" w:eastAsia="黑体" w:hAnsi="黑体" w:cs="黑体" w:hint="eastAsia"/>
          <w:color w:val="000000" w:themeColor="text1"/>
          <w:kern w:val="0"/>
          <w:szCs w:val="21"/>
        </w:rPr>
        <w:t>10000</w:t>
      </w:r>
      <w:r>
        <w:rPr>
          <w:rFonts w:ascii="黑体" w:eastAsia="黑体" w:hAnsi="黑体" w:cs="黑体" w:hint="eastAsia"/>
          <w:color w:val="000000" w:themeColor="text1"/>
          <w:kern w:val="0"/>
          <w:szCs w:val="21"/>
        </w:rPr>
        <w:t>元，申购受理日产品的单位净值和累计净值均为</w:t>
      </w:r>
      <w:r>
        <w:rPr>
          <w:rFonts w:ascii="黑体" w:eastAsia="黑体" w:hAnsi="黑体" w:cs="黑体" w:hint="eastAsia"/>
          <w:color w:val="000000" w:themeColor="text1"/>
          <w:kern w:val="0"/>
          <w:szCs w:val="21"/>
        </w:rPr>
        <w:t>1.00</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份，则投资者持有份额为</w:t>
      </w:r>
      <w:r>
        <w:rPr>
          <w:rFonts w:ascii="黑体" w:eastAsia="黑体" w:hAnsi="黑体" w:cs="黑体" w:hint="eastAsia"/>
          <w:color w:val="000000" w:themeColor="text1"/>
          <w:kern w:val="0"/>
          <w:szCs w:val="21"/>
        </w:rPr>
        <w:t>10000</w:t>
      </w:r>
      <w:r>
        <w:rPr>
          <w:rFonts w:ascii="黑体" w:eastAsia="黑体" w:hAnsi="黑体" w:cs="黑体" w:hint="eastAsia"/>
          <w:color w:val="000000" w:themeColor="text1"/>
          <w:kern w:val="0"/>
          <w:szCs w:val="21"/>
        </w:rPr>
        <w:t>份，投资者持有满产品最短持有期后依照说明书约定提交全部份额的赎回申请（假设提交赎回申请时投资者持有该产品</w:t>
      </w:r>
      <w:r>
        <w:rPr>
          <w:rFonts w:ascii="黑体" w:eastAsia="黑体" w:hAnsi="黑体" w:cs="黑体" w:hint="eastAsia"/>
          <w:color w:val="000000" w:themeColor="text1"/>
          <w:kern w:val="0"/>
          <w:szCs w:val="21"/>
        </w:rPr>
        <w:t>300</w:t>
      </w:r>
      <w:r>
        <w:rPr>
          <w:rFonts w:ascii="黑体" w:eastAsia="黑体" w:hAnsi="黑体" w:cs="黑体" w:hint="eastAsia"/>
          <w:color w:val="000000" w:themeColor="text1"/>
          <w:kern w:val="0"/>
          <w:szCs w:val="21"/>
        </w:rPr>
        <w:t>天），赎回受理日产品的累计净值为</w:t>
      </w:r>
      <w:r>
        <w:rPr>
          <w:rFonts w:ascii="黑体" w:eastAsia="黑体" w:hAnsi="黑体" w:cs="黑体" w:hint="eastAsia"/>
          <w:color w:val="000000" w:themeColor="text1"/>
          <w:kern w:val="0"/>
          <w:szCs w:val="21"/>
        </w:rPr>
        <w:t>0</w:t>
      </w:r>
      <w:r>
        <w:rPr>
          <w:rFonts w:ascii="黑体" w:eastAsia="黑体" w:hAnsi="黑体" w:cs="黑体"/>
          <w:color w:val="000000" w:themeColor="text1"/>
          <w:kern w:val="0"/>
          <w:szCs w:val="21"/>
        </w:rPr>
        <w:t>.99</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份，单位净值为</w:t>
      </w:r>
      <w:r>
        <w:rPr>
          <w:rFonts w:ascii="黑体" w:eastAsia="黑体" w:hAnsi="黑体" w:cs="黑体" w:hint="eastAsia"/>
          <w:color w:val="000000" w:themeColor="text1"/>
          <w:kern w:val="0"/>
          <w:szCs w:val="21"/>
        </w:rPr>
        <w:t>0</w:t>
      </w:r>
      <w:r>
        <w:rPr>
          <w:rFonts w:ascii="黑体" w:eastAsia="黑体" w:hAnsi="黑体" w:cs="黑体"/>
          <w:color w:val="000000" w:themeColor="text1"/>
          <w:kern w:val="0"/>
          <w:szCs w:val="21"/>
        </w:rPr>
        <w:t>.99</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份，则投资者所赎回份额的持有区间年化收益率为（</w:t>
      </w:r>
      <w:r>
        <w:rPr>
          <w:rFonts w:ascii="黑体" w:eastAsia="黑体" w:hAnsi="黑体" w:cs="黑体" w:hint="eastAsia"/>
          <w:color w:val="000000" w:themeColor="text1"/>
          <w:kern w:val="0"/>
          <w:szCs w:val="21"/>
        </w:rPr>
        <w:t>0.9</w:t>
      </w:r>
      <w:r>
        <w:rPr>
          <w:rFonts w:ascii="黑体" w:eastAsia="黑体" w:hAnsi="黑体" w:cs="黑体"/>
          <w:color w:val="000000" w:themeColor="text1"/>
          <w:kern w:val="0"/>
          <w:szCs w:val="21"/>
        </w:rPr>
        <w:t>9</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-1.00</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w:t>
      </w:r>
      <w:r>
        <w:rPr>
          <w:rFonts w:ascii="黑体" w:eastAsia="黑体" w:hAnsi="黑体" w:cs="黑体"/>
          <w:color w:val="000000" w:themeColor="text1"/>
          <w:kern w:val="0"/>
          <w:szCs w:val="21"/>
        </w:rPr>
        <w:t>300</w:t>
      </w:r>
      <w:r>
        <w:rPr>
          <w:rFonts w:ascii="黑体" w:eastAsia="黑体" w:hAnsi="黑体" w:cs="黑体" w:hint="eastAsia"/>
          <w:color w:val="000000" w:themeColor="text1"/>
          <w:kern w:val="0"/>
          <w:szCs w:val="21"/>
        </w:rPr>
        <w:t>*365=-</w:t>
      </w:r>
      <w:r>
        <w:rPr>
          <w:rFonts w:ascii="黑体" w:eastAsia="黑体" w:hAnsi="黑体" w:cs="黑体"/>
          <w:color w:val="000000" w:themeColor="text1"/>
          <w:kern w:val="0"/>
          <w:szCs w:val="21"/>
        </w:rPr>
        <w:t>1.22</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，假设当期浮动管理费的提取基准为</w:t>
      </w:r>
      <w:r>
        <w:rPr>
          <w:rFonts w:ascii="黑体" w:eastAsia="黑体" w:hAnsi="黑体" w:cs="黑体" w:hint="eastAsia"/>
          <w:color w:val="000000" w:themeColor="text1"/>
          <w:kern w:val="0"/>
          <w:szCs w:val="21"/>
        </w:rPr>
        <w:t>4%</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w:t>
      </w:r>
      <w:r>
        <w:rPr>
          <w:rFonts w:ascii="黑体" w:eastAsia="黑体" w:hAnsi="黑体" w:cs="黑体"/>
          <w:color w:val="000000" w:themeColor="text1"/>
          <w:kern w:val="0"/>
          <w:szCs w:val="21"/>
        </w:rPr>
        <w:t>1.22</w:t>
      </w:r>
      <w:r>
        <w:rPr>
          <w:rFonts w:ascii="黑体" w:eastAsia="黑体" w:hAnsi="黑体" w:cs="黑体" w:hint="eastAsia"/>
          <w:color w:val="000000" w:themeColor="text1"/>
          <w:kern w:val="0"/>
          <w:szCs w:val="21"/>
        </w:rPr>
        <w:t xml:space="preserve">% &lt; </w:t>
      </w:r>
      <w:r>
        <w:rPr>
          <w:rFonts w:ascii="黑体" w:eastAsia="黑体" w:hAnsi="黑体" w:cs="黑体"/>
          <w:color w:val="000000" w:themeColor="text1"/>
          <w:kern w:val="0"/>
          <w:szCs w:val="21"/>
        </w:rPr>
        <w:t>4</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，则产品管理人不提取浮动管理费。若赎回确认金额采取四</w:t>
      </w:r>
      <w:r>
        <w:rPr>
          <w:rFonts w:ascii="黑体" w:eastAsia="黑体" w:hAnsi="黑体" w:cs="黑体" w:hint="eastAsia"/>
          <w:color w:val="000000" w:themeColor="text1"/>
          <w:kern w:val="0"/>
          <w:szCs w:val="21"/>
        </w:rPr>
        <w:t>舍五入后精确到小数点后</w:t>
      </w:r>
      <w:r>
        <w:rPr>
          <w:rFonts w:ascii="黑体" w:eastAsia="黑体" w:hAnsi="黑体" w:cs="黑体" w:hint="eastAsia"/>
          <w:color w:val="000000" w:themeColor="text1"/>
          <w:kern w:val="0"/>
          <w:szCs w:val="21"/>
        </w:rPr>
        <w:t>2</w:t>
      </w:r>
      <w:r>
        <w:rPr>
          <w:rFonts w:ascii="黑体" w:eastAsia="黑体" w:hAnsi="黑体" w:cs="黑体" w:hint="eastAsia"/>
          <w:color w:val="000000" w:themeColor="text1"/>
          <w:kern w:val="0"/>
          <w:szCs w:val="21"/>
        </w:rPr>
        <w:t>位，则投资者赎回份额的兑付金额为：</w:t>
      </w:r>
      <w:r>
        <w:rPr>
          <w:rFonts w:ascii="黑体" w:eastAsia="黑体" w:hAnsi="黑体" w:cs="黑体" w:hint="eastAsia"/>
          <w:color w:val="000000" w:themeColor="text1"/>
          <w:kern w:val="0"/>
          <w:szCs w:val="21"/>
        </w:rPr>
        <w:t>10000</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0.9</w:t>
      </w:r>
      <w:r>
        <w:rPr>
          <w:rFonts w:ascii="黑体" w:eastAsia="黑体" w:hAnsi="黑体" w:cs="黑体"/>
          <w:color w:val="000000" w:themeColor="text1"/>
          <w:kern w:val="0"/>
          <w:szCs w:val="21"/>
        </w:rPr>
        <w:t>9</w:t>
      </w:r>
      <w:r>
        <w:rPr>
          <w:rFonts w:ascii="黑体" w:eastAsia="黑体" w:hAnsi="黑体" w:cs="黑体" w:hint="eastAsia"/>
          <w:color w:val="000000" w:themeColor="text1"/>
          <w:kern w:val="0"/>
          <w:szCs w:val="21"/>
        </w:rPr>
        <w:t>元</w:t>
      </w:r>
      <w:r>
        <w:rPr>
          <w:rFonts w:ascii="黑体" w:eastAsia="黑体" w:hAnsi="黑体" w:cs="黑体" w:hint="eastAsia"/>
          <w:color w:val="000000" w:themeColor="text1"/>
          <w:kern w:val="0"/>
          <w:szCs w:val="21"/>
        </w:rPr>
        <w:t>/</w:t>
      </w:r>
      <w:r>
        <w:rPr>
          <w:rFonts w:ascii="黑体" w:eastAsia="黑体" w:hAnsi="黑体" w:cs="黑体" w:hint="eastAsia"/>
          <w:color w:val="000000" w:themeColor="text1"/>
          <w:kern w:val="0"/>
          <w:szCs w:val="21"/>
        </w:rPr>
        <w:t>份＝</w:t>
      </w:r>
      <w:r>
        <w:rPr>
          <w:rFonts w:ascii="黑体" w:eastAsia="黑体" w:hAnsi="黑体" w:cs="黑体" w:hint="eastAsia"/>
          <w:color w:val="000000" w:themeColor="text1"/>
          <w:kern w:val="0"/>
          <w:szCs w:val="21"/>
        </w:rPr>
        <w:t>9</w:t>
      </w:r>
      <w:r>
        <w:rPr>
          <w:rFonts w:ascii="黑体" w:eastAsia="黑体" w:hAnsi="黑体" w:cs="黑体"/>
          <w:color w:val="000000" w:themeColor="text1"/>
          <w:kern w:val="0"/>
          <w:szCs w:val="21"/>
        </w:rPr>
        <w:t>9</w:t>
      </w:r>
      <w:r>
        <w:rPr>
          <w:rFonts w:ascii="黑体" w:eastAsia="黑体" w:hAnsi="黑体" w:cs="黑体" w:hint="eastAsia"/>
          <w:color w:val="000000" w:themeColor="text1"/>
          <w:kern w:val="0"/>
          <w:szCs w:val="21"/>
        </w:rPr>
        <w:t>00.00</w:t>
      </w:r>
      <w:r>
        <w:rPr>
          <w:rFonts w:ascii="黑体" w:eastAsia="黑体" w:hAnsi="黑体" w:cs="黑体" w:hint="eastAsia"/>
          <w:color w:val="000000" w:themeColor="text1"/>
          <w:kern w:val="0"/>
          <w:szCs w:val="21"/>
        </w:rPr>
        <w:t>元，投资者理财亏损</w:t>
      </w:r>
      <w:r>
        <w:rPr>
          <w:rFonts w:ascii="黑体" w:eastAsia="黑体" w:hAnsi="黑体" w:cs="黑体"/>
          <w:color w:val="000000" w:themeColor="text1"/>
          <w:kern w:val="0"/>
          <w:szCs w:val="21"/>
        </w:rPr>
        <w:t>1</w:t>
      </w:r>
      <w:r>
        <w:rPr>
          <w:rFonts w:ascii="黑体" w:eastAsia="黑体" w:hAnsi="黑体" w:cs="黑体" w:hint="eastAsia"/>
          <w:color w:val="000000" w:themeColor="text1"/>
          <w:kern w:val="0"/>
          <w:szCs w:val="21"/>
        </w:rPr>
        <w:t>00.00</w:t>
      </w:r>
      <w:r>
        <w:rPr>
          <w:rFonts w:ascii="黑体" w:eastAsia="黑体" w:hAnsi="黑体" w:cs="黑体" w:hint="eastAsia"/>
          <w:color w:val="000000" w:themeColor="text1"/>
          <w:kern w:val="0"/>
          <w:szCs w:val="21"/>
        </w:rPr>
        <w:t>元。</w:t>
      </w:r>
    </w:p>
    <w:p w:rsidR="008B0A7D">
      <w:pPr>
        <w:autoSpaceDE w:val="0"/>
        <w:autoSpaceDN w:val="0"/>
        <w:adjustRightInd w:val="0"/>
        <w:ind w:firstLine="420" w:firstLineChars="200"/>
        <w:jc w:val="left"/>
        <w:rPr>
          <w:rFonts w:ascii="黑体" w:eastAsia="黑体" w:hAnsi="黑体" w:cs="黑体"/>
          <w:color w:val="000000" w:themeColor="text1"/>
          <w:kern w:val="0"/>
          <w:szCs w:val="21"/>
        </w:rPr>
      </w:pP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b/>
          <w:bCs/>
          <w:kern w:val="0"/>
          <w:szCs w:val="21"/>
        </w:rPr>
        <w:t>上述示例采用假设数据计算，测算收益不等于实际收益，投资须谨慎。</w:t>
      </w:r>
    </w:p>
    <w:p w:rsidR="008B0A7D">
      <w:pPr>
        <w:autoSpaceDE w:val="0"/>
        <w:autoSpaceDN w:val="0"/>
        <w:adjustRightInd w:val="0"/>
        <w:ind w:firstLine="420" w:firstLineChars="200"/>
        <w:jc w:val="left"/>
        <w:rPr>
          <w:rFonts w:ascii="黑体" w:eastAsia="黑体" w:hAnsi="黑体" w:cs="黑体"/>
          <w:b/>
          <w:bCs/>
          <w:kern w:val="0"/>
          <w:szCs w:val="21"/>
        </w:rPr>
      </w:pPr>
      <w:r>
        <w:rPr>
          <w:rFonts w:ascii="黑体" w:eastAsia="黑体" w:hAnsi="黑体" w:cs="黑体" w:hint="eastAsia"/>
          <w:b/>
          <w:bCs/>
          <w:kern w:val="0"/>
          <w:szCs w:val="21"/>
        </w:rPr>
        <w:t>在最不利情况下，投资者甚至可能损失全部本金。投资者应充分认识投资风险，谨慎投资。</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示例：如投资者购买本理财产品本金为</w:t>
      </w:r>
      <w:r>
        <w:rPr>
          <w:rFonts w:ascii="黑体" w:eastAsia="黑体" w:hAnsi="黑体" w:cs="黑体"/>
          <w:kern w:val="0"/>
          <w:szCs w:val="21"/>
        </w:rPr>
        <w:t>10,000.00</w:t>
      </w:r>
      <w:r>
        <w:rPr>
          <w:rFonts w:ascii="黑体" w:eastAsia="黑体" w:hAnsi="黑体" w:cs="黑体"/>
          <w:kern w:val="0"/>
          <w:szCs w:val="21"/>
        </w:rPr>
        <w:t>元，在理财</w:t>
      </w:r>
      <w:r>
        <w:rPr>
          <w:rFonts w:ascii="黑体" w:eastAsia="黑体" w:hAnsi="黑体" w:cs="黑体" w:hint="eastAsia"/>
          <w:kern w:val="0"/>
          <w:szCs w:val="21"/>
        </w:rPr>
        <w:t>产品资产组合项下资产全部亏损的最不利情况下，理财产品</w:t>
      </w:r>
      <w:r>
        <w:rPr>
          <w:rFonts w:ascii="黑体" w:eastAsia="黑体" w:hAnsi="黑体" w:cs="黑体"/>
          <w:kern w:val="0"/>
          <w:szCs w:val="21"/>
        </w:rPr>
        <w:t>10,000.00</w:t>
      </w:r>
      <w:r>
        <w:rPr>
          <w:rFonts w:ascii="黑体" w:eastAsia="黑体" w:hAnsi="黑体" w:cs="黑体"/>
          <w:kern w:val="0"/>
          <w:szCs w:val="21"/>
        </w:rPr>
        <w:t>元本金将全部损失</w:t>
      </w:r>
      <w:r>
        <w:rPr>
          <w:rFonts w:ascii="黑体" w:eastAsia="黑体" w:hAnsi="黑体" w:cs="黑体" w:hint="eastAsia"/>
          <w:kern w:val="0"/>
          <w:szCs w:val="21"/>
        </w:rPr>
        <w:t>。</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（三）税收</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1</w:t>
      </w:r>
      <w:r>
        <w:rPr>
          <w:rFonts w:ascii="黑体" w:eastAsia="黑体" w:hAnsi="黑体" w:cs="黑体"/>
          <w:b/>
          <w:kern w:val="0"/>
          <w:szCs w:val="21"/>
        </w:rPr>
        <w:t>、</w:t>
      </w:r>
      <w:r>
        <w:rPr>
          <w:rFonts w:ascii="黑体" w:eastAsia="黑体" w:hAnsi="黑体" w:cs="黑体" w:hint="eastAsia"/>
          <w:b/>
          <w:kern w:val="0"/>
          <w:szCs w:val="21"/>
        </w:rPr>
        <w:t>根据财政部、国家税务总局相关税收监管政策的规定，理财产品运营过程中发生的增值税应税行为，</w:t>
      </w:r>
      <w:r>
        <w:rPr>
          <w:rFonts w:ascii="黑体" w:eastAsia="黑体" w:hAnsi="黑体" w:cs="黑体"/>
          <w:b/>
          <w:kern w:val="0"/>
          <w:szCs w:val="21"/>
        </w:rPr>
        <w:t>以</w:t>
      </w:r>
      <w:r>
        <w:rPr>
          <w:rFonts w:ascii="黑体" w:eastAsia="黑体" w:hAnsi="黑体" w:cs="黑体" w:hint="eastAsia"/>
          <w:b/>
          <w:kern w:val="0"/>
          <w:szCs w:val="21"/>
        </w:rPr>
        <w:t>理财产品为增值税纳税主体，计算并缴纳增值税及附加税费。产品</w:t>
      </w:r>
      <w:r>
        <w:rPr>
          <w:rFonts w:ascii="黑体" w:eastAsia="黑体" w:hAnsi="黑体" w:cs="黑体"/>
          <w:b/>
          <w:kern w:val="0"/>
          <w:szCs w:val="21"/>
        </w:rPr>
        <w:t>管理人将按照相关规定计算应缴纳的税费，</w:t>
      </w:r>
      <w:r>
        <w:rPr>
          <w:rFonts w:ascii="黑体" w:eastAsia="黑体" w:hAnsi="黑体" w:cs="黑体" w:hint="eastAsia"/>
          <w:b/>
          <w:kern w:val="0"/>
          <w:szCs w:val="21"/>
        </w:rPr>
        <w:t>并</w:t>
      </w:r>
      <w:r>
        <w:rPr>
          <w:rFonts w:ascii="黑体" w:eastAsia="黑体" w:hAnsi="黑体" w:cs="黑体"/>
          <w:b/>
          <w:kern w:val="0"/>
          <w:szCs w:val="21"/>
        </w:rPr>
        <w:t>从本产品财产中</w:t>
      </w:r>
      <w:r>
        <w:rPr>
          <w:rFonts w:ascii="黑体" w:eastAsia="黑体" w:hAnsi="黑体" w:cs="黑体" w:hint="eastAsia"/>
          <w:b/>
          <w:kern w:val="0"/>
          <w:szCs w:val="21"/>
        </w:rPr>
        <w:t>扣除</w:t>
      </w:r>
      <w:r>
        <w:rPr>
          <w:rFonts w:ascii="黑体" w:eastAsia="黑体" w:hAnsi="黑体" w:cs="黑体"/>
          <w:b/>
          <w:kern w:val="0"/>
          <w:szCs w:val="21"/>
        </w:rPr>
        <w:t>。</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hint="eastAsia"/>
          <w:kern w:val="0"/>
          <w:szCs w:val="21"/>
        </w:rPr>
        <w:t>、除法律法规</w:t>
      </w:r>
      <w:r>
        <w:rPr>
          <w:rFonts w:ascii="黑体" w:eastAsia="黑体" w:hAnsi="黑体" w:cs="黑体"/>
          <w:kern w:val="0"/>
          <w:szCs w:val="21"/>
        </w:rPr>
        <w:t>特别要求外，投资者应缴纳的</w:t>
      </w:r>
      <w:r>
        <w:rPr>
          <w:rFonts w:ascii="黑体" w:eastAsia="黑体" w:hAnsi="黑体" w:cs="黑体" w:hint="eastAsia"/>
          <w:kern w:val="0"/>
          <w:szCs w:val="21"/>
        </w:rPr>
        <w:t>税费</w:t>
      </w:r>
      <w:r>
        <w:rPr>
          <w:rFonts w:ascii="黑体" w:eastAsia="黑体" w:hAnsi="黑体" w:cs="黑体"/>
          <w:kern w:val="0"/>
          <w:szCs w:val="21"/>
        </w:rPr>
        <w:t>由投资者</w:t>
      </w:r>
      <w:r>
        <w:rPr>
          <w:rFonts w:ascii="黑体" w:eastAsia="黑体" w:hAnsi="黑体" w:cs="黑体" w:hint="eastAsia"/>
          <w:kern w:val="0"/>
          <w:szCs w:val="21"/>
        </w:rPr>
        <w:t>自行缴纳</w:t>
      </w:r>
      <w:r>
        <w:rPr>
          <w:rFonts w:ascii="黑体" w:eastAsia="黑体" w:hAnsi="黑体" w:cs="黑体"/>
          <w:kern w:val="0"/>
          <w:szCs w:val="21"/>
        </w:rPr>
        <w:t>，</w:t>
      </w:r>
      <w:r>
        <w:rPr>
          <w:rFonts w:ascii="黑体" w:eastAsia="黑体" w:hAnsi="黑体" w:cs="黑体" w:hint="eastAsia"/>
          <w:kern w:val="0"/>
          <w:szCs w:val="21"/>
        </w:rPr>
        <w:t>产品管理人</w:t>
      </w:r>
      <w:r>
        <w:rPr>
          <w:rFonts w:ascii="黑体" w:eastAsia="黑体" w:hAnsi="黑体" w:cs="黑体"/>
          <w:kern w:val="0"/>
          <w:szCs w:val="21"/>
        </w:rPr>
        <w:t>不承担代扣代缴或纳税的义务。</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3</w:t>
      </w:r>
      <w:r>
        <w:rPr>
          <w:rFonts w:ascii="黑体" w:eastAsia="黑体" w:hAnsi="黑体" w:cs="黑体" w:hint="eastAsia"/>
          <w:kern w:val="0"/>
          <w:szCs w:val="21"/>
        </w:rPr>
        <w:t>、后续国家法律法规如对相关税收政策进行调整，产品管理人有权根据税收政策相应调整理财产品运营过程中发生的税费计算及</w:t>
      </w:r>
      <w:r>
        <w:rPr>
          <w:rFonts w:ascii="黑体" w:eastAsia="黑体" w:hAnsi="黑体" w:cs="黑体"/>
          <w:kern w:val="0"/>
          <w:szCs w:val="21"/>
        </w:rPr>
        <w:t>缴纳</w:t>
      </w:r>
      <w:r>
        <w:rPr>
          <w:rFonts w:ascii="黑体" w:eastAsia="黑体" w:hAnsi="黑体" w:cs="黑体" w:hint="eastAsia"/>
          <w:kern w:val="0"/>
          <w:szCs w:val="21"/>
        </w:rPr>
        <w:t>方式。</w:t>
      </w:r>
    </w:p>
    <w:p w:rsidR="008B0A7D">
      <w:pPr>
        <w:autoSpaceDE w:val="0"/>
        <w:autoSpaceDN w:val="0"/>
        <w:adjustRightInd w:val="0"/>
        <w:ind w:firstLine="496" w:firstLineChars="236"/>
        <w:jc w:val="left"/>
        <w:rPr>
          <w:rFonts w:ascii="黑体" w:eastAsia="黑体" w:hAnsi="黑体" w:cs="黑体"/>
          <w:kern w:val="0"/>
          <w:szCs w:val="21"/>
        </w:rPr>
      </w:pP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七、理财产品到期与终止</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1</w:t>
      </w:r>
      <w:r>
        <w:rPr>
          <w:rFonts w:ascii="黑体" w:eastAsia="黑体" w:hAnsi="黑体" w:cs="黑体" w:hint="eastAsia"/>
          <w:b/>
          <w:kern w:val="0"/>
          <w:szCs w:val="21"/>
        </w:rPr>
        <w:t>、正常兑付</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投资者持有产品至产品到期日，投资者的理财产品投资本金（如有）和收益（如有）在产品到期后一次性支付。投资者理财产品投资本金（如有）和收益（如有）将于产品到期日后</w:t>
      </w:r>
      <w:r>
        <w:rPr>
          <w:rFonts w:ascii="黑体" w:eastAsia="黑体" w:hAnsi="黑体" w:cs="黑体"/>
          <w:b/>
          <w:kern w:val="0"/>
          <w:szCs w:val="21"/>
        </w:rPr>
        <w:t>5</w:t>
      </w:r>
      <w:r>
        <w:rPr>
          <w:rFonts w:ascii="黑体" w:eastAsia="黑体" w:hAnsi="黑体" w:cs="黑体" w:hint="eastAsia"/>
          <w:b/>
          <w:kern w:val="0"/>
          <w:szCs w:val="21"/>
        </w:rPr>
        <w:t>个工作日内划转至投资者指定账户，如遇法定节假日或公休日则顺延。产品到期日至资金实际到账日之间，投资者资金不计息。</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2</w:t>
      </w:r>
      <w:r>
        <w:rPr>
          <w:rFonts w:ascii="黑体" w:eastAsia="黑体" w:hAnsi="黑体" w:cs="黑体"/>
          <w:b/>
          <w:kern w:val="0"/>
          <w:szCs w:val="21"/>
        </w:rPr>
        <w:t>、提前终止</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本产品单一份额如遇存续规模大幅下降、存续份额低于</w:t>
      </w:r>
      <w:r>
        <w:rPr>
          <w:rFonts w:ascii="黑体" w:eastAsia="黑体" w:hAnsi="黑体" w:cs="黑体"/>
          <w:b/>
          <w:kern w:val="0"/>
          <w:szCs w:val="21"/>
        </w:rPr>
        <w:t>1000</w:t>
      </w:r>
      <w:r>
        <w:rPr>
          <w:rFonts w:ascii="黑体" w:eastAsia="黑体" w:hAnsi="黑体" w:cs="黑体"/>
          <w:b/>
          <w:kern w:val="0"/>
          <w:szCs w:val="21"/>
        </w:rPr>
        <w:t>万等情况，或产品管理人认为影响份额运作需要提前终止的其他情况，管理人有权根据产品实际运作情况对该份额</w:t>
      </w:r>
      <w:r>
        <w:rPr>
          <w:rFonts w:ascii="黑体" w:eastAsia="黑体" w:hAnsi="黑体" w:cs="黑体"/>
          <w:b/>
          <w:kern w:val="0"/>
          <w:szCs w:val="21"/>
        </w:rPr>
        <w:t>进行终止，不晚于终止日当日以投资者可接收的方式对终止运作的份额持有人</w:t>
      </w:r>
      <w:r>
        <w:rPr>
          <w:rFonts w:ascii="黑体" w:eastAsia="黑体" w:hAnsi="黑体" w:cs="黑体"/>
          <w:b/>
          <w:kern w:val="0"/>
          <w:szCs w:val="21"/>
        </w:rPr>
        <w:t>下发终止告知函，并在终止日后</w:t>
      </w:r>
      <w:r>
        <w:rPr>
          <w:rFonts w:ascii="黑体" w:eastAsia="黑体" w:hAnsi="黑体" w:cs="黑体"/>
          <w:b/>
          <w:kern w:val="0"/>
          <w:szCs w:val="21"/>
        </w:rPr>
        <w:t>5</w:t>
      </w:r>
      <w:r>
        <w:rPr>
          <w:rFonts w:ascii="黑体" w:eastAsia="黑体" w:hAnsi="黑体" w:cs="黑体"/>
          <w:b/>
          <w:kern w:val="0"/>
          <w:szCs w:val="21"/>
        </w:rPr>
        <w:t>个工作日内以投资者可接收的方式对终止运作的份额持有人下发终止公告，相关兑付安排规则将在终止公告中披露，前述份额终止情形不影响本文件其他条款的有效性。</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在本产品存续期内，如遇包括但不限于国家金融政策发生重大调整、金融市场发生重大波动、</w:t>
      </w:r>
      <w:r>
        <w:rPr>
          <w:rFonts w:ascii="黑体" w:eastAsia="黑体" w:hAnsi="黑体" w:cs="黑体"/>
          <w:b/>
          <w:kern w:val="0"/>
          <w:szCs w:val="21"/>
        </w:rPr>
        <w:t>不可抗力</w:t>
      </w:r>
      <w:r>
        <w:rPr>
          <w:rFonts w:ascii="黑体" w:eastAsia="黑体" w:hAnsi="黑体" w:cs="黑体" w:hint="eastAsia"/>
          <w:b/>
          <w:kern w:val="0"/>
          <w:szCs w:val="21"/>
        </w:rPr>
        <w:t>、产品存续规模低于产品最低成立规模或产品管理人认为影响产品运作需要提前终止产品的其他情况，产品管理人有权提前终止产品，并至少于提前终止日前</w:t>
      </w:r>
      <w:r>
        <w:rPr>
          <w:rFonts w:ascii="黑体" w:eastAsia="黑体" w:hAnsi="黑体" w:cs="黑体"/>
          <w:b/>
          <w:kern w:val="0"/>
          <w:szCs w:val="21"/>
        </w:rPr>
        <w:t>3</w:t>
      </w:r>
      <w:r>
        <w:rPr>
          <w:rFonts w:ascii="黑体" w:eastAsia="黑体" w:hAnsi="黑体" w:cs="黑体" w:hint="eastAsia"/>
          <w:b/>
          <w:kern w:val="0"/>
          <w:szCs w:val="21"/>
        </w:rPr>
        <w:t>个工作日进行公告，相关兑付</w:t>
      </w:r>
      <w:r>
        <w:rPr>
          <w:rFonts w:ascii="黑体" w:eastAsia="黑体" w:hAnsi="黑体" w:cs="黑体"/>
          <w:b/>
          <w:kern w:val="0"/>
          <w:szCs w:val="21"/>
        </w:rPr>
        <w:t>安排规则</w:t>
      </w:r>
      <w:r>
        <w:rPr>
          <w:rFonts w:ascii="黑体" w:eastAsia="黑体" w:hAnsi="黑体" w:cs="黑体" w:hint="eastAsia"/>
          <w:b/>
          <w:kern w:val="0"/>
          <w:szCs w:val="21"/>
        </w:rPr>
        <w:t>将在</w:t>
      </w:r>
      <w:r>
        <w:rPr>
          <w:rFonts w:ascii="黑体" w:eastAsia="黑体" w:hAnsi="黑体" w:cs="黑体"/>
          <w:b/>
          <w:kern w:val="0"/>
          <w:szCs w:val="21"/>
        </w:rPr>
        <w:t>公告</w:t>
      </w:r>
      <w:r>
        <w:rPr>
          <w:rFonts w:ascii="黑体" w:eastAsia="黑体" w:hAnsi="黑体" w:cs="黑体" w:hint="eastAsia"/>
          <w:b/>
          <w:kern w:val="0"/>
          <w:szCs w:val="21"/>
        </w:rPr>
        <w:t>中</w:t>
      </w:r>
      <w:r>
        <w:rPr>
          <w:rFonts w:ascii="黑体" w:eastAsia="黑体" w:hAnsi="黑体" w:cs="黑体"/>
          <w:b/>
          <w:kern w:val="0"/>
          <w:szCs w:val="21"/>
        </w:rPr>
        <w:t>披露。</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b/>
          <w:kern w:val="0"/>
          <w:szCs w:val="21"/>
        </w:rPr>
        <w:t>3</w:t>
      </w:r>
      <w:r>
        <w:rPr>
          <w:rFonts w:ascii="黑体" w:eastAsia="黑体" w:hAnsi="黑体" w:cs="黑体"/>
          <w:b/>
          <w:kern w:val="0"/>
          <w:szCs w:val="21"/>
        </w:rPr>
        <w:t>、其他情况</w:t>
      </w:r>
    </w:p>
    <w:p w:rsidR="008B0A7D">
      <w:pPr>
        <w:autoSpaceDE w:val="0"/>
        <w:autoSpaceDN w:val="0"/>
        <w:adjustRightInd w:val="0"/>
        <w:ind w:firstLine="420" w:firstLineChars="200"/>
        <w:jc w:val="left"/>
        <w:rPr>
          <w:rFonts w:ascii="黑体" w:eastAsia="黑体" w:hAnsi="黑体" w:cs="黑体"/>
          <w:b/>
          <w:kern w:val="0"/>
          <w:szCs w:val="21"/>
        </w:rPr>
      </w:pPr>
      <w:r>
        <w:rPr>
          <w:rFonts w:ascii="黑体" w:eastAsia="黑体" w:hAnsi="黑体" w:cs="黑体" w:hint="eastAsia"/>
          <w:b/>
          <w:kern w:val="0"/>
          <w:szCs w:val="21"/>
        </w:rPr>
        <w:t>如果发生国家金融政策发生重大调整、流动性紧张、</w:t>
      </w:r>
      <w:r>
        <w:rPr>
          <w:rFonts w:ascii="黑体" w:eastAsia="黑体" w:hAnsi="黑体" w:cs="黑体"/>
          <w:b/>
          <w:kern w:val="0"/>
          <w:szCs w:val="21"/>
        </w:rPr>
        <w:t>市场环境变化</w:t>
      </w:r>
      <w:r>
        <w:rPr>
          <w:rFonts w:ascii="黑体" w:eastAsia="黑体" w:hAnsi="黑体" w:cs="黑体" w:hint="eastAsia"/>
          <w:b/>
          <w:kern w:val="0"/>
          <w:szCs w:val="21"/>
        </w:rPr>
        <w:t>或</w:t>
      </w:r>
      <w:r>
        <w:rPr>
          <w:rFonts w:ascii="黑体" w:eastAsia="黑体" w:hAnsi="黑体" w:cs="黑体"/>
          <w:b/>
          <w:kern w:val="0"/>
          <w:szCs w:val="21"/>
        </w:rPr>
        <w:t>不可抗力等特殊</w:t>
      </w:r>
      <w:r>
        <w:rPr>
          <w:rFonts w:ascii="黑体" w:eastAsia="黑体" w:hAnsi="黑体" w:cs="黑体" w:hint="eastAsia"/>
          <w:b/>
          <w:kern w:val="0"/>
          <w:szCs w:val="21"/>
        </w:rPr>
        <w:t>情形，造成本产品持有的基础资产无法及时、足额变现，产品管理人可以根据实际情况选择向投资者延迟兑付或者分次兑付，并于发生上述情形后的</w:t>
      </w:r>
      <w:r>
        <w:rPr>
          <w:rFonts w:ascii="黑体" w:eastAsia="黑体" w:hAnsi="黑体" w:cs="黑体"/>
          <w:b/>
          <w:kern w:val="0"/>
          <w:szCs w:val="21"/>
        </w:rPr>
        <w:t>2</w:t>
      </w:r>
      <w:r>
        <w:rPr>
          <w:rFonts w:ascii="黑体" w:eastAsia="黑体" w:hAnsi="黑体" w:cs="黑体" w:hint="eastAsia"/>
          <w:b/>
          <w:kern w:val="0"/>
          <w:szCs w:val="21"/>
        </w:rPr>
        <w:t>个工作日内公告兑付方案。</w:t>
      </w:r>
    </w:p>
    <w:p w:rsidR="008B0A7D">
      <w:pPr>
        <w:autoSpaceDE w:val="0"/>
        <w:autoSpaceDN w:val="0"/>
        <w:adjustRightInd w:val="0"/>
        <w:ind w:firstLine="420" w:firstLineChars="200"/>
        <w:jc w:val="left"/>
        <w:rPr>
          <w:rFonts w:ascii="黑体" w:eastAsia="黑体" w:hAnsi="黑体" w:cs="黑体"/>
          <w:kern w:val="0"/>
          <w:szCs w:val="21"/>
        </w:rPr>
      </w:pPr>
    </w:p>
    <w:p w:rsidR="008B0A7D">
      <w:pPr>
        <w:autoSpaceDE w:val="0"/>
        <w:autoSpaceDN w:val="0"/>
        <w:adjustRightInd w:val="0"/>
        <w:jc w:val="left"/>
        <w:rPr>
          <w:rFonts w:ascii="黑体" w:eastAsia="黑体" w:hAnsi="黑体" w:cs="宋体"/>
          <w:b/>
          <w:kern w:val="0"/>
          <w:szCs w:val="21"/>
        </w:rPr>
      </w:pPr>
      <w:r>
        <w:rPr>
          <w:rFonts w:ascii="黑体" w:eastAsia="黑体" w:hAnsi="黑体" w:cs="宋体" w:hint="eastAsia"/>
          <w:b/>
          <w:kern w:val="0"/>
          <w:szCs w:val="21"/>
        </w:rPr>
        <w:t>八、托管机构和销售机构</w:t>
      </w:r>
    </w:p>
    <w:p w:rsidR="008B0A7D">
      <w:pPr>
        <w:autoSpaceDE w:val="0"/>
        <w:autoSpaceDN w:val="0"/>
        <w:adjustRightInd w:val="0"/>
        <w:jc w:val="left"/>
        <w:rPr>
          <w:rFonts w:ascii="黑体" w:eastAsia="黑体" w:hAnsi="黑体" w:cs="宋体"/>
          <w:bCs/>
          <w:kern w:val="0"/>
          <w:szCs w:val="21"/>
        </w:rPr>
      </w:pPr>
      <w:r>
        <w:rPr>
          <w:rFonts w:ascii="黑体" w:eastAsia="黑体" w:hAnsi="黑体" w:cs="宋体" w:hint="eastAsia"/>
          <w:bCs/>
          <w:kern w:val="0"/>
          <w:szCs w:val="21"/>
        </w:rPr>
        <w:t>（一）托管机构基本信息：</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kern w:val="0"/>
          <w:szCs w:val="21"/>
        </w:rPr>
        <w:t>1</w:t>
      </w:r>
      <w:r>
        <w:rPr>
          <w:rFonts w:ascii="黑体" w:eastAsia="黑体" w:hAnsi="黑体" w:cs="宋体"/>
          <w:kern w:val="0"/>
          <w:szCs w:val="21"/>
        </w:rPr>
        <w:t>、机构名称：</w:t>
      </w:r>
      <w:r>
        <w:rPr>
          <w:rFonts w:ascii="黑体" w:eastAsia="黑体" w:hAnsi="黑体" w:cs="宋体" w:hint="eastAsia"/>
          <w:kern w:val="0"/>
          <w:szCs w:val="21"/>
        </w:rPr>
        <w:t>宁波银行股份有限公司</w:t>
      </w:r>
    </w:p>
    <w:p w:rsidR="008B0A7D">
      <w:pPr>
        <w:autoSpaceDE w:val="0"/>
        <w:autoSpaceDN w:val="0"/>
        <w:adjustRightInd w:val="0"/>
        <w:ind w:firstLine="735" w:firstLineChars="350"/>
        <w:jc w:val="left"/>
        <w:rPr>
          <w:rFonts w:ascii="黑体" w:eastAsia="黑体" w:hAnsi="黑体" w:cs="宋体"/>
          <w:bCs/>
          <w:kern w:val="0"/>
          <w:szCs w:val="21"/>
        </w:rPr>
      </w:pPr>
      <w:r>
        <w:rPr>
          <w:rFonts w:ascii="黑体" w:eastAsia="黑体" w:hAnsi="黑体" w:cs="宋体" w:hint="eastAsia"/>
          <w:bCs/>
          <w:kern w:val="0"/>
          <w:szCs w:val="21"/>
        </w:rPr>
        <w:t>客服热线：</w:t>
      </w:r>
      <w:r>
        <w:rPr>
          <w:rFonts w:ascii="黑体" w:eastAsia="黑体" w:hAnsi="黑体" w:cs="宋体"/>
          <w:bCs/>
          <w:kern w:val="0"/>
          <w:szCs w:val="21"/>
        </w:rPr>
        <w:t>95574</w:t>
      </w:r>
    </w:p>
    <w:p w:rsidR="008B0A7D">
      <w:pPr>
        <w:autoSpaceDE w:val="0"/>
        <w:autoSpaceDN w:val="0"/>
        <w:adjustRightInd w:val="0"/>
        <w:ind w:firstLine="735" w:firstLineChars="350"/>
        <w:jc w:val="left"/>
        <w:rPr>
          <w:rFonts w:ascii="Calibri" w:eastAsia="黑体" w:hAnsi="Calibri" w:cs="Calibri"/>
          <w:bCs/>
          <w:kern w:val="0"/>
          <w:szCs w:val="21"/>
        </w:rPr>
      </w:pPr>
      <w:r>
        <w:rPr>
          <w:rFonts w:ascii="黑体" w:eastAsia="黑体" w:hAnsi="黑体" w:cs="宋体" w:hint="eastAsia"/>
          <w:bCs/>
          <w:kern w:val="0"/>
          <w:szCs w:val="21"/>
        </w:rPr>
        <w:t>官方网站：</w:t>
      </w:r>
      <w:r>
        <w:rPr>
          <w:rFonts w:ascii="黑体" w:eastAsia="黑体" w:hAnsi="黑体" w:cs="宋体"/>
          <w:bCs/>
          <w:kern w:val="0"/>
          <w:szCs w:val="21"/>
        </w:rPr>
        <w:t>www.nbcb.com.cn</w:t>
      </w:r>
    </w:p>
    <w:p w:rsidR="008B0A7D">
      <w:pPr>
        <w:autoSpaceDE w:val="0"/>
        <w:autoSpaceDN w:val="0"/>
        <w:adjustRightInd w:val="0"/>
        <w:ind w:firstLine="420" w:firstLineChars="200"/>
        <w:jc w:val="left"/>
        <w:rPr>
          <w:rFonts w:ascii="黑体" w:eastAsia="黑体" w:hAnsi="黑体" w:cs="宋体"/>
          <w:bCs/>
          <w:kern w:val="0"/>
          <w:szCs w:val="21"/>
        </w:rPr>
      </w:pPr>
      <w:r>
        <w:rPr>
          <w:rFonts w:ascii="黑体" w:eastAsia="黑体" w:hAnsi="黑体" w:cs="宋体" w:hint="eastAsia"/>
          <w:bCs/>
          <w:kern w:val="0"/>
          <w:szCs w:val="21"/>
        </w:rPr>
        <w:t>托管机构主要职责：</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、安全</w:t>
      </w:r>
      <w:r>
        <w:rPr>
          <w:rFonts w:ascii="黑体" w:eastAsia="黑体" w:hAnsi="黑体" w:cs="宋体" w:hint="eastAsia"/>
          <w:kern w:val="0"/>
          <w:szCs w:val="21"/>
        </w:rPr>
        <w:t>托管理财资金及其所投资的资产或</w:t>
      </w:r>
      <w:r>
        <w:rPr>
          <w:rFonts w:ascii="黑体" w:eastAsia="黑体" w:hAnsi="黑体" w:cs="黑体" w:hint="eastAsia"/>
          <w:kern w:val="0"/>
          <w:szCs w:val="21"/>
        </w:rPr>
        <w:t>保管</w:t>
      </w:r>
      <w:r>
        <w:rPr>
          <w:rFonts w:ascii="黑体" w:eastAsia="黑体" w:hAnsi="黑体" w:cs="宋体" w:hint="eastAsia"/>
          <w:kern w:val="0"/>
          <w:szCs w:val="21"/>
        </w:rPr>
        <w:t>代表资产的权益凭证或</w:t>
      </w:r>
      <w:r>
        <w:rPr>
          <w:rFonts w:ascii="黑体" w:eastAsia="黑体" w:hAnsi="黑体" w:cs="黑体" w:hint="eastAsia"/>
          <w:kern w:val="0"/>
          <w:szCs w:val="21"/>
        </w:rPr>
        <w:t>财产清单；</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kern w:val="0"/>
          <w:szCs w:val="21"/>
        </w:rPr>
        <w:t>、为本产品开设独立的托管账户，不同托管账户中的资产应当相互独立；</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3</w:t>
      </w:r>
      <w:r>
        <w:rPr>
          <w:rFonts w:ascii="黑体" w:eastAsia="黑体" w:hAnsi="黑体" w:cs="黑体"/>
          <w:kern w:val="0"/>
          <w:szCs w:val="21"/>
        </w:rPr>
        <w:t>、按照托管协议约定和</w:t>
      </w:r>
      <w:r>
        <w:rPr>
          <w:rFonts w:ascii="黑体" w:eastAsia="黑体" w:hAnsi="黑体" w:cs="黑体" w:hint="eastAsia"/>
          <w:kern w:val="0"/>
          <w:szCs w:val="21"/>
        </w:rPr>
        <w:t>产品管理人的投资指令，及时办理清算、交割事宜；</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4</w:t>
      </w:r>
      <w:r>
        <w:rPr>
          <w:rFonts w:ascii="黑体" w:eastAsia="黑体" w:hAnsi="黑体" w:cs="宋体"/>
          <w:kern w:val="0"/>
          <w:szCs w:val="21"/>
        </w:rPr>
        <w:t>、记录理财资金划拨情况，保存产品管理人的资金用途说明；</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5</w:t>
      </w:r>
      <w:r>
        <w:rPr>
          <w:rFonts w:ascii="黑体" w:eastAsia="黑体" w:hAnsi="黑体" w:cs="宋体"/>
          <w:kern w:val="0"/>
          <w:szCs w:val="21"/>
        </w:rPr>
        <w:t>、负责本产品财产的会计核算；</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6</w:t>
      </w:r>
      <w:r>
        <w:rPr>
          <w:rFonts w:ascii="黑体" w:eastAsia="黑体" w:hAnsi="黑体" w:cs="黑体" w:hint="eastAsia"/>
          <w:kern w:val="0"/>
          <w:szCs w:val="21"/>
        </w:rPr>
        <w:t>、建立与产品管理人的对账机制，核对本产品财产交易记录、资金和财产账目、资产净值等数据；</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7</w:t>
      </w:r>
      <w:r>
        <w:rPr>
          <w:rFonts w:ascii="黑体" w:eastAsia="黑体" w:hAnsi="黑体" w:cs="黑体" w:hint="eastAsia"/>
          <w:kern w:val="0"/>
          <w:szCs w:val="21"/>
        </w:rPr>
        <w:t>、监督本产品投资运作；</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8</w:t>
      </w:r>
      <w:r>
        <w:rPr>
          <w:rFonts w:ascii="黑体" w:eastAsia="黑体" w:hAnsi="黑体" w:cs="黑体" w:hint="eastAsia"/>
          <w:kern w:val="0"/>
          <w:szCs w:val="21"/>
        </w:rPr>
        <w:t>、办理与本产品托管业务活动相关的信息披露事项；</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9</w:t>
      </w:r>
      <w:r>
        <w:rPr>
          <w:rFonts w:ascii="黑体" w:eastAsia="黑体" w:hAnsi="黑体" w:cs="黑体" w:hint="eastAsia"/>
          <w:kern w:val="0"/>
          <w:szCs w:val="21"/>
        </w:rPr>
        <w:t>、将本产</w:t>
      </w:r>
      <w:r>
        <w:rPr>
          <w:rFonts w:ascii="黑体" w:eastAsia="黑体" w:hAnsi="黑体" w:cs="黑体"/>
          <w:kern w:val="0"/>
          <w:szCs w:val="21"/>
        </w:rPr>
        <w:t>品</w:t>
      </w:r>
      <w:r>
        <w:rPr>
          <w:rFonts w:ascii="黑体" w:eastAsia="黑体" w:hAnsi="黑体" w:cs="黑体" w:hint="eastAsia"/>
          <w:kern w:val="0"/>
          <w:szCs w:val="21"/>
        </w:rPr>
        <w:t>托管业务活动的记录、账册、报表和其他相关资料保存</w:t>
      </w:r>
      <w:r>
        <w:rPr>
          <w:rFonts w:ascii="黑体" w:eastAsia="黑体" w:hAnsi="黑体" w:cs="黑体"/>
          <w:kern w:val="0"/>
          <w:szCs w:val="21"/>
        </w:rPr>
        <w:t>15</w:t>
      </w:r>
      <w:r>
        <w:rPr>
          <w:rFonts w:ascii="黑体" w:eastAsia="黑体" w:hAnsi="黑体" w:cs="黑体"/>
          <w:kern w:val="0"/>
          <w:szCs w:val="21"/>
        </w:rPr>
        <w:t>年以上；</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10</w:t>
      </w:r>
      <w:r>
        <w:rPr>
          <w:rFonts w:ascii="黑体" w:eastAsia="黑体" w:hAnsi="黑体" w:cs="黑体" w:hint="eastAsia"/>
          <w:kern w:val="0"/>
          <w:szCs w:val="21"/>
        </w:rPr>
        <w:t>、对本产品投资信息和相关资料承担保密责任，除法律、行政法规、规章规定、审计要求或者合同约定外，不得向任何机构或者个人提供相关信息和资料；</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11</w:t>
      </w:r>
      <w:r>
        <w:rPr>
          <w:rFonts w:ascii="黑体" w:eastAsia="黑体" w:hAnsi="黑体" w:cs="黑体" w:hint="eastAsia"/>
          <w:kern w:val="0"/>
          <w:szCs w:val="21"/>
        </w:rPr>
        <w:t>、每季度向产品管理人出具本产品的托管业务报告；</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12</w:t>
      </w:r>
      <w:r>
        <w:rPr>
          <w:rFonts w:ascii="黑体" w:eastAsia="黑体" w:hAnsi="黑体" w:cs="黑体" w:hint="eastAsia"/>
          <w:kern w:val="0"/>
          <w:szCs w:val="21"/>
        </w:rPr>
        <w:t>、法律、法规、国务院银行业监督管理机构规定的其他职责。</w:t>
      </w:r>
    </w:p>
    <w:p w:rsidR="008B0A7D">
      <w:pPr>
        <w:autoSpaceDE w:val="0"/>
        <w:autoSpaceDN w:val="0"/>
        <w:adjustRightInd w:val="0"/>
        <w:jc w:val="left"/>
        <w:rPr>
          <w:rFonts w:ascii="黑体" w:eastAsia="黑体" w:hAnsi="黑体" w:cs="宋体"/>
          <w:kern w:val="0"/>
          <w:szCs w:val="21"/>
        </w:rPr>
      </w:pPr>
      <w:bookmarkStart w:id="13" w:name="_Hlk33106867"/>
      <w:r>
        <w:rPr>
          <w:rFonts w:ascii="黑体" w:eastAsia="黑体" w:hAnsi="黑体" w:cs="宋体" w:hint="eastAsia"/>
          <w:kern w:val="0"/>
          <w:szCs w:val="21"/>
        </w:rPr>
        <w:t>（二）销售机构基本信息</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kern w:val="0"/>
          <w:szCs w:val="21"/>
        </w:rPr>
        <w:t>1</w:t>
      </w:r>
      <w:r>
        <w:rPr>
          <w:rFonts w:ascii="黑体" w:eastAsia="黑体" w:hAnsi="黑体" w:cs="宋体"/>
          <w:kern w:val="0"/>
          <w:szCs w:val="21"/>
        </w:rPr>
        <w:t>、机构名称：</w:t>
      </w:r>
      <w:r>
        <w:rPr>
          <w:rFonts w:ascii="黑体" w:eastAsia="黑体" w:hAnsi="黑体" w:cs="宋体" w:hint="eastAsia"/>
          <w:kern w:val="0"/>
          <w:szCs w:val="21"/>
        </w:rPr>
        <w:t>宁波银行股份有限公司</w:t>
      </w:r>
    </w:p>
    <w:p w:rsidR="008B0A7D">
      <w:pPr>
        <w:autoSpaceDE w:val="0"/>
        <w:autoSpaceDN w:val="0"/>
        <w:adjustRightInd w:val="0"/>
        <w:ind w:firstLine="735" w:firstLineChars="350"/>
        <w:jc w:val="left"/>
        <w:rPr>
          <w:rFonts w:ascii="黑体" w:eastAsia="黑体" w:hAnsi="黑体" w:cs="宋体"/>
          <w:bCs/>
          <w:kern w:val="0"/>
          <w:szCs w:val="21"/>
        </w:rPr>
      </w:pPr>
      <w:r>
        <w:rPr>
          <w:rFonts w:ascii="黑体" w:eastAsia="黑体" w:hAnsi="黑体" w:cs="宋体" w:hint="eastAsia"/>
          <w:bCs/>
          <w:kern w:val="0"/>
          <w:szCs w:val="21"/>
        </w:rPr>
        <w:t>客服热线：</w:t>
      </w:r>
      <w:r>
        <w:rPr>
          <w:rFonts w:ascii="黑体" w:eastAsia="黑体" w:hAnsi="黑体" w:cs="宋体"/>
          <w:bCs/>
          <w:kern w:val="0"/>
          <w:szCs w:val="21"/>
        </w:rPr>
        <w:t>95574</w:t>
      </w:r>
    </w:p>
    <w:p w:rsidR="008B0A7D">
      <w:pPr>
        <w:autoSpaceDE w:val="0"/>
        <w:autoSpaceDN w:val="0"/>
        <w:adjustRightInd w:val="0"/>
        <w:ind w:firstLine="735" w:firstLineChars="350"/>
        <w:jc w:val="left"/>
        <w:rPr>
          <w:rFonts w:ascii="Calibri" w:eastAsia="黑体" w:hAnsi="Calibri" w:cs="Calibri"/>
          <w:bCs/>
          <w:kern w:val="0"/>
          <w:szCs w:val="21"/>
        </w:rPr>
      </w:pPr>
      <w:r>
        <w:rPr>
          <w:rFonts w:ascii="黑体" w:eastAsia="黑体" w:hAnsi="黑体" w:cs="宋体" w:hint="eastAsia"/>
          <w:bCs/>
          <w:kern w:val="0"/>
          <w:szCs w:val="21"/>
        </w:rPr>
        <w:t>官方网站：</w:t>
      </w:r>
      <w:r>
        <w:rPr>
          <w:rFonts w:ascii="黑体" w:eastAsia="黑体" w:hAnsi="黑体" w:cs="宋体"/>
          <w:bCs/>
          <w:kern w:val="0"/>
          <w:szCs w:val="21"/>
        </w:rPr>
        <w:t>www.nbcb.com.cn</w:t>
      </w:r>
    </w:p>
    <w:p w:rsidR="008B0A7D">
      <w:pPr>
        <w:autoSpaceDE w:val="0"/>
        <w:autoSpaceDN w:val="0"/>
        <w:adjustRightInd w:val="0"/>
        <w:ind w:left="420" w:leftChars="200"/>
        <w:jc w:val="left"/>
        <w:rPr>
          <w:rFonts w:ascii="黑体" w:eastAsia="黑体" w:hAnsi="黑体"/>
          <w:kern w:val="0"/>
        </w:rPr>
      </w:pPr>
      <w:r>
        <w:rPr>
          <w:rFonts w:ascii="黑体" w:eastAsia="黑体" w:hAnsi="黑体" w:cs="宋体"/>
          <w:kern w:val="0"/>
          <w:szCs w:val="21"/>
        </w:rPr>
        <w:t>2</w:t>
      </w:r>
      <w:r>
        <w:rPr>
          <w:rFonts w:ascii="黑体" w:eastAsia="黑体" w:hAnsi="黑体" w:cs="宋体"/>
          <w:kern w:val="0"/>
          <w:szCs w:val="21"/>
        </w:rPr>
        <w:t>、</w:t>
      </w:r>
      <w:r>
        <w:rPr>
          <w:rFonts w:ascii="黑体" w:eastAsia="黑体" w:hAnsi="黑体" w:hint="eastAsia"/>
          <w:kern w:val="0"/>
        </w:rPr>
        <w:t>机构</w:t>
      </w:r>
      <w:r>
        <w:rPr>
          <w:rFonts w:ascii="黑体" w:eastAsia="黑体" w:hAnsi="黑体" w:cs="宋体" w:hint="eastAsia"/>
          <w:kern w:val="0"/>
          <w:szCs w:val="21"/>
        </w:rPr>
        <w:t>名称：宁银理财有限责任公司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kern w:val="0"/>
          <w:szCs w:val="21"/>
        </w:rPr>
        <w:t>400-099-5574</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kern w:val="0"/>
          <w:szCs w:val="21"/>
        </w:rPr>
        <w:t>www.wmbnb.com</w:t>
      </w:r>
    </w:p>
    <w:p w:rsidR="008B0A7D">
      <w:pPr>
        <w:autoSpaceDE w:val="0"/>
        <w:autoSpaceDN w:val="0"/>
        <w:adjustRightInd w:val="0"/>
        <w:ind w:left="420" w:leftChars="200"/>
        <w:jc w:val="left"/>
        <w:rPr>
          <w:rFonts w:ascii="黑体" w:eastAsia="黑体" w:hAnsi="黑体"/>
          <w:kern w:val="0"/>
        </w:rPr>
      </w:pPr>
      <w:r>
        <w:rPr>
          <w:rFonts w:ascii="黑体" w:eastAsia="黑体" w:hAnsi="黑体" w:cs="宋体" w:hint="eastAsia"/>
          <w:kern w:val="0"/>
          <w:szCs w:val="21"/>
        </w:rPr>
        <w:t>3</w:t>
      </w:r>
      <w:r>
        <w:rPr>
          <w:rFonts w:ascii="黑体" w:eastAsia="黑体" w:hAnsi="黑体" w:cs="宋体"/>
          <w:kern w:val="0"/>
          <w:szCs w:val="21"/>
        </w:rPr>
        <w:t>、</w:t>
      </w:r>
      <w:r>
        <w:rPr>
          <w:rFonts w:ascii="黑体" w:eastAsia="黑体" w:hAnsi="黑体" w:hint="eastAsia"/>
          <w:kern w:val="0"/>
        </w:rPr>
        <w:t>机构</w:t>
      </w:r>
      <w:r>
        <w:rPr>
          <w:rFonts w:ascii="黑体" w:eastAsia="黑体" w:hAnsi="黑体" w:cs="宋体" w:hint="eastAsia"/>
          <w:kern w:val="0"/>
          <w:szCs w:val="21"/>
        </w:rPr>
        <w:t>名称：广发银行股份有限公司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400-830-8003</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www.cgbchina.com.cn</w:t>
      </w:r>
    </w:p>
    <w:p w:rsidR="008B0A7D">
      <w:pPr>
        <w:autoSpaceDE w:val="0"/>
        <w:autoSpaceDN w:val="0"/>
        <w:adjustRightInd w:val="0"/>
        <w:ind w:left="420" w:leftChars="200"/>
        <w:jc w:val="left"/>
        <w:rPr>
          <w:rFonts w:ascii="黑体" w:eastAsia="黑体" w:hAnsi="黑体"/>
          <w:kern w:val="0"/>
        </w:rPr>
      </w:pPr>
      <w:r>
        <w:rPr>
          <w:rFonts w:ascii="黑体" w:eastAsia="黑体" w:hAnsi="黑体" w:cs="宋体" w:hint="eastAsia"/>
          <w:kern w:val="0"/>
          <w:szCs w:val="21"/>
        </w:rPr>
        <w:t>4</w:t>
      </w:r>
      <w:r>
        <w:rPr>
          <w:rFonts w:ascii="黑体" w:eastAsia="黑体" w:hAnsi="黑体" w:cs="宋体"/>
          <w:kern w:val="0"/>
          <w:szCs w:val="21"/>
        </w:rPr>
        <w:t>、</w:t>
      </w:r>
      <w:r>
        <w:rPr>
          <w:rFonts w:ascii="黑体" w:eastAsia="黑体" w:hAnsi="黑体" w:hint="eastAsia"/>
          <w:kern w:val="0"/>
        </w:rPr>
        <w:t>机构</w:t>
      </w:r>
      <w:r>
        <w:rPr>
          <w:rFonts w:ascii="黑体" w:eastAsia="黑体" w:hAnsi="黑体" w:cs="宋体" w:hint="eastAsia"/>
          <w:kern w:val="0"/>
          <w:szCs w:val="21"/>
        </w:rPr>
        <w:t>名称：上海浦东发展银行股份有限公司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95528</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www.spdb.com.cn</w:t>
      </w:r>
    </w:p>
    <w:p w:rsidR="008B0A7D">
      <w:pPr>
        <w:autoSpaceDE w:val="0"/>
        <w:autoSpaceDN w:val="0"/>
        <w:adjustRightInd w:val="0"/>
        <w:ind w:left="420" w:leftChars="200"/>
        <w:jc w:val="left"/>
        <w:rPr>
          <w:rFonts w:ascii="黑体" w:eastAsia="黑体" w:hAnsi="黑体"/>
          <w:kern w:val="0"/>
        </w:rPr>
      </w:pPr>
      <w:r>
        <w:rPr>
          <w:rFonts w:ascii="黑体" w:eastAsia="黑体" w:hAnsi="黑体" w:cs="宋体" w:hint="eastAsia"/>
          <w:kern w:val="0"/>
          <w:szCs w:val="21"/>
        </w:rPr>
        <w:t>5</w:t>
      </w:r>
      <w:r>
        <w:rPr>
          <w:rFonts w:ascii="黑体" w:eastAsia="黑体" w:hAnsi="黑体" w:cs="宋体"/>
          <w:kern w:val="0"/>
          <w:szCs w:val="21"/>
        </w:rPr>
        <w:t>、</w:t>
      </w:r>
      <w:r>
        <w:rPr>
          <w:rFonts w:ascii="黑体" w:eastAsia="黑体" w:hAnsi="黑体" w:hint="eastAsia"/>
          <w:kern w:val="0"/>
        </w:rPr>
        <w:t>机构</w:t>
      </w:r>
      <w:r>
        <w:rPr>
          <w:rFonts w:ascii="黑体" w:eastAsia="黑体" w:hAnsi="黑体" w:cs="宋体" w:hint="eastAsia"/>
          <w:kern w:val="0"/>
          <w:szCs w:val="21"/>
        </w:rPr>
        <w:t>名称：华夏银行股份有限公司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95577</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www.hxb.com.cn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6</w:t>
      </w:r>
      <w:r>
        <w:rPr>
          <w:rFonts w:ascii="黑体" w:eastAsia="黑体" w:hAnsi="黑体" w:cs="宋体" w:hint="eastAsia"/>
          <w:kern w:val="0"/>
          <w:szCs w:val="21"/>
        </w:rPr>
        <w:t>、机构名称：苏州银行股份有限公司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96067</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www.suzhoubank.com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7</w:t>
      </w:r>
      <w:r>
        <w:rPr>
          <w:rFonts w:ascii="黑体" w:eastAsia="黑体" w:hAnsi="黑体" w:cs="宋体" w:hint="eastAsia"/>
          <w:kern w:val="0"/>
          <w:szCs w:val="21"/>
        </w:rPr>
        <w:t>、机构名称：兴业银行股份有限公司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95561</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www.cib.com.cn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8</w:t>
      </w:r>
      <w:r>
        <w:rPr>
          <w:rFonts w:ascii="黑体" w:eastAsia="黑体" w:hAnsi="黑体" w:cs="宋体" w:hint="eastAsia"/>
          <w:kern w:val="0"/>
          <w:szCs w:val="21"/>
        </w:rPr>
        <w:t>、机构名称：东莞银行股份有限公司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956033</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www.dongguanbank.cn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9</w:t>
      </w:r>
      <w:r>
        <w:rPr>
          <w:rFonts w:ascii="黑体" w:eastAsia="黑体" w:hAnsi="黑体" w:cs="宋体" w:hint="eastAsia"/>
          <w:kern w:val="0"/>
          <w:szCs w:val="21"/>
        </w:rPr>
        <w:t>、机构名称：长沙银行股份有限公司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0731-96511</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www.cscb.cn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1</w:t>
      </w:r>
      <w:r>
        <w:rPr>
          <w:rFonts w:ascii="黑体" w:eastAsia="黑体" w:hAnsi="黑体" w:cs="宋体"/>
          <w:kern w:val="0"/>
          <w:szCs w:val="21"/>
        </w:rPr>
        <w:t>0</w:t>
      </w:r>
      <w:r>
        <w:rPr>
          <w:rFonts w:ascii="黑体" w:eastAsia="黑体" w:hAnsi="黑体" w:cs="宋体" w:hint="eastAsia"/>
          <w:kern w:val="0"/>
          <w:szCs w:val="21"/>
        </w:rPr>
        <w:t>、机构名称：交通银行股份有限公司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95559</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www.bankcomm.com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1</w:t>
      </w:r>
      <w:r>
        <w:rPr>
          <w:rFonts w:ascii="黑体" w:eastAsia="黑体" w:hAnsi="黑体" w:cs="宋体"/>
          <w:kern w:val="0"/>
          <w:szCs w:val="21"/>
        </w:rPr>
        <w:t>1</w:t>
      </w:r>
      <w:r>
        <w:rPr>
          <w:rFonts w:ascii="黑体" w:eastAsia="黑体" w:hAnsi="黑体" w:cs="宋体" w:hint="eastAsia"/>
          <w:kern w:val="0"/>
          <w:szCs w:val="21"/>
        </w:rPr>
        <w:t>、机构名称：江苏常熟农村商业银行股份有限公司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956020</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www.csrcbank.com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1</w:t>
      </w:r>
      <w:r>
        <w:rPr>
          <w:rFonts w:ascii="黑体" w:eastAsia="黑体" w:hAnsi="黑体" w:cs="宋体"/>
          <w:kern w:val="0"/>
          <w:szCs w:val="21"/>
        </w:rPr>
        <w:t>2</w:t>
      </w:r>
      <w:r>
        <w:rPr>
          <w:rFonts w:ascii="黑体" w:eastAsia="黑体" w:hAnsi="黑体" w:cs="宋体" w:hint="eastAsia"/>
          <w:kern w:val="0"/>
          <w:szCs w:val="21"/>
        </w:rPr>
        <w:t>、机构名称：广东华兴银行股份有限公</w:t>
      </w:r>
      <w:r>
        <w:rPr>
          <w:rFonts w:ascii="黑体" w:eastAsia="黑体" w:hAnsi="黑体" w:cs="宋体" w:hint="eastAsia"/>
          <w:kern w:val="0"/>
          <w:szCs w:val="21"/>
        </w:rPr>
        <w:t>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95091</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www.ghbank.com.cn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1</w:t>
      </w:r>
      <w:r>
        <w:rPr>
          <w:rFonts w:ascii="黑体" w:eastAsia="黑体" w:hAnsi="黑体" w:cs="宋体"/>
          <w:kern w:val="0"/>
          <w:szCs w:val="21"/>
        </w:rPr>
        <w:t>3</w:t>
      </w:r>
      <w:r>
        <w:rPr>
          <w:rFonts w:ascii="黑体" w:eastAsia="黑体" w:hAnsi="黑体" w:cs="宋体" w:hint="eastAsia"/>
          <w:kern w:val="0"/>
          <w:szCs w:val="21"/>
        </w:rPr>
        <w:t>、机构名称：江苏张家港农村商业银行股份有限公司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0512-96065</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www.zrcbank.com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1</w:t>
      </w:r>
      <w:r>
        <w:rPr>
          <w:rFonts w:ascii="黑体" w:eastAsia="黑体" w:hAnsi="黑体" w:cs="宋体"/>
          <w:kern w:val="0"/>
          <w:szCs w:val="21"/>
        </w:rPr>
        <w:t>4</w:t>
      </w:r>
      <w:r>
        <w:rPr>
          <w:rFonts w:ascii="黑体" w:eastAsia="黑体" w:hAnsi="黑体" w:cs="宋体" w:hint="eastAsia"/>
          <w:kern w:val="0"/>
          <w:szCs w:val="21"/>
        </w:rPr>
        <w:t>、机构名称：江苏江南农村商业银行股份有限公司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0519-96005</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www.jnbank.com.cn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1</w:t>
      </w:r>
      <w:r>
        <w:rPr>
          <w:rFonts w:ascii="黑体" w:eastAsia="黑体" w:hAnsi="黑体" w:cs="宋体"/>
          <w:kern w:val="0"/>
          <w:szCs w:val="21"/>
        </w:rPr>
        <w:t>5</w:t>
      </w:r>
      <w:r>
        <w:rPr>
          <w:rFonts w:ascii="黑体" w:eastAsia="黑体" w:hAnsi="黑体" w:cs="宋体" w:hint="eastAsia"/>
          <w:kern w:val="0"/>
          <w:szCs w:val="21"/>
        </w:rPr>
        <w:t>、机构名称：江苏江阴农村商业银行股份有限公司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96078</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www.jybank.com.cn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1</w:t>
      </w:r>
      <w:r>
        <w:rPr>
          <w:rFonts w:ascii="黑体" w:eastAsia="黑体" w:hAnsi="黑体" w:cs="宋体"/>
          <w:kern w:val="0"/>
          <w:szCs w:val="21"/>
        </w:rPr>
        <w:t>6</w:t>
      </w:r>
      <w:r>
        <w:rPr>
          <w:rFonts w:ascii="黑体" w:eastAsia="黑体" w:hAnsi="黑体" w:cs="宋体" w:hint="eastAsia"/>
          <w:kern w:val="0"/>
          <w:szCs w:val="21"/>
        </w:rPr>
        <w:t>、机构名称：桂林银行股份有限公司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400-86-96299</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www.guilinbank.com.cn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1</w:t>
      </w:r>
      <w:r>
        <w:rPr>
          <w:rFonts w:ascii="黑体" w:eastAsia="黑体" w:hAnsi="黑体" w:cs="宋体"/>
          <w:kern w:val="0"/>
          <w:szCs w:val="21"/>
        </w:rPr>
        <w:t>7</w:t>
      </w:r>
      <w:r>
        <w:rPr>
          <w:rFonts w:ascii="黑体" w:eastAsia="黑体" w:hAnsi="黑体" w:cs="宋体" w:hint="eastAsia"/>
          <w:kern w:val="0"/>
          <w:szCs w:val="21"/>
        </w:rPr>
        <w:t>、机构名称：云南红塔银行股份有限公司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0877-96522</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www.ynhtbank.com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1</w:t>
      </w:r>
      <w:r>
        <w:rPr>
          <w:rFonts w:ascii="黑体" w:eastAsia="黑体" w:hAnsi="黑体" w:cs="宋体"/>
          <w:kern w:val="0"/>
          <w:szCs w:val="21"/>
        </w:rPr>
        <w:t>8</w:t>
      </w:r>
      <w:r>
        <w:rPr>
          <w:rFonts w:ascii="黑体" w:eastAsia="黑体" w:hAnsi="黑体" w:cs="宋体" w:hint="eastAsia"/>
          <w:kern w:val="0"/>
          <w:szCs w:val="21"/>
        </w:rPr>
        <w:t>、机构名称：东莞农村商业银行股份有限公司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0769-961122</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hyperlink r:id="rId5" w:history="1">
        <w:r>
          <w:rPr>
            <w:rStyle w:val="Hyperlink"/>
            <w:rFonts w:ascii="黑体" w:eastAsia="黑体" w:hAnsi="黑体" w:cs="宋体" w:hint="eastAsia"/>
            <w:kern w:val="0"/>
            <w:szCs w:val="21"/>
          </w:rPr>
          <w:t>www.drcbank.com</w:t>
        </w:r>
      </w:hyperlink>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1</w:t>
      </w:r>
      <w:r>
        <w:rPr>
          <w:rFonts w:ascii="黑体" w:eastAsia="黑体" w:hAnsi="黑体" w:cs="宋体"/>
          <w:kern w:val="0"/>
          <w:szCs w:val="21"/>
        </w:rPr>
        <w:t>9</w:t>
      </w:r>
      <w:r>
        <w:rPr>
          <w:rFonts w:ascii="黑体" w:eastAsia="黑体" w:hAnsi="黑体" w:cs="宋体" w:hint="eastAsia"/>
          <w:kern w:val="0"/>
          <w:szCs w:val="21"/>
        </w:rPr>
        <w:t>、机构名称：北京农村商业银行股份有限公司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kern w:val="0"/>
          <w:szCs w:val="21"/>
        </w:rPr>
        <w:t>010-96198</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kern w:val="0"/>
          <w:szCs w:val="21"/>
        </w:rPr>
        <w:t>www.bjrcb</w:t>
      </w:r>
      <w:r>
        <w:rPr>
          <w:rFonts w:ascii="黑体" w:eastAsia="黑体" w:hAnsi="黑体" w:cs="宋体"/>
          <w:kern w:val="0"/>
          <w:szCs w:val="21"/>
        </w:rPr>
        <w:t>.com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2</w:t>
      </w:r>
      <w:r>
        <w:rPr>
          <w:rFonts w:ascii="黑体" w:eastAsia="黑体" w:hAnsi="黑体" w:cs="宋体"/>
          <w:kern w:val="0"/>
          <w:szCs w:val="21"/>
        </w:rPr>
        <w:t>0</w:t>
      </w:r>
      <w:r>
        <w:rPr>
          <w:rFonts w:ascii="黑体" w:eastAsia="黑体" w:hAnsi="黑体" w:cs="宋体" w:hint="eastAsia"/>
          <w:kern w:val="0"/>
          <w:szCs w:val="21"/>
        </w:rPr>
        <w:t>、机构名称：渤海银行股份有限公司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95541</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www.cbhb.com.cn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2</w:t>
      </w:r>
      <w:r>
        <w:rPr>
          <w:rFonts w:ascii="黑体" w:eastAsia="黑体" w:hAnsi="黑体" w:cs="宋体"/>
          <w:kern w:val="0"/>
          <w:szCs w:val="21"/>
        </w:rPr>
        <w:t>1</w:t>
      </w:r>
      <w:r>
        <w:rPr>
          <w:rFonts w:ascii="黑体" w:eastAsia="黑体" w:hAnsi="黑体" w:cs="宋体" w:hint="eastAsia"/>
          <w:kern w:val="0"/>
          <w:szCs w:val="21"/>
        </w:rPr>
        <w:t>、机构名称：甘肃银行股份有限公司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400-86-96666</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www.gsbankchina.com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2</w:t>
      </w:r>
      <w:r>
        <w:rPr>
          <w:rFonts w:ascii="黑体" w:eastAsia="黑体" w:hAnsi="黑体" w:cs="宋体"/>
          <w:kern w:val="0"/>
          <w:szCs w:val="21"/>
        </w:rPr>
        <w:t>2</w:t>
      </w:r>
      <w:r>
        <w:rPr>
          <w:rFonts w:ascii="黑体" w:eastAsia="黑体" w:hAnsi="黑体" w:cs="宋体" w:hint="eastAsia"/>
          <w:kern w:val="0"/>
          <w:szCs w:val="21"/>
        </w:rPr>
        <w:t>、机构名称：泉州银行股份有限公司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4008896312</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www.qzccbank.com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2</w:t>
      </w:r>
      <w:r>
        <w:rPr>
          <w:rFonts w:ascii="黑体" w:eastAsia="黑体" w:hAnsi="黑体" w:cs="宋体"/>
          <w:kern w:val="0"/>
          <w:szCs w:val="21"/>
        </w:rPr>
        <w:t>3</w:t>
      </w:r>
      <w:r>
        <w:rPr>
          <w:rFonts w:ascii="黑体" w:eastAsia="黑体" w:hAnsi="黑体" w:cs="宋体" w:hint="eastAsia"/>
          <w:kern w:val="0"/>
          <w:szCs w:val="21"/>
        </w:rPr>
        <w:t>、机构名称：武汉农村商业银行股份有限公司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95367</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www.whrcbank.com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2</w:t>
      </w:r>
      <w:r>
        <w:rPr>
          <w:rFonts w:ascii="黑体" w:eastAsia="黑体" w:hAnsi="黑体" w:cs="宋体"/>
          <w:kern w:val="0"/>
          <w:szCs w:val="21"/>
        </w:rPr>
        <w:t>4</w:t>
      </w:r>
      <w:r>
        <w:rPr>
          <w:rFonts w:ascii="黑体" w:eastAsia="黑体" w:hAnsi="黑体" w:cs="宋体" w:hint="eastAsia"/>
          <w:kern w:val="0"/>
          <w:szCs w:val="21"/>
        </w:rPr>
        <w:t>、机构名称：哈尔滨银行股份有限公司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95537/4006095537</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www.hrbb.com.cn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2</w:t>
      </w:r>
      <w:r>
        <w:rPr>
          <w:rFonts w:ascii="黑体" w:eastAsia="黑体" w:hAnsi="黑体" w:cs="宋体"/>
          <w:kern w:val="0"/>
          <w:szCs w:val="21"/>
        </w:rPr>
        <w:t>5</w:t>
      </w:r>
      <w:r>
        <w:rPr>
          <w:rFonts w:ascii="黑体" w:eastAsia="黑体" w:hAnsi="黑体" w:cs="宋体" w:hint="eastAsia"/>
          <w:kern w:val="0"/>
          <w:szCs w:val="21"/>
        </w:rPr>
        <w:t>、机构名称：珠海华润银行股份有限公司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4008800338</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www.crbank.com.cn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2</w:t>
      </w:r>
      <w:r>
        <w:rPr>
          <w:rFonts w:ascii="黑体" w:eastAsia="黑体" w:hAnsi="黑体" w:cs="宋体"/>
          <w:kern w:val="0"/>
          <w:szCs w:val="21"/>
        </w:rPr>
        <w:t>6</w:t>
      </w:r>
      <w:r>
        <w:rPr>
          <w:rFonts w:ascii="黑体" w:eastAsia="黑体" w:hAnsi="黑体" w:cs="宋体" w:hint="eastAsia"/>
          <w:kern w:val="0"/>
          <w:szCs w:val="21"/>
        </w:rPr>
        <w:t>、机构名称：宁夏银行股份有限公司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4008096558</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www.bankofnx.com.cn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2</w:t>
      </w:r>
      <w:r>
        <w:rPr>
          <w:rFonts w:ascii="黑体" w:eastAsia="黑体" w:hAnsi="黑体" w:cs="宋体"/>
          <w:kern w:val="0"/>
          <w:szCs w:val="21"/>
        </w:rPr>
        <w:t>7</w:t>
      </w:r>
      <w:r>
        <w:rPr>
          <w:rFonts w:ascii="黑体" w:eastAsia="黑体" w:hAnsi="黑体" w:cs="宋体" w:hint="eastAsia"/>
          <w:kern w:val="0"/>
          <w:szCs w:val="21"/>
        </w:rPr>
        <w:t>、机构名称：广东南粤银行股份有限公司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4000961818</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www.gdnybank.com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2</w:t>
      </w:r>
      <w:r>
        <w:rPr>
          <w:rFonts w:ascii="黑体" w:eastAsia="黑体" w:hAnsi="黑体" w:cs="宋体"/>
          <w:kern w:val="0"/>
          <w:szCs w:val="21"/>
        </w:rPr>
        <w:t>8</w:t>
      </w:r>
      <w:r>
        <w:rPr>
          <w:rFonts w:ascii="黑体" w:eastAsia="黑体" w:hAnsi="黑体" w:cs="宋体" w:hint="eastAsia"/>
          <w:kern w:val="0"/>
          <w:szCs w:val="21"/>
        </w:rPr>
        <w:t>、机构名称：贵阳银行股份有限公司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40011-9603</w:t>
      </w:r>
      <w:r>
        <w:rPr>
          <w:rFonts w:ascii="黑体" w:eastAsia="黑体" w:hAnsi="黑体" w:cs="宋体" w:hint="eastAsia"/>
          <w:kern w:val="0"/>
          <w:szCs w:val="21"/>
        </w:rPr>
        <w:t>3</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www.bankgy.cn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2</w:t>
      </w:r>
      <w:r>
        <w:rPr>
          <w:rFonts w:ascii="黑体" w:eastAsia="黑体" w:hAnsi="黑体" w:cs="宋体"/>
          <w:kern w:val="0"/>
          <w:szCs w:val="21"/>
        </w:rPr>
        <w:t>9</w:t>
      </w:r>
      <w:r>
        <w:rPr>
          <w:rFonts w:ascii="黑体" w:eastAsia="黑体" w:hAnsi="黑体" w:cs="宋体" w:hint="eastAsia"/>
          <w:kern w:val="0"/>
          <w:szCs w:val="21"/>
        </w:rPr>
        <w:t>、机构名称：青岛农村商业银行股份有限公司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96668</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www.qrcb.com.cn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3</w:t>
      </w:r>
      <w:r>
        <w:rPr>
          <w:rFonts w:ascii="黑体" w:eastAsia="黑体" w:hAnsi="黑体" w:cs="宋体"/>
          <w:kern w:val="0"/>
          <w:szCs w:val="21"/>
        </w:rPr>
        <w:t>0</w:t>
      </w:r>
      <w:r>
        <w:rPr>
          <w:rFonts w:ascii="黑体" w:eastAsia="黑体" w:hAnsi="黑体" w:cs="宋体" w:hint="eastAsia"/>
          <w:kern w:val="0"/>
          <w:szCs w:val="21"/>
        </w:rPr>
        <w:t>、机构名称：广州农村商业银行股份有限公司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95313</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www.grcbank.com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3</w:t>
      </w:r>
      <w:r>
        <w:rPr>
          <w:rFonts w:ascii="黑体" w:eastAsia="黑体" w:hAnsi="黑体" w:cs="宋体"/>
          <w:kern w:val="0"/>
          <w:szCs w:val="21"/>
        </w:rPr>
        <w:t>1</w:t>
      </w:r>
      <w:r>
        <w:rPr>
          <w:rFonts w:ascii="黑体" w:eastAsia="黑体" w:hAnsi="黑体" w:cs="宋体" w:hint="eastAsia"/>
          <w:kern w:val="0"/>
          <w:szCs w:val="21"/>
        </w:rPr>
        <w:t>、机构名称：内蒙古银行股份有限公司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kern w:val="0"/>
          <w:szCs w:val="21"/>
        </w:rPr>
        <w:t>40005-96019</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kern w:val="0"/>
          <w:szCs w:val="21"/>
        </w:rPr>
        <w:t>www.boimc.com.cn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32</w:t>
      </w:r>
      <w:r>
        <w:rPr>
          <w:rFonts w:ascii="黑体" w:eastAsia="黑体" w:hAnsi="黑体" w:cs="宋体" w:hint="eastAsia"/>
          <w:kern w:val="0"/>
          <w:szCs w:val="21"/>
        </w:rPr>
        <w:t>、机构名称：吉林银行股份有限公司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400-88-96666</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www.jlbank.com.cn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3</w:t>
      </w:r>
      <w:r>
        <w:rPr>
          <w:rFonts w:ascii="黑体" w:eastAsia="黑体" w:hAnsi="黑体" w:cs="宋体"/>
          <w:kern w:val="0"/>
          <w:szCs w:val="21"/>
        </w:rPr>
        <w:t>3</w:t>
      </w:r>
      <w:r>
        <w:rPr>
          <w:rFonts w:ascii="黑体" w:eastAsia="黑体" w:hAnsi="黑体" w:cs="宋体" w:hint="eastAsia"/>
          <w:kern w:val="0"/>
          <w:szCs w:val="21"/>
        </w:rPr>
        <w:t>、机构名称：台州银行股份有限公司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95371</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www.tzbank.com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3</w:t>
      </w:r>
      <w:r>
        <w:rPr>
          <w:rFonts w:ascii="黑体" w:eastAsia="黑体" w:hAnsi="黑体" w:cs="宋体"/>
          <w:kern w:val="0"/>
          <w:szCs w:val="21"/>
        </w:rPr>
        <w:t>4</w:t>
      </w:r>
      <w:r>
        <w:rPr>
          <w:rFonts w:ascii="黑体" w:eastAsia="黑体" w:hAnsi="黑体" w:cs="宋体" w:hint="eastAsia"/>
          <w:kern w:val="0"/>
          <w:szCs w:val="21"/>
        </w:rPr>
        <w:t>、机构名称：潍坊银行股份有限公司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400-61-96588</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www.bankwf.com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3</w:t>
      </w:r>
      <w:r>
        <w:rPr>
          <w:rFonts w:ascii="黑体" w:eastAsia="黑体" w:hAnsi="黑体" w:cs="宋体"/>
          <w:kern w:val="0"/>
          <w:szCs w:val="21"/>
        </w:rPr>
        <w:t>5</w:t>
      </w:r>
      <w:r>
        <w:rPr>
          <w:rFonts w:ascii="黑体" w:eastAsia="黑体" w:hAnsi="黑体" w:cs="宋体" w:hint="eastAsia"/>
          <w:kern w:val="0"/>
          <w:szCs w:val="21"/>
        </w:rPr>
        <w:t>、机构名称：广州银行股份有限公司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400-83-96699</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www.gzcb.com.cn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3</w:t>
      </w:r>
      <w:r>
        <w:rPr>
          <w:rFonts w:ascii="黑体" w:eastAsia="黑体" w:hAnsi="黑体" w:cs="宋体"/>
          <w:kern w:val="0"/>
          <w:szCs w:val="21"/>
        </w:rPr>
        <w:t>6</w:t>
      </w:r>
      <w:r>
        <w:rPr>
          <w:rFonts w:ascii="黑体" w:eastAsia="黑体" w:hAnsi="黑体" w:cs="宋体" w:hint="eastAsia"/>
          <w:kern w:val="0"/>
          <w:szCs w:val="21"/>
        </w:rPr>
        <w:t>、机构名称：莱商银行股份有限公司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40066-96629</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www.lsbankchina.com</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3</w:t>
      </w:r>
      <w:r>
        <w:rPr>
          <w:rFonts w:ascii="黑体" w:eastAsia="黑体" w:hAnsi="黑体" w:cs="宋体"/>
          <w:kern w:val="0"/>
          <w:szCs w:val="21"/>
        </w:rPr>
        <w:t>7</w:t>
      </w:r>
      <w:r>
        <w:rPr>
          <w:rFonts w:ascii="黑体" w:eastAsia="黑体" w:hAnsi="黑体" w:cs="宋体" w:hint="eastAsia"/>
          <w:kern w:val="0"/>
          <w:szCs w:val="21"/>
        </w:rPr>
        <w:t>、机构名称：昆仑银行股份有限公司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kern w:val="0"/>
          <w:szCs w:val="21"/>
        </w:rPr>
        <w:t>95379</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w:t>
      </w:r>
      <w:r>
        <w:rPr>
          <w:rFonts w:ascii="黑体" w:eastAsia="黑体" w:hAnsi="黑体" w:cs="宋体" w:hint="eastAsia"/>
          <w:kern w:val="0"/>
          <w:szCs w:val="21"/>
        </w:rPr>
        <w:t>网站：</w:t>
      </w:r>
      <w:r>
        <w:rPr>
          <w:rFonts w:ascii="黑体" w:eastAsia="黑体" w:hAnsi="黑体" w:cs="宋体"/>
          <w:kern w:val="0"/>
          <w:szCs w:val="21"/>
        </w:rPr>
        <w:t>www.klb.cn</w:t>
      </w:r>
    </w:p>
    <w:p w:rsidR="008B0A7D">
      <w:pPr>
        <w:autoSpaceDE w:val="0"/>
        <w:autoSpaceDN w:val="0"/>
        <w:adjustRightInd w:val="0"/>
        <w:ind w:left="420" w:leftChars="200"/>
        <w:jc w:val="left"/>
        <w:rPr>
          <w:rFonts w:ascii="黑体" w:eastAsia="黑体" w:hAnsi="黑体" w:cs="宋体"/>
          <w:kern w:val="0"/>
          <w:szCs w:val="21"/>
        </w:rPr>
      </w:pPr>
      <w:r>
        <w:rPr>
          <w:rFonts w:ascii="黑体" w:eastAsia="黑体" w:hAnsi="黑体" w:cs="宋体" w:hint="eastAsia"/>
          <w:kern w:val="0"/>
          <w:szCs w:val="21"/>
        </w:rPr>
        <w:t>3</w:t>
      </w:r>
      <w:r>
        <w:rPr>
          <w:rFonts w:ascii="黑体" w:eastAsia="黑体" w:hAnsi="黑体" w:cs="宋体" w:hint="eastAsia"/>
          <w:kern w:val="0"/>
          <w:szCs w:val="21"/>
        </w:rPr>
        <w:t>8</w:t>
      </w:r>
      <w:r>
        <w:rPr>
          <w:rFonts w:ascii="黑体" w:eastAsia="黑体" w:hAnsi="黑体" w:cs="宋体" w:hint="eastAsia"/>
          <w:kern w:val="0"/>
          <w:szCs w:val="21"/>
        </w:rPr>
        <w:t>、机构名称：沧州银行股份有限公司</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客服热线：</w:t>
      </w:r>
      <w:r>
        <w:rPr>
          <w:rFonts w:ascii="黑体" w:eastAsia="黑体" w:hAnsi="黑体" w:cs="宋体" w:hint="eastAsia"/>
          <w:kern w:val="0"/>
          <w:szCs w:val="21"/>
        </w:rPr>
        <w:t>0317-96328</w:t>
      </w:r>
    </w:p>
    <w:p w:rsidR="008B0A7D">
      <w:pPr>
        <w:autoSpaceDE w:val="0"/>
        <w:autoSpaceDN w:val="0"/>
        <w:adjustRightInd w:val="0"/>
        <w:ind w:firstLine="735" w:firstLineChars="350"/>
        <w:jc w:val="left"/>
        <w:rPr>
          <w:rFonts w:ascii="黑体" w:eastAsia="黑体" w:hAnsi="黑体" w:cs="宋体"/>
          <w:kern w:val="0"/>
          <w:szCs w:val="21"/>
        </w:rPr>
      </w:pPr>
      <w:r>
        <w:rPr>
          <w:rFonts w:ascii="黑体" w:eastAsia="黑体" w:hAnsi="黑体" w:cs="宋体" w:hint="eastAsia"/>
          <w:kern w:val="0"/>
          <w:szCs w:val="21"/>
        </w:rPr>
        <w:t>官方网站：</w:t>
      </w:r>
      <w:r>
        <w:rPr>
          <w:rFonts w:ascii="黑体" w:eastAsia="黑体" w:hAnsi="黑体" w:cs="宋体" w:hint="eastAsia"/>
          <w:kern w:val="0"/>
          <w:szCs w:val="21"/>
        </w:rPr>
        <w:t>www.bankcz.cn</w:t>
      </w:r>
    </w:p>
    <w:p w:rsidR="008B0A7D">
      <w:pPr>
        <w:autoSpaceDE w:val="0"/>
        <w:autoSpaceDN w:val="0"/>
        <w:adjustRightInd w:val="0"/>
        <w:ind w:firstLine="735" w:firstLineChars="350"/>
        <w:jc w:val="left"/>
        <w:rPr>
          <w:rFonts w:ascii="黑体" w:eastAsia="黑体" w:hAnsi="黑体" w:cs="宋体"/>
          <w:kern w:val="0"/>
          <w:szCs w:val="21"/>
        </w:rPr>
      </w:pP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hint="eastAsia"/>
          <w:kern w:val="0"/>
          <w:szCs w:val="21"/>
        </w:rPr>
        <w:t>销售机构主要职责：</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1</w:t>
      </w:r>
      <w:r>
        <w:rPr>
          <w:rFonts w:ascii="黑体" w:eastAsia="黑体" w:hAnsi="黑体" w:cs="宋体"/>
          <w:kern w:val="0"/>
          <w:szCs w:val="21"/>
        </w:rPr>
        <w:t>、严格遵循国家法律、法规及其他有关规定和理财产品销售文件的规定，办理本产品销售业务，勤勉、尽责地履行销售机构的职责；</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2</w:t>
      </w:r>
      <w:r>
        <w:rPr>
          <w:rFonts w:ascii="黑体" w:eastAsia="黑体" w:hAnsi="黑体" w:cs="宋体"/>
          <w:kern w:val="0"/>
          <w:szCs w:val="21"/>
        </w:rPr>
        <w:t>、应保证在履行理财产品销售文件过程中占有、控制的理财产品资产或理财产品份额持有人的资产与销售机构自身资产相互独立，分别建账，分别管理；</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3</w:t>
      </w:r>
      <w:r>
        <w:rPr>
          <w:rFonts w:ascii="黑体" w:eastAsia="黑体" w:hAnsi="黑体" w:cs="宋体"/>
          <w:kern w:val="0"/>
          <w:szCs w:val="21"/>
        </w:rPr>
        <w:t>、对投资者身份信息的真实性进行验证；</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4</w:t>
      </w:r>
      <w:r>
        <w:rPr>
          <w:rFonts w:ascii="黑体" w:eastAsia="黑体" w:hAnsi="黑体" w:cs="宋体"/>
          <w:kern w:val="0"/>
          <w:szCs w:val="21"/>
        </w:rPr>
        <w:t>、对</w:t>
      </w:r>
      <w:r>
        <w:rPr>
          <w:rFonts w:ascii="黑体" w:eastAsia="黑体" w:hAnsi="黑体" w:cs="宋体" w:hint="eastAsia"/>
          <w:kern w:val="0"/>
          <w:szCs w:val="21"/>
        </w:rPr>
        <w:t>普通</w:t>
      </w:r>
      <w:r>
        <w:rPr>
          <w:rFonts w:ascii="黑体" w:eastAsia="黑体" w:hAnsi="黑体" w:cs="宋体"/>
          <w:kern w:val="0"/>
          <w:szCs w:val="21"/>
        </w:rPr>
        <w:t>投资者严谨客观实施风险承受能力评估并持续跟进，根据投资者的风险承受能力销售不同风险等级的产品，把合适的理财产品销售给合适的投资者；</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5</w:t>
      </w:r>
      <w:r>
        <w:rPr>
          <w:rFonts w:ascii="黑体" w:eastAsia="黑体" w:hAnsi="黑体" w:cs="宋体"/>
          <w:kern w:val="0"/>
          <w:szCs w:val="21"/>
        </w:rPr>
        <w:t>、向投资者提供持续信息服务，包括但不限于以下方面</w:t>
      </w:r>
      <w:r>
        <w:rPr>
          <w:rFonts w:ascii="黑体" w:eastAsia="黑体" w:hAnsi="黑体" w:cs="宋体"/>
          <w:kern w:val="0"/>
          <w:szCs w:val="21"/>
        </w:rPr>
        <w:t>:</w:t>
      </w:r>
      <w:r>
        <w:rPr>
          <w:rFonts w:ascii="黑体" w:eastAsia="黑体" w:hAnsi="黑体" w:cs="宋体"/>
          <w:kern w:val="0"/>
          <w:szCs w:val="21"/>
        </w:rPr>
        <w:t>及时向投资者告知申赎理财产品的确认日期、确认份额和金额等信息；定期向投资者提供其所持有的理财产品基本信息；及时向投资者告知对其决策有重大影响的信息；</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6</w:t>
      </w:r>
      <w:r>
        <w:rPr>
          <w:rFonts w:ascii="黑体" w:eastAsia="黑体" w:hAnsi="黑体" w:cs="宋体"/>
          <w:kern w:val="0"/>
          <w:szCs w:val="21"/>
        </w:rPr>
        <w:t>、充分了解面向特定对象销售的理财产品的投资者信息，收集、核验投资者金融资产证明、收入证明或纳税凭证等材料；</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7</w:t>
      </w:r>
      <w:r>
        <w:rPr>
          <w:rFonts w:ascii="黑体" w:eastAsia="黑体" w:hAnsi="黑体" w:cs="宋体"/>
          <w:kern w:val="0"/>
          <w:szCs w:val="21"/>
        </w:rPr>
        <w:t>、根据反洗钱、反恐怖融资及非居民金融账户涉税信息尽职调查等相关法律法规要求识别客户身份；</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8</w:t>
      </w:r>
      <w:r>
        <w:rPr>
          <w:rFonts w:ascii="黑体" w:eastAsia="黑体" w:hAnsi="黑体" w:cs="宋体"/>
          <w:kern w:val="0"/>
          <w:szCs w:val="21"/>
        </w:rPr>
        <w:t>、按照法律法规规定、理财产品销售文件约定办理理财产品的认（申）购、赎回，归集、划转理财产品销售结算资金，确保理财产品销售结算资金安全、及时划付。通过投资者指定账户办理理财产品认（申）购和赎回的款项收付，并将赎回、分红及认（申）购不成功的相应款项划入投资者指定账户，制作、留存款项收付的有效凭证；</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9</w:t>
      </w:r>
      <w:r>
        <w:rPr>
          <w:rFonts w:ascii="黑体" w:eastAsia="黑体" w:hAnsi="黑体" w:cs="宋体"/>
          <w:kern w:val="0"/>
          <w:szCs w:val="21"/>
        </w:rPr>
        <w:t>、完整记录和保存销售业务活动信息，确保记录信息全面、准确和不可篡改；</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10</w:t>
      </w:r>
      <w:r>
        <w:rPr>
          <w:rFonts w:ascii="黑体" w:eastAsia="黑体" w:hAnsi="黑体" w:cs="宋体"/>
          <w:kern w:val="0"/>
          <w:szCs w:val="21"/>
        </w:rPr>
        <w:t>、根据有关法律法规、监管规定和理财产品销售文件</w:t>
      </w:r>
      <w:r>
        <w:rPr>
          <w:rFonts w:ascii="黑体" w:eastAsia="黑体" w:hAnsi="黑体" w:cs="宋体"/>
          <w:kern w:val="0"/>
          <w:szCs w:val="21"/>
        </w:rPr>
        <w:t>的要求，及时、充分披露本产品的相关信息；</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11</w:t>
      </w:r>
      <w:r>
        <w:rPr>
          <w:rFonts w:ascii="黑体" w:eastAsia="黑体" w:hAnsi="黑体" w:cs="宋体"/>
          <w:kern w:val="0"/>
          <w:szCs w:val="21"/>
        </w:rPr>
        <w:t>、建立健全档案管理制度，妥善保管投资者理财产品销售相关资料，保管年限不得低于法规规定的年限；</w:t>
      </w:r>
    </w:p>
    <w:p w:rsidR="008B0A7D">
      <w:pPr>
        <w:autoSpaceDE w:val="0"/>
        <w:autoSpaceDN w:val="0"/>
        <w:adjustRightInd w:val="0"/>
        <w:ind w:firstLine="420" w:firstLineChars="200"/>
        <w:jc w:val="left"/>
        <w:rPr>
          <w:rFonts w:ascii="黑体" w:eastAsia="黑体" w:hAnsi="黑体" w:cs="宋体"/>
          <w:kern w:val="0"/>
          <w:szCs w:val="21"/>
        </w:rPr>
      </w:pPr>
      <w:r>
        <w:rPr>
          <w:rFonts w:ascii="黑体" w:eastAsia="黑体" w:hAnsi="黑体" w:cs="宋体"/>
          <w:kern w:val="0"/>
          <w:szCs w:val="21"/>
        </w:rPr>
        <w:t>12</w:t>
      </w:r>
      <w:r>
        <w:rPr>
          <w:rFonts w:ascii="黑体" w:eastAsia="黑体" w:hAnsi="黑体" w:cs="宋体"/>
          <w:kern w:val="0"/>
          <w:szCs w:val="21"/>
        </w:rPr>
        <w:t>、法律、法规、国务院银行业监督管理机构规定、理财产品销售文件约定的其他职责。</w:t>
      </w:r>
    </w:p>
    <w:p w:rsidR="008B0A7D">
      <w:pPr>
        <w:autoSpaceDE w:val="0"/>
        <w:autoSpaceDN w:val="0"/>
        <w:adjustRightInd w:val="0"/>
        <w:jc w:val="left"/>
        <w:rPr>
          <w:rFonts w:ascii="黑体" w:eastAsia="黑体" w:hAnsi="黑体" w:cs="宋体"/>
          <w:kern w:val="0"/>
          <w:szCs w:val="21"/>
        </w:rPr>
      </w:pPr>
    </w:p>
    <w:p w:rsidR="008B0A7D">
      <w:pPr>
        <w:autoSpaceDE w:val="0"/>
        <w:autoSpaceDN w:val="0"/>
        <w:adjustRightInd w:val="0"/>
        <w:jc w:val="left"/>
        <w:rPr>
          <w:rFonts w:ascii="黑体" w:eastAsia="黑体" w:hAnsi="黑体" w:cs="宋体"/>
          <w:b/>
          <w:kern w:val="0"/>
          <w:szCs w:val="21"/>
        </w:rPr>
      </w:pPr>
      <w:r>
        <w:rPr>
          <w:rFonts w:ascii="黑体" w:eastAsia="黑体" w:hAnsi="黑体" w:cs="宋体" w:hint="eastAsia"/>
          <w:b/>
          <w:kern w:val="0"/>
          <w:szCs w:val="21"/>
        </w:rPr>
        <w:t>九、投资合作机构</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投资合作机构的主要职责为进行受托资金的投资管理，根据合同约定从事受托投资或提供投资顾问等服务，具体职责以产品管理人与投资合作机构签署的合同为准</w:t>
      </w:r>
      <w:bookmarkEnd w:id="13"/>
      <w:r>
        <w:rPr>
          <w:rFonts w:ascii="黑体" w:eastAsia="黑体" w:hAnsi="黑体" w:cs="黑体" w:hint="eastAsia"/>
          <w:kern w:val="0"/>
          <w:szCs w:val="21"/>
        </w:rPr>
        <w:t>。</w:t>
      </w:r>
    </w:p>
    <w:p w:rsidR="008B0A7D">
      <w:pPr>
        <w:autoSpaceDE w:val="0"/>
        <w:autoSpaceDN w:val="0"/>
        <w:adjustRightInd w:val="0"/>
        <w:ind w:firstLine="330" w:firstLineChars="157"/>
        <w:jc w:val="left"/>
        <w:rPr>
          <w:rFonts w:ascii="黑体" w:eastAsia="黑体" w:hAnsi="黑体" w:cs="宋体"/>
          <w:kern w:val="0"/>
          <w:szCs w:val="21"/>
        </w:rPr>
      </w:pPr>
    </w:p>
    <w:p w:rsidR="008B0A7D">
      <w:pPr>
        <w:autoSpaceDE w:val="0"/>
        <w:autoSpaceDN w:val="0"/>
        <w:adjustRightInd w:val="0"/>
        <w:jc w:val="left"/>
        <w:rPr>
          <w:rFonts w:ascii="黑体" w:eastAsia="黑体" w:hAnsi="黑体" w:cs="宋体"/>
          <w:b/>
          <w:kern w:val="0"/>
          <w:szCs w:val="21"/>
        </w:rPr>
      </w:pPr>
      <w:r>
        <w:rPr>
          <w:rFonts w:ascii="黑体" w:eastAsia="黑体" w:hAnsi="黑体" w:cs="宋体" w:hint="eastAsia"/>
          <w:b/>
          <w:kern w:val="0"/>
          <w:szCs w:val="21"/>
        </w:rPr>
        <w:t>十、信息披露</w:t>
      </w:r>
    </w:p>
    <w:p w:rsidR="008B0A7D">
      <w:pPr>
        <w:autoSpaceDE w:val="0"/>
        <w:autoSpaceDN w:val="0"/>
        <w:adjustRightInd w:val="0"/>
        <w:jc w:val="left"/>
        <w:rPr>
          <w:rFonts w:ascii="黑体" w:eastAsia="黑体" w:hAnsi="黑体" w:cs="宋体"/>
          <w:kern w:val="0"/>
          <w:szCs w:val="21"/>
        </w:rPr>
      </w:pPr>
      <w:r>
        <w:rPr>
          <w:rFonts w:ascii="黑体" w:eastAsia="黑体" w:hAnsi="黑体" w:cs="宋体" w:hint="eastAsia"/>
          <w:kern w:val="0"/>
          <w:szCs w:val="21"/>
        </w:rPr>
        <w:t>（一</w:t>
      </w:r>
      <w:r>
        <w:rPr>
          <w:rFonts w:ascii="黑体" w:eastAsia="黑体" w:hAnsi="黑体" w:cs="宋体"/>
          <w:kern w:val="0"/>
          <w:szCs w:val="21"/>
        </w:rPr>
        <w:t>）信息披露内容</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产品管理人将于产品募集期间、存续期间和终止时，通过宁银理财官网（</w:t>
      </w:r>
      <w:r>
        <w:rPr>
          <w:rFonts w:ascii="黑体" w:eastAsia="黑体" w:hAnsi="黑体" w:cs="黑体"/>
          <w:kern w:val="0"/>
          <w:szCs w:val="21"/>
        </w:rPr>
        <w:t>www.wmbnb.co</w:t>
      </w:r>
      <w:r>
        <w:rPr>
          <w:rFonts w:ascii="黑体" w:eastAsia="黑体" w:hAnsi="黑体" w:cs="黑体"/>
          <w:kern w:val="0"/>
          <w:szCs w:val="21"/>
        </w:rPr>
        <w:t>m)</w:t>
      </w:r>
      <w:r>
        <w:rPr>
          <w:rFonts w:ascii="黑体" w:eastAsia="黑体" w:hAnsi="黑体" w:cs="黑体"/>
          <w:kern w:val="0"/>
          <w:szCs w:val="21"/>
        </w:rPr>
        <w:t>、</w:t>
      </w:r>
      <w:r>
        <w:rPr>
          <w:rFonts w:ascii="黑体" w:eastAsia="黑体" w:hAnsi="黑体" w:cs="黑体" w:hint="eastAsia"/>
          <w:kern w:val="0"/>
          <w:szCs w:val="21"/>
        </w:rPr>
        <w:t>宁银理财直销</w:t>
      </w:r>
      <w:r>
        <w:rPr>
          <w:rFonts w:ascii="黑体" w:eastAsia="黑体" w:hAnsi="黑体" w:cs="黑体"/>
          <w:kern w:val="0"/>
          <w:szCs w:val="21"/>
        </w:rPr>
        <w:t>app</w:t>
      </w:r>
      <w:r>
        <w:rPr>
          <w:rFonts w:ascii="黑体" w:eastAsia="黑体" w:hAnsi="黑体" w:cs="黑体"/>
          <w:kern w:val="0"/>
          <w:szCs w:val="21"/>
        </w:rPr>
        <w:t>、</w:t>
      </w:r>
      <w:r>
        <w:rPr>
          <w:rFonts w:ascii="黑体" w:eastAsia="黑体" w:hAnsi="黑体" w:cs="黑体" w:hint="eastAsia"/>
          <w:kern w:val="0"/>
          <w:szCs w:val="21"/>
        </w:rPr>
        <w:t>宁银理财相关产品代理销售机构官方渠道或其他适当的方式披露以下产品信息：</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1</w:t>
      </w:r>
      <w:r>
        <w:rPr>
          <w:rFonts w:ascii="黑体" w:eastAsia="黑体" w:hAnsi="黑体" w:cs="黑体"/>
          <w:kern w:val="0"/>
          <w:szCs w:val="21"/>
        </w:rPr>
        <w:t>、</w:t>
      </w:r>
      <w:r>
        <w:rPr>
          <w:rFonts w:ascii="黑体" w:eastAsia="黑体" w:hAnsi="黑体" w:cs="黑体" w:hint="eastAsia"/>
          <w:kern w:val="0"/>
          <w:szCs w:val="21"/>
        </w:rPr>
        <w:t>理财产品销售文件，包括</w:t>
      </w:r>
      <w:r>
        <w:rPr>
          <w:rFonts w:ascii="黑体" w:eastAsia="黑体" w:hAnsi="黑体" w:cs="宋体" w:hint="eastAsia"/>
          <w:kern w:val="0"/>
          <w:szCs w:val="21"/>
        </w:rPr>
        <w:t>《理财产品说明书》、《风险揭示书》、</w:t>
      </w:r>
      <w:r>
        <w:rPr>
          <w:rFonts w:ascii="黑体" w:eastAsia="黑体" w:hAnsi="黑体" w:cs="黑体" w:hint="eastAsia"/>
          <w:kern w:val="0"/>
          <w:szCs w:val="21"/>
        </w:rPr>
        <w:t>《销售（代理销售）协议书》</w:t>
      </w:r>
      <w:r>
        <w:rPr>
          <w:rFonts w:ascii="黑体" w:eastAsia="黑体" w:hAnsi="黑体" w:cs="宋体" w:hint="eastAsia"/>
          <w:kern w:val="0"/>
          <w:szCs w:val="21"/>
        </w:rPr>
        <w:t>、《投资协议书》</w:t>
      </w:r>
      <w:r>
        <w:rPr>
          <w:rFonts w:ascii="黑体" w:eastAsia="黑体" w:hAnsi="黑体" w:cs="黑体" w:hint="eastAsia"/>
          <w:kern w:val="0"/>
          <w:szCs w:val="21"/>
        </w:rPr>
        <w:t>和《投资者权益须知》等有关文件，以及对以上文件的有效修改或补充；</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2</w:t>
      </w:r>
      <w:r>
        <w:rPr>
          <w:rFonts w:ascii="黑体" w:eastAsia="黑体" w:hAnsi="黑体" w:cs="黑体"/>
          <w:kern w:val="0"/>
          <w:szCs w:val="21"/>
        </w:rPr>
        <w:t>、发行公告，包括</w:t>
      </w:r>
      <w:r>
        <w:rPr>
          <w:rFonts w:ascii="黑体" w:eastAsia="黑体" w:hAnsi="黑体" w:cs="黑体" w:hint="eastAsia"/>
          <w:kern w:val="0"/>
          <w:szCs w:val="21"/>
        </w:rPr>
        <w:t>本产品成立日期和募集规模等信息，产品管理人将在本理财产品成立后</w:t>
      </w:r>
      <w:r>
        <w:rPr>
          <w:rFonts w:ascii="黑体" w:eastAsia="黑体" w:hAnsi="黑体" w:cs="黑体"/>
          <w:kern w:val="0"/>
          <w:szCs w:val="21"/>
        </w:rPr>
        <w:t>5</w:t>
      </w:r>
      <w:r>
        <w:rPr>
          <w:rFonts w:ascii="黑体" w:eastAsia="黑体" w:hAnsi="黑体" w:cs="黑体"/>
          <w:kern w:val="0"/>
          <w:szCs w:val="21"/>
        </w:rPr>
        <w:t>个工作日内披露产品发行公告</w:t>
      </w:r>
      <w:r>
        <w:rPr>
          <w:rFonts w:ascii="黑体" w:eastAsia="黑体" w:hAnsi="黑体" w:cs="黑体" w:hint="eastAsia"/>
          <w:kern w:val="0"/>
          <w:szCs w:val="21"/>
        </w:rPr>
        <w:t>；</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3</w:t>
      </w:r>
      <w:r>
        <w:rPr>
          <w:rFonts w:ascii="黑体" w:eastAsia="黑体" w:hAnsi="黑体" w:cs="黑体"/>
          <w:kern w:val="0"/>
          <w:szCs w:val="21"/>
        </w:rPr>
        <w:t>、定期报告，包括</w:t>
      </w:r>
      <w:r>
        <w:rPr>
          <w:rFonts w:ascii="黑体" w:eastAsia="黑体" w:hAnsi="黑体" w:cs="黑体" w:hint="eastAsia"/>
          <w:kern w:val="0"/>
          <w:szCs w:val="21"/>
        </w:rPr>
        <w:t>本产品的存续规模、收益表现，并分别列示直接和间接投资的资产种类、投资比例、投资组合的流动性风险分析，以及前十项资产具体名称、规模和比例等信息。</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hint="eastAsia"/>
          <w:kern w:val="0"/>
          <w:szCs w:val="21"/>
        </w:rPr>
        <w:t>产品管理人将在每个季度结束之日起</w:t>
      </w:r>
      <w:r>
        <w:rPr>
          <w:rFonts w:ascii="黑体" w:eastAsia="黑体" w:hAnsi="黑体" w:cs="黑体"/>
          <w:kern w:val="0"/>
          <w:szCs w:val="21"/>
        </w:rPr>
        <w:t>15</w:t>
      </w:r>
      <w:r>
        <w:rPr>
          <w:rFonts w:ascii="黑体" w:eastAsia="黑体" w:hAnsi="黑体" w:cs="黑体"/>
          <w:kern w:val="0"/>
          <w:szCs w:val="21"/>
        </w:rPr>
        <w:t>个工作日内、上半年结束之日起</w:t>
      </w:r>
      <w:r>
        <w:rPr>
          <w:rFonts w:ascii="黑体" w:eastAsia="黑体" w:hAnsi="黑体" w:cs="黑体"/>
          <w:kern w:val="0"/>
          <w:szCs w:val="21"/>
        </w:rPr>
        <w:t>60</w:t>
      </w:r>
      <w:r>
        <w:rPr>
          <w:rFonts w:ascii="黑体" w:eastAsia="黑体" w:hAnsi="黑体" w:cs="黑体"/>
          <w:kern w:val="0"/>
          <w:szCs w:val="21"/>
        </w:rPr>
        <w:t>个工作日内、每年结束之日起</w:t>
      </w:r>
      <w:r>
        <w:rPr>
          <w:rFonts w:ascii="黑体" w:eastAsia="黑体" w:hAnsi="黑体" w:cs="黑体"/>
          <w:kern w:val="0"/>
          <w:szCs w:val="21"/>
        </w:rPr>
        <w:t>90</w:t>
      </w:r>
      <w:r>
        <w:rPr>
          <w:rFonts w:ascii="黑体" w:eastAsia="黑体" w:hAnsi="黑体" w:cs="黑体"/>
          <w:kern w:val="0"/>
          <w:szCs w:val="21"/>
        </w:rPr>
        <w:t>个工作日内披露本理财产品的季度、半年</w:t>
      </w:r>
      <w:r>
        <w:rPr>
          <w:rFonts w:ascii="黑体" w:eastAsia="黑体" w:hAnsi="黑体" w:cs="黑体" w:hint="eastAsia"/>
          <w:kern w:val="0"/>
          <w:szCs w:val="21"/>
        </w:rPr>
        <w:t>度和年度报告，如果本理财产品成立不足</w:t>
      </w:r>
      <w:r>
        <w:rPr>
          <w:rFonts w:ascii="黑体" w:eastAsia="黑体" w:hAnsi="黑体" w:cs="黑体"/>
          <w:kern w:val="0"/>
          <w:szCs w:val="21"/>
        </w:rPr>
        <w:t>90</w:t>
      </w:r>
      <w:r>
        <w:rPr>
          <w:rFonts w:ascii="黑体" w:eastAsia="黑体" w:hAnsi="黑体" w:cs="黑体"/>
          <w:kern w:val="0"/>
          <w:szCs w:val="21"/>
        </w:rPr>
        <w:t>个工作日或者剩余存续期不超过</w:t>
      </w:r>
      <w:r>
        <w:rPr>
          <w:rFonts w:ascii="黑体" w:eastAsia="黑体" w:hAnsi="黑体" w:cs="黑体"/>
          <w:kern w:val="0"/>
          <w:szCs w:val="21"/>
        </w:rPr>
        <w:t>90</w:t>
      </w:r>
      <w:r>
        <w:rPr>
          <w:rFonts w:ascii="黑体" w:eastAsia="黑体" w:hAnsi="黑体" w:cs="黑体"/>
          <w:kern w:val="0"/>
          <w:szCs w:val="21"/>
        </w:rPr>
        <w:t>个工作日的，产品管理人可以不编制产品当期的季度、半年</w:t>
      </w:r>
      <w:r>
        <w:rPr>
          <w:rFonts w:ascii="黑体" w:eastAsia="黑体" w:hAnsi="黑体" w:cs="黑体" w:hint="eastAsia"/>
          <w:kern w:val="0"/>
          <w:szCs w:val="21"/>
        </w:rPr>
        <w:t>度和年度报告。</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4</w:t>
      </w:r>
      <w:r>
        <w:rPr>
          <w:rFonts w:ascii="黑体" w:eastAsia="黑体" w:hAnsi="黑体" w:cs="黑体"/>
          <w:kern w:val="0"/>
          <w:szCs w:val="21"/>
        </w:rPr>
        <w:t>、到期公告，包括</w:t>
      </w:r>
      <w:r>
        <w:rPr>
          <w:rFonts w:ascii="黑体" w:eastAsia="黑体" w:hAnsi="黑体" w:cs="黑体" w:hint="eastAsia"/>
          <w:kern w:val="0"/>
          <w:szCs w:val="21"/>
        </w:rPr>
        <w:t>本产品的存续期限、终止日期、收费情况和收益分配情况等信息，产品管理人将在本理</w:t>
      </w:r>
      <w:r>
        <w:rPr>
          <w:rFonts w:ascii="黑体" w:eastAsia="黑体" w:hAnsi="黑体" w:cs="黑体" w:hint="eastAsia"/>
          <w:kern w:val="0"/>
          <w:szCs w:val="21"/>
        </w:rPr>
        <w:t>财产品终止后</w:t>
      </w:r>
      <w:r>
        <w:rPr>
          <w:rFonts w:ascii="黑体" w:eastAsia="黑体" w:hAnsi="黑体" w:cs="黑体"/>
          <w:kern w:val="0"/>
          <w:szCs w:val="21"/>
        </w:rPr>
        <w:t>5</w:t>
      </w:r>
      <w:r>
        <w:rPr>
          <w:rFonts w:ascii="黑体" w:eastAsia="黑体" w:hAnsi="黑体" w:cs="黑体"/>
          <w:kern w:val="0"/>
          <w:szCs w:val="21"/>
        </w:rPr>
        <w:t>个工作日内披露产品到期公告</w:t>
      </w:r>
      <w:r>
        <w:rPr>
          <w:rFonts w:ascii="黑体" w:eastAsia="黑体" w:hAnsi="黑体" w:cs="黑体" w:hint="eastAsia"/>
          <w:kern w:val="0"/>
          <w:szCs w:val="21"/>
        </w:rPr>
        <w:t>；</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5</w:t>
      </w:r>
      <w:r>
        <w:rPr>
          <w:rFonts w:ascii="黑体" w:eastAsia="黑体" w:hAnsi="黑体" w:cs="黑体"/>
          <w:kern w:val="0"/>
          <w:szCs w:val="21"/>
        </w:rPr>
        <w:t>、重大事项公告；</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6</w:t>
      </w:r>
      <w:r>
        <w:rPr>
          <w:rFonts w:ascii="黑体" w:eastAsia="黑体" w:hAnsi="黑体" w:cs="黑体"/>
          <w:kern w:val="0"/>
          <w:szCs w:val="21"/>
        </w:rPr>
        <w:t>、临时性信息披露；</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7</w:t>
      </w:r>
      <w:r>
        <w:rPr>
          <w:rFonts w:ascii="黑体" w:eastAsia="黑体" w:hAnsi="黑体" w:cs="黑体"/>
          <w:kern w:val="0"/>
          <w:szCs w:val="21"/>
        </w:rPr>
        <w:t>、国务院银行业监督管理机构规定的其他信息；</w:t>
      </w:r>
    </w:p>
    <w:p w:rsidR="008B0A7D">
      <w:pPr>
        <w:autoSpaceDE w:val="0"/>
        <w:autoSpaceDN w:val="0"/>
        <w:adjustRightInd w:val="0"/>
        <w:ind w:firstLine="420" w:firstLineChars="200"/>
        <w:jc w:val="left"/>
        <w:rPr>
          <w:rFonts w:ascii="黑体" w:eastAsia="黑体" w:hAnsi="黑体" w:cs="黑体"/>
          <w:kern w:val="0"/>
          <w:szCs w:val="21"/>
        </w:rPr>
      </w:pPr>
      <w:r>
        <w:rPr>
          <w:rFonts w:ascii="黑体" w:eastAsia="黑体" w:hAnsi="黑体" w:cs="黑体"/>
          <w:kern w:val="0"/>
          <w:szCs w:val="21"/>
        </w:rPr>
        <w:t>8</w:t>
      </w:r>
      <w:r>
        <w:rPr>
          <w:rFonts w:ascii="黑体" w:eastAsia="黑体" w:hAnsi="黑体" w:cs="黑体"/>
          <w:kern w:val="0"/>
          <w:szCs w:val="21"/>
        </w:rPr>
        <w:t>、</w:t>
      </w:r>
      <w:r>
        <w:rPr>
          <w:rFonts w:ascii="黑体" w:eastAsia="黑体" w:hAnsi="黑体" w:cs="黑体" w:hint="eastAsia"/>
          <w:kern w:val="0"/>
          <w:szCs w:val="21"/>
        </w:rPr>
        <w:t>产品管理人认为需要披露的其他信息。</w:t>
      </w:r>
    </w:p>
    <w:p w:rsidR="008B0A7D">
      <w:pPr>
        <w:autoSpaceDE w:val="0"/>
        <w:autoSpaceDN w:val="0"/>
        <w:adjustRightInd w:val="0"/>
        <w:jc w:val="left"/>
        <w:rPr>
          <w:rFonts w:ascii="黑体" w:eastAsia="黑体" w:hAnsi="黑体" w:cs="宋体"/>
          <w:b/>
          <w:kern w:val="0"/>
          <w:szCs w:val="21"/>
        </w:rPr>
      </w:pPr>
      <w:r>
        <w:rPr>
          <w:rFonts w:ascii="黑体" w:eastAsia="黑体" w:hAnsi="黑体" w:cs="宋体" w:hint="eastAsia"/>
          <w:b/>
          <w:kern w:val="0"/>
          <w:szCs w:val="21"/>
        </w:rPr>
        <w:t>（二</w:t>
      </w:r>
      <w:r>
        <w:rPr>
          <w:rFonts w:ascii="黑体" w:eastAsia="黑体" w:hAnsi="黑体" w:cs="宋体"/>
          <w:b/>
          <w:kern w:val="0"/>
          <w:szCs w:val="21"/>
        </w:rPr>
        <w:t>）</w:t>
      </w:r>
      <w:r>
        <w:rPr>
          <w:rFonts w:ascii="黑体" w:eastAsia="黑体" w:hAnsi="黑体" w:cs="宋体" w:hint="eastAsia"/>
          <w:b/>
          <w:kern w:val="0"/>
          <w:szCs w:val="21"/>
        </w:rPr>
        <w:t>投资者同意，产品管理人或销售机构通过</w:t>
      </w:r>
      <w:r>
        <w:rPr>
          <w:rFonts w:ascii="黑体" w:eastAsia="黑体" w:hAnsi="黑体" w:cs="宋体"/>
          <w:b/>
          <w:kern w:val="0"/>
          <w:szCs w:val="21"/>
        </w:rPr>
        <w:t>上述</w:t>
      </w:r>
      <w:r>
        <w:rPr>
          <w:rFonts w:ascii="黑体" w:eastAsia="黑体" w:hAnsi="黑体" w:cs="宋体" w:hint="eastAsia"/>
          <w:b/>
          <w:kern w:val="0"/>
          <w:szCs w:val="21"/>
        </w:rPr>
        <w:t>方式及</w:t>
      </w:r>
      <w:r>
        <w:rPr>
          <w:rFonts w:ascii="黑体" w:eastAsia="黑体" w:hAnsi="黑体" w:cs="宋体"/>
          <w:b/>
          <w:kern w:val="0"/>
          <w:szCs w:val="21"/>
        </w:rPr>
        <w:t>频率</w:t>
      </w:r>
      <w:r>
        <w:rPr>
          <w:rFonts w:ascii="黑体" w:eastAsia="黑体" w:hAnsi="黑体" w:cs="宋体" w:hint="eastAsia"/>
          <w:b/>
          <w:kern w:val="0"/>
          <w:szCs w:val="21"/>
        </w:rPr>
        <w:t>进行信息披露，</w:t>
      </w:r>
      <w:r>
        <w:rPr>
          <w:rFonts w:ascii="黑体" w:eastAsia="黑体" w:hAnsi="黑体" w:cs="宋体"/>
          <w:b/>
          <w:kern w:val="0"/>
          <w:szCs w:val="21"/>
        </w:rPr>
        <w:t>视为完全履行信息</w:t>
      </w:r>
      <w:r>
        <w:rPr>
          <w:rFonts w:ascii="黑体" w:eastAsia="黑体" w:hAnsi="黑体" w:cs="宋体" w:hint="eastAsia"/>
          <w:b/>
          <w:kern w:val="0"/>
          <w:szCs w:val="21"/>
        </w:rPr>
        <w:t>披露</w:t>
      </w:r>
      <w:r>
        <w:rPr>
          <w:rFonts w:ascii="黑体" w:eastAsia="黑体" w:hAnsi="黑体" w:cs="宋体"/>
          <w:b/>
          <w:kern w:val="0"/>
          <w:szCs w:val="21"/>
        </w:rPr>
        <w:t>义务</w:t>
      </w:r>
      <w:r>
        <w:rPr>
          <w:rFonts w:ascii="黑体" w:eastAsia="黑体" w:hAnsi="黑体" w:cs="宋体" w:hint="eastAsia"/>
          <w:b/>
          <w:kern w:val="0"/>
          <w:szCs w:val="21"/>
        </w:rPr>
        <w:t>，如果投资者未及时查询，或由于通讯故障、非产品管理人原因的系统故障以及其他不可抗力等因素的影响</w:t>
      </w:r>
      <w:r>
        <w:rPr>
          <w:rFonts w:ascii="黑体" w:eastAsia="黑体" w:hAnsi="黑体" w:cs="宋体"/>
          <w:b/>
          <w:kern w:val="0"/>
          <w:szCs w:val="21"/>
        </w:rPr>
        <w:t>,</w:t>
      </w:r>
      <w:r>
        <w:rPr>
          <w:rFonts w:ascii="黑体" w:eastAsia="黑体" w:hAnsi="黑体" w:cs="宋体"/>
          <w:b/>
          <w:kern w:val="0"/>
          <w:szCs w:val="21"/>
        </w:rPr>
        <w:t>致使</w:t>
      </w:r>
      <w:r>
        <w:rPr>
          <w:rFonts w:ascii="黑体" w:eastAsia="黑体" w:hAnsi="黑体" w:cs="宋体" w:hint="eastAsia"/>
          <w:b/>
          <w:kern w:val="0"/>
          <w:szCs w:val="21"/>
        </w:rPr>
        <w:t>投资者无法及时了解产品信息，因此而产生的（包括但不限于因未及时获知信息而错过资金使用和再投资的机会等）全部责任和风险，由投资者自行承担。</w:t>
      </w:r>
    </w:p>
    <w:p w:rsidR="008B0A7D">
      <w:pPr>
        <w:autoSpaceDE w:val="0"/>
        <w:autoSpaceDN w:val="0"/>
        <w:adjustRightInd w:val="0"/>
        <w:ind w:firstLine="330" w:firstLineChars="157"/>
        <w:jc w:val="left"/>
        <w:rPr>
          <w:rFonts w:ascii="黑体" w:eastAsia="黑体" w:hAnsi="黑体" w:cs="宋体"/>
          <w:kern w:val="0"/>
          <w:szCs w:val="21"/>
        </w:rPr>
      </w:pPr>
    </w:p>
    <w:p w:rsidR="008B0A7D">
      <w:pPr>
        <w:autoSpaceDE w:val="0"/>
        <w:autoSpaceDN w:val="0"/>
        <w:adjustRightInd w:val="0"/>
        <w:jc w:val="left"/>
        <w:rPr>
          <w:rFonts w:ascii="黑体" w:eastAsia="黑体" w:hAnsi="黑体" w:cs="黑体"/>
          <w:b/>
          <w:kern w:val="0"/>
          <w:szCs w:val="21"/>
        </w:rPr>
      </w:pPr>
      <w:r>
        <w:rPr>
          <w:rFonts w:ascii="黑体" w:eastAsia="黑体" w:hAnsi="黑体" w:cs="黑体" w:hint="eastAsia"/>
          <w:b/>
          <w:kern w:val="0"/>
          <w:szCs w:val="21"/>
        </w:rPr>
        <w:t>十一、特别提示</w:t>
      </w:r>
    </w:p>
    <w:p w:rsidR="008B0A7D">
      <w:pPr>
        <w:autoSpaceDE w:val="0"/>
        <w:autoSpaceDN w:val="0"/>
        <w:adjustRightInd w:val="0"/>
        <w:ind w:firstLine="420" w:firstLineChars="200"/>
        <w:jc w:val="left"/>
        <w:rPr>
          <w:rFonts w:ascii="黑体" w:eastAsia="黑体" w:hAnsi="黑体" w:cs="宋体"/>
          <w:b/>
          <w:kern w:val="0"/>
          <w:szCs w:val="21"/>
        </w:rPr>
      </w:pPr>
      <w:r>
        <w:rPr>
          <w:rFonts w:ascii="黑体" w:eastAsia="黑体" w:hAnsi="黑体" w:cs="宋体"/>
          <w:b/>
          <w:kern w:val="0"/>
          <w:szCs w:val="21"/>
        </w:rPr>
        <w:t>1</w:t>
      </w:r>
      <w:r>
        <w:rPr>
          <w:rFonts w:ascii="黑体" w:eastAsia="黑体" w:hAnsi="黑体" w:cs="宋体"/>
          <w:b/>
          <w:kern w:val="0"/>
          <w:szCs w:val="21"/>
        </w:rPr>
        <w:t>、</w:t>
      </w:r>
      <w:r>
        <w:rPr>
          <w:rFonts w:ascii="黑体" w:eastAsia="黑体" w:hAnsi="黑体" w:cs="宋体" w:hint="eastAsia"/>
          <w:b/>
          <w:kern w:val="0"/>
          <w:szCs w:val="21"/>
        </w:rPr>
        <w:t>本产品业绩比较基准、产品的过往业绩仅供投资者参考，并不作为产品管理人向投资者支付本产品本金</w:t>
      </w:r>
      <w:r>
        <w:rPr>
          <w:rFonts w:ascii="黑体" w:eastAsia="黑体" w:hAnsi="黑体" w:cs="宋体"/>
          <w:b/>
          <w:kern w:val="0"/>
          <w:szCs w:val="21"/>
        </w:rPr>
        <w:t>或</w:t>
      </w:r>
      <w:r>
        <w:rPr>
          <w:rFonts w:ascii="黑体" w:eastAsia="黑体" w:hAnsi="黑体" w:cs="宋体" w:hint="eastAsia"/>
          <w:b/>
          <w:kern w:val="0"/>
          <w:szCs w:val="21"/>
        </w:rPr>
        <w:t>收益的承诺；投资者所能获得的最终收益以产品实际</w:t>
      </w:r>
      <w:r>
        <w:rPr>
          <w:rFonts w:ascii="黑体" w:eastAsia="黑体" w:hAnsi="黑体" w:cs="宋体"/>
          <w:b/>
          <w:kern w:val="0"/>
          <w:szCs w:val="21"/>
        </w:rPr>
        <w:t>情况</w:t>
      </w:r>
      <w:r>
        <w:rPr>
          <w:rFonts w:ascii="黑体" w:eastAsia="黑体" w:hAnsi="黑体" w:cs="宋体" w:hint="eastAsia"/>
          <w:b/>
          <w:kern w:val="0"/>
          <w:szCs w:val="21"/>
        </w:rPr>
        <w:t>为准。</w:t>
      </w:r>
    </w:p>
    <w:p w:rsidR="008B0A7D">
      <w:pPr>
        <w:autoSpaceDE w:val="0"/>
        <w:autoSpaceDN w:val="0"/>
        <w:adjustRightInd w:val="0"/>
        <w:ind w:firstLine="420" w:firstLineChars="200"/>
        <w:jc w:val="left"/>
        <w:rPr>
          <w:rFonts w:ascii="黑体" w:eastAsia="黑体" w:hAnsi="黑体" w:cs="宋体"/>
          <w:b/>
          <w:kern w:val="0"/>
          <w:szCs w:val="21"/>
        </w:rPr>
      </w:pPr>
      <w:r>
        <w:rPr>
          <w:rFonts w:ascii="黑体" w:eastAsia="黑体" w:hAnsi="黑体" w:cs="宋体"/>
          <w:b/>
          <w:kern w:val="0"/>
          <w:szCs w:val="21"/>
        </w:rPr>
        <w:t>2</w:t>
      </w:r>
      <w:r>
        <w:rPr>
          <w:rFonts w:ascii="黑体" w:eastAsia="黑体" w:hAnsi="黑体" w:cs="宋体" w:hint="eastAsia"/>
          <w:b/>
          <w:kern w:val="0"/>
          <w:szCs w:val="21"/>
        </w:rPr>
        <w:t>、投资者在投资前，请仔细阅读本说明书，并作出独立的投资决策。</w:t>
      </w:r>
    </w:p>
    <w:p w:rsidR="008B0A7D">
      <w:pPr>
        <w:autoSpaceDE w:val="0"/>
        <w:autoSpaceDN w:val="0"/>
        <w:adjustRightInd w:val="0"/>
        <w:ind w:firstLine="420" w:firstLineChars="200"/>
        <w:jc w:val="left"/>
        <w:rPr>
          <w:rFonts w:ascii="黑体" w:eastAsia="黑体" w:hAnsi="黑体" w:cs="宋体"/>
          <w:b/>
          <w:kern w:val="0"/>
          <w:szCs w:val="21"/>
        </w:rPr>
      </w:pPr>
      <w:r>
        <w:rPr>
          <w:rFonts w:ascii="黑体" w:eastAsia="黑体" w:hAnsi="黑体" w:cs="宋体"/>
          <w:b/>
          <w:kern w:val="0"/>
          <w:szCs w:val="21"/>
        </w:rPr>
        <w:t>3</w:t>
      </w:r>
      <w:r>
        <w:rPr>
          <w:rFonts w:ascii="黑体" w:eastAsia="黑体" w:hAnsi="黑体" w:cs="宋体"/>
          <w:b/>
          <w:kern w:val="0"/>
          <w:szCs w:val="21"/>
        </w:rPr>
        <w:t>、产品管理人</w:t>
      </w:r>
      <w:r>
        <w:rPr>
          <w:rFonts w:ascii="黑体" w:eastAsia="黑体" w:hAnsi="黑体" w:cs="宋体" w:hint="eastAsia"/>
          <w:b/>
          <w:kern w:val="0"/>
          <w:szCs w:val="21"/>
        </w:rPr>
        <w:t>将恪守勤勉尽责的原则，合理配置资产组合，为投资者提供专业化的理财服务。</w:t>
      </w:r>
    </w:p>
    <w:p w:rsidR="008B0A7D">
      <w:pPr>
        <w:autoSpaceDE w:val="0"/>
        <w:autoSpaceDN w:val="0"/>
        <w:adjustRightInd w:val="0"/>
        <w:ind w:firstLine="420" w:firstLineChars="200"/>
        <w:jc w:val="left"/>
        <w:rPr>
          <w:rFonts w:ascii="黑体" w:eastAsia="黑体" w:hAnsi="黑体" w:cs="宋体"/>
          <w:b/>
          <w:kern w:val="0"/>
          <w:szCs w:val="21"/>
        </w:rPr>
      </w:pPr>
      <w:r>
        <w:rPr>
          <w:rFonts w:ascii="黑体" w:eastAsia="黑体" w:hAnsi="黑体" w:cs="宋体"/>
          <w:b/>
          <w:kern w:val="0"/>
          <w:szCs w:val="21"/>
        </w:rPr>
        <w:t>4</w:t>
      </w:r>
      <w:r>
        <w:rPr>
          <w:rFonts w:ascii="黑体" w:eastAsia="黑体" w:hAnsi="黑体" w:cs="宋体" w:hint="eastAsia"/>
          <w:b/>
          <w:kern w:val="0"/>
          <w:szCs w:val="21"/>
        </w:rPr>
        <w:t>、投资者应密切关注产品管理人或</w:t>
      </w:r>
      <w:r>
        <w:rPr>
          <w:rFonts w:ascii="黑体" w:eastAsia="黑体" w:hAnsi="黑体" w:cs="宋体"/>
          <w:b/>
          <w:kern w:val="0"/>
          <w:szCs w:val="21"/>
        </w:rPr>
        <w:t>销售机构发布的</w:t>
      </w:r>
      <w:r>
        <w:rPr>
          <w:rFonts w:ascii="黑体" w:eastAsia="黑体" w:hAnsi="黑体" w:cs="宋体" w:hint="eastAsia"/>
          <w:b/>
          <w:kern w:val="0"/>
          <w:szCs w:val="21"/>
        </w:rPr>
        <w:t>与本产品有关的信息披露公告，以免造成不必要的损失。</w:t>
      </w:r>
    </w:p>
    <w:p w:rsidR="008B0A7D">
      <w:pPr>
        <w:autoSpaceDE w:val="0"/>
        <w:autoSpaceDN w:val="0"/>
        <w:adjustRightInd w:val="0"/>
        <w:ind w:firstLine="420" w:firstLineChars="200"/>
        <w:jc w:val="left"/>
        <w:rPr>
          <w:rFonts w:ascii="黑体" w:eastAsia="黑体" w:hAnsi="黑体" w:cs="宋体"/>
          <w:b/>
          <w:kern w:val="0"/>
          <w:szCs w:val="21"/>
        </w:rPr>
      </w:pPr>
      <w:r>
        <w:rPr>
          <w:rFonts w:ascii="黑体" w:eastAsia="黑体" w:hAnsi="黑体" w:cs="宋体"/>
          <w:b/>
          <w:kern w:val="0"/>
          <w:szCs w:val="21"/>
        </w:rPr>
        <w:t>5</w:t>
      </w:r>
      <w:r>
        <w:rPr>
          <w:rFonts w:ascii="黑体" w:eastAsia="黑体" w:hAnsi="黑体" w:cs="宋体"/>
          <w:b/>
          <w:kern w:val="0"/>
          <w:szCs w:val="21"/>
        </w:rPr>
        <w:t>、其他</w:t>
      </w:r>
      <w:r>
        <w:rPr>
          <w:rFonts w:ascii="黑体" w:eastAsia="黑体" w:hAnsi="黑体" w:cs="宋体" w:hint="eastAsia"/>
          <w:b/>
          <w:kern w:val="0"/>
          <w:szCs w:val="21"/>
        </w:rPr>
        <w:t>：无</w:t>
      </w:r>
    </w:p>
    <w:p w:rsidR="008B0A7D">
      <w:pPr>
        <w:autoSpaceDE w:val="0"/>
        <w:autoSpaceDN w:val="0"/>
        <w:adjustRightInd w:val="0"/>
        <w:ind w:firstLine="420" w:firstLineChars="200"/>
        <w:jc w:val="left"/>
        <w:rPr>
          <w:rFonts w:ascii="黑体" w:eastAsia="黑体" w:hAnsi="黑体" w:cs="宋体"/>
          <w:kern w:val="0"/>
          <w:szCs w:val="21"/>
        </w:rPr>
      </w:pPr>
    </w:p>
    <w:p w:rsidR="008B0A7D">
      <w:pPr>
        <w:rPr>
          <w:rFonts w:ascii="黑体" w:eastAsia="黑体" w:hAnsi="黑体"/>
          <w:b/>
          <w:szCs w:val="21"/>
        </w:rPr>
      </w:pPr>
      <w:r>
        <w:rPr>
          <w:rFonts w:ascii="黑体" w:eastAsia="黑体" w:hAnsi="黑体" w:hint="eastAsia"/>
          <w:b/>
          <w:szCs w:val="21"/>
        </w:rPr>
        <w:t>十二、其他</w:t>
      </w:r>
    </w:p>
    <w:p w:rsidR="008B0A7D">
      <w:pPr>
        <w:autoSpaceDE w:val="0"/>
        <w:autoSpaceDN w:val="0"/>
        <w:adjustRightInd w:val="0"/>
        <w:ind w:firstLine="420" w:firstLineChars="200"/>
        <w:jc w:val="left"/>
        <w:rPr>
          <w:rFonts w:ascii="黑体" w:eastAsia="黑体" w:hAnsi="黑体"/>
          <w:b/>
          <w:szCs w:val="21"/>
        </w:rPr>
      </w:pPr>
      <w:r>
        <w:rPr>
          <w:rFonts w:ascii="黑体" w:eastAsia="黑体" w:hAnsi="黑体"/>
          <w:b/>
          <w:szCs w:val="21"/>
        </w:rPr>
        <w:t>1</w:t>
      </w:r>
      <w:r>
        <w:rPr>
          <w:rFonts w:ascii="黑体" w:eastAsia="黑体" w:hAnsi="黑体"/>
          <w:b/>
          <w:szCs w:val="21"/>
        </w:rPr>
        <w:t>、</w:t>
      </w:r>
      <w:r>
        <w:rPr>
          <w:rFonts w:ascii="黑体" w:eastAsia="黑体" w:hAnsi="黑体" w:hint="eastAsia"/>
          <w:b/>
          <w:szCs w:val="21"/>
        </w:rPr>
        <w:t>除</w:t>
      </w:r>
      <w:r>
        <w:rPr>
          <w:rFonts w:ascii="黑体" w:eastAsia="黑体" w:hAnsi="黑体"/>
          <w:b/>
          <w:szCs w:val="21"/>
        </w:rPr>
        <w:t>产品管理人</w:t>
      </w:r>
      <w:r>
        <w:rPr>
          <w:rFonts w:ascii="黑体" w:eastAsia="黑体" w:hAnsi="黑体" w:hint="eastAsia"/>
          <w:b/>
          <w:szCs w:val="21"/>
        </w:rPr>
        <w:t>同意外</w:t>
      </w:r>
      <w:r>
        <w:rPr>
          <w:rFonts w:ascii="黑体" w:eastAsia="黑体" w:hAnsi="黑体"/>
          <w:b/>
          <w:szCs w:val="21"/>
        </w:rPr>
        <w:t>，本产品</w:t>
      </w:r>
      <w:r>
        <w:rPr>
          <w:rFonts w:ascii="黑体" w:eastAsia="黑体" w:hAnsi="黑体" w:hint="eastAsia"/>
          <w:b/>
          <w:szCs w:val="21"/>
        </w:rPr>
        <w:t>不</w:t>
      </w:r>
      <w:r>
        <w:rPr>
          <w:rFonts w:ascii="黑体" w:eastAsia="黑体" w:hAnsi="黑体"/>
          <w:b/>
          <w:szCs w:val="21"/>
        </w:rPr>
        <w:t>允许投资者</w:t>
      </w:r>
      <w:r>
        <w:rPr>
          <w:rFonts w:ascii="黑体" w:eastAsia="黑体" w:hAnsi="黑体" w:hint="eastAsia"/>
          <w:b/>
          <w:szCs w:val="21"/>
        </w:rPr>
        <w:t>办理</w:t>
      </w:r>
      <w:r>
        <w:rPr>
          <w:rFonts w:ascii="黑体" w:eastAsia="黑体" w:hAnsi="黑体"/>
          <w:b/>
          <w:szCs w:val="21"/>
        </w:rPr>
        <w:t>提前赎回</w:t>
      </w:r>
      <w:r>
        <w:rPr>
          <w:rFonts w:ascii="黑体" w:eastAsia="黑体" w:hAnsi="黑体" w:hint="eastAsia"/>
          <w:b/>
          <w:szCs w:val="21"/>
        </w:rPr>
        <w:t>。</w:t>
      </w:r>
    </w:p>
    <w:p w:rsidR="008B0A7D">
      <w:pPr>
        <w:autoSpaceDE w:val="0"/>
        <w:autoSpaceDN w:val="0"/>
        <w:adjustRightInd w:val="0"/>
        <w:ind w:firstLine="420" w:firstLineChars="200"/>
        <w:jc w:val="left"/>
        <w:rPr>
          <w:rFonts w:ascii="黑体" w:eastAsia="黑体" w:hAnsi="黑体"/>
          <w:b/>
          <w:szCs w:val="21"/>
        </w:rPr>
      </w:pPr>
      <w:r>
        <w:rPr>
          <w:rFonts w:ascii="黑体" w:eastAsia="黑体" w:hAnsi="黑体"/>
          <w:b/>
          <w:szCs w:val="21"/>
        </w:rPr>
        <w:t>2</w:t>
      </w:r>
      <w:r>
        <w:rPr>
          <w:rFonts w:ascii="黑体" w:eastAsia="黑体" w:hAnsi="黑体" w:hint="eastAsia"/>
          <w:b/>
          <w:szCs w:val="21"/>
        </w:rPr>
        <w:t>、</w:t>
      </w:r>
      <w:r>
        <w:rPr>
          <w:rFonts w:ascii="黑体" w:eastAsia="黑体" w:hAnsi="黑体"/>
          <w:b/>
          <w:szCs w:val="21"/>
        </w:rPr>
        <w:t>其他</w:t>
      </w:r>
      <w:r>
        <w:rPr>
          <w:rFonts w:ascii="黑体" w:eastAsia="黑体" w:hAnsi="黑体" w:hint="eastAsia"/>
          <w:b/>
          <w:szCs w:val="21"/>
        </w:rPr>
        <w:t>：无</w:t>
      </w:r>
    </w:p>
    <w:p w:rsidR="008B0A7D">
      <w:pPr>
        <w:autoSpaceDE w:val="0"/>
        <w:autoSpaceDN w:val="0"/>
        <w:adjustRightInd w:val="0"/>
        <w:ind w:firstLine="420" w:firstLineChars="200"/>
        <w:jc w:val="left"/>
        <w:rPr>
          <w:rFonts w:ascii="黑体" w:eastAsia="黑体" w:hAnsi="黑体"/>
          <w:szCs w:val="21"/>
        </w:rPr>
      </w:pPr>
    </w:p>
    <w:p w:rsidR="008B0A7D">
      <w:pPr>
        <w:autoSpaceDE w:val="0"/>
        <w:autoSpaceDN w:val="0"/>
        <w:adjustRightInd w:val="0"/>
        <w:ind w:firstLine="420" w:firstLineChars="200"/>
        <w:jc w:val="left"/>
        <w:rPr>
          <w:rFonts w:ascii="黑体" w:eastAsia="黑体" w:hAnsi="黑体"/>
          <w:b/>
          <w:szCs w:val="21"/>
        </w:rPr>
      </w:pPr>
      <w:r>
        <w:rPr>
          <w:rFonts w:ascii="黑体" w:eastAsia="黑体" w:hAnsi="黑体" w:hint="eastAsia"/>
          <w:b/>
          <w:szCs w:val="21"/>
        </w:rPr>
        <w:t>以下内容由投资者确认并</w:t>
      </w:r>
      <w:r>
        <w:rPr>
          <w:rFonts w:ascii="黑体" w:eastAsia="黑体" w:hAnsi="黑体"/>
          <w:b/>
          <w:szCs w:val="21"/>
        </w:rPr>
        <w:t>签字</w:t>
      </w:r>
      <w:r>
        <w:rPr>
          <w:rFonts w:ascii="黑体" w:eastAsia="黑体" w:hAnsi="黑体" w:hint="eastAsia"/>
          <w:b/>
          <w:szCs w:val="21"/>
        </w:rPr>
        <w:t>（机构投资者需盖章），如通过线上渠道购买，认（申）购确认即视为投资者同意并确认下述内容：</w:t>
      </w:r>
    </w:p>
    <w:p w:rsidR="008B0A7D">
      <w:pPr>
        <w:autoSpaceDE w:val="0"/>
        <w:autoSpaceDN w:val="0"/>
        <w:adjustRightInd w:val="0"/>
        <w:ind w:firstLine="420" w:firstLineChars="200"/>
        <w:jc w:val="left"/>
        <w:rPr>
          <w:rFonts w:ascii="黑体" w:eastAsia="黑体" w:hAnsi="黑体"/>
          <w:szCs w:val="21"/>
        </w:rPr>
      </w:pPr>
      <w:r>
        <w:rPr>
          <w:rFonts w:ascii="黑体" w:eastAsia="黑体" w:hAnsi="黑体" w:hint="eastAsia"/>
          <w:szCs w:val="21"/>
        </w:rPr>
        <w:t>声明：本人</w:t>
      </w:r>
      <w:r>
        <w:rPr>
          <w:rFonts w:ascii="黑体" w:eastAsia="黑体" w:hAnsi="黑体"/>
          <w:szCs w:val="21"/>
        </w:rPr>
        <w:t>/</w:t>
      </w:r>
      <w:r>
        <w:rPr>
          <w:rFonts w:ascii="黑体" w:eastAsia="黑体" w:hAnsi="黑体"/>
          <w:szCs w:val="21"/>
        </w:rPr>
        <w:t>本机构充分</w:t>
      </w:r>
      <w:r>
        <w:rPr>
          <w:rFonts w:ascii="黑体" w:eastAsia="黑体" w:hAnsi="黑体" w:hint="eastAsia"/>
          <w:szCs w:val="21"/>
        </w:rPr>
        <w:t>阅读本</w:t>
      </w:r>
      <w:r>
        <w:rPr>
          <w:rFonts w:ascii="黑体" w:eastAsia="黑体" w:hAnsi="黑体"/>
          <w:szCs w:val="21"/>
        </w:rPr>
        <w:t>说明书及</w:t>
      </w:r>
      <w:r>
        <w:rPr>
          <w:rFonts w:ascii="黑体" w:eastAsia="黑体" w:hAnsi="黑体" w:hint="eastAsia"/>
          <w:szCs w:val="21"/>
        </w:rPr>
        <w:t>本理财产品的《风险揭示书》、《销售（代理销售）协议书》、《投资协议书》、《投资者权益须知》等理财产品销售文件，已全面、准确地理解本产品，充分认识到投资本产品需要承担的风险，并自愿承担此风险。</w:t>
      </w:r>
    </w:p>
    <w:p w:rsidR="008B0A7D">
      <w:pPr>
        <w:autoSpaceDE w:val="0"/>
        <w:autoSpaceDN w:val="0"/>
        <w:adjustRightInd w:val="0"/>
        <w:ind w:firstLine="420" w:firstLineChars="200"/>
        <w:jc w:val="left"/>
        <w:rPr>
          <w:rFonts w:ascii="黑体" w:eastAsia="黑体" w:hAnsi="黑体"/>
          <w:szCs w:val="21"/>
        </w:rPr>
      </w:pPr>
    </w:p>
    <w:p w:rsidR="008B0A7D">
      <w:pPr>
        <w:autoSpaceDE w:val="0"/>
        <w:autoSpaceDN w:val="0"/>
        <w:adjustRightInd w:val="0"/>
        <w:ind w:firstLine="420" w:firstLineChars="200"/>
        <w:jc w:val="left"/>
        <w:rPr>
          <w:rFonts w:ascii="黑体" w:eastAsia="黑体" w:hAnsi="黑体"/>
          <w:b/>
          <w:szCs w:val="21"/>
        </w:rPr>
      </w:pPr>
      <w:bookmarkStart w:id="14" w:name="OLE_LINK6"/>
      <w:bookmarkStart w:id="15" w:name="OLE_LINK7"/>
      <w:r>
        <w:rPr>
          <w:rFonts w:ascii="黑体" w:eastAsia="黑体" w:hAnsi="黑体" w:hint="eastAsia"/>
          <w:b/>
          <w:szCs w:val="21"/>
        </w:rPr>
        <w:t>(</w:t>
      </w:r>
      <w:r>
        <w:rPr>
          <w:rFonts w:ascii="黑体" w:eastAsia="黑体" w:hAnsi="黑体" w:hint="eastAsia"/>
          <w:b/>
          <w:szCs w:val="21"/>
        </w:rPr>
        <w:t>自然人签署适用</w:t>
      </w:r>
      <w:r>
        <w:rPr>
          <w:rFonts w:ascii="黑体" w:eastAsia="黑体" w:hAnsi="黑体" w:hint="eastAsia"/>
          <w:b/>
          <w:szCs w:val="21"/>
        </w:rPr>
        <w:t>)</w:t>
      </w:r>
    </w:p>
    <w:p w:rsidR="008B0A7D">
      <w:pPr>
        <w:autoSpaceDE w:val="0"/>
        <w:autoSpaceDN w:val="0"/>
        <w:adjustRightInd w:val="0"/>
        <w:ind w:firstLine="420" w:firstLineChars="200"/>
        <w:jc w:val="left"/>
        <w:rPr>
          <w:rFonts w:ascii="黑体" w:eastAsia="黑体" w:hAnsi="黑体"/>
          <w:b/>
          <w:szCs w:val="21"/>
        </w:rPr>
      </w:pPr>
      <w:r>
        <w:rPr>
          <w:rFonts w:ascii="黑体" w:eastAsia="黑体" w:hAnsi="黑体" w:hint="eastAsia"/>
          <w:b/>
          <w:szCs w:val="21"/>
        </w:rPr>
        <w:t>投资者签字</w:t>
      </w:r>
      <w:r>
        <w:rPr>
          <w:rFonts w:ascii="黑体" w:eastAsia="黑体" w:hAnsi="黑体"/>
          <w:b/>
          <w:szCs w:val="21"/>
        </w:rPr>
        <w:t>____________</w:t>
      </w:r>
    </w:p>
    <w:p w:rsidR="008B0A7D">
      <w:pPr>
        <w:autoSpaceDE w:val="0"/>
        <w:autoSpaceDN w:val="0"/>
        <w:adjustRightInd w:val="0"/>
        <w:ind w:firstLine="420" w:firstLineChars="200"/>
        <w:jc w:val="left"/>
        <w:rPr>
          <w:rFonts w:ascii="黑体" w:eastAsia="黑体" w:hAnsi="黑体"/>
          <w:b/>
          <w:szCs w:val="21"/>
        </w:rPr>
      </w:pPr>
    </w:p>
    <w:p w:rsidR="008B0A7D">
      <w:pPr>
        <w:autoSpaceDE w:val="0"/>
        <w:autoSpaceDN w:val="0"/>
        <w:adjustRightInd w:val="0"/>
        <w:ind w:firstLine="420" w:firstLineChars="200"/>
        <w:jc w:val="left"/>
        <w:rPr>
          <w:rFonts w:ascii="黑体" w:eastAsia="黑体" w:hAnsi="黑体"/>
          <w:b/>
          <w:szCs w:val="21"/>
        </w:rPr>
      </w:pPr>
      <w:r>
        <w:rPr>
          <w:rFonts w:ascii="黑体" w:eastAsia="黑体" w:hAnsi="黑体" w:hint="eastAsia"/>
          <w:b/>
          <w:szCs w:val="21"/>
        </w:rPr>
        <w:t>（机构投资者签署适用）</w:t>
      </w:r>
    </w:p>
    <w:p w:rsidR="008B0A7D">
      <w:pPr>
        <w:autoSpaceDE w:val="0"/>
        <w:autoSpaceDN w:val="0"/>
        <w:adjustRightInd w:val="0"/>
        <w:ind w:firstLine="420" w:firstLineChars="200"/>
        <w:jc w:val="left"/>
        <w:rPr>
          <w:rFonts w:ascii="黑体" w:eastAsia="黑体" w:hAnsi="黑体"/>
          <w:b/>
          <w:szCs w:val="21"/>
        </w:rPr>
      </w:pPr>
      <w:r>
        <w:rPr>
          <w:rFonts w:ascii="黑体" w:eastAsia="黑体" w:hAnsi="黑体"/>
          <w:b/>
          <w:szCs w:val="21"/>
        </w:rPr>
        <w:t>公章（或经公章授权的其他有效印鉴）：</w:t>
      </w:r>
    </w:p>
    <w:p w:rsidR="008B0A7D">
      <w:pPr>
        <w:autoSpaceDE w:val="0"/>
        <w:autoSpaceDN w:val="0"/>
        <w:adjustRightInd w:val="0"/>
        <w:ind w:firstLine="420" w:firstLineChars="200"/>
        <w:jc w:val="left"/>
        <w:rPr>
          <w:rFonts w:ascii="黑体" w:eastAsia="黑体" w:hAnsi="黑体"/>
          <w:b/>
          <w:szCs w:val="21"/>
        </w:rPr>
      </w:pPr>
      <w:r>
        <w:rPr>
          <w:rFonts w:ascii="黑体" w:eastAsia="黑体" w:hAnsi="黑体"/>
          <w:b/>
          <w:szCs w:val="21"/>
        </w:rPr>
        <w:t>法定代表人（负责人）或授权代理人签字</w:t>
      </w:r>
      <w:r>
        <w:rPr>
          <w:rFonts w:ascii="黑体" w:eastAsia="黑体" w:hAnsi="黑体"/>
          <w:b/>
          <w:szCs w:val="21"/>
        </w:rPr>
        <w:t>/</w:t>
      </w:r>
      <w:r>
        <w:rPr>
          <w:rFonts w:ascii="黑体" w:eastAsia="黑体" w:hAnsi="黑体"/>
          <w:b/>
          <w:szCs w:val="21"/>
        </w:rPr>
        <w:t>签章：</w:t>
      </w:r>
    </w:p>
    <w:p w:rsidR="008B0A7D">
      <w:pPr>
        <w:autoSpaceDE w:val="0"/>
        <w:autoSpaceDN w:val="0"/>
        <w:adjustRightInd w:val="0"/>
        <w:ind w:firstLine="420" w:firstLineChars="200"/>
        <w:jc w:val="left"/>
        <w:rPr>
          <w:rFonts w:ascii="黑体" w:eastAsia="黑体" w:hAnsi="黑体"/>
          <w:b/>
          <w:szCs w:val="21"/>
        </w:rPr>
      </w:pPr>
    </w:p>
    <w:p w:rsidR="008B0A7D">
      <w:pPr>
        <w:autoSpaceDE w:val="0"/>
        <w:autoSpaceDN w:val="0"/>
        <w:adjustRightInd w:val="0"/>
        <w:ind w:firstLine="420" w:firstLineChars="200"/>
        <w:jc w:val="left"/>
        <w:rPr>
          <w:rFonts w:ascii="黑体" w:eastAsia="黑体" w:hAnsi="黑体"/>
          <w:b/>
          <w:szCs w:val="21"/>
        </w:rPr>
      </w:pPr>
    </w:p>
    <w:p w:rsidR="008B0A7D">
      <w:pPr>
        <w:autoSpaceDE w:val="0"/>
        <w:autoSpaceDN w:val="0"/>
        <w:adjustRightInd w:val="0"/>
        <w:ind w:firstLine="420" w:firstLineChars="200"/>
        <w:jc w:val="left"/>
        <w:rPr>
          <w:rFonts w:ascii="黑体" w:eastAsia="黑体" w:hAnsi="黑体"/>
          <w:b/>
          <w:szCs w:val="21"/>
        </w:rPr>
      </w:pPr>
      <w:r>
        <w:rPr>
          <w:rFonts w:ascii="黑体" w:eastAsia="黑体" w:hAnsi="黑体" w:hint="eastAsia"/>
          <w:b/>
          <w:szCs w:val="21"/>
        </w:rPr>
        <w:t>日期</w:t>
      </w:r>
      <w:r>
        <w:rPr>
          <w:rFonts w:ascii="黑体" w:eastAsia="黑体" w:hAnsi="黑体"/>
          <w:b/>
          <w:szCs w:val="21"/>
        </w:rPr>
        <w:t>_______________</w:t>
      </w:r>
    </w:p>
    <w:p w:rsidR="008B0A7D">
      <w:pPr>
        <w:autoSpaceDE w:val="0"/>
        <w:autoSpaceDN w:val="0"/>
        <w:adjustRightInd w:val="0"/>
        <w:ind w:firstLine="420" w:firstLineChars="200"/>
        <w:jc w:val="left"/>
        <w:rPr>
          <w:rFonts w:ascii="黑体" w:eastAsia="黑体" w:hAnsi="黑体"/>
          <w:b/>
          <w:szCs w:val="21"/>
        </w:rPr>
      </w:pPr>
    </w:p>
    <w:bookmarkEnd w:id="14"/>
    <w:bookmarkEnd w:id="15"/>
    <w:p w:rsidR="008B0A7D">
      <w:pPr>
        <w:autoSpaceDE w:val="0"/>
        <w:autoSpaceDN w:val="0"/>
        <w:adjustRightInd w:val="0"/>
        <w:ind w:firstLine="420" w:firstLineChars="200"/>
        <w:jc w:val="left"/>
        <w:rPr>
          <w:rFonts w:ascii="黑体" w:eastAsia="黑体" w:hAnsi="黑体"/>
          <w:b/>
          <w:szCs w:val="21"/>
        </w:rPr>
        <w:sectPr>
          <w:pgSz w:w="11906" w:h="16838"/>
          <w:pgMar w:top="1440" w:right="1800" w:bottom="1440" w:left="1800" w:header="851" w:footer="992" w:gutter="0"/>
          <w:cols w:space="425"/>
          <w:docGrid w:type="lines" w:linePitch="312"/>
        </w:sectPr>
      </w:pPr>
    </w:p>
    <w:p w:rsidR="00156F5C" w14:paraId="578C8384" w14:textId="77777777">
      <w:pPr>
        <w:jc w:val="center"/>
        <w:rPr>
          <w:rFonts w:ascii="黑体" w:eastAsia="黑体" w:hAnsi="宋体" w:cs="Times New Roman"/>
          <w:b/>
          <w:sz w:val="44"/>
          <w:szCs w:val="44"/>
        </w:rPr>
      </w:pPr>
      <w:r>
        <w:rPr>
          <w:rFonts w:ascii="黑体" w:eastAsia="黑体" w:hAnsi="宋体" w:cs="Times New Roman" w:hint="eastAsia"/>
          <w:b/>
          <w:sz w:val="44"/>
          <w:szCs w:val="44"/>
        </w:rPr>
        <w:t>宁银理财有限责任公司</w:t>
      </w:r>
      <w:r>
        <w:rPr>
          <w:rFonts w:ascii="黑体" w:eastAsia="黑体" w:hAnsi="宋体" w:cs="Times New Roman"/>
          <w:b/>
          <w:sz w:val="44"/>
          <w:szCs w:val="44"/>
        </w:rPr>
        <w:t>产品</w:t>
      </w:r>
      <w:r>
        <w:rPr>
          <w:rFonts w:ascii="黑体" w:eastAsia="黑体" w:hAnsi="宋体" w:cs="Times New Roman" w:hint="eastAsia"/>
          <w:b/>
          <w:sz w:val="44"/>
          <w:szCs w:val="44"/>
        </w:rPr>
        <w:t>投资</w:t>
      </w:r>
      <w:r>
        <w:rPr>
          <w:rFonts w:ascii="黑体" w:eastAsia="黑体" w:hAnsi="宋体" w:cs="Times New Roman"/>
          <w:b/>
          <w:sz w:val="44"/>
          <w:szCs w:val="44"/>
        </w:rPr>
        <w:t>协议</w:t>
      </w:r>
      <w:r>
        <w:rPr>
          <w:rFonts w:ascii="黑体" w:eastAsia="黑体" w:hAnsi="宋体" w:cs="Times New Roman" w:hint="eastAsia"/>
          <w:b/>
          <w:sz w:val="44"/>
          <w:szCs w:val="44"/>
        </w:rPr>
        <w:t>书</w:t>
      </w:r>
    </w:p>
    <w:p w:rsidR="00156F5C" w14:paraId="449E4B99" w14:textId="76B312F3">
      <w:pPr>
        <w:adjustRightInd w:val="0"/>
        <w:snapToGrid w:val="0"/>
        <w:spacing w:line="312" w:lineRule="auto"/>
        <w:jc w:val="center"/>
        <w:rPr>
          <w:rFonts w:ascii="宋体" w:hAnsi="宋体"/>
          <w:b/>
          <w:sz w:val="24"/>
        </w:rPr>
      </w:pPr>
      <w:r>
        <w:rPr>
          <w:rFonts w:ascii="宋体" w:hAnsi="宋体" w:hint="eastAsia"/>
          <w:b/>
          <w:sz w:val="24"/>
        </w:rPr>
        <w:t>（</w:t>
      </w:r>
      <w:r w:rsidR="003F3A2D">
        <w:rPr>
          <w:rFonts w:ascii="宋体" w:hAnsi="宋体"/>
          <w:b/>
          <w:sz w:val="24"/>
        </w:rPr>
        <w:t>202601</w:t>
      </w:r>
      <w:r>
        <w:rPr>
          <w:rFonts w:ascii="宋体" w:hAnsi="宋体" w:hint="eastAsia"/>
          <w:b/>
          <w:sz w:val="24"/>
        </w:rPr>
        <w:t>版）</w:t>
      </w:r>
    </w:p>
    <w:p w:rsidR="00156F5C" w14:paraId="07C714F6" w14:textId="77777777">
      <w:pPr>
        <w:adjustRightInd w:val="0"/>
        <w:snapToGrid w:val="0"/>
        <w:spacing w:line="312" w:lineRule="auto"/>
        <w:jc w:val="center"/>
        <w:rPr>
          <w:rFonts w:ascii="宋体" w:hAnsi="宋体"/>
          <w:b/>
          <w:sz w:val="24"/>
        </w:rPr>
      </w:pPr>
    </w:p>
    <w:p w:rsidR="00156F5C" w14:paraId="7B7BD5D0"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宁银理财有限责任公司（以下简称“乙方”）与其发行理财产品的购买方（以下简称“甲方”）经平等友好协商，本着自愿、诚实信用的原则，就甲方</w:t>
      </w:r>
      <w:r>
        <w:rPr>
          <w:rFonts w:ascii="宋体" w:eastAsia="宋体" w:hAnsi="宋体" w:cs="Times New Roman"/>
          <w:sz w:val="24"/>
          <w:szCs w:val="24"/>
        </w:rPr>
        <w:t>投资乙方发行管理的本</w:t>
      </w:r>
      <w:r>
        <w:rPr>
          <w:rFonts w:ascii="宋体" w:eastAsia="宋体" w:hAnsi="宋体" w:cs="Times New Roman" w:hint="eastAsia"/>
          <w:sz w:val="24"/>
          <w:szCs w:val="24"/>
        </w:rPr>
        <w:t>理财</w:t>
      </w:r>
      <w:r>
        <w:rPr>
          <w:rFonts w:ascii="宋体" w:eastAsia="宋体" w:hAnsi="宋体" w:cs="Times New Roman"/>
          <w:sz w:val="24"/>
          <w:szCs w:val="24"/>
        </w:rPr>
        <w:t>产品、接受乙方提供</w:t>
      </w:r>
      <w:r>
        <w:rPr>
          <w:rFonts w:ascii="宋体" w:eastAsia="宋体" w:hAnsi="宋体" w:cs="Times New Roman" w:hint="eastAsia"/>
          <w:sz w:val="24"/>
          <w:szCs w:val="24"/>
        </w:rPr>
        <w:t>的本</w:t>
      </w:r>
      <w:r>
        <w:rPr>
          <w:rFonts w:ascii="宋体" w:eastAsia="宋体" w:hAnsi="宋体" w:cs="Times New Roman"/>
          <w:sz w:val="24"/>
          <w:szCs w:val="24"/>
        </w:rPr>
        <w:t>理财</w:t>
      </w:r>
      <w:r>
        <w:rPr>
          <w:rFonts w:ascii="宋体" w:eastAsia="宋体" w:hAnsi="宋体" w:cs="Times New Roman" w:hint="eastAsia"/>
          <w:sz w:val="24"/>
          <w:szCs w:val="24"/>
        </w:rPr>
        <w:t>产品</w:t>
      </w:r>
      <w:r>
        <w:rPr>
          <w:rFonts w:ascii="宋体" w:eastAsia="宋体" w:hAnsi="宋体" w:cs="Times New Roman"/>
          <w:sz w:val="24"/>
          <w:szCs w:val="24"/>
        </w:rPr>
        <w:t>相关</w:t>
      </w:r>
      <w:r>
        <w:rPr>
          <w:rFonts w:ascii="宋体" w:eastAsia="宋体" w:hAnsi="宋体" w:cs="Times New Roman" w:hint="eastAsia"/>
          <w:sz w:val="24"/>
          <w:szCs w:val="24"/>
        </w:rPr>
        <w:t>的投资</w:t>
      </w:r>
      <w:r>
        <w:rPr>
          <w:rFonts w:ascii="宋体" w:eastAsia="宋体" w:hAnsi="宋体" w:cs="Times New Roman"/>
          <w:sz w:val="24"/>
          <w:szCs w:val="24"/>
        </w:rPr>
        <w:t>服务等事宜，</w:t>
      </w:r>
      <w:r>
        <w:rPr>
          <w:rFonts w:ascii="宋体" w:eastAsia="宋体" w:hAnsi="宋体" w:cs="Times New Roman" w:hint="eastAsia"/>
          <w:sz w:val="24"/>
          <w:szCs w:val="24"/>
        </w:rPr>
        <w:t>达成如下协议（以下简称“本协议”）：</w:t>
      </w:r>
    </w:p>
    <w:p w:rsidR="00156F5C" w14:paraId="58C69275" w14:textId="77777777">
      <w:pPr>
        <w:pStyle w:val="ListParagraph"/>
        <w:numPr>
          <w:ilvl w:val="0"/>
          <w:numId w:val="1"/>
        </w:numPr>
        <w:spacing w:line="360" w:lineRule="auto"/>
        <w:ind w:firstLineChars="0"/>
        <w:rPr>
          <w:rFonts w:ascii="宋体" w:eastAsia="宋体" w:hAnsi="宋体" w:cs="Times New Roman"/>
          <w:b/>
          <w:sz w:val="24"/>
          <w:szCs w:val="24"/>
        </w:rPr>
      </w:pPr>
      <w:r>
        <w:rPr>
          <w:rFonts w:ascii="宋体" w:eastAsia="宋体" w:hAnsi="宋体" w:cs="Times New Roman" w:hint="eastAsia"/>
          <w:b/>
          <w:sz w:val="24"/>
          <w:szCs w:val="24"/>
        </w:rPr>
        <w:t>重要提示</w:t>
      </w:r>
    </w:p>
    <w:p w:rsidR="00156F5C" w14:paraId="54ED831F"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hint="eastAsia"/>
          <w:b/>
          <w:sz w:val="24"/>
          <w:szCs w:val="24"/>
        </w:rPr>
        <w:t>理财非存款、产品有风险、投资须谨慎。</w:t>
      </w:r>
      <w:r>
        <w:rPr>
          <w:rFonts w:ascii="宋体" w:eastAsia="宋体" w:hAnsi="宋体" w:cs="Times New Roman" w:hint="eastAsia"/>
          <w:sz w:val="24"/>
          <w:szCs w:val="24"/>
        </w:rPr>
        <w:t>投资理财产品可能面临包括但不限于信用风险、市场风险、流动性风险、政策风险等风险，详见本理财产品的《理财产品说明书》和《风险揭示书》。甲方应仔细阅读并充分理解本理财产品的《理财产品说明书》和《风险揭示书》的详细条款并充分理解理财投资可能发生的风险。</w:t>
      </w:r>
    </w:p>
    <w:p w:rsidR="00156F5C" w14:paraId="36CC1654"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hint="eastAsia"/>
          <w:b/>
          <w:sz w:val="24"/>
          <w:szCs w:val="24"/>
        </w:rPr>
        <w:t>理财产品过往业绩不代表其未来表现，不等于理财产品实际收益，投资须谨慎。</w:t>
      </w:r>
      <w:r>
        <w:rPr>
          <w:rFonts w:ascii="宋体" w:eastAsia="宋体" w:hAnsi="宋体" w:cs="Times New Roman"/>
          <w:b/>
          <w:bCs/>
          <w:sz w:val="24"/>
          <w:szCs w:val="24"/>
        </w:rPr>
        <w:t>在任何情况下，乙方公布的产品业绩比较基准</w:t>
      </w:r>
      <w:r>
        <w:rPr>
          <w:rFonts w:ascii="宋体" w:eastAsia="宋体" w:hAnsi="宋体" w:cs="Times New Roman" w:hint="eastAsia"/>
          <w:b/>
          <w:bCs/>
          <w:sz w:val="24"/>
          <w:szCs w:val="24"/>
        </w:rPr>
        <w:t>及产品过往业绩</w:t>
      </w:r>
      <w:r>
        <w:rPr>
          <w:rFonts w:ascii="宋体" w:eastAsia="宋体" w:hAnsi="宋体" w:cs="Times New Roman"/>
          <w:b/>
          <w:bCs/>
          <w:sz w:val="24"/>
          <w:szCs w:val="24"/>
        </w:rPr>
        <w:t>仅供甲方参考，不</w:t>
      </w:r>
      <w:r>
        <w:rPr>
          <w:rFonts w:ascii="宋体" w:eastAsia="宋体" w:hAnsi="宋体" w:cs="Times New Roman" w:hint="eastAsia"/>
          <w:b/>
          <w:bCs/>
          <w:sz w:val="24"/>
          <w:szCs w:val="24"/>
        </w:rPr>
        <w:t>代表甲方可获得的实际收益，不代表产品的未来表现，亦不构成乙方保证甲方获得业绩比较基准或过往业绩反映的收益率的承诺，甲方是在充分认识投资风险的基础上，凭借自身判断，独立、自愿购买理财产品，谨慎投资</w:t>
      </w:r>
      <w:r>
        <w:rPr>
          <w:rFonts w:ascii="宋体" w:eastAsia="宋体" w:hAnsi="宋体" w:cs="Times New Roman" w:hint="eastAsia"/>
          <w:b/>
          <w:sz w:val="24"/>
          <w:szCs w:val="24"/>
        </w:rPr>
        <w:t>。</w:t>
      </w:r>
    </w:p>
    <w:p w:rsidR="00156F5C" w14:paraId="4E8154BB"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本协议与本理财产品的《理财产品说明书》、《风险揭示书》、《销售（代理销售）协议书》（通过代理销售机构销售的，文件具体名称以代理销售机构为准，下同）、《投资者权益须知》等理财产品销售文件共同构成一份完整且不可分割的、关于甲方所投资乙方理财产品的全部协议，前述理财产品</w:t>
      </w:r>
      <w:r>
        <w:rPr>
          <w:rFonts w:ascii="宋体" w:eastAsia="宋体" w:hAnsi="宋体" w:cs="Times New Roman"/>
          <w:sz w:val="24"/>
          <w:szCs w:val="24"/>
        </w:rPr>
        <w:t>销售文件</w:t>
      </w:r>
      <w:r>
        <w:rPr>
          <w:rFonts w:ascii="宋体" w:eastAsia="宋体" w:hAnsi="宋体" w:cs="Times New Roman" w:hint="eastAsia"/>
          <w:sz w:val="24"/>
          <w:szCs w:val="24"/>
        </w:rPr>
        <w:t>具有同等法律效力。本协议未及事项，包括但不限于理财产品的认（申）购、赎回等相关事项，以《理财产品说明书》等理财产品销售文件</w:t>
      </w:r>
      <w:r>
        <w:rPr>
          <w:rFonts w:ascii="宋体" w:eastAsia="宋体" w:hAnsi="宋体" w:cs="Times New Roman"/>
          <w:sz w:val="24"/>
          <w:szCs w:val="24"/>
        </w:rPr>
        <w:t>具体</w:t>
      </w:r>
      <w:r>
        <w:rPr>
          <w:rFonts w:ascii="宋体" w:eastAsia="宋体" w:hAnsi="宋体" w:cs="Times New Roman" w:hint="eastAsia"/>
          <w:sz w:val="24"/>
          <w:szCs w:val="24"/>
        </w:rPr>
        <w:t>约定为准。本协议与《理财产品说明书》不一致的，以《理财产品说明书》为准。</w:t>
      </w:r>
    </w:p>
    <w:p w:rsidR="00156F5C" w14:paraId="529C56F6" w14:textId="77777777">
      <w:pPr>
        <w:pStyle w:val="ListParagraph"/>
        <w:numPr>
          <w:ilvl w:val="0"/>
          <w:numId w:val="1"/>
        </w:numPr>
        <w:spacing w:line="360" w:lineRule="auto"/>
        <w:ind w:firstLineChars="0"/>
        <w:rPr>
          <w:rFonts w:ascii="宋体" w:eastAsia="宋体" w:hAnsi="宋体" w:cs="Times New Roman"/>
          <w:b/>
          <w:sz w:val="24"/>
          <w:szCs w:val="24"/>
        </w:rPr>
      </w:pPr>
      <w:r>
        <w:rPr>
          <w:rFonts w:ascii="宋体" w:eastAsia="宋体" w:hAnsi="宋体" w:cs="Times New Roman" w:hint="eastAsia"/>
          <w:b/>
          <w:sz w:val="24"/>
          <w:szCs w:val="24"/>
        </w:rPr>
        <w:t>甲方声明</w:t>
      </w:r>
    </w:p>
    <w:p w:rsidR="00156F5C" w14:paraId="52C0EAB7"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1、甲方保证其为具有完全民事行为能力的自然人；或为依法设立并合法存续的法人、依法成立的其他组织（以下统称“机构投资者”）；或为符合《关于规范金融机构资产管理业务的指导意见》规定的资产管理产品。甲方</w:t>
      </w:r>
      <w:r>
        <w:rPr>
          <w:rFonts w:ascii="宋体" w:eastAsia="宋体" w:hAnsi="宋体" w:cs="Times New Roman"/>
          <w:sz w:val="24"/>
          <w:szCs w:val="24"/>
        </w:rPr>
        <w:t>为资产管理产</w:t>
      </w:r>
      <w:r>
        <w:rPr>
          <w:rFonts w:ascii="宋体" w:eastAsia="宋体" w:hAnsi="宋体" w:cs="Times New Roman"/>
          <w:sz w:val="24"/>
          <w:szCs w:val="24"/>
        </w:rPr>
        <w:t>品的，甲方投资本理财产品不</w:t>
      </w:r>
      <w:r>
        <w:rPr>
          <w:rFonts w:ascii="宋体" w:eastAsia="宋体" w:hAnsi="宋体" w:cs="Times New Roman" w:hint="eastAsia"/>
          <w:sz w:val="24"/>
          <w:szCs w:val="24"/>
        </w:rPr>
        <w:t>存在</w:t>
      </w:r>
      <w:r>
        <w:rPr>
          <w:rFonts w:ascii="宋体" w:eastAsia="宋体" w:hAnsi="宋体" w:cs="Times New Roman"/>
          <w:sz w:val="24"/>
          <w:szCs w:val="24"/>
        </w:rPr>
        <w:t>违反</w:t>
      </w:r>
      <w:r>
        <w:rPr>
          <w:rFonts w:ascii="宋体" w:eastAsia="宋体" w:hAnsi="宋体" w:cs="Times New Roman" w:hint="eastAsia"/>
          <w:sz w:val="24"/>
          <w:szCs w:val="24"/>
        </w:rPr>
        <w:t>监管要求</w:t>
      </w:r>
      <w:r>
        <w:rPr>
          <w:rFonts w:ascii="宋体" w:eastAsia="宋体" w:hAnsi="宋体" w:cs="Times New Roman"/>
          <w:sz w:val="24"/>
          <w:szCs w:val="24"/>
        </w:rPr>
        <w:t>的多层嵌套</w:t>
      </w:r>
      <w:r>
        <w:rPr>
          <w:rFonts w:ascii="宋体" w:eastAsia="宋体" w:hAnsi="宋体" w:cs="Times New Roman" w:hint="eastAsia"/>
          <w:sz w:val="24"/>
          <w:szCs w:val="24"/>
        </w:rPr>
        <w:t>、</w:t>
      </w:r>
      <w:r>
        <w:rPr>
          <w:rFonts w:ascii="宋体" w:eastAsia="宋体" w:hAnsi="宋体" w:cs="Times New Roman"/>
          <w:sz w:val="24"/>
          <w:szCs w:val="24"/>
        </w:rPr>
        <w:t>规避投资范围、杠杆约束等</w:t>
      </w:r>
      <w:r>
        <w:rPr>
          <w:rFonts w:ascii="宋体" w:eastAsia="宋体" w:hAnsi="宋体" w:cs="Times New Roman" w:hint="eastAsia"/>
          <w:sz w:val="24"/>
          <w:szCs w:val="24"/>
        </w:rPr>
        <w:t>违规</w:t>
      </w:r>
      <w:r>
        <w:rPr>
          <w:rFonts w:ascii="宋体" w:eastAsia="宋体" w:hAnsi="宋体" w:cs="Times New Roman"/>
          <w:sz w:val="24"/>
          <w:szCs w:val="24"/>
        </w:rPr>
        <w:t>行为</w:t>
      </w:r>
      <w:r>
        <w:rPr>
          <w:rFonts w:ascii="宋体" w:eastAsia="宋体" w:hAnsi="宋体" w:cs="Times New Roman" w:hint="eastAsia"/>
          <w:sz w:val="24"/>
          <w:szCs w:val="24"/>
        </w:rPr>
        <w:t>。</w:t>
      </w:r>
    </w:p>
    <w:p w:rsidR="00156F5C" w14:paraId="4DF95608"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sz w:val="24"/>
          <w:szCs w:val="24"/>
        </w:rPr>
        <w:t>2、甲方保证签署和履行本协议系基于甲方的真实意愿，且不会违反对甲方</w:t>
      </w:r>
      <w:r>
        <w:rPr>
          <w:rFonts w:ascii="宋体" w:eastAsia="宋体" w:hAnsi="宋体" w:cs="Times New Roman" w:hint="eastAsia"/>
          <w:sz w:val="24"/>
          <w:szCs w:val="24"/>
        </w:rPr>
        <w:t>有约束力的任何协议、合同或其他法律文件。机构投资者及资产管理产品投资者已经按照其章程或者其它内部管理文件的要求取得合法、有效的授权。甲方就签订和履行本协议已经取得所需的一切有关批准、许可、备案或者登记，甲方具有完全适当的资格与能力签订及履行本协议以及以其为一方当事人的任何有关理财产品销售文件。</w:t>
      </w:r>
    </w:p>
    <w:p w:rsidR="00156F5C" w14:paraId="71664BCB"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hint="eastAsia"/>
          <w:sz w:val="24"/>
          <w:szCs w:val="24"/>
        </w:rPr>
        <w:t>3、甲方接受并签署《理财产品说明书》、《风险揭示书》、《销售（代理销售）协议书》、《投资协议书》、《投资者权益须知》等理财产品销售文件，对有关条款不存在任何疑问或异议；</w:t>
      </w:r>
      <w:r>
        <w:rPr>
          <w:rFonts w:ascii="宋体" w:eastAsia="宋体" w:hAnsi="宋体" w:cs="Times New Roman" w:hint="eastAsia"/>
          <w:b/>
          <w:sz w:val="24"/>
          <w:szCs w:val="24"/>
        </w:rPr>
        <w:t>甲方已清楚知悉并同意理财产品销售文件项下理财产品的投资管理等行为由乙方负责实施，完全知晓产品可能出现的各种风险，愿意并能够承担风险。乙方向甲方提供的市场分析和测算仅供参考，甲方据此做出的任何决策均出于甲方自身的判断，并自愿承担所购买（或赎回、撤单等其他行为）理财产品所产生</w:t>
      </w:r>
      <w:r>
        <w:rPr>
          <w:rFonts w:ascii="宋体" w:eastAsia="宋体" w:hAnsi="宋体" w:cs="Times New Roman"/>
          <w:b/>
          <w:sz w:val="24"/>
          <w:szCs w:val="24"/>
        </w:rPr>
        <w:t>的相关风险和全部后果，</w:t>
      </w:r>
      <w:r>
        <w:rPr>
          <w:rFonts w:ascii="宋体" w:eastAsia="宋体" w:hAnsi="宋体" w:cs="Times New Roman" w:hint="eastAsia"/>
          <w:b/>
          <w:sz w:val="24"/>
          <w:szCs w:val="24"/>
        </w:rPr>
        <w:t>乙方不承担任何责任。</w:t>
      </w:r>
    </w:p>
    <w:p w:rsidR="00156F5C" w14:paraId="7C76913F"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sz w:val="24"/>
          <w:szCs w:val="24"/>
        </w:rPr>
        <w:t>4、</w:t>
      </w:r>
      <w:r>
        <w:rPr>
          <w:rFonts w:ascii="宋体" w:eastAsia="宋体" w:hAnsi="宋体" w:cs="Times New Roman" w:hint="eastAsia"/>
          <w:b/>
          <w:sz w:val="24"/>
          <w:szCs w:val="24"/>
        </w:rPr>
        <w:t>甲方购买理财产品的资金为合法自有资金或合法募集资金，不存在使用贷款、发行债券等筹集的非自有资金投资资产管理产品的情形。甲方承诺投资理财产品使用的资金来源合法合</w:t>
      </w:r>
      <w:r>
        <w:rPr>
          <w:rFonts w:ascii="宋体" w:eastAsia="宋体" w:hAnsi="宋体" w:cs="Times New Roman" w:hint="eastAsia"/>
          <w:b/>
          <w:sz w:val="24"/>
          <w:szCs w:val="24"/>
        </w:rPr>
        <w:t>规</w:t>
      </w:r>
      <w:r>
        <w:rPr>
          <w:rFonts w:ascii="宋体" w:eastAsia="宋体" w:hAnsi="宋体" w:cs="Times New Roman" w:hint="eastAsia"/>
          <w:b/>
          <w:sz w:val="24"/>
          <w:szCs w:val="24"/>
        </w:rPr>
        <w:t>，并且系为合法之目的投资本理财产品，而非为洗钱等违法犯罪之目的</w:t>
      </w:r>
      <w:r>
        <w:rPr>
          <w:rFonts w:ascii="宋体" w:eastAsia="宋体" w:hAnsi="宋体" w:cs="Times New Roman" w:hint="eastAsia"/>
          <w:sz w:val="24"/>
          <w:szCs w:val="24"/>
        </w:rPr>
        <w:t>。</w:t>
      </w:r>
      <w:r>
        <w:rPr>
          <w:rFonts w:ascii="宋体" w:eastAsia="宋体" w:hAnsi="宋体" w:cs="Times New Roman" w:hint="eastAsia"/>
          <w:b/>
          <w:sz w:val="24"/>
          <w:szCs w:val="24"/>
        </w:rPr>
        <w:t>甲方将配合乙方及代理销售机构开展反洗钱、反恐怖融资及非居民金融账户涉税信息尽职调查等相关法律、法规及监管规定要求的工作，及时、真实、准确、完整地提供身份信息及资金来源信息并授权乙方对上述信息进行收集、存储、使用、加工、传输、提供等。</w:t>
      </w:r>
    </w:p>
    <w:p w:rsidR="00156F5C" w14:paraId="6BAF0A4E"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hint="eastAsia"/>
          <w:b/>
          <w:sz w:val="24"/>
          <w:szCs w:val="24"/>
        </w:rPr>
        <w:t>第三条</w:t>
      </w:r>
      <w:r>
        <w:rPr>
          <w:rFonts w:ascii="宋体" w:eastAsia="宋体" w:hAnsi="宋体" w:cs="Times New Roman"/>
          <w:b/>
          <w:sz w:val="24"/>
          <w:szCs w:val="24"/>
        </w:rPr>
        <w:t xml:space="preserve"> </w:t>
      </w:r>
      <w:r>
        <w:rPr>
          <w:rFonts w:ascii="宋体" w:eastAsia="宋体" w:hAnsi="宋体" w:cs="Times New Roman" w:hint="eastAsia"/>
          <w:b/>
          <w:sz w:val="24"/>
          <w:szCs w:val="24"/>
        </w:rPr>
        <w:t>双方权利与义务</w:t>
      </w:r>
    </w:p>
    <w:p w:rsidR="00156F5C" w14:paraId="352B4C3F" w14:textId="77777777">
      <w:pPr>
        <w:pStyle w:val="ListParagraph"/>
        <w:widowControl/>
        <w:numPr>
          <w:ilvl w:val="0"/>
          <w:numId w:val="2"/>
        </w:numPr>
        <w:ind w:firstLineChars="0"/>
        <w:jc w:val="left"/>
        <w:rPr>
          <w:rFonts w:ascii="宋体" w:eastAsia="宋体" w:hAnsi="宋体" w:cs="Times New Roman"/>
          <w:b/>
          <w:sz w:val="24"/>
          <w:szCs w:val="24"/>
        </w:rPr>
      </w:pPr>
      <w:r>
        <w:rPr>
          <w:rFonts w:ascii="宋体" w:eastAsia="宋体" w:hAnsi="宋体" w:cs="Times New Roman" w:hint="eastAsia"/>
          <w:b/>
          <w:sz w:val="24"/>
          <w:szCs w:val="24"/>
        </w:rPr>
        <w:t>甲方权利与义务</w:t>
      </w:r>
    </w:p>
    <w:p w:rsidR="00156F5C" w14:paraId="5918D4BE"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sz w:val="24"/>
          <w:szCs w:val="24"/>
        </w:rPr>
        <w:t>1</w:t>
      </w:r>
      <w:r>
        <w:rPr>
          <w:rFonts w:ascii="宋体" w:eastAsia="宋体" w:hAnsi="宋体" w:cs="Times New Roman" w:hint="eastAsia"/>
          <w:sz w:val="24"/>
          <w:szCs w:val="24"/>
        </w:rPr>
        <w:t>、甲方有权依照《理财产品说明书》等理财</w:t>
      </w:r>
      <w:r>
        <w:rPr>
          <w:rFonts w:ascii="宋体" w:eastAsia="宋体" w:hAnsi="宋体" w:cs="Times New Roman"/>
          <w:sz w:val="24"/>
          <w:szCs w:val="24"/>
        </w:rPr>
        <w:t>产品销售文件</w:t>
      </w:r>
      <w:r>
        <w:rPr>
          <w:rFonts w:ascii="宋体" w:eastAsia="宋体" w:hAnsi="宋体" w:cs="Times New Roman" w:hint="eastAsia"/>
          <w:sz w:val="24"/>
          <w:szCs w:val="24"/>
        </w:rPr>
        <w:t>的约定获得投资收益，</w:t>
      </w:r>
      <w:r>
        <w:rPr>
          <w:rFonts w:ascii="宋体" w:eastAsia="宋体" w:hAnsi="宋体" w:cs="Times New Roman" w:hint="eastAsia"/>
          <w:b/>
          <w:sz w:val="24"/>
          <w:szCs w:val="24"/>
        </w:rPr>
        <w:t>在约定的投资期内，投资本金不另计存款利息。</w:t>
      </w:r>
    </w:p>
    <w:p w:rsidR="00156F5C" w14:paraId="28A65E48"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2、甲方承诺所提供的所有资料真实、完整、合法、有效</w:t>
      </w:r>
      <w:r>
        <w:rPr>
          <w:rFonts w:ascii="宋体" w:eastAsia="宋体" w:hAnsi="宋体" w:cs="Times New Roman"/>
          <w:sz w:val="24"/>
          <w:szCs w:val="24"/>
        </w:rPr>
        <w:t>，如有变更，甲方应</w:t>
      </w:r>
      <w:r>
        <w:rPr>
          <w:rFonts w:ascii="宋体" w:eastAsia="宋体" w:hAnsi="宋体" w:cs="Times New Roman" w:hint="eastAsia"/>
          <w:sz w:val="24"/>
          <w:szCs w:val="24"/>
        </w:rPr>
        <w:t>及时到其购买本产品的所有销售机构办理变更手续。</w:t>
      </w:r>
      <w:r>
        <w:rPr>
          <w:rFonts w:ascii="宋体" w:eastAsia="宋体" w:hAnsi="宋体" w:cs="Times New Roman" w:hint="eastAsia"/>
          <w:b/>
          <w:sz w:val="24"/>
          <w:szCs w:val="24"/>
        </w:rPr>
        <w:t>若甲方未及时办理相关变更手续，由此导致的一切后果由甲方自行承担，乙方对此不承担任何责任。</w:t>
      </w:r>
    </w:p>
    <w:p w:rsidR="00156F5C" w14:paraId="117BC128"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sz w:val="24"/>
          <w:szCs w:val="24"/>
        </w:rPr>
        <w:t>3</w:t>
      </w:r>
      <w:r>
        <w:rPr>
          <w:rFonts w:ascii="宋体" w:eastAsia="宋体" w:hAnsi="宋体" w:cs="Times New Roman" w:hint="eastAsia"/>
          <w:sz w:val="24"/>
          <w:szCs w:val="24"/>
        </w:rPr>
        <w:t>、因甲方指定账户冻结、挂失、换卡、销户、长期不动户等原因造成账户</w:t>
      </w:r>
      <w:r>
        <w:rPr>
          <w:rFonts w:ascii="宋体" w:eastAsia="宋体" w:hAnsi="宋体" w:cs="Times New Roman" w:hint="eastAsia"/>
          <w:sz w:val="24"/>
          <w:szCs w:val="24"/>
        </w:rPr>
        <w:t>变更或异常</w:t>
      </w:r>
      <w:r>
        <w:rPr>
          <w:rFonts w:ascii="宋体" w:eastAsia="宋体" w:hAnsi="宋体" w:cs="Times New Roman"/>
          <w:sz w:val="24"/>
          <w:szCs w:val="24"/>
        </w:rPr>
        <w:t>,甲方应及时到</w:t>
      </w:r>
      <w:r>
        <w:rPr>
          <w:rFonts w:ascii="宋体" w:eastAsia="宋体" w:hAnsi="宋体" w:cs="Times New Roman" w:hint="eastAsia"/>
          <w:sz w:val="24"/>
          <w:szCs w:val="24"/>
        </w:rPr>
        <w:t>其购买本产品的所有销售机构</w:t>
      </w:r>
      <w:r>
        <w:rPr>
          <w:rFonts w:ascii="宋体" w:eastAsia="宋体" w:hAnsi="宋体" w:cs="Times New Roman"/>
          <w:sz w:val="24"/>
          <w:szCs w:val="24"/>
        </w:rPr>
        <w:t>办理变更手续。</w:t>
      </w:r>
      <w:r>
        <w:rPr>
          <w:rFonts w:ascii="宋体" w:eastAsia="宋体" w:hAnsi="宋体" w:cs="Times New Roman"/>
          <w:b/>
          <w:sz w:val="24"/>
          <w:szCs w:val="24"/>
        </w:rPr>
        <w:t>如因甲方未及时办理变更手续而造成</w:t>
      </w:r>
      <w:r>
        <w:rPr>
          <w:rFonts w:ascii="宋体" w:eastAsia="宋体" w:hAnsi="宋体" w:cs="Times New Roman" w:hint="eastAsia"/>
          <w:b/>
          <w:sz w:val="24"/>
          <w:szCs w:val="24"/>
        </w:rPr>
        <w:t>其购买本产品的销售机构</w:t>
      </w:r>
      <w:r>
        <w:rPr>
          <w:rFonts w:ascii="宋体" w:eastAsia="宋体" w:hAnsi="宋体" w:cs="Times New Roman"/>
          <w:b/>
          <w:sz w:val="24"/>
          <w:szCs w:val="24"/>
        </w:rPr>
        <w:t>无法向甲方进行正常收益分配和资金清算分配</w:t>
      </w:r>
      <w:r>
        <w:rPr>
          <w:rFonts w:ascii="宋体" w:eastAsia="宋体" w:hAnsi="宋体" w:cs="Times New Roman" w:hint="eastAsia"/>
          <w:b/>
          <w:sz w:val="24"/>
          <w:szCs w:val="24"/>
        </w:rPr>
        <w:t>的</w:t>
      </w:r>
      <w:r>
        <w:rPr>
          <w:rFonts w:ascii="宋体" w:eastAsia="宋体" w:hAnsi="宋体" w:cs="Times New Roman"/>
          <w:b/>
          <w:sz w:val="24"/>
          <w:szCs w:val="24"/>
        </w:rPr>
        <w:t>,由此导致甲方损失的由甲方自行承担,乙方不承担责任。</w:t>
      </w:r>
    </w:p>
    <w:p w:rsidR="00156F5C" w14:paraId="53ADDC91"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sz w:val="24"/>
          <w:szCs w:val="24"/>
        </w:rPr>
        <w:t>4</w:t>
      </w:r>
      <w:r>
        <w:rPr>
          <w:rFonts w:ascii="宋体" w:eastAsia="宋体" w:hAnsi="宋体" w:cs="Times New Roman" w:hint="eastAsia"/>
          <w:sz w:val="24"/>
          <w:szCs w:val="24"/>
        </w:rPr>
        <w:t>、</w:t>
      </w:r>
      <w:r>
        <w:rPr>
          <w:rFonts w:ascii="宋体" w:eastAsia="宋体" w:hAnsi="宋体" w:cs="Times New Roman"/>
          <w:sz w:val="24"/>
          <w:szCs w:val="24"/>
        </w:rPr>
        <w:t>甲方对本协议及其条款负有保密义务，未经乙方书面许可，甲方不得向任</w:t>
      </w:r>
      <w:r>
        <w:rPr>
          <w:rFonts w:ascii="宋体" w:eastAsia="宋体" w:hAnsi="宋体" w:cs="Times New Roman" w:hint="eastAsia"/>
          <w:sz w:val="24"/>
          <w:szCs w:val="24"/>
        </w:rPr>
        <w:t>何组织、个人提供或泄露与乙方有关的业务资料及信息，</w:t>
      </w:r>
      <w:r>
        <w:rPr>
          <w:rFonts w:ascii="宋体" w:eastAsia="宋体" w:hAnsi="宋体" w:cs="Times New Roman"/>
          <w:sz w:val="24"/>
          <w:szCs w:val="24"/>
        </w:rPr>
        <w:t>法律、法规另有规</w:t>
      </w:r>
      <w:r>
        <w:rPr>
          <w:rFonts w:ascii="宋体" w:eastAsia="宋体" w:hAnsi="宋体" w:cs="Times New Roman" w:hint="eastAsia"/>
          <w:sz w:val="24"/>
          <w:szCs w:val="24"/>
        </w:rPr>
        <w:t>定的</w:t>
      </w:r>
      <w:r>
        <w:rPr>
          <w:rFonts w:ascii="宋体" w:eastAsia="宋体" w:hAnsi="宋体" w:cs="Times New Roman"/>
          <w:sz w:val="24"/>
          <w:szCs w:val="24"/>
        </w:rPr>
        <w:t>除</w:t>
      </w:r>
      <w:r>
        <w:rPr>
          <w:rFonts w:ascii="宋体" w:eastAsia="宋体" w:hAnsi="宋体" w:cs="Times New Roman" w:hint="eastAsia"/>
          <w:sz w:val="24"/>
          <w:szCs w:val="24"/>
        </w:rPr>
        <w:t>外。</w:t>
      </w:r>
    </w:p>
    <w:p w:rsidR="00156F5C" w14:paraId="4FF399FD"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b/>
          <w:bCs/>
          <w:sz w:val="24"/>
          <w:szCs w:val="24"/>
        </w:rPr>
        <w:t>5</w:t>
      </w:r>
      <w:r>
        <w:rPr>
          <w:rFonts w:ascii="宋体" w:eastAsia="宋体" w:hAnsi="宋体" w:cs="Times New Roman" w:hint="eastAsia"/>
          <w:b/>
          <w:bCs/>
          <w:sz w:val="24"/>
          <w:szCs w:val="24"/>
        </w:rPr>
        <w:t>、甲方签署本协议，即同意授权乙方及代理销售机构从甲方指定账户冻结或</w:t>
      </w:r>
      <w:r>
        <w:rPr>
          <w:rFonts w:ascii="宋体" w:eastAsia="宋体" w:hAnsi="宋体" w:cs="Times New Roman"/>
          <w:b/>
          <w:bCs/>
          <w:sz w:val="24"/>
          <w:szCs w:val="24"/>
        </w:rPr>
        <w:t>划转</w:t>
      </w:r>
      <w:r>
        <w:rPr>
          <w:rFonts w:ascii="宋体" w:eastAsia="宋体" w:hAnsi="宋体" w:cs="Times New Roman" w:hint="eastAsia"/>
          <w:b/>
          <w:bCs/>
          <w:sz w:val="24"/>
          <w:szCs w:val="24"/>
        </w:rPr>
        <w:t>等额于甲</w:t>
      </w:r>
      <w:r>
        <w:rPr>
          <w:rFonts w:ascii="宋体" w:eastAsia="宋体" w:hAnsi="宋体" w:cs="Times New Roman"/>
          <w:b/>
          <w:bCs/>
          <w:sz w:val="24"/>
          <w:szCs w:val="24"/>
        </w:rPr>
        <w:t>方在本协议项下提交认购或申购的交易金额的资金，</w:t>
      </w:r>
      <w:r>
        <w:rPr>
          <w:rFonts w:ascii="宋体" w:eastAsia="宋体" w:hAnsi="宋体" w:cs="Times New Roman" w:hint="eastAsia"/>
          <w:b/>
          <w:bCs/>
          <w:sz w:val="24"/>
          <w:szCs w:val="24"/>
        </w:rPr>
        <w:t>或</w:t>
      </w:r>
      <w:r>
        <w:rPr>
          <w:rFonts w:ascii="宋体" w:eastAsia="宋体" w:hAnsi="宋体" w:cs="Times New Roman"/>
          <w:b/>
          <w:bCs/>
          <w:sz w:val="24"/>
          <w:szCs w:val="24"/>
        </w:rPr>
        <w:t>进行币种转换于境外投资，</w:t>
      </w:r>
      <w:r>
        <w:rPr>
          <w:rFonts w:ascii="宋体" w:eastAsia="宋体" w:hAnsi="宋体" w:cs="Times New Roman" w:hint="eastAsia"/>
          <w:b/>
          <w:bCs/>
          <w:sz w:val="24"/>
          <w:szCs w:val="24"/>
        </w:rPr>
        <w:t>乙方及</w:t>
      </w:r>
      <w:r>
        <w:rPr>
          <w:rFonts w:ascii="宋体" w:eastAsia="宋体" w:hAnsi="宋体" w:cs="Times New Roman"/>
          <w:b/>
          <w:bCs/>
          <w:sz w:val="24"/>
          <w:szCs w:val="24"/>
        </w:rPr>
        <w:t>代理销售机构在</w:t>
      </w:r>
      <w:r>
        <w:rPr>
          <w:rFonts w:ascii="宋体" w:eastAsia="宋体" w:hAnsi="宋体" w:cs="Times New Roman" w:hint="eastAsia"/>
          <w:b/>
          <w:bCs/>
          <w:sz w:val="24"/>
          <w:szCs w:val="24"/>
        </w:rPr>
        <w:t>冻结或</w:t>
      </w:r>
      <w:r>
        <w:rPr>
          <w:rFonts w:ascii="宋体" w:eastAsia="宋体" w:hAnsi="宋体" w:cs="Times New Roman"/>
          <w:b/>
          <w:bCs/>
          <w:sz w:val="24"/>
          <w:szCs w:val="24"/>
        </w:rPr>
        <w:t>划款时均无须再通知甲方。</w:t>
      </w:r>
      <w:r>
        <w:rPr>
          <w:rFonts w:ascii="宋体" w:eastAsia="宋体" w:hAnsi="宋体" w:cs="Times New Roman" w:hint="eastAsia"/>
          <w:b/>
          <w:sz w:val="24"/>
          <w:szCs w:val="24"/>
        </w:rPr>
        <w:t>在产品认（申）</w:t>
      </w:r>
      <w:r>
        <w:rPr>
          <w:rFonts w:ascii="宋体" w:eastAsia="宋体" w:hAnsi="宋体" w:cs="Times New Roman" w:hint="eastAsia"/>
          <w:b/>
          <w:sz w:val="24"/>
          <w:szCs w:val="24"/>
        </w:rPr>
        <w:t>购期内</w:t>
      </w:r>
      <w:r>
        <w:rPr>
          <w:rFonts w:ascii="宋体" w:eastAsia="宋体" w:hAnsi="宋体" w:cs="Times New Roman" w:hint="eastAsia"/>
          <w:b/>
          <w:sz w:val="24"/>
          <w:szCs w:val="24"/>
        </w:rPr>
        <w:t>，如因甲方原因导致投资本金不能从甲方指定账户足额划转导致甲方对相关理财产品的购买不成功的，乙方不承担责任。</w:t>
      </w:r>
    </w:p>
    <w:p w:rsidR="00156F5C" w14:paraId="4F676DA7"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sz w:val="24"/>
          <w:szCs w:val="24"/>
        </w:rPr>
        <w:t>6</w:t>
      </w:r>
      <w:r>
        <w:rPr>
          <w:rFonts w:ascii="宋体" w:eastAsia="宋体" w:hAnsi="宋体" w:cs="Times New Roman" w:hint="eastAsia"/>
          <w:sz w:val="24"/>
          <w:szCs w:val="24"/>
        </w:rPr>
        <w:t>、如甲方在本协议项下投资的理财产品为《理财产品说明书》声明的面向</w:t>
      </w:r>
      <w:r>
        <w:rPr>
          <w:rFonts w:ascii="宋体" w:eastAsia="宋体" w:hAnsi="宋体" w:cs="Times New Roman"/>
          <w:sz w:val="24"/>
          <w:szCs w:val="24"/>
        </w:rPr>
        <w:t>合格投资者发行的理财产品，甲方</w:t>
      </w:r>
      <w:r>
        <w:rPr>
          <w:rFonts w:ascii="宋体" w:eastAsia="宋体" w:hAnsi="宋体" w:cs="Times New Roman" w:hint="eastAsia"/>
          <w:sz w:val="24"/>
          <w:szCs w:val="24"/>
        </w:rPr>
        <w:t>承诺其</w:t>
      </w:r>
      <w:r>
        <w:rPr>
          <w:rFonts w:ascii="宋体" w:eastAsia="宋体" w:hAnsi="宋体" w:cs="Times New Roman"/>
          <w:sz w:val="24"/>
          <w:szCs w:val="24"/>
        </w:rPr>
        <w:t>符合监管要求的合格投资者条件。</w:t>
      </w:r>
    </w:p>
    <w:p w:rsidR="00156F5C" w14:paraId="4DE68B57"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hint="eastAsia"/>
          <w:sz w:val="24"/>
          <w:szCs w:val="24"/>
        </w:rPr>
        <w:t>7、甲方保证熟悉理财产品类型特征及不同销售渠道的相关规定，了解理财产品直销与代销的相关区别。对于甲方通过乙方或代理销售机构的网上银行、手机银行等销售渠道方式购买的理财产品（不受限于本产品），</w:t>
      </w:r>
      <w:r>
        <w:rPr>
          <w:rFonts w:ascii="宋体" w:eastAsia="宋体" w:hAnsi="宋体" w:cs="Times New Roman" w:hint="eastAsia"/>
          <w:b/>
          <w:sz w:val="24"/>
          <w:szCs w:val="24"/>
        </w:rPr>
        <w:t>甲方确认其在乙方或代理销售机构渠道系统点击确认的理财产品销售文件的合法有效性，与纸质签署具有同等效力，并确认相关记录构成对甲方操作行为（包括但不限于购买、赎回、撤单等业务）的证据，并且在双方发生争议时可以作为合法有效的证据使用。</w:t>
      </w:r>
    </w:p>
    <w:p w:rsidR="00156F5C" w14:paraId="207C631F"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sz w:val="24"/>
          <w:szCs w:val="24"/>
        </w:rPr>
        <w:t>8</w:t>
      </w:r>
      <w:r>
        <w:rPr>
          <w:rFonts w:ascii="宋体" w:eastAsia="宋体" w:hAnsi="宋体" w:cs="Times New Roman" w:hint="eastAsia"/>
          <w:sz w:val="24"/>
          <w:szCs w:val="24"/>
        </w:rPr>
        <w:t>、</w:t>
      </w:r>
      <w:r>
        <w:rPr>
          <w:rFonts w:ascii="宋体" w:eastAsia="宋体" w:hAnsi="宋体" w:cs="Times New Roman" w:hint="eastAsia"/>
          <w:b/>
          <w:sz w:val="24"/>
          <w:szCs w:val="24"/>
        </w:rPr>
        <w:t>甲方认可乙方按《理财产品说明书》中约定的方式披露理财产品相关信息，</w:t>
      </w:r>
      <w:r>
        <w:rPr>
          <w:rFonts w:ascii="宋体" w:eastAsia="宋体" w:hAnsi="宋体" w:cs="Times New Roman" w:hint="eastAsia"/>
          <w:sz w:val="24"/>
          <w:szCs w:val="24"/>
        </w:rPr>
        <w:t>包括但不限于理财产品销售文件修改及补充、发行公告、定期报告、到期公告、重要事项公告等。</w:t>
      </w:r>
    </w:p>
    <w:p w:rsidR="00156F5C" w14:paraId="5EF35FEC"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b/>
          <w:sz w:val="24"/>
          <w:szCs w:val="24"/>
        </w:rPr>
        <w:t>9、如甲方投资的理财产品为私募理财产品，则募集期最后一日为产品冷静期，冷静</w:t>
      </w:r>
      <w:r>
        <w:rPr>
          <w:rFonts w:ascii="宋体" w:eastAsia="宋体" w:hAnsi="宋体" w:cs="Times New Roman" w:hint="eastAsia"/>
          <w:b/>
          <w:sz w:val="24"/>
          <w:szCs w:val="24"/>
        </w:rPr>
        <w:t>期具体</w:t>
      </w:r>
      <w:r>
        <w:rPr>
          <w:rFonts w:ascii="宋体" w:eastAsia="宋体" w:hAnsi="宋体" w:cs="Times New Roman" w:hint="eastAsia"/>
          <w:b/>
          <w:sz w:val="24"/>
          <w:szCs w:val="24"/>
        </w:rPr>
        <w:t>设置规则以《理财产品说明书》为准。在冷静期内，如甲方改变投资决定，应立即撤销认（申）购的申请或通过其购买本产品的所有销售机构向乙方提出解除相应理财产品销售文件，乙方应当遵从甲方意愿，解除已签订的理财产品销售文件，并由其购买本产品的销售机构及时退还甲方的全部投资款项。</w:t>
      </w:r>
    </w:p>
    <w:p w:rsidR="00156F5C" w14:paraId="39B3BB66"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sz w:val="24"/>
          <w:szCs w:val="24"/>
        </w:rPr>
        <w:t>10</w:t>
      </w:r>
      <w:r>
        <w:rPr>
          <w:rFonts w:ascii="宋体" w:eastAsia="宋体" w:hAnsi="宋体" w:cs="Times New Roman" w:hint="eastAsia"/>
          <w:sz w:val="24"/>
          <w:szCs w:val="24"/>
        </w:rPr>
        <w:t>、若甲方为</w:t>
      </w:r>
      <w:r>
        <w:rPr>
          <w:rFonts w:ascii="宋体" w:eastAsia="宋体" w:hAnsi="宋体" w:cs="Times New Roman" w:hint="eastAsia"/>
          <w:sz w:val="24"/>
          <w:szCs w:val="24"/>
        </w:rPr>
        <w:t>非机构</w:t>
      </w:r>
      <w:r>
        <w:rPr>
          <w:rFonts w:ascii="宋体" w:eastAsia="宋体" w:hAnsi="宋体" w:cs="Times New Roman" w:hint="eastAsia"/>
          <w:sz w:val="24"/>
          <w:szCs w:val="24"/>
        </w:rPr>
        <w:t>投资者，则对于乙方发行的、</w:t>
      </w:r>
      <w:r>
        <w:rPr>
          <w:rFonts w:ascii="宋体" w:eastAsia="宋体" w:hAnsi="宋体" w:cs="Times New Roman"/>
          <w:sz w:val="24"/>
          <w:szCs w:val="24"/>
        </w:rPr>
        <w:t>被乙方</w:t>
      </w:r>
      <w:r>
        <w:rPr>
          <w:rFonts w:ascii="宋体" w:eastAsia="宋体" w:hAnsi="宋体" w:cs="Times New Roman" w:hint="eastAsia"/>
          <w:sz w:val="24"/>
          <w:szCs w:val="24"/>
        </w:rPr>
        <w:t>或代理销售机构</w:t>
      </w:r>
      <w:r>
        <w:rPr>
          <w:rFonts w:ascii="宋体" w:eastAsia="宋体" w:hAnsi="宋体" w:cs="Times New Roman"/>
          <w:sz w:val="24"/>
          <w:szCs w:val="24"/>
        </w:rPr>
        <w:t>认定</w:t>
      </w:r>
      <w:r>
        <w:rPr>
          <w:rFonts w:ascii="宋体" w:eastAsia="宋体" w:hAnsi="宋体" w:cs="Times New Roman" w:hint="eastAsia"/>
          <w:sz w:val="24"/>
          <w:szCs w:val="24"/>
        </w:rPr>
        <w:t>风险评级为四级及以上（即中高</w:t>
      </w:r>
      <w:r>
        <w:rPr>
          <w:rFonts w:ascii="宋体" w:eastAsia="宋体" w:hAnsi="宋体" w:cs="Times New Roman"/>
          <w:sz w:val="24"/>
          <w:szCs w:val="24"/>
        </w:rPr>
        <w:t>风险和高风险</w:t>
      </w:r>
      <w:r>
        <w:rPr>
          <w:rFonts w:ascii="宋体" w:eastAsia="宋体" w:hAnsi="宋体" w:cs="Times New Roman" w:hint="eastAsia"/>
          <w:sz w:val="24"/>
          <w:szCs w:val="24"/>
        </w:rPr>
        <w:t>）的理财产品，甲方</w:t>
      </w:r>
      <w:r>
        <w:rPr>
          <w:rFonts w:ascii="宋体" w:eastAsia="宋体" w:hAnsi="宋体" w:cs="Times New Roman" w:hint="eastAsia"/>
          <w:sz w:val="24"/>
          <w:szCs w:val="24"/>
        </w:rPr>
        <w:t>需前往</w:t>
      </w:r>
      <w:r>
        <w:rPr>
          <w:rFonts w:ascii="宋体" w:eastAsia="宋体" w:hAnsi="宋体" w:cs="Times New Roman" w:hint="eastAsia"/>
          <w:sz w:val="24"/>
          <w:szCs w:val="24"/>
        </w:rPr>
        <w:t>乙方或代理销售机构认可</w:t>
      </w:r>
      <w:r>
        <w:rPr>
          <w:rFonts w:ascii="宋体" w:eastAsia="宋体" w:hAnsi="宋体" w:cs="Times New Roman"/>
          <w:sz w:val="24"/>
          <w:szCs w:val="24"/>
        </w:rPr>
        <w:t>的</w:t>
      </w:r>
      <w:r>
        <w:rPr>
          <w:rFonts w:ascii="宋体" w:eastAsia="宋体" w:hAnsi="宋体" w:cs="Times New Roman" w:hint="eastAsia"/>
          <w:sz w:val="24"/>
          <w:szCs w:val="24"/>
        </w:rPr>
        <w:t>营业网点进行购买，但已与乙方或代理销售机构当面书面约定过的情况除外。</w:t>
      </w:r>
      <w:r>
        <w:rPr>
          <w:rFonts w:ascii="宋体" w:eastAsia="宋体" w:hAnsi="宋体" w:cs="Times New Roman" w:hint="eastAsia"/>
          <w:b/>
          <w:sz w:val="24"/>
          <w:szCs w:val="24"/>
        </w:rPr>
        <w:t>甲方与乙方或代理销售机构已有当面书面约定的，即视为同意乙方及代理销售机构后续通过线</w:t>
      </w:r>
      <w:r>
        <w:rPr>
          <w:rFonts w:ascii="宋体" w:eastAsia="宋体" w:hAnsi="宋体" w:cs="Times New Roman" w:hint="eastAsia"/>
          <w:b/>
          <w:sz w:val="24"/>
          <w:szCs w:val="24"/>
        </w:rPr>
        <w:t>上渠道</w:t>
      </w:r>
      <w:r>
        <w:rPr>
          <w:rFonts w:ascii="宋体" w:eastAsia="宋体" w:hAnsi="宋体" w:cs="Times New Roman" w:hint="eastAsia"/>
          <w:b/>
          <w:sz w:val="24"/>
          <w:szCs w:val="24"/>
        </w:rPr>
        <w:t>向其推介和销售乙方发行的理财产品（包括评级为四级及以上的中高风险和高风险的理财产品），知晓并确认通过线</w:t>
      </w:r>
      <w:r>
        <w:rPr>
          <w:rFonts w:ascii="宋体" w:eastAsia="宋体" w:hAnsi="宋体" w:cs="Times New Roman" w:hint="eastAsia"/>
          <w:b/>
          <w:sz w:val="24"/>
          <w:szCs w:val="24"/>
        </w:rPr>
        <w:t>上渠道</w:t>
      </w:r>
      <w:r>
        <w:rPr>
          <w:rFonts w:ascii="宋体" w:eastAsia="宋体" w:hAnsi="宋体" w:cs="Times New Roman" w:hint="eastAsia"/>
          <w:b/>
          <w:sz w:val="24"/>
          <w:szCs w:val="24"/>
        </w:rPr>
        <w:t>办理，均是基于其对产品的特点、期限、流动性及相关风险的充分理解和评估下所</w:t>
      </w:r>
      <w:r>
        <w:rPr>
          <w:rFonts w:ascii="宋体" w:eastAsia="宋体" w:hAnsi="宋体" w:cs="Times New Roman" w:hint="eastAsia"/>
          <w:b/>
          <w:sz w:val="24"/>
          <w:szCs w:val="24"/>
        </w:rPr>
        <w:t>作出</w:t>
      </w:r>
      <w:r>
        <w:rPr>
          <w:rFonts w:ascii="宋体" w:eastAsia="宋体" w:hAnsi="宋体" w:cs="Times New Roman" w:hint="eastAsia"/>
          <w:b/>
          <w:sz w:val="24"/>
          <w:szCs w:val="24"/>
        </w:rPr>
        <w:t>的独立判断，由此产生的一切后果，将由甲方自行独立承担。</w:t>
      </w:r>
    </w:p>
    <w:p w:rsidR="00156F5C" w14:paraId="3F2909A7"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sz w:val="24"/>
          <w:szCs w:val="24"/>
        </w:rPr>
        <w:t>1</w:t>
      </w:r>
      <w:r>
        <w:rPr>
          <w:rFonts w:ascii="宋体" w:eastAsia="宋体" w:hAnsi="宋体" w:cs="Times New Roman" w:hint="eastAsia"/>
          <w:sz w:val="24"/>
          <w:szCs w:val="24"/>
        </w:rPr>
        <w:t>、</w:t>
      </w:r>
      <w:r>
        <w:rPr>
          <w:rFonts w:ascii="宋体" w:eastAsia="宋体" w:hAnsi="宋体" w:cs="Times New Roman"/>
          <w:b/>
          <w:sz w:val="24"/>
          <w:szCs w:val="24"/>
        </w:rPr>
        <w:t>甲方承诺在产品存续期内，除非按照《</w:t>
      </w:r>
      <w:r>
        <w:rPr>
          <w:rFonts w:ascii="宋体" w:eastAsia="宋体" w:hAnsi="宋体" w:cs="Times New Roman" w:hint="eastAsia"/>
          <w:b/>
          <w:sz w:val="24"/>
          <w:szCs w:val="24"/>
        </w:rPr>
        <w:t>理财</w:t>
      </w:r>
      <w:r>
        <w:rPr>
          <w:rFonts w:ascii="宋体" w:eastAsia="宋体" w:hAnsi="宋体" w:cs="Times New Roman"/>
          <w:b/>
          <w:sz w:val="24"/>
          <w:szCs w:val="24"/>
        </w:rPr>
        <w:t>产品说明书》约定行权终止理财产</w:t>
      </w:r>
      <w:r>
        <w:rPr>
          <w:rFonts w:ascii="宋体" w:eastAsia="宋体" w:hAnsi="宋体" w:cs="Times New Roman" w:hint="eastAsia"/>
          <w:b/>
          <w:sz w:val="24"/>
          <w:szCs w:val="24"/>
        </w:rPr>
        <w:t>品，否则不得要求乙方在产品到期日</w:t>
      </w:r>
      <w:r>
        <w:rPr>
          <w:rFonts w:ascii="宋体" w:eastAsia="宋体" w:hAnsi="宋体" w:cs="Times New Roman"/>
          <w:b/>
          <w:sz w:val="24"/>
          <w:szCs w:val="24"/>
        </w:rPr>
        <w:t>或</w:t>
      </w:r>
      <w:r>
        <w:rPr>
          <w:rFonts w:ascii="宋体" w:eastAsia="宋体" w:hAnsi="宋体" w:cs="Times New Roman" w:hint="eastAsia"/>
          <w:b/>
          <w:sz w:val="24"/>
          <w:szCs w:val="24"/>
        </w:rPr>
        <w:t>开放日前退还已扣划款项或以任何形式清算其持有的理财产品份额，且不得将甲方指定账户销户。</w:t>
      </w:r>
      <w:r>
        <w:rPr>
          <w:rFonts w:ascii="宋体" w:eastAsia="宋体" w:hAnsi="宋体" w:cs="Times New Roman" w:hint="eastAsia"/>
          <w:sz w:val="24"/>
          <w:szCs w:val="24"/>
        </w:rPr>
        <w:t>代理销售机构即为甲方指定账户开户银行的，代理销售机构有权拒绝甲方的销户请求并及时告知乙方。</w:t>
      </w:r>
    </w:p>
    <w:p w:rsidR="00156F5C" w14:paraId="24641E17"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b/>
          <w:sz w:val="24"/>
          <w:szCs w:val="24"/>
        </w:rPr>
        <w:t>12、如因甲方原因，导致乙方对</w:t>
      </w:r>
      <w:r>
        <w:rPr>
          <w:rFonts w:ascii="宋体" w:eastAsia="宋体" w:hAnsi="宋体" w:cs="Times New Roman" w:hint="eastAsia"/>
          <w:b/>
          <w:sz w:val="24"/>
          <w:szCs w:val="24"/>
        </w:rPr>
        <w:t>其他第三</w:t>
      </w:r>
      <w:r>
        <w:rPr>
          <w:rFonts w:ascii="宋体" w:eastAsia="宋体" w:hAnsi="宋体" w:cs="Times New Roman" w:hint="eastAsia"/>
          <w:b/>
          <w:sz w:val="24"/>
          <w:szCs w:val="24"/>
        </w:rPr>
        <w:t>方承担赔偿责任的，甲方应承担相应的赔偿责任。</w:t>
      </w:r>
    </w:p>
    <w:p w:rsidR="00156F5C" w14:paraId="2FE32AB4"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sz w:val="24"/>
          <w:szCs w:val="24"/>
        </w:rPr>
        <w:t>3</w:t>
      </w:r>
      <w:r>
        <w:rPr>
          <w:rFonts w:ascii="宋体" w:eastAsia="宋体" w:hAnsi="宋体" w:cs="Times New Roman" w:hint="eastAsia"/>
          <w:sz w:val="24"/>
          <w:szCs w:val="24"/>
        </w:rPr>
        <w:t>、法律、法规、监管规定和其他在本产品所对应理财产品销售文件中约定的甲方的权利与义务。</w:t>
      </w:r>
    </w:p>
    <w:p w:rsidR="00156F5C" w14:paraId="38EA06C5" w14:textId="77777777">
      <w:pPr>
        <w:spacing w:line="360" w:lineRule="auto"/>
        <w:ind w:left="482"/>
        <w:rPr>
          <w:rFonts w:ascii="宋体" w:eastAsia="宋体" w:hAnsi="宋体" w:cs="Times New Roman"/>
          <w:strike/>
          <w:sz w:val="24"/>
          <w:szCs w:val="24"/>
        </w:rPr>
      </w:pPr>
    </w:p>
    <w:p w:rsidR="00156F5C" w14:paraId="05128312" w14:textId="77777777">
      <w:pPr>
        <w:spacing w:line="360" w:lineRule="auto"/>
        <w:ind w:left="482"/>
        <w:rPr>
          <w:rFonts w:ascii="宋体" w:eastAsia="宋体" w:hAnsi="宋体" w:cs="Times New Roman"/>
          <w:b/>
          <w:sz w:val="24"/>
          <w:szCs w:val="24"/>
        </w:rPr>
      </w:pPr>
      <w:r>
        <w:rPr>
          <w:rFonts w:ascii="宋体" w:eastAsia="宋体" w:hAnsi="宋体" w:cs="Times New Roman" w:hint="eastAsia"/>
          <w:b/>
          <w:sz w:val="24"/>
          <w:szCs w:val="24"/>
        </w:rPr>
        <w:t>（二）乙方权利与义务</w:t>
      </w:r>
    </w:p>
    <w:p w:rsidR="00156F5C" w14:paraId="323AF24D" w14:textId="77777777">
      <w:pPr>
        <w:spacing w:line="360" w:lineRule="auto"/>
        <w:ind w:firstLine="480" w:firstLineChars="20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1、乙方有权依据法律、法规</w:t>
      </w:r>
      <w:r>
        <w:rPr>
          <w:rFonts w:ascii="宋体" w:eastAsia="宋体" w:hAnsi="宋体" w:cs="Times New Roman"/>
          <w:color w:val="000000" w:themeColor="text1"/>
          <w:sz w:val="24"/>
          <w:szCs w:val="24"/>
        </w:rPr>
        <w:t>、</w:t>
      </w:r>
      <w:r>
        <w:rPr>
          <w:rFonts w:ascii="宋体" w:eastAsia="宋体" w:hAnsi="宋体" w:cs="Times New Roman" w:hint="eastAsia"/>
          <w:color w:val="000000" w:themeColor="text1"/>
          <w:sz w:val="24"/>
          <w:szCs w:val="24"/>
        </w:rPr>
        <w:t>监管规定和理财产品销售文件约定，根据管理、运用和处分理财产品财产的需要，独立对理财产品资金进行投资管理，乙方也可选任或委托经相关监管机构批准或认可的其他理财投资合作机构对产品资金进行投资管理。</w:t>
      </w:r>
    </w:p>
    <w:p w:rsidR="00156F5C" w14:paraId="1A6E469F" w14:textId="77777777">
      <w:pPr>
        <w:spacing w:line="360" w:lineRule="auto"/>
        <w:ind w:firstLine="480" w:firstLineChars="200"/>
        <w:rPr>
          <w:rFonts w:ascii="宋体" w:eastAsia="宋体" w:hAnsi="宋体" w:cs="Times New Roman"/>
          <w:b/>
          <w:color w:val="000000" w:themeColor="text1"/>
          <w:sz w:val="24"/>
          <w:szCs w:val="24"/>
          <w:highlight w:val="yellow"/>
        </w:rPr>
      </w:pPr>
      <w:r>
        <w:rPr>
          <w:rFonts w:ascii="宋体" w:eastAsia="宋体" w:hAnsi="宋体" w:cs="Times New Roman"/>
          <w:b/>
          <w:color w:val="000000" w:themeColor="text1"/>
          <w:sz w:val="24"/>
          <w:szCs w:val="24"/>
        </w:rPr>
        <w:t>2、乙方有权以产品管理人名义,全权负责</w:t>
      </w:r>
      <w:r>
        <w:rPr>
          <w:rFonts w:ascii="宋体" w:eastAsia="宋体" w:hAnsi="宋体" w:cs="Times New Roman" w:hint="eastAsia"/>
          <w:b/>
          <w:color w:val="000000" w:themeColor="text1"/>
          <w:sz w:val="24"/>
          <w:szCs w:val="24"/>
        </w:rPr>
        <w:t>本理财产品资金的运用和理财产品资产的管理</w:t>
      </w:r>
      <w:r>
        <w:rPr>
          <w:rFonts w:ascii="宋体" w:eastAsia="宋体" w:hAnsi="宋体" w:cs="Times New Roman"/>
          <w:b/>
          <w:color w:val="000000" w:themeColor="text1"/>
          <w:sz w:val="24"/>
          <w:szCs w:val="24"/>
        </w:rPr>
        <w:t>,代表投资者利益行使诉讼权利或者实施其他法律行为，例如代表理财产品及其全部投资人参加与理财产品所投资资产相关的所有会议，并对相关事项进行表决；代表投资者利益,按照法律</w:t>
      </w:r>
      <w:r>
        <w:rPr>
          <w:rFonts w:ascii="宋体" w:eastAsia="宋体" w:hAnsi="宋体" w:cs="Times New Roman" w:hint="eastAsia"/>
          <w:b/>
          <w:color w:val="000000" w:themeColor="text1"/>
          <w:sz w:val="24"/>
          <w:szCs w:val="24"/>
        </w:rPr>
        <w:t>、法规和监管规定对理财产品投资产生的风险资产进行多种方式的处置</w:t>
      </w:r>
      <w:r>
        <w:rPr>
          <w:rFonts w:ascii="宋体" w:eastAsia="宋体" w:hAnsi="宋体" w:cs="Times New Roman"/>
          <w:b/>
          <w:color w:val="000000" w:themeColor="text1"/>
          <w:sz w:val="24"/>
          <w:szCs w:val="24"/>
        </w:rPr>
        <w:t>,包括但不限于转让、重组、债转股、资产证券化、委外催收、抵债资产收取与处置、破产重整等，由此产生的费用和法律</w:t>
      </w:r>
      <w:r>
        <w:rPr>
          <w:rFonts w:ascii="宋体" w:eastAsia="宋体" w:hAnsi="宋体" w:cs="Times New Roman" w:hint="eastAsia"/>
          <w:b/>
          <w:color w:val="000000" w:themeColor="text1"/>
          <w:sz w:val="24"/>
          <w:szCs w:val="24"/>
        </w:rPr>
        <w:t>后果由理财产品承担。在理财产品投资过程中发生任何争议，乙方有权以产品管理人的名</w:t>
      </w:r>
      <w:r>
        <w:rPr>
          <w:rFonts w:ascii="宋体" w:eastAsia="宋体" w:hAnsi="宋体" w:cs="Times New Roman"/>
          <w:b/>
          <w:color w:val="000000" w:themeColor="text1"/>
          <w:sz w:val="24"/>
          <w:szCs w:val="24"/>
        </w:rPr>
        <w:t>义代表理财产品进行维权，行使包括但不限于提起诉讼/仲裁、申请保全/执行等权利，由此产生的费用和法律后果由理财产品承担</w:t>
      </w:r>
      <w:r>
        <w:rPr>
          <w:rFonts w:ascii="宋体" w:eastAsia="宋体" w:hAnsi="宋体" w:cs="Times New Roman" w:hint="eastAsia"/>
          <w:b/>
          <w:color w:val="000000" w:themeColor="text1"/>
          <w:sz w:val="24"/>
          <w:szCs w:val="24"/>
        </w:rPr>
        <w:t>。甲方对此充分理解并同意该等授权安排。</w:t>
      </w:r>
      <w:r>
        <w:rPr>
          <w:rFonts w:ascii="宋体" w:eastAsia="宋体" w:hAnsi="宋体" w:cs="Times New Roman"/>
          <w:b/>
          <w:color w:val="000000" w:themeColor="text1"/>
          <w:sz w:val="24"/>
          <w:szCs w:val="24"/>
        </w:rPr>
        <w:t>乙方采取上述行动所产生的费用</w:t>
      </w:r>
      <w:r>
        <w:rPr>
          <w:rFonts w:ascii="宋体" w:eastAsia="宋体" w:hAnsi="宋体" w:cs="Times New Roman" w:hint="eastAsia"/>
          <w:b/>
          <w:color w:val="000000" w:themeColor="text1"/>
          <w:sz w:val="24"/>
          <w:szCs w:val="24"/>
        </w:rPr>
        <w:t>，</w:t>
      </w:r>
      <w:r>
        <w:rPr>
          <w:rFonts w:ascii="宋体" w:eastAsia="宋体" w:hAnsi="宋体" w:cs="Times New Roman"/>
          <w:b/>
          <w:color w:val="000000" w:themeColor="text1"/>
          <w:sz w:val="24"/>
          <w:szCs w:val="24"/>
        </w:rPr>
        <w:t>若乙方进行垫付的，乙方有权直接从理财产品财产中优先受偿。</w:t>
      </w:r>
    </w:p>
    <w:p w:rsidR="00156F5C" w14:paraId="139802A7" w14:textId="77777777">
      <w:pPr>
        <w:spacing w:line="360" w:lineRule="auto"/>
        <w:ind w:firstLine="480" w:firstLineChars="20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3</w:t>
      </w:r>
      <w:r>
        <w:rPr>
          <w:rFonts w:ascii="宋体" w:eastAsia="宋体" w:hAnsi="宋体" w:cs="Times New Roman" w:hint="eastAsia"/>
          <w:color w:val="000000" w:themeColor="text1"/>
          <w:sz w:val="24"/>
          <w:szCs w:val="24"/>
        </w:rPr>
        <w:t>、</w:t>
      </w:r>
      <w:r>
        <w:rPr>
          <w:rFonts w:ascii="宋体" w:eastAsia="宋体" w:hAnsi="宋体" w:cs="Times New Roman"/>
          <w:b/>
          <w:color w:val="000000" w:themeColor="text1"/>
          <w:sz w:val="24"/>
          <w:szCs w:val="24"/>
        </w:rPr>
        <w:t>乙方有权依照《理财产品说明书》</w:t>
      </w:r>
      <w:r>
        <w:rPr>
          <w:rFonts w:ascii="宋体" w:eastAsia="宋体" w:hAnsi="宋体" w:cs="Times New Roman" w:hint="eastAsia"/>
          <w:b/>
          <w:color w:val="000000" w:themeColor="text1"/>
          <w:sz w:val="24"/>
          <w:szCs w:val="24"/>
        </w:rPr>
        <w:t>的</w:t>
      </w:r>
      <w:r>
        <w:rPr>
          <w:rFonts w:ascii="宋体" w:eastAsia="宋体" w:hAnsi="宋体" w:cs="Times New Roman"/>
          <w:b/>
          <w:color w:val="000000" w:themeColor="text1"/>
          <w:sz w:val="24"/>
          <w:szCs w:val="24"/>
        </w:rPr>
        <w:t>约定收取</w:t>
      </w:r>
      <w:r>
        <w:rPr>
          <w:rFonts w:ascii="宋体" w:eastAsia="宋体" w:hAnsi="宋体" w:cs="Times New Roman" w:hint="eastAsia"/>
          <w:b/>
          <w:color w:val="000000" w:themeColor="text1"/>
          <w:sz w:val="24"/>
          <w:szCs w:val="24"/>
        </w:rPr>
        <w:t>固定管理费、浮动管理费、销售服务费等</w:t>
      </w:r>
      <w:r>
        <w:rPr>
          <w:rFonts w:ascii="宋体" w:eastAsia="宋体" w:hAnsi="宋体" w:cs="Times New Roman"/>
          <w:b/>
          <w:color w:val="000000" w:themeColor="text1"/>
          <w:sz w:val="24"/>
          <w:szCs w:val="24"/>
        </w:rPr>
        <w:t>理</w:t>
      </w:r>
      <w:r>
        <w:rPr>
          <w:rFonts w:ascii="宋体" w:eastAsia="宋体" w:hAnsi="宋体" w:cs="Times New Roman" w:hint="eastAsia"/>
          <w:b/>
          <w:color w:val="000000" w:themeColor="text1"/>
          <w:sz w:val="24"/>
          <w:szCs w:val="24"/>
        </w:rPr>
        <w:t>财产品相关费用，具体收费项目、条件、方式和标准详见《理财产品说明书》。乙方亦有权对已约定的收费项目、条件、标准和方式进行调整，但须在调整前通过《理财产品说明书》约定的信息披露渠道向投资者进行信息披露。</w:t>
      </w:r>
    </w:p>
    <w:p w:rsidR="00156F5C" w14:paraId="49AA7FAF" w14:textId="77777777">
      <w:pPr>
        <w:spacing w:line="360" w:lineRule="auto"/>
        <w:ind w:firstLine="480" w:firstLineChars="20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4</w:t>
      </w:r>
      <w:r>
        <w:rPr>
          <w:rFonts w:ascii="宋体" w:eastAsia="宋体" w:hAnsi="宋体" w:cs="Times New Roman" w:hint="eastAsia"/>
          <w:color w:val="000000" w:themeColor="text1"/>
          <w:sz w:val="24"/>
          <w:szCs w:val="24"/>
        </w:rPr>
        <w:t>、乙方有权按照《理财产品说明书》的约定确定收益分配方案、向甲方分配收益。</w:t>
      </w:r>
    </w:p>
    <w:p w:rsidR="00156F5C" w14:paraId="2CF12D33" w14:textId="7B6268DE">
      <w:pPr>
        <w:spacing w:line="360" w:lineRule="auto"/>
        <w:ind w:firstLine="480" w:firstLineChars="20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、乙方有权按照《理财产品说明书》的约定披露理财产品相关信息。相关信息披露内容构成理财产品销售文件不可分割的一部分，与理财产品销售文件具有同等效力，</w:t>
      </w:r>
      <w:r>
        <w:rPr>
          <w:rFonts w:ascii="宋体" w:eastAsia="宋体" w:hAnsi="宋体" w:cs="Times New Roman" w:hint="eastAsia"/>
          <w:b/>
          <w:bCs/>
          <w:color w:val="000000" w:themeColor="text1"/>
          <w:sz w:val="24"/>
          <w:szCs w:val="24"/>
        </w:rPr>
        <w:t>甲方应在充分知晓、理解有关信息披露内容后签署本协议，并在签署本协议后通过约定的信息披露渠道持续关注理财产品信息披露内容。</w:t>
      </w:r>
    </w:p>
    <w:p w:rsidR="00156F5C" w14:paraId="3B5FC216" w14:textId="4EEAEB73">
      <w:pPr>
        <w:spacing w:line="360" w:lineRule="auto"/>
        <w:ind w:firstLine="480" w:firstLineChars="200"/>
        <w:rPr>
          <w:rFonts w:ascii="宋体" w:eastAsia="宋体" w:hAnsi="宋体" w:cs="Times New Roman"/>
          <w:b/>
          <w:bCs/>
          <w:color w:val="000000" w:themeColor="text1"/>
          <w:sz w:val="24"/>
          <w:szCs w:val="24"/>
        </w:rPr>
      </w:pPr>
      <w:r>
        <w:rPr>
          <w:rFonts w:ascii="宋体" w:eastAsia="宋体" w:hAnsi="宋体" w:cs="Times New Roman"/>
          <w:b/>
          <w:bCs/>
          <w:color w:val="000000" w:themeColor="text1"/>
          <w:sz w:val="24"/>
          <w:szCs w:val="24"/>
        </w:rPr>
        <w:t>6</w:t>
      </w:r>
      <w:r>
        <w:rPr>
          <w:rFonts w:ascii="宋体" w:eastAsia="宋体" w:hAnsi="宋体" w:cs="Times New Roman" w:hint="eastAsia"/>
          <w:b/>
          <w:bCs/>
          <w:color w:val="000000" w:themeColor="text1"/>
          <w:sz w:val="24"/>
          <w:szCs w:val="24"/>
        </w:rPr>
        <w:t>、</w:t>
      </w:r>
      <w:r>
        <w:rPr>
          <w:rFonts w:ascii="宋体" w:eastAsia="宋体" w:hAnsi="宋体" w:cs="Times New Roman"/>
          <w:b/>
          <w:bCs/>
          <w:color w:val="000000" w:themeColor="text1"/>
          <w:sz w:val="24"/>
          <w:szCs w:val="24"/>
        </w:rPr>
        <w:t>基于乙方履行</w:t>
      </w:r>
      <w:r>
        <w:rPr>
          <w:rFonts w:ascii="宋体" w:eastAsia="宋体" w:hAnsi="宋体" w:cs="Times New Roman" w:hint="eastAsia"/>
          <w:b/>
          <w:bCs/>
          <w:color w:val="000000" w:themeColor="text1"/>
          <w:sz w:val="24"/>
          <w:szCs w:val="24"/>
        </w:rPr>
        <w:t>理财产品销售文件所载明的各项义务</w:t>
      </w:r>
      <w:r>
        <w:rPr>
          <w:rFonts w:ascii="宋体" w:eastAsia="宋体" w:hAnsi="宋体" w:cs="Times New Roman"/>
          <w:b/>
          <w:bCs/>
          <w:color w:val="000000" w:themeColor="text1"/>
          <w:sz w:val="24"/>
          <w:szCs w:val="24"/>
        </w:rPr>
        <w:t>、进行服务管理和风险管理、报送监管信息</w:t>
      </w:r>
      <w:r>
        <w:rPr>
          <w:rFonts w:ascii="宋体" w:eastAsia="宋体" w:hAnsi="宋体" w:cs="Times New Roman" w:hint="eastAsia"/>
          <w:b/>
          <w:bCs/>
          <w:color w:val="000000" w:themeColor="text1"/>
          <w:sz w:val="24"/>
          <w:szCs w:val="24"/>
        </w:rPr>
        <w:t>、</w:t>
      </w:r>
      <w:r>
        <w:rPr>
          <w:rFonts w:ascii="宋体" w:eastAsia="宋体" w:hAnsi="宋体" w:cs="Times New Roman"/>
          <w:b/>
          <w:bCs/>
          <w:color w:val="000000" w:themeColor="text1"/>
          <w:sz w:val="24"/>
          <w:szCs w:val="24"/>
        </w:rPr>
        <w:t>履行反洗钱、</w:t>
      </w:r>
      <w:r>
        <w:rPr>
          <w:rFonts w:ascii="宋体" w:eastAsia="宋体" w:hAnsi="宋体" w:cs="Times New Roman" w:hint="eastAsia"/>
          <w:b/>
          <w:bCs/>
          <w:color w:val="000000" w:themeColor="text1"/>
          <w:sz w:val="24"/>
          <w:szCs w:val="24"/>
        </w:rPr>
        <w:t>反恐怖融资、非居民金融账户涉税信息尽职调查、</w:t>
      </w:r>
      <w:r>
        <w:rPr>
          <w:rFonts w:ascii="宋体" w:eastAsia="宋体" w:hAnsi="宋体" w:cs="Times New Roman"/>
          <w:b/>
          <w:bCs/>
          <w:color w:val="000000" w:themeColor="text1"/>
          <w:sz w:val="24"/>
          <w:szCs w:val="24"/>
        </w:rPr>
        <w:t>投资者资质审核和销售适当性等法律法规和监管要求</w:t>
      </w:r>
      <w:r>
        <w:rPr>
          <w:rFonts w:ascii="宋体" w:eastAsia="宋体" w:hAnsi="宋体" w:cs="Times New Roman" w:hint="eastAsia"/>
          <w:b/>
          <w:bCs/>
          <w:color w:val="000000" w:themeColor="text1"/>
          <w:sz w:val="24"/>
          <w:szCs w:val="24"/>
        </w:rPr>
        <w:t>的</w:t>
      </w:r>
      <w:r>
        <w:rPr>
          <w:rFonts w:ascii="宋体" w:eastAsia="宋体" w:hAnsi="宋体" w:cs="Times New Roman"/>
          <w:b/>
          <w:bCs/>
          <w:color w:val="000000" w:themeColor="text1"/>
          <w:sz w:val="24"/>
          <w:szCs w:val="24"/>
        </w:rPr>
        <w:t>义务</w:t>
      </w:r>
      <w:r>
        <w:rPr>
          <w:rFonts w:ascii="宋体" w:eastAsia="宋体" w:hAnsi="宋体" w:cs="Times New Roman" w:hint="eastAsia"/>
          <w:b/>
          <w:bCs/>
          <w:color w:val="000000" w:themeColor="text1"/>
          <w:sz w:val="24"/>
          <w:szCs w:val="24"/>
        </w:rPr>
        <w:t>的</w:t>
      </w:r>
      <w:r>
        <w:rPr>
          <w:rFonts w:ascii="宋体" w:eastAsia="宋体" w:hAnsi="宋体" w:cs="Times New Roman"/>
          <w:b/>
          <w:bCs/>
          <w:color w:val="000000" w:themeColor="text1"/>
          <w:sz w:val="24"/>
          <w:szCs w:val="24"/>
        </w:rPr>
        <w:t>需要，</w:t>
      </w:r>
      <w:r>
        <w:rPr>
          <w:rFonts w:ascii="宋体" w:eastAsia="宋体" w:hAnsi="宋体" w:cs="Times New Roman" w:hint="eastAsia"/>
          <w:b/>
          <w:bCs/>
          <w:color w:val="000000" w:themeColor="text1"/>
          <w:sz w:val="24"/>
          <w:szCs w:val="24"/>
        </w:rPr>
        <w:t>甲方授权乙方</w:t>
      </w:r>
      <w:r>
        <w:rPr>
          <w:rFonts w:ascii="宋体" w:eastAsia="宋体" w:hAnsi="宋体" w:cs="Times New Roman"/>
          <w:b/>
          <w:bCs/>
          <w:color w:val="000000" w:themeColor="text1"/>
          <w:sz w:val="24"/>
          <w:szCs w:val="24"/>
        </w:rPr>
        <w:t>在业务办理或履行过程中</w:t>
      </w:r>
      <w:r>
        <w:rPr>
          <w:rFonts w:ascii="宋体" w:eastAsia="宋体" w:hAnsi="宋体" w:cs="Times New Roman" w:hint="eastAsia"/>
          <w:b/>
          <w:bCs/>
          <w:color w:val="000000" w:themeColor="text1"/>
          <w:sz w:val="24"/>
          <w:szCs w:val="24"/>
        </w:rPr>
        <w:t>直接或通过代理销售机构间接获取并报送、处理甲方个人信息，处理方式为收集、存储、使用、加工、传输、提供等，个人信息包括姓名、性别、国籍或地区、职业、联系方式、地址、身份证件信息等身份信息，理财账户、银行账户等账户信息，风险承受能力等级、理财产品交易时间等金融交易信息，持有理财产品信息等财产信息，及法律法规、监管要求或行业自律准则规定的其他信息；</w:t>
      </w:r>
      <w:bookmarkStart w:id="16" w:name="OLE_LINK4_0"/>
      <w:bookmarkStart w:id="17" w:name="OLE_LINK3_0"/>
      <w:r>
        <w:rPr>
          <w:rFonts w:ascii="宋体" w:eastAsia="宋体" w:hAnsi="宋体" w:cs="Times New Roman" w:hint="eastAsia"/>
          <w:b/>
          <w:bCs/>
          <w:color w:val="000000" w:themeColor="text1"/>
          <w:sz w:val="24"/>
          <w:szCs w:val="24"/>
        </w:rPr>
        <w:t>在乙方履行相关法律法规、监管规定的义务及有权机关要求的情况下，甲方授权乙方向银行业理财登记托管中心、监管机构及其他有权机关报送或提供上述信息；</w:t>
      </w:r>
      <w:bookmarkEnd w:id="16"/>
      <w:bookmarkEnd w:id="17"/>
      <w:r>
        <w:rPr>
          <w:rFonts w:ascii="宋体" w:eastAsia="宋体" w:hAnsi="宋体" w:cs="Times New Roman"/>
          <w:b/>
          <w:bCs/>
          <w:color w:val="000000" w:themeColor="text1"/>
          <w:sz w:val="24"/>
          <w:szCs w:val="24"/>
        </w:rPr>
        <w:t>在乙方办理本协议项下相关事项所必需的情形下，</w:t>
      </w:r>
      <w:r>
        <w:rPr>
          <w:rFonts w:ascii="宋体" w:eastAsia="宋体" w:hAnsi="宋体" w:cs="Times New Roman" w:hint="eastAsia"/>
          <w:b/>
          <w:bCs/>
          <w:color w:val="000000" w:themeColor="text1"/>
          <w:sz w:val="24"/>
          <w:szCs w:val="24"/>
        </w:rPr>
        <w:t>甲方授权乙方</w:t>
      </w:r>
      <w:r>
        <w:rPr>
          <w:rFonts w:ascii="宋体" w:eastAsia="宋体" w:hAnsi="宋体" w:cs="Times New Roman"/>
          <w:b/>
          <w:bCs/>
          <w:color w:val="000000" w:themeColor="text1"/>
          <w:sz w:val="24"/>
          <w:szCs w:val="24"/>
        </w:rPr>
        <w:t>向乙方集团成员、服务机构及其他乙方认为必要的业务合作机构（包括但不限于代理销售机构</w:t>
      </w:r>
      <w:r w:rsidR="002616BB">
        <w:rPr>
          <w:rFonts w:ascii="宋体" w:eastAsia="宋体" w:hAnsi="宋体" w:cs="Times New Roman" w:hint="eastAsia"/>
          <w:b/>
          <w:bCs/>
          <w:color w:val="000000" w:themeColor="text1"/>
          <w:sz w:val="24"/>
          <w:szCs w:val="24"/>
        </w:rPr>
        <w:t>、清算服务机构</w:t>
      </w:r>
      <w:r>
        <w:rPr>
          <w:rFonts w:ascii="宋体" w:eastAsia="宋体" w:hAnsi="宋体" w:cs="Times New Roman" w:hint="eastAsia"/>
          <w:b/>
          <w:bCs/>
          <w:color w:val="000000" w:themeColor="text1"/>
          <w:sz w:val="24"/>
          <w:szCs w:val="24"/>
        </w:rPr>
        <w:t>等</w:t>
      </w:r>
      <w:r>
        <w:rPr>
          <w:rFonts w:ascii="宋体" w:eastAsia="宋体" w:hAnsi="宋体" w:cs="Times New Roman"/>
          <w:b/>
          <w:bCs/>
          <w:color w:val="000000" w:themeColor="text1"/>
          <w:sz w:val="24"/>
          <w:szCs w:val="24"/>
        </w:rPr>
        <w:t>）提供乙方获取的</w:t>
      </w:r>
      <w:r>
        <w:rPr>
          <w:rFonts w:ascii="宋体" w:eastAsia="宋体" w:hAnsi="宋体" w:cs="Times New Roman" w:hint="eastAsia"/>
          <w:b/>
          <w:bCs/>
          <w:color w:val="000000" w:themeColor="text1"/>
          <w:sz w:val="24"/>
          <w:szCs w:val="24"/>
        </w:rPr>
        <w:t>上述</w:t>
      </w:r>
      <w:r>
        <w:rPr>
          <w:rFonts w:ascii="宋体" w:eastAsia="宋体" w:hAnsi="宋体" w:cs="Times New Roman"/>
          <w:b/>
          <w:bCs/>
          <w:color w:val="000000" w:themeColor="text1"/>
          <w:sz w:val="24"/>
          <w:szCs w:val="24"/>
        </w:rPr>
        <w:t>甲方信</w:t>
      </w:r>
      <w:r>
        <w:rPr>
          <w:rFonts w:ascii="宋体" w:eastAsia="宋体" w:hAnsi="宋体" w:cs="Times New Roman"/>
          <w:b/>
          <w:bCs/>
          <w:color w:val="000000" w:themeColor="text1"/>
          <w:sz w:val="24"/>
          <w:szCs w:val="24"/>
        </w:rPr>
        <w:t>息</w:t>
      </w:r>
      <w:r>
        <w:rPr>
          <w:rFonts w:ascii="宋体" w:eastAsia="宋体" w:hAnsi="宋体" w:cs="Times New Roman" w:hint="eastAsia"/>
          <w:b/>
          <w:bCs/>
          <w:color w:val="000000" w:themeColor="text1"/>
          <w:sz w:val="24"/>
          <w:szCs w:val="24"/>
        </w:rPr>
        <w:t>，授权使用时限与提供前述服务及履行相关法律法规和监管要求义务的必要时限一致</w:t>
      </w:r>
      <w:r>
        <w:rPr>
          <w:rFonts w:ascii="宋体" w:eastAsia="宋体" w:hAnsi="宋体" w:cs="Times New Roman"/>
          <w:b/>
          <w:bCs/>
          <w:color w:val="000000" w:themeColor="text1"/>
          <w:sz w:val="24"/>
          <w:szCs w:val="24"/>
        </w:rPr>
        <w:t>。接收信息的</w:t>
      </w:r>
      <w:r>
        <w:rPr>
          <w:rFonts w:ascii="宋体" w:eastAsia="宋体" w:hAnsi="宋体" w:cs="Times New Roman"/>
          <w:b/>
          <w:bCs/>
          <w:color w:val="000000" w:themeColor="text1"/>
          <w:sz w:val="24"/>
          <w:szCs w:val="24"/>
        </w:rPr>
        <w:t>上述第三</w:t>
      </w:r>
      <w:r>
        <w:rPr>
          <w:rFonts w:ascii="宋体" w:eastAsia="宋体" w:hAnsi="宋体" w:cs="Times New Roman"/>
          <w:b/>
          <w:bCs/>
          <w:color w:val="000000" w:themeColor="text1"/>
          <w:sz w:val="24"/>
          <w:szCs w:val="24"/>
        </w:rPr>
        <w:t>方将为处理本协议项下事务之目的接触并按照乙方的业务需要</w:t>
      </w:r>
      <w:r>
        <w:rPr>
          <w:rFonts w:ascii="宋体" w:eastAsia="宋体" w:hAnsi="宋体" w:cs="Times New Roman" w:hint="eastAsia"/>
          <w:b/>
          <w:bCs/>
          <w:color w:val="000000" w:themeColor="text1"/>
          <w:sz w:val="24"/>
          <w:szCs w:val="24"/>
        </w:rPr>
        <w:t>处理</w:t>
      </w:r>
      <w:r>
        <w:rPr>
          <w:rFonts w:ascii="宋体" w:eastAsia="宋体" w:hAnsi="宋体" w:cs="Times New Roman"/>
          <w:b/>
          <w:bCs/>
          <w:color w:val="000000" w:themeColor="text1"/>
          <w:sz w:val="24"/>
          <w:szCs w:val="24"/>
        </w:rPr>
        <w:t>甲方信息</w:t>
      </w:r>
      <w:r>
        <w:rPr>
          <w:rFonts w:ascii="宋体" w:eastAsia="宋体" w:hAnsi="宋体" w:cs="Times New Roman" w:hint="eastAsia"/>
          <w:b/>
          <w:bCs/>
          <w:color w:val="000000" w:themeColor="text1"/>
          <w:sz w:val="24"/>
          <w:szCs w:val="24"/>
        </w:rPr>
        <w:t>，处理方式包括但不限于存储、使用、加工、传输、提供等</w:t>
      </w:r>
      <w:r>
        <w:rPr>
          <w:rFonts w:ascii="宋体" w:eastAsia="宋体" w:hAnsi="宋体" w:cs="Times New Roman"/>
          <w:b/>
          <w:bCs/>
          <w:color w:val="000000" w:themeColor="text1"/>
          <w:sz w:val="24"/>
          <w:szCs w:val="24"/>
        </w:rPr>
        <w:t>。</w:t>
      </w:r>
      <w:r w:rsidR="0000412A">
        <w:rPr>
          <w:rFonts w:ascii="宋体" w:eastAsia="宋体" w:hAnsi="宋体" w:cs="Times New Roman" w:hint="eastAsia"/>
          <w:b/>
          <w:bCs/>
          <w:color w:val="000000" w:themeColor="text1"/>
          <w:sz w:val="24"/>
          <w:szCs w:val="24"/>
        </w:rPr>
        <w:t>上述约定的甲方个人信息包括敏感个人信息，敏感个人信息一旦泄露或非法使用，容易导致甲方的人格尊严受到侵害或者人身、财产安全受到危害。</w:t>
      </w:r>
      <w:r>
        <w:rPr>
          <w:rFonts w:ascii="宋体" w:eastAsia="宋体" w:hAnsi="宋体" w:cs="Times New Roman"/>
          <w:b/>
          <w:bCs/>
          <w:color w:val="000000" w:themeColor="text1"/>
          <w:sz w:val="24"/>
          <w:szCs w:val="24"/>
        </w:rPr>
        <w:t>乙方承诺</w:t>
      </w:r>
      <w:r w:rsidR="0000412A">
        <w:rPr>
          <w:rFonts w:ascii="宋体" w:eastAsia="宋体" w:hAnsi="宋体" w:cs="Times New Roman" w:hint="eastAsia"/>
          <w:b/>
          <w:bCs/>
          <w:color w:val="000000" w:themeColor="text1"/>
          <w:sz w:val="24"/>
          <w:szCs w:val="24"/>
        </w:rPr>
        <w:t>，乙方</w:t>
      </w:r>
      <w:r w:rsidR="0000412A">
        <w:rPr>
          <w:rFonts w:ascii="宋体" w:eastAsia="宋体" w:hAnsi="宋体" w:cs="Times New Roman"/>
          <w:b/>
          <w:bCs/>
          <w:color w:val="000000" w:themeColor="text1"/>
          <w:sz w:val="24"/>
          <w:szCs w:val="24"/>
        </w:rPr>
        <w:t>及</w:t>
      </w:r>
      <w:r w:rsidR="0000412A">
        <w:rPr>
          <w:rFonts w:ascii="宋体" w:eastAsia="宋体" w:hAnsi="宋体" w:cs="Times New Roman" w:hint="eastAsia"/>
          <w:b/>
          <w:bCs/>
          <w:color w:val="000000" w:themeColor="text1"/>
          <w:sz w:val="24"/>
          <w:szCs w:val="24"/>
        </w:rPr>
        <w:t>第三</w:t>
      </w:r>
      <w:r w:rsidR="0000412A">
        <w:rPr>
          <w:rFonts w:ascii="宋体" w:eastAsia="宋体" w:hAnsi="宋体" w:cs="Times New Roman" w:hint="eastAsia"/>
          <w:b/>
          <w:bCs/>
          <w:color w:val="000000" w:themeColor="text1"/>
          <w:sz w:val="24"/>
          <w:szCs w:val="24"/>
        </w:rPr>
        <w:t>方</w:t>
      </w:r>
      <w:r w:rsidR="0000412A">
        <w:rPr>
          <w:rFonts w:ascii="宋体" w:eastAsia="宋体" w:hAnsi="宋体" w:cs="Times New Roman"/>
          <w:b/>
          <w:bCs/>
          <w:color w:val="000000" w:themeColor="text1"/>
          <w:sz w:val="24"/>
          <w:szCs w:val="24"/>
        </w:rPr>
        <w:t>业务</w:t>
      </w:r>
      <w:r w:rsidR="0000412A">
        <w:rPr>
          <w:rFonts w:ascii="宋体" w:eastAsia="宋体" w:hAnsi="宋体" w:cs="Times New Roman"/>
          <w:b/>
          <w:bCs/>
          <w:color w:val="000000" w:themeColor="text1"/>
          <w:sz w:val="24"/>
          <w:szCs w:val="24"/>
        </w:rPr>
        <w:t>合作机构</w:t>
      </w:r>
      <w:r w:rsidR="0000412A">
        <w:rPr>
          <w:rFonts w:ascii="宋体" w:eastAsia="宋体" w:hAnsi="宋体" w:cs="Times New Roman" w:hint="eastAsia"/>
          <w:b/>
          <w:bCs/>
          <w:color w:val="000000" w:themeColor="text1"/>
          <w:sz w:val="24"/>
          <w:szCs w:val="24"/>
        </w:rPr>
        <w:t>基于上述目的处理个人信息（包括</w:t>
      </w:r>
      <w:r w:rsidR="0000412A">
        <w:rPr>
          <w:rFonts w:ascii="宋体" w:eastAsia="宋体" w:hAnsi="宋体" w:cs="Times New Roman"/>
          <w:b/>
          <w:bCs/>
          <w:color w:val="000000" w:themeColor="text1"/>
          <w:sz w:val="24"/>
          <w:szCs w:val="24"/>
        </w:rPr>
        <w:t>敏感个人信息）</w:t>
      </w:r>
      <w:r w:rsidR="0000412A">
        <w:rPr>
          <w:rFonts w:ascii="宋体" w:eastAsia="宋体" w:hAnsi="宋体" w:cs="Times New Roman" w:hint="eastAsia"/>
          <w:b/>
          <w:bCs/>
          <w:color w:val="000000" w:themeColor="text1"/>
          <w:sz w:val="24"/>
          <w:szCs w:val="24"/>
        </w:rPr>
        <w:t>为提供服务或满足合</w:t>
      </w:r>
      <w:r w:rsidR="0000412A">
        <w:rPr>
          <w:rFonts w:ascii="宋体" w:eastAsia="宋体" w:hAnsi="宋体" w:cs="Times New Roman" w:hint="eastAsia"/>
          <w:b/>
          <w:bCs/>
          <w:color w:val="000000" w:themeColor="text1"/>
          <w:sz w:val="24"/>
          <w:szCs w:val="24"/>
        </w:rPr>
        <w:t>规</w:t>
      </w:r>
      <w:r w:rsidR="0000412A">
        <w:rPr>
          <w:rFonts w:ascii="宋体" w:eastAsia="宋体" w:hAnsi="宋体" w:cs="Times New Roman" w:hint="eastAsia"/>
          <w:b/>
          <w:bCs/>
          <w:color w:val="000000" w:themeColor="text1"/>
          <w:sz w:val="24"/>
          <w:szCs w:val="24"/>
        </w:rPr>
        <w:t>要求所必须，乙方</w:t>
      </w:r>
      <w:r>
        <w:rPr>
          <w:rFonts w:ascii="宋体" w:eastAsia="宋体" w:hAnsi="宋体" w:cs="Times New Roman"/>
          <w:b/>
          <w:bCs/>
          <w:color w:val="000000" w:themeColor="text1"/>
          <w:sz w:val="24"/>
          <w:szCs w:val="24"/>
        </w:rPr>
        <w:t>将向有关第三</w:t>
      </w:r>
      <w:r>
        <w:rPr>
          <w:rFonts w:ascii="宋体" w:eastAsia="宋体" w:hAnsi="宋体" w:cs="Times New Roman"/>
          <w:b/>
          <w:bCs/>
          <w:color w:val="000000" w:themeColor="text1"/>
          <w:sz w:val="24"/>
          <w:szCs w:val="24"/>
        </w:rPr>
        <w:t>方明确</w:t>
      </w:r>
      <w:r>
        <w:rPr>
          <w:rFonts w:ascii="宋体" w:eastAsia="宋体" w:hAnsi="宋体" w:cs="Times New Roman"/>
          <w:b/>
          <w:bCs/>
          <w:color w:val="000000" w:themeColor="text1"/>
          <w:sz w:val="24"/>
          <w:szCs w:val="24"/>
        </w:rPr>
        <w:t>其保护甲</w:t>
      </w:r>
      <w:r>
        <w:rPr>
          <w:rFonts w:ascii="宋体" w:eastAsia="宋体" w:hAnsi="宋体" w:cs="Times New Roman" w:hint="eastAsia"/>
          <w:b/>
          <w:bCs/>
          <w:color w:val="000000" w:themeColor="text1"/>
          <w:sz w:val="24"/>
          <w:szCs w:val="24"/>
        </w:rPr>
        <w:t>方信息的职责并要求第三方承担相应保密义务</w:t>
      </w:r>
      <w:r w:rsidR="00726D24">
        <w:rPr>
          <w:rFonts w:ascii="宋体" w:eastAsia="宋体" w:hAnsi="宋体" w:cs="Times New Roman" w:hint="eastAsia"/>
          <w:b/>
          <w:bCs/>
          <w:color w:val="000000" w:themeColor="text1"/>
          <w:sz w:val="24"/>
          <w:szCs w:val="24"/>
        </w:rPr>
        <w:t>，严格按照相关法律法规及上述约定开展信息处理行为并采取安全保护措施</w:t>
      </w:r>
      <w:r>
        <w:rPr>
          <w:rFonts w:ascii="宋体" w:eastAsia="宋体" w:hAnsi="宋体" w:cs="Times New Roman" w:hint="eastAsia"/>
          <w:b/>
          <w:bCs/>
          <w:color w:val="000000" w:themeColor="text1"/>
          <w:sz w:val="24"/>
          <w:szCs w:val="24"/>
        </w:rPr>
        <w:t>。</w:t>
      </w:r>
      <w:bookmarkStart w:id="18" w:name="OLE_LINK5_0"/>
      <w:bookmarkStart w:id="19" w:name="OLE_LINK2_0"/>
      <w:bookmarkStart w:id="20" w:name="OLE_LINK1_0"/>
      <w:r>
        <w:rPr>
          <w:rFonts w:ascii="宋体" w:eastAsia="宋体" w:hAnsi="宋体" w:cs="Times New Roman" w:hint="eastAsia"/>
          <w:b/>
          <w:bCs/>
          <w:color w:val="000000" w:themeColor="text1"/>
          <w:sz w:val="24"/>
          <w:szCs w:val="24"/>
        </w:rPr>
        <w:t>乙方将妥善保管投资者理财产品销售相关资料，保管年限不低于《中华人民共和国反洗钱法》、《理财公司理财产品销售管理暂行办法》等法律法规及监管规定的年限；超出必要保管期限后，乙方、销售机构及其他第三方合作机构（如有）将及时删除投资者的档案（包括以电子化形式以及纸质文本形式保管的投资者个人信息）。如甲方对第三方机构处理甲方的个人信息活动有疑问或要求，甲方可以通过《理财产品说明书》、第三方机构的官方网站（如有）、第三方机构的官方公众号（如有）等渠道获取相应的联系方式以行使甲方的个人信息权利，或者直接联系乙方</w:t>
      </w:r>
      <w:bookmarkEnd w:id="18"/>
      <w:bookmarkEnd w:id="19"/>
      <w:bookmarkEnd w:id="20"/>
      <w:r>
        <w:rPr>
          <w:rFonts w:ascii="宋体" w:eastAsia="宋体" w:hAnsi="宋体" w:cs="Times New Roman"/>
          <w:b/>
          <w:bCs/>
          <w:color w:val="000000" w:themeColor="text1"/>
          <w:sz w:val="24"/>
          <w:szCs w:val="24"/>
        </w:rPr>
        <w:t>。</w:t>
      </w:r>
    </w:p>
    <w:p w:rsidR="00156F5C" w14:paraId="63A5A78C" w14:textId="77777777">
      <w:pPr>
        <w:adjustRightInd w:val="0"/>
        <w:snapToGrid w:val="0"/>
        <w:spacing w:line="360" w:lineRule="auto"/>
        <w:ind w:firstLine="480" w:firstLineChars="200"/>
        <w:jc w:val="left"/>
        <w:rPr>
          <w:rFonts w:ascii="宋体" w:hAnsi="宋体"/>
          <w:b/>
          <w:bCs/>
          <w:color w:val="000000" w:themeColor="text1"/>
          <w:sz w:val="24"/>
        </w:rPr>
      </w:pPr>
      <w:r>
        <w:rPr>
          <w:rFonts w:ascii="宋体" w:eastAsia="宋体" w:hAnsi="宋体" w:cs="Times New Roman"/>
          <w:color w:val="000000" w:themeColor="text1"/>
          <w:sz w:val="24"/>
          <w:szCs w:val="24"/>
        </w:rPr>
        <w:t>7</w:t>
      </w:r>
      <w:r>
        <w:rPr>
          <w:rFonts w:ascii="宋体" w:eastAsia="宋体" w:hAnsi="宋体" w:cs="Times New Roman" w:hint="eastAsia"/>
          <w:color w:val="000000" w:themeColor="text1"/>
          <w:sz w:val="24"/>
          <w:szCs w:val="24"/>
        </w:rPr>
        <w:t>、乙方有义务按照《理财产品说明书》的约定</w:t>
      </w:r>
      <w:r>
        <w:rPr>
          <w:rFonts w:ascii="宋体" w:eastAsia="宋体" w:hAnsi="宋体" w:cs="Times New Roman"/>
          <w:color w:val="000000" w:themeColor="text1"/>
          <w:sz w:val="24"/>
          <w:szCs w:val="24"/>
        </w:rPr>
        <w:t>在理财产品资金清算日</w:t>
      </w:r>
      <w:r>
        <w:rPr>
          <w:rFonts w:ascii="宋体" w:eastAsia="宋体" w:hAnsi="宋体" w:cs="Times New Roman" w:hint="eastAsia"/>
          <w:color w:val="000000" w:themeColor="text1"/>
          <w:sz w:val="24"/>
          <w:szCs w:val="24"/>
        </w:rPr>
        <w:t>将应支付甲方的理财产品投资本金（如有）及收益（如有）划入到甲方指定账户。</w:t>
      </w:r>
      <w:r>
        <w:rPr>
          <w:rFonts w:ascii="宋体" w:eastAsia="宋体" w:hAnsi="宋体" w:cs="Times New Roman" w:hint="eastAsia"/>
          <w:b/>
          <w:color w:val="000000" w:themeColor="text1"/>
          <w:sz w:val="24"/>
          <w:szCs w:val="24"/>
        </w:rPr>
        <w:t>如因甲方原因导致理财产品投资本金和</w:t>
      </w:r>
      <w:r>
        <w:rPr>
          <w:rFonts w:ascii="宋体" w:eastAsia="宋体" w:hAnsi="宋体" w:cs="Times New Roman"/>
          <w:b/>
          <w:color w:val="000000" w:themeColor="text1"/>
          <w:sz w:val="24"/>
          <w:szCs w:val="24"/>
        </w:rPr>
        <w:t>/或收益无法入账的，由此导致损失的，由甲方承担，乙方不承担责任。</w:t>
      </w:r>
      <w:r>
        <w:rPr>
          <w:rFonts w:ascii="宋体" w:eastAsia="宋体" w:hAnsi="宋体" w:cs="Times New Roman" w:hint="eastAsia"/>
          <w:color w:val="000000" w:themeColor="text1"/>
          <w:sz w:val="24"/>
          <w:szCs w:val="24"/>
        </w:rPr>
        <w:t>甲方通过代理销售机构投资乙方理财产品时，乙方将理财产品投资本金（如有）及收益（如有）划入代理销售机构指定账户后，即视为完成乙方的支付义务。</w:t>
      </w:r>
      <w:r>
        <w:rPr>
          <w:rFonts w:ascii="宋体" w:eastAsia="宋体" w:hAnsi="宋体" w:cs="Times New Roman" w:hint="eastAsia"/>
          <w:b/>
          <w:color w:val="000000" w:themeColor="text1"/>
          <w:sz w:val="24"/>
          <w:szCs w:val="24"/>
        </w:rPr>
        <w:t>如因甲方或代理销售机构原因导致理财产品投资本金或收益无法划入甲方指定账户的，乙方不承担责任。从到期日至资金清算日的期间不计付利息。</w:t>
      </w:r>
    </w:p>
    <w:p w:rsidR="00156F5C" w14:paraId="651992BA" w14:textId="77777777">
      <w:pPr>
        <w:spacing w:line="360" w:lineRule="auto"/>
        <w:ind w:firstLine="480" w:firstLineChars="20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8</w:t>
      </w:r>
      <w:r>
        <w:rPr>
          <w:rFonts w:ascii="宋体" w:eastAsia="宋体" w:hAnsi="宋体" w:cs="Times New Roman" w:hint="eastAsia"/>
          <w:color w:val="000000" w:themeColor="text1"/>
          <w:sz w:val="24"/>
          <w:szCs w:val="24"/>
        </w:rPr>
        <w:t>、除法律、法规、监管规定另有规定或双方另有约定外，乙方不负责代扣代缴甲方应缴纳的税款。</w:t>
      </w:r>
    </w:p>
    <w:p w:rsidR="00156F5C" w14:paraId="211EE6DA" w14:textId="77777777">
      <w:pPr>
        <w:spacing w:line="360" w:lineRule="auto"/>
        <w:ind w:firstLine="480" w:firstLineChars="200"/>
        <w:rPr>
          <w:rFonts w:ascii="宋体" w:eastAsia="宋体" w:hAnsi="宋体" w:cs="Times New Roman"/>
          <w:b/>
          <w:color w:val="000000" w:themeColor="text1"/>
          <w:sz w:val="24"/>
          <w:szCs w:val="24"/>
        </w:rPr>
      </w:pPr>
      <w:r>
        <w:rPr>
          <w:rFonts w:ascii="宋体" w:eastAsia="宋体" w:hAnsi="宋体" w:cs="Times New Roman"/>
          <w:color w:val="000000" w:themeColor="text1"/>
          <w:sz w:val="24"/>
          <w:szCs w:val="24"/>
        </w:rPr>
        <w:t>9</w:t>
      </w:r>
      <w:r>
        <w:rPr>
          <w:rFonts w:ascii="宋体" w:eastAsia="宋体" w:hAnsi="宋体" w:cs="Times New Roman" w:hint="eastAsia"/>
          <w:color w:val="000000" w:themeColor="text1"/>
          <w:sz w:val="24"/>
          <w:szCs w:val="24"/>
        </w:rPr>
        <w:t>、乙方接受甲方的委托和授权，按照法律、法规、监管规定以及</w:t>
      </w:r>
      <w:r>
        <w:rPr>
          <w:rFonts w:ascii="宋体" w:eastAsia="宋体" w:hAnsi="宋体" w:cs="Times New Roman"/>
          <w:color w:val="000000" w:themeColor="text1"/>
          <w:sz w:val="24"/>
          <w:szCs w:val="24"/>
        </w:rPr>
        <w:t>理财产品</w:t>
      </w:r>
      <w:r>
        <w:rPr>
          <w:rFonts w:ascii="宋体" w:eastAsia="宋体" w:hAnsi="宋体" w:cs="Times New Roman" w:hint="eastAsia"/>
          <w:color w:val="000000" w:themeColor="text1"/>
          <w:sz w:val="24"/>
          <w:szCs w:val="24"/>
        </w:rPr>
        <w:t>销售</w:t>
      </w:r>
      <w:r>
        <w:rPr>
          <w:rFonts w:ascii="宋体" w:eastAsia="宋体" w:hAnsi="宋体" w:cs="Times New Roman"/>
          <w:color w:val="000000" w:themeColor="text1"/>
          <w:sz w:val="24"/>
          <w:szCs w:val="24"/>
        </w:rPr>
        <w:t>文件的约定</w:t>
      </w:r>
      <w:r>
        <w:rPr>
          <w:rFonts w:ascii="宋体" w:eastAsia="宋体" w:hAnsi="宋体" w:cs="Times New Roman" w:hint="eastAsia"/>
          <w:color w:val="000000" w:themeColor="text1"/>
          <w:sz w:val="24"/>
          <w:szCs w:val="24"/>
        </w:rPr>
        <w:t>，遵循诚实信用、勤勉尽责的原则履行受托管理职责，维护甲方合法权益</w:t>
      </w:r>
      <w:r>
        <w:rPr>
          <w:rFonts w:ascii="宋体" w:eastAsia="宋体" w:hAnsi="宋体" w:cs="Times New Roman" w:hint="eastAsia"/>
          <w:b/>
          <w:color w:val="000000" w:themeColor="text1"/>
          <w:sz w:val="24"/>
          <w:szCs w:val="24"/>
        </w:rPr>
        <w:t>。</w:t>
      </w:r>
    </w:p>
    <w:p w:rsidR="00156F5C" w14:paraId="398B07A5" w14:textId="77777777">
      <w:pPr>
        <w:spacing w:line="360" w:lineRule="auto"/>
        <w:ind w:firstLine="480" w:firstLineChars="20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1</w:t>
      </w:r>
      <w:r>
        <w:rPr>
          <w:rFonts w:ascii="宋体" w:eastAsia="宋体" w:hAnsi="宋体" w:cs="Times New Roman"/>
          <w:color w:val="000000" w:themeColor="text1"/>
          <w:sz w:val="24"/>
          <w:szCs w:val="24"/>
        </w:rPr>
        <w:t>0</w:t>
      </w:r>
      <w:r>
        <w:rPr>
          <w:rFonts w:ascii="宋体" w:eastAsia="宋体" w:hAnsi="宋体" w:cs="Times New Roman" w:hint="eastAsia"/>
          <w:color w:val="000000" w:themeColor="text1"/>
          <w:sz w:val="24"/>
          <w:szCs w:val="24"/>
        </w:rPr>
        <w:t>、乙方对本协议及其条款负有保密义务，未经甲方许可，乙方不得向任何</w:t>
      </w:r>
      <w:r>
        <w:rPr>
          <w:rFonts w:ascii="宋体" w:eastAsia="宋体" w:hAnsi="宋体" w:cs="Times New Roman" w:hint="eastAsia"/>
          <w:color w:val="000000" w:themeColor="text1"/>
          <w:sz w:val="24"/>
          <w:szCs w:val="24"/>
        </w:rPr>
        <w:t>组织、个</w:t>
      </w:r>
      <w:r>
        <w:rPr>
          <w:rFonts w:ascii="宋体" w:eastAsia="宋体" w:hAnsi="宋体" w:cs="Times New Roman"/>
          <w:color w:val="000000" w:themeColor="text1"/>
          <w:sz w:val="24"/>
          <w:szCs w:val="24"/>
        </w:rPr>
        <w:t>人提供或泄露与甲方有关的业务资料及信息，但法律</w:t>
      </w:r>
      <w:r>
        <w:rPr>
          <w:rFonts w:ascii="宋体" w:eastAsia="宋体" w:hAnsi="宋体" w:cs="Times New Roman" w:hint="eastAsia"/>
          <w:color w:val="000000" w:themeColor="text1"/>
          <w:sz w:val="24"/>
          <w:szCs w:val="24"/>
        </w:rPr>
        <w:t>、</w:t>
      </w:r>
      <w:r>
        <w:rPr>
          <w:rFonts w:ascii="宋体" w:eastAsia="宋体" w:hAnsi="宋体" w:cs="Times New Roman"/>
          <w:color w:val="000000" w:themeColor="text1"/>
          <w:sz w:val="24"/>
          <w:szCs w:val="24"/>
        </w:rPr>
        <w:t>法规及金融监管机构另有规定、</w:t>
      </w:r>
      <w:r>
        <w:rPr>
          <w:rFonts w:ascii="宋体" w:eastAsia="宋体" w:hAnsi="宋体" w:cs="Times New Roman" w:hint="eastAsia"/>
          <w:color w:val="000000" w:themeColor="text1"/>
          <w:sz w:val="24"/>
          <w:szCs w:val="24"/>
        </w:rPr>
        <w:t>乙方</w:t>
      </w:r>
      <w:r>
        <w:rPr>
          <w:rFonts w:ascii="宋体" w:eastAsia="宋体" w:hAnsi="宋体" w:cs="Times New Roman"/>
          <w:color w:val="000000" w:themeColor="text1"/>
          <w:sz w:val="24"/>
          <w:szCs w:val="24"/>
        </w:rPr>
        <w:t>向专业咨询机构</w:t>
      </w:r>
      <w:r>
        <w:rPr>
          <w:rFonts w:ascii="宋体" w:eastAsia="宋体" w:hAnsi="宋体" w:cs="Times New Roman" w:hint="eastAsia"/>
          <w:color w:val="000000" w:themeColor="text1"/>
          <w:sz w:val="24"/>
          <w:szCs w:val="24"/>
        </w:rPr>
        <w:t>进行咨询涉及的披露</w:t>
      </w:r>
      <w:r>
        <w:rPr>
          <w:rFonts w:ascii="宋体" w:eastAsia="宋体" w:hAnsi="宋体" w:cs="Times New Roman"/>
          <w:color w:val="000000" w:themeColor="text1"/>
          <w:sz w:val="24"/>
          <w:szCs w:val="24"/>
        </w:rPr>
        <w:t>以及甲乙双方另有约定的其他情况除外。</w:t>
      </w:r>
    </w:p>
    <w:p w:rsidR="00156F5C" w14:paraId="25B1259A" w14:textId="77777777">
      <w:pPr>
        <w:spacing w:line="360" w:lineRule="auto"/>
        <w:ind w:firstLine="480" w:firstLineChars="20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1</w:t>
      </w:r>
      <w:r>
        <w:rPr>
          <w:rFonts w:ascii="宋体" w:eastAsia="宋体" w:hAnsi="宋体" w:cs="Times New Roman"/>
          <w:color w:val="000000" w:themeColor="text1"/>
          <w:sz w:val="24"/>
          <w:szCs w:val="24"/>
        </w:rPr>
        <w:t>1</w:t>
      </w:r>
      <w:r>
        <w:rPr>
          <w:rFonts w:ascii="宋体" w:eastAsia="宋体" w:hAnsi="宋体" w:cs="Times New Roman" w:hint="eastAsia"/>
          <w:color w:val="000000" w:themeColor="text1"/>
          <w:sz w:val="24"/>
          <w:szCs w:val="24"/>
        </w:rPr>
        <w:t>、法律、法规、监管规定和其他在本产品所对应理财产品销售文件中约定的乙方的权利与义务。</w:t>
      </w:r>
    </w:p>
    <w:p w:rsidR="00156F5C" w14:paraId="17FC4490" w14:textId="77777777">
      <w:pPr>
        <w:spacing w:line="360" w:lineRule="auto"/>
        <w:ind w:firstLine="480"/>
        <w:rPr>
          <w:rFonts w:ascii="宋体" w:eastAsia="宋体" w:hAnsi="宋体" w:cs="Times New Roman"/>
          <w:b/>
          <w:sz w:val="24"/>
          <w:szCs w:val="24"/>
        </w:rPr>
      </w:pPr>
      <w:r>
        <w:rPr>
          <w:rFonts w:ascii="宋体" w:eastAsia="宋体" w:hAnsi="宋体" w:cs="Times New Roman" w:hint="eastAsia"/>
          <w:b/>
          <w:sz w:val="24"/>
          <w:szCs w:val="24"/>
        </w:rPr>
        <w:t>第四条 违约责任</w:t>
      </w:r>
    </w:p>
    <w:p w:rsidR="00156F5C" w14:paraId="43DF03F5"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hint="eastAsia"/>
          <w:b/>
          <w:sz w:val="24"/>
          <w:szCs w:val="24"/>
        </w:rPr>
        <w:t>由于本协议一方当事人的过错，造成本协议不能履行或不能完全履行的，由有过错的一方承担违约责任；如双方同时负有过错，则应由双方各自按照过错程度承担责任。</w:t>
      </w:r>
    </w:p>
    <w:p w:rsidR="00156F5C" w14:paraId="5DA797F5" w14:textId="77777777">
      <w:pPr>
        <w:spacing w:line="360" w:lineRule="auto"/>
        <w:ind w:firstLine="480"/>
        <w:rPr>
          <w:rFonts w:ascii="宋体" w:eastAsia="宋体" w:hAnsi="宋体" w:cs="Times New Roman"/>
          <w:b/>
          <w:sz w:val="24"/>
          <w:szCs w:val="24"/>
        </w:rPr>
      </w:pPr>
      <w:r>
        <w:rPr>
          <w:rFonts w:ascii="宋体" w:eastAsia="宋体" w:hAnsi="宋体" w:cs="Times New Roman" w:hint="eastAsia"/>
          <w:b/>
          <w:sz w:val="24"/>
          <w:szCs w:val="24"/>
        </w:rPr>
        <w:t>第五条 免责条款</w:t>
      </w:r>
    </w:p>
    <w:p w:rsidR="00156F5C" w14:paraId="017D7690"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b/>
          <w:sz w:val="24"/>
          <w:szCs w:val="24"/>
        </w:rPr>
        <w:t>1、由于国家法律</w:t>
      </w:r>
      <w:r>
        <w:rPr>
          <w:rFonts w:ascii="宋体" w:eastAsia="宋体" w:hAnsi="宋体" w:cs="Times New Roman" w:hint="eastAsia"/>
          <w:b/>
          <w:sz w:val="24"/>
          <w:szCs w:val="24"/>
        </w:rPr>
        <w:t>、</w:t>
      </w:r>
      <w:r>
        <w:rPr>
          <w:rFonts w:ascii="宋体" w:eastAsia="宋体" w:hAnsi="宋体" w:cs="Times New Roman"/>
          <w:b/>
          <w:sz w:val="24"/>
          <w:szCs w:val="24"/>
        </w:rPr>
        <w:t>法规、监管规定、监管部门政策变化、紧急措施的出台而</w:t>
      </w:r>
      <w:r>
        <w:rPr>
          <w:rFonts w:ascii="宋体" w:eastAsia="宋体" w:hAnsi="宋体" w:cs="Times New Roman" w:hint="eastAsia"/>
          <w:b/>
          <w:sz w:val="24"/>
          <w:szCs w:val="24"/>
        </w:rPr>
        <w:t>导致甲方蒙受损失或协议终止的，乙方不承担责任。</w:t>
      </w:r>
    </w:p>
    <w:p w:rsidR="00156F5C" w14:paraId="453A1CA6"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b/>
          <w:sz w:val="24"/>
          <w:szCs w:val="24"/>
        </w:rPr>
        <w:t>2、由于自然灾害、意外事故、战争、系统故障、通讯故障等不可抗力或乙方无过错且无法</w:t>
      </w:r>
      <w:r>
        <w:rPr>
          <w:rFonts w:ascii="宋体" w:eastAsia="宋体" w:hAnsi="宋体" w:cs="Times New Roman" w:hint="eastAsia"/>
          <w:b/>
          <w:sz w:val="24"/>
          <w:szCs w:val="24"/>
        </w:rPr>
        <w:t>避免</w:t>
      </w:r>
      <w:r>
        <w:rPr>
          <w:rFonts w:ascii="宋体" w:eastAsia="宋体" w:hAnsi="宋体" w:cs="Times New Roman"/>
          <w:b/>
          <w:sz w:val="24"/>
          <w:szCs w:val="24"/>
        </w:rPr>
        <w:t>的外因而导致的交易中断、延误等风险及损失，乙方不承担责任。</w:t>
      </w:r>
    </w:p>
    <w:p w:rsidR="00156F5C" w14:paraId="6169D7D5"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b/>
          <w:sz w:val="24"/>
          <w:szCs w:val="24"/>
        </w:rPr>
        <w:t>3、非因乙方原因（包括但不限于甲方遗失本协议、甲方协议被盗用、甲方指定账户被司法机关等有权部门冻结、扣划等原因）造成的损失，乙方不承担责任。</w:t>
      </w:r>
    </w:p>
    <w:p w:rsidR="00156F5C" w14:paraId="3489EF48"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b/>
          <w:sz w:val="24"/>
          <w:szCs w:val="24"/>
        </w:rPr>
        <w:t>4、发生前述情形时，乙方将在条件允许</w:t>
      </w:r>
      <w:r>
        <w:rPr>
          <w:rFonts w:ascii="宋体" w:eastAsia="宋体" w:hAnsi="宋体" w:cs="Times New Roman" w:hint="eastAsia"/>
          <w:b/>
          <w:sz w:val="24"/>
          <w:szCs w:val="24"/>
        </w:rPr>
        <w:t>且</w:t>
      </w:r>
      <w:r>
        <w:rPr>
          <w:rFonts w:ascii="宋体" w:eastAsia="宋体" w:hAnsi="宋体" w:cs="Times New Roman"/>
          <w:b/>
          <w:sz w:val="24"/>
          <w:szCs w:val="24"/>
        </w:rPr>
        <w:t>不违反法律、法规及监管规定的情况下采取必要合理的补救措施，尽力保护甲方利益，以减少甲方损失。</w:t>
      </w:r>
    </w:p>
    <w:p w:rsidR="00156F5C" w14:paraId="2AAD5C06" w14:textId="77777777">
      <w:pPr>
        <w:spacing w:line="360" w:lineRule="auto"/>
        <w:ind w:firstLine="480"/>
        <w:rPr>
          <w:rFonts w:ascii="宋体" w:eastAsia="宋体" w:hAnsi="宋体" w:cs="Times New Roman"/>
          <w:b/>
          <w:sz w:val="24"/>
          <w:szCs w:val="24"/>
        </w:rPr>
      </w:pPr>
      <w:r>
        <w:rPr>
          <w:rFonts w:ascii="宋体" w:eastAsia="宋体" w:hAnsi="宋体" w:cs="Times New Roman" w:hint="eastAsia"/>
          <w:b/>
          <w:sz w:val="24"/>
          <w:szCs w:val="24"/>
        </w:rPr>
        <w:t>第六条 争议解决</w:t>
      </w:r>
    </w:p>
    <w:p w:rsidR="00156F5C" w14:paraId="179F8548"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hint="eastAsia"/>
          <w:b/>
          <w:sz w:val="24"/>
          <w:szCs w:val="24"/>
        </w:rPr>
        <w:t>本协议适用中华人民共和国法律。本协议履行过程中所发生的一切争议，双方应本着诚实信用的原则友好协商解决。若协商不成，双方均同意选择</w:t>
      </w:r>
      <w:r>
        <w:rPr>
          <w:rFonts w:ascii="宋体" w:eastAsia="宋体" w:hAnsi="宋体" w:cs="Times New Roman" w:hint="eastAsia"/>
          <w:b/>
          <w:sz w:val="24"/>
          <w:szCs w:val="24"/>
        </w:rPr>
        <w:t>如下第</w:t>
      </w:r>
      <w:r>
        <w:rPr>
          <w:rFonts w:ascii="宋体" w:eastAsia="宋体" w:hAnsi="宋体" w:cs="Times New Roman" w:hint="eastAsia"/>
          <w:b/>
          <w:sz w:val="24"/>
          <w:szCs w:val="24"/>
          <w:u w:val="single"/>
        </w:rPr>
        <w:t xml:space="preserve"> 2 </w:t>
      </w:r>
      <w:r>
        <w:rPr>
          <w:rFonts w:ascii="宋体" w:eastAsia="宋体" w:hAnsi="宋体" w:cs="Times New Roman"/>
          <w:b/>
          <w:sz w:val="24"/>
          <w:szCs w:val="24"/>
        </w:rPr>
        <w:t>种方式解决</w:t>
      </w:r>
      <w:r>
        <w:rPr>
          <w:rFonts w:ascii="宋体" w:eastAsia="宋体" w:hAnsi="宋体" w:cs="Times New Roman" w:hint="eastAsia"/>
          <w:b/>
          <w:sz w:val="24"/>
          <w:szCs w:val="24"/>
        </w:rPr>
        <w:t>：</w:t>
      </w:r>
    </w:p>
    <w:p w:rsidR="00156F5C" w14:paraId="5DC8E243" w14:textId="13D1F1DE">
      <w:pPr>
        <w:spacing w:line="360" w:lineRule="auto"/>
        <w:ind w:firstLine="480" w:firstLineChars="200"/>
        <w:rPr>
          <w:rFonts w:ascii="宋体" w:eastAsia="宋体" w:hAnsi="宋体" w:cs="Times New Roman"/>
          <w:b/>
          <w:sz w:val="24"/>
          <w:szCs w:val="24"/>
        </w:rPr>
      </w:pPr>
      <w:r>
        <w:rPr>
          <w:rFonts w:ascii="宋体" w:eastAsia="宋体" w:hAnsi="宋体" w:cs="Times New Roman"/>
          <w:b/>
          <w:sz w:val="24"/>
          <w:szCs w:val="24"/>
        </w:rPr>
        <w:t>1、</w:t>
      </w:r>
      <w:r>
        <w:rPr>
          <w:rFonts w:ascii="宋体" w:eastAsia="宋体" w:hAnsi="宋体" w:cs="Times New Roman" w:hint="eastAsia"/>
          <w:b/>
          <w:sz w:val="24"/>
          <w:szCs w:val="24"/>
        </w:rPr>
        <w:t>提交【/】仲裁委员会仲裁。仲裁应按照该仲裁机构现行有效的仲裁规则进行。仲裁裁决是终局的，对双方均有约束力。</w:t>
      </w:r>
    </w:p>
    <w:p w:rsidR="00156F5C" w14:paraId="7E9D0CA3" w14:textId="2CADFEE9">
      <w:pPr>
        <w:spacing w:line="360" w:lineRule="auto"/>
        <w:ind w:firstLine="480" w:firstLineChars="200"/>
        <w:rPr>
          <w:rFonts w:ascii="宋体" w:eastAsia="宋体" w:hAnsi="宋体" w:cs="Times New Roman"/>
          <w:b/>
          <w:sz w:val="24"/>
          <w:szCs w:val="24"/>
        </w:rPr>
      </w:pPr>
      <w:r>
        <w:rPr>
          <w:rFonts w:ascii="宋体" w:eastAsia="宋体" w:hAnsi="宋体" w:cs="Times New Roman"/>
          <w:b/>
          <w:sz w:val="24"/>
          <w:szCs w:val="24"/>
        </w:rPr>
        <w:t>2、</w:t>
      </w:r>
      <w:r>
        <w:rPr>
          <w:rFonts w:ascii="宋体" w:eastAsia="宋体" w:hAnsi="宋体" w:cs="Times New Roman" w:hint="eastAsia"/>
          <w:b/>
          <w:sz w:val="24"/>
          <w:szCs w:val="24"/>
        </w:rPr>
        <w:t>任何一方均有权向被告方所在地、管理人所在地、合同履行地有管辖权的人民法院提起诉讼。</w:t>
      </w:r>
    </w:p>
    <w:p w:rsidR="00156F5C" w14:paraId="57B014DD"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hint="eastAsia"/>
          <w:b/>
          <w:sz w:val="24"/>
          <w:szCs w:val="24"/>
        </w:rPr>
        <w:t>在争议解决期间，若该争议不影响本协议其他条款及其他理财产品</w:t>
      </w:r>
      <w:r>
        <w:rPr>
          <w:rFonts w:ascii="宋体" w:eastAsia="宋体" w:hAnsi="宋体" w:cs="Times New Roman"/>
          <w:b/>
          <w:sz w:val="24"/>
          <w:szCs w:val="24"/>
        </w:rPr>
        <w:t>销售文</w:t>
      </w:r>
      <w:r>
        <w:rPr>
          <w:rFonts w:ascii="宋体" w:eastAsia="宋体" w:hAnsi="宋体" w:cs="Times New Roman"/>
          <w:b/>
          <w:sz w:val="24"/>
          <w:szCs w:val="24"/>
        </w:rPr>
        <w:t>件</w:t>
      </w:r>
      <w:r>
        <w:rPr>
          <w:rFonts w:ascii="宋体" w:eastAsia="宋体" w:hAnsi="宋体" w:cs="Times New Roman" w:hint="eastAsia"/>
          <w:b/>
          <w:sz w:val="24"/>
          <w:szCs w:val="24"/>
        </w:rPr>
        <w:t>各条款的履行，前述条款应继续履行。因处理争议产生的费用（包括但不限于律师费、诉讼费等），除法院判决</w:t>
      </w:r>
      <w:r>
        <w:rPr>
          <w:rFonts w:ascii="宋体" w:eastAsia="宋体" w:hAnsi="宋体" w:cs="Times New Roman"/>
          <w:b/>
          <w:sz w:val="24"/>
          <w:szCs w:val="24"/>
        </w:rPr>
        <w:t>/裁定另有规定，</w:t>
      </w:r>
      <w:r>
        <w:rPr>
          <w:rFonts w:ascii="宋体" w:eastAsia="宋体" w:hAnsi="宋体" w:cs="Times New Roman" w:hint="eastAsia"/>
          <w:b/>
          <w:sz w:val="24"/>
          <w:szCs w:val="24"/>
        </w:rPr>
        <w:t>由败诉方承担。</w:t>
      </w:r>
    </w:p>
    <w:p w:rsidR="00156F5C" w14:paraId="191D5574" w14:textId="77777777">
      <w:pPr>
        <w:pStyle w:val="ListParagraph"/>
        <w:spacing w:line="360" w:lineRule="auto"/>
        <w:ind w:firstLine="482"/>
        <w:rPr>
          <w:rFonts w:ascii="宋体" w:eastAsia="宋体" w:hAnsi="宋体" w:cs="Times New Roman"/>
          <w:sz w:val="24"/>
          <w:szCs w:val="24"/>
        </w:rPr>
      </w:pPr>
      <w:r>
        <w:rPr>
          <w:rFonts w:ascii="宋体" w:eastAsia="宋体" w:hAnsi="宋体" w:cs="Times New Roman" w:hint="eastAsia"/>
          <w:b/>
          <w:sz w:val="24"/>
          <w:szCs w:val="24"/>
        </w:rPr>
        <w:t>第七条</w:t>
      </w:r>
      <w:r>
        <w:rPr>
          <w:rFonts w:ascii="宋体" w:eastAsia="宋体" w:hAnsi="宋体" w:cs="Times New Roman"/>
          <w:b/>
          <w:sz w:val="24"/>
          <w:szCs w:val="24"/>
        </w:rPr>
        <w:t xml:space="preserve"> 协议的生效</w:t>
      </w:r>
      <w:r>
        <w:rPr>
          <w:rFonts w:ascii="宋体" w:eastAsia="宋体" w:hAnsi="宋体" w:cs="Times New Roman" w:hint="eastAsia"/>
          <w:b/>
          <w:sz w:val="24"/>
          <w:szCs w:val="24"/>
        </w:rPr>
        <w:t>和终止</w:t>
      </w:r>
    </w:p>
    <w:p w:rsidR="00156F5C" w14:paraId="1563FD96"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hint="eastAsia"/>
          <w:b/>
          <w:sz w:val="24"/>
          <w:szCs w:val="24"/>
        </w:rPr>
        <w:t>（一）协议生效</w:t>
      </w:r>
    </w:p>
    <w:p w:rsidR="00156F5C" w14:paraId="3804310B" w14:textId="2971C86E">
      <w:pPr>
        <w:widowControl/>
        <w:spacing w:line="360" w:lineRule="auto"/>
        <w:ind w:firstLine="480" w:firstLineChars="200"/>
        <w:jc w:val="left"/>
        <w:rPr>
          <w:rFonts w:ascii="宋体" w:eastAsia="宋体" w:hAnsi="宋体" w:cs="Times New Roman"/>
          <w:sz w:val="24"/>
          <w:szCs w:val="24"/>
        </w:rPr>
      </w:pPr>
      <w:r>
        <w:rPr>
          <w:rFonts w:ascii="宋体" w:eastAsia="宋体" w:hAnsi="宋体" w:cs="Times New Roman"/>
          <w:sz w:val="24"/>
          <w:szCs w:val="24"/>
        </w:rPr>
        <w:t>1、</w:t>
      </w:r>
      <w:r>
        <w:rPr>
          <w:rFonts w:ascii="宋体" w:eastAsia="宋体" w:hAnsi="宋体" w:cs="Times New Roman" w:hint="eastAsia"/>
          <w:sz w:val="24"/>
          <w:szCs w:val="24"/>
        </w:rPr>
        <w:t>甲方通过乙方或代理销售机构营业网点购买本理财产品的</w:t>
      </w:r>
      <w:r>
        <w:rPr>
          <w:rFonts w:ascii="宋体" w:eastAsia="宋体" w:hAnsi="宋体" w:cs="Times New Roman"/>
          <w:sz w:val="24"/>
          <w:szCs w:val="24"/>
        </w:rPr>
        <w:t>，本协议于甲方签署（</w:t>
      </w:r>
      <w:r>
        <w:rPr>
          <w:rFonts w:ascii="宋体" w:eastAsia="宋体" w:hAnsi="宋体" w:cs="Times New Roman" w:hint="eastAsia"/>
          <w:sz w:val="24"/>
          <w:szCs w:val="24"/>
        </w:rPr>
        <w:t>甲方为自然人的，应签字；甲方为机构的，应</w:t>
      </w:r>
      <w:r>
        <w:rPr>
          <w:rFonts w:ascii="宋体" w:eastAsia="宋体" w:hAnsi="宋体" w:cs="Times New Roman"/>
          <w:sz w:val="24"/>
          <w:szCs w:val="24"/>
        </w:rPr>
        <w:t>加盖</w:t>
      </w:r>
      <w:r>
        <w:rPr>
          <w:rFonts w:ascii="宋体" w:eastAsia="宋体" w:hAnsi="宋体" w:cs="Times New Roman" w:hint="eastAsia"/>
          <w:sz w:val="24"/>
          <w:szCs w:val="24"/>
        </w:rPr>
        <w:t>公章（或经公章授权的其他有效印鉴），</w:t>
      </w:r>
      <w:r>
        <w:rPr>
          <w:rFonts w:ascii="宋体" w:eastAsia="宋体" w:hAnsi="宋体" w:cs="Times New Roman"/>
          <w:sz w:val="24"/>
          <w:szCs w:val="24"/>
        </w:rPr>
        <w:t>并</w:t>
      </w:r>
      <w:r>
        <w:rPr>
          <w:rFonts w:ascii="宋体" w:eastAsia="宋体" w:hAnsi="宋体" w:cs="Times New Roman" w:hint="eastAsia"/>
          <w:sz w:val="24"/>
          <w:szCs w:val="24"/>
        </w:rPr>
        <w:t>由其法定代表人（负责人）或授权代理人签字</w:t>
      </w:r>
      <w:r>
        <w:rPr>
          <w:rFonts w:ascii="宋体" w:eastAsia="宋体" w:hAnsi="宋体" w:cs="Times New Roman"/>
          <w:sz w:val="24"/>
          <w:szCs w:val="24"/>
        </w:rPr>
        <w:t>/签章；甲方为资产管理产品的，应</w:t>
      </w:r>
      <w:r>
        <w:rPr>
          <w:rFonts w:ascii="宋体" w:eastAsia="宋体" w:hAnsi="宋体" w:cs="Times New Roman" w:hint="eastAsia"/>
          <w:sz w:val="24"/>
          <w:szCs w:val="24"/>
        </w:rPr>
        <w:t>加盖甲方产品</w:t>
      </w:r>
      <w:r>
        <w:rPr>
          <w:rFonts w:ascii="宋体" w:eastAsia="宋体" w:hAnsi="宋体" w:cs="Times New Roman"/>
          <w:sz w:val="24"/>
          <w:szCs w:val="24"/>
        </w:rPr>
        <w:t>管理人</w:t>
      </w:r>
      <w:r>
        <w:rPr>
          <w:rFonts w:ascii="宋体" w:eastAsia="宋体" w:hAnsi="宋体" w:cs="Times New Roman" w:hint="eastAsia"/>
          <w:sz w:val="24"/>
          <w:szCs w:val="24"/>
        </w:rPr>
        <w:t>公</w:t>
      </w:r>
      <w:r>
        <w:rPr>
          <w:rFonts w:ascii="宋体" w:eastAsia="宋体" w:hAnsi="宋体" w:cs="Times New Roman"/>
          <w:sz w:val="24"/>
          <w:szCs w:val="24"/>
        </w:rPr>
        <w:t>章</w:t>
      </w:r>
      <w:r>
        <w:rPr>
          <w:rFonts w:ascii="宋体" w:eastAsia="宋体" w:hAnsi="宋体" w:cs="Times New Roman" w:hint="eastAsia"/>
          <w:sz w:val="24"/>
          <w:szCs w:val="24"/>
        </w:rPr>
        <w:t>（或经公章授权的其他有效印鉴），并由甲方产品管理人的法定代表人（负责人）或授权代理人签字/签章）</w:t>
      </w:r>
      <w:r>
        <w:rPr>
          <w:rFonts w:ascii="宋体" w:eastAsia="宋体" w:hAnsi="宋体" w:cs="Times New Roman"/>
          <w:sz w:val="24"/>
          <w:szCs w:val="24"/>
        </w:rPr>
        <w:t>且乙方确认甲方成功认（申）购并收到甲方缴付的全部投资</w:t>
      </w:r>
      <w:r>
        <w:rPr>
          <w:rFonts w:ascii="宋体" w:eastAsia="宋体" w:hAnsi="宋体" w:cs="Times New Roman" w:hint="eastAsia"/>
          <w:sz w:val="24"/>
          <w:szCs w:val="24"/>
        </w:rPr>
        <w:t>款项</w:t>
      </w:r>
      <w:r>
        <w:rPr>
          <w:rFonts w:ascii="宋体" w:eastAsia="宋体" w:hAnsi="宋体" w:cs="Times New Roman"/>
          <w:sz w:val="24"/>
          <w:szCs w:val="24"/>
        </w:rPr>
        <w:t>本金之日起生效。本协议</w:t>
      </w:r>
      <w:r>
        <w:rPr>
          <w:rFonts w:ascii="宋体" w:eastAsia="宋体" w:hAnsi="宋体" w:cs="Times New Roman" w:hint="eastAsia"/>
          <w:sz w:val="24"/>
          <w:szCs w:val="24"/>
        </w:rPr>
        <w:t>一式</w:t>
      </w:r>
      <w:r w:rsidR="00E24A27">
        <w:rPr>
          <w:rFonts w:ascii="宋体" w:eastAsia="宋体" w:hAnsi="宋体" w:cs="Times New Roman"/>
          <w:sz w:val="24"/>
          <w:szCs w:val="24"/>
          <w:u w:val="single"/>
        </w:rPr>
        <w:t>2</w:t>
      </w:r>
      <w:r>
        <w:rPr>
          <w:rFonts w:ascii="宋体" w:eastAsia="宋体" w:hAnsi="宋体" w:cs="Times New Roman" w:hint="eastAsia"/>
          <w:sz w:val="24"/>
          <w:szCs w:val="24"/>
        </w:rPr>
        <w:t>份，其中甲方执有</w:t>
      </w:r>
      <w:r w:rsidR="00E24A27">
        <w:rPr>
          <w:rFonts w:ascii="宋体" w:eastAsia="宋体" w:hAnsi="宋体" w:cs="Times New Roman"/>
          <w:sz w:val="24"/>
          <w:szCs w:val="24"/>
          <w:u w:val="single"/>
        </w:rPr>
        <w:t>1</w:t>
      </w:r>
      <w:r>
        <w:rPr>
          <w:rFonts w:ascii="宋体" w:eastAsia="宋体" w:hAnsi="宋体" w:cs="Times New Roman" w:hint="eastAsia"/>
          <w:sz w:val="24"/>
          <w:szCs w:val="24"/>
        </w:rPr>
        <w:t>份。</w:t>
      </w:r>
    </w:p>
    <w:p w:rsidR="00156F5C" w14:paraId="13DA4CC3" w14:textId="77777777">
      <w:pPr>
        <w:pStyle w:val="ListParagraph"/>
        <w:spacing w:line="360" w:lineRule="auto"/>
        <w:ind w:firstLine="480"/>
        <w:rPr>
          <w:rFonts w:ascii="宋体" w:eastAsia="宋体" w:hAnsi="宋体" w:cs="Times New Roman"/>
          <w:sz w:val="24"/>
          <w:szCs w:val="24"/>
        </w:rPr>
      </w:pPr>
      <w:r>
        <w:rPr>
          <w:rFonts w:ascii="宋体" w:eastAsia="宋体" w:hAnsi="宋体" w:cs="Times New Roman"/>
          <w:sz w:val="24"/>
          <w:szCs w:val="24"/>
        </w:rPr>
        <w:t>2、</w:t>
      </w:r>
      <w:r>
        <w:rPr>
          <w:rFonts w:ascii="宋体" w:eastAsia="宋体" w:hAnsi="宋体" w:cs="Times New Roman" w:hint="eastAsia"/>
          <w:sz w:val="24"/>
          <w:szCs w:val="24"/>
        </w:rPr>
        <w:t>甲方通过乙方或代理销售机构的网上银行、手机银行等线</w:t>
      </w:r>
      <w:r>
        <w:rPr>
          <w:rFonts w:ascii="宋体" w:eastAsia="宋体" w:hAnsi="宋体" w:cs="Times New Roman" w:hint="eastAsia"/>
          <w:sz w:val="24"/>
          <w:szCs w:val="24"/>
        </w:rPr>
        <w:t>上渠道</w:t>
      </w:r>
      <w:r>
        <w:rPr>
          <w:rFonts w:ascii="宋体" w:eastAsia="宋体" w:hAnsi="宋体" w:cs="Times New Roman" w:hint="eastAsia"/>
          <w:sz w:val="24"/>
          <w:szCs w:val="24"/>
        </w:rPr>
        <w:t>方式购买本理财产品的</w:t>
      </w:r>
      <w:r>
        <w:rPr>
          <w:rFonts w:ascii="宋体" w:eastAsia="宋体" w:hAnsi="宋体" w:cs="Times New Roman"/>
          <w:sz w:val="24"/>
          <w:szCs w:val="24"/>
        </w:rPr>
        <w:t>，本协议经甲方点击同意本协议且乙方确认甲方成功认（申）购并收到甲方缴付的全部投资</w:t>
      </w:r>
      <w:r>
        <w:rPr>
          <w:rFonts w:ascii="宋体" w:eastAsia="宋体" w:hAnsi="宋体" w:cs="Times New Roman" w:hint="eastAsia"/>
          <w:sz w:val="24"/>
          <w:szCs w:val="24"/>
        </w:rPr>
        <w:t>本金款项</w:t>
      </w:r>
      <w:r>
        <w:rPr>
          <w:rFonts w:ascii="宋体" w:eastAsia="宋体" w:hAnsi="宋体" w:cs="Times New Roman"/>
          <w:sz w:val="24"/>
          <w:szCs w:val="24"/>
        </w:rPr>
        <w:t>之日起生效。</w:t>
      </w:r>
      <w:r>
        <w:rPr>
          <w:rFonts w:ascii="宋体" w:eastAsia="宋体" w:hAnsi="宋体" w:cs="Times New Roman" w:hint="eastAsia"/>
          <w:sz w:val="24"/>
          <w:szCs w:val="24"/>
        </w:rPr>
        <w:t>双</w:t>
      </w:r>
      <w:r>
        <w:rPr>
          <w:rFonts w:ascii="宋体" w:eastAsia="宋体" w:hAnsi="宋体" w:cs="Times New Roman"/>
          <w:sz w:val="24"/>
          <w:szCs w:val="24"/>
        </w:rPr>
        <w:t>方认可线上点击同意具有与书面签署同等的法律效力</w:t>
      </w:r>
      <w:r>
        <w:rPr>
          <w:rFonts w:ascii="宋体" w:eastAsia="宋体" w:hAnsi="宋体" w:cs="Times New Roman" w:hint="eastAsia"/>
          <w:sz w:val="24"/>
          <w:szCs w:val="24"/>
        </w:rPr>
        <w:t>。</w:t>
      </w:r>
    </w:p>
    <w:p w:rsidR="00156F5C" w14:paraId="38BF9F8B" w14:textId="77777777">
      <w:pPr>
        <w:pStyle w:val="ListParagraph"/>
        <w:spacing w:line="360" w:lineRule="auto"/>
        <w:ind w:firstLine="482"/>
      </w:pPr>
      <w:r>
        <w:rPr>
          <w:rFonts w:ascii="宋体" w:eastAsia="宋体" w:hAnsi="宋体" w:cs="Times New Roman" w:hint="eastAsia"/>
          <w:b/>
          <w:sz w:val="24"/>
          <w:szCs w:val="24"/>
        </w:rPr>
        <w:t>通过线</w:t>
      </w:r>
      <w:r>
        <w:rPr>
          <w:rFonts w:ascii="宋体" w:eastAsia="宋体" w:hAnsi="宋体" w:cs="Times New Roman" w:hint="eastAsia"/>
          <w:b/>
          <w:sz w:val="24"/>
          <w:szCs w:val="24"/>
        </w:rPr>
        <w:t>上渠道认</w:t>
      </w:r>
      <w:r>
        <w:rPr>
          <w:rFonts w:ascii="宋体" w:eastAsia="宋体" w:hAnsi="宋体" w:cs="Times New Roman" w:hint="eastAsia"/>
          <w:b/>
          <w:sz w:val="24"/>
          <w:szCs w:val="24"/>
        </w:rPr>
        <w:t>（申）购</w:t>
      </w:r>
      <w:r>
        <w:rPr>
          <w:rFonts w:ascii="宋体" w:eastAsia="宋体" w:hAnsi="宋体" w:cs="Times New Roman"/>
          <w:b/>
          <w:sz w:val="24"/>
          <w:szCs w:val="24"/>
        </w:rPr>
        <w:t>时，甲方使用的身份认证要素（包括但不限</w:t>
      </w:r>
      <w:r>
        <w:rPr>
          <w:rFonts w:ascii="宋体" w:eastAsia="宋体" w:hAnsi="宋体" w:cs="Times New Roman" w:hint="eastAsia"/>
          <w:b/>
          <w:sz w:val="24"/>
          <w:szCs w:val="24"/>
        </w:rPr>
        <w:t>于账号、</w:t>
      </w:r>
      <w:r>
        <w:rPr>
          <w:rFonts w:ascii="宋体" w:eastAsia="宋体" w:hAnsi="宋体" w:cs="Times New Roman" w:hint="eastAsia"/>
          <w:b/>
          <w:sz w:val="24"/>
          <w:szCs w:val="24"/>
        </w:rPr>
        <w:t>网银登录</w:t>
      </w:r>
      <w:r>
        <w:rPr>
          <w:rFonts w:ascii="宋体" w:eastAsia="宋体" w:hAnsi="宋体" w:cs="Times New Roman" w:hint="eastAsia"/>
          <w:b/>
          <w:sz w:val="24"/>
          <w:szCs w:val="24"/>
        </w:rPr>
        <w:t>名、证件号码、手机号码、密码、数字证书、</w:t>
      </w:r>
      <w:r>
        <w:rPr>
          <w:rFonts w:ascii="宋体" w:eastAsia="宋体" w:hAnsi="宋体" w:cs="Times New Roman"/>
          <w:b/>
          <w:sz w:val="24"/>
          <w:szCs w:val="24"/>
        </w:rPr>
        <w:t>USBKey</w:t>
      </w:r>
      <w:r>
        <w:rPr>
          <w:rFonts w:ascii="宋体" w:eastAsia="宋体" w:hAnsi="宋体" w:cs="Times New Roman"/>
          <w:b/>
          <w:sz w:val="24"/>
          <w:szCs w:val="24"/>
        </w:rPr>
        <w:t>、动态密码等）或其他交</w:t>
      </w:r>
      <w:r>
        <w:rPr>
          <w:rFonts w:ascii="宋体" w:eastAsia="宋体" w:hAnsi="宋体" w:cs="Times New Roman" w:hint="eastAsia"/>
          <w:b/>
          <w:sz w:val="24"/>
          <w:szCs w:val="24"/>
        </w:rPr>
        <w:t>易安全措施所完成的一切交易操作均视为甲方所为，上述操作所产生的业务指令均为处理业务的合法有效凭证，与在纸质合同上手写签名或盖章具有同等法律效力，双方无需另行签署纸质合同，甲方应对此产生的后果负责。甲方同意不因电子合同单方保存在乙方或代理销售机构系统而提出异议。</w:t>
      </w:r>
    </w:p>
    <w:p w:rsidR="00156F5C" w14:paraId="2A587502" w14:textId="77777777">
      <w:pPr>
        <w:widowControl/>
        <w:spacing w:line="360" w:lineRule="auto"/>
        <w:ind w:firstLine="480" w:firstLineChars="200"/>
        <w:jc w:val="left"/>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3、甲方知悉并确认，乙方对于理财产品项下甲方认（申）购</w:t>
      </w:r>
      <w:r>
        <w:rPr>
          <w:rFonts w:ascii="宋体" w:eastAsia="宋体" w:hAnsi="宋体" w:cs="宋体"/>
          <w:bCs/>
          <w:color w:val="000000"/>
          <w:kern w:val="0"/>
          <w:sz w:val="24"/>
          <w:szCs w:val="24"/>
        </w:rPr>
        <w:t>份额的确认即视为乙方对于本协议的签署和认可，受本协议约束，甲方不得以乙方不在本协议中</w:t>
      </w:r>
      <w:r>
        <w:rPr>
          <w:rFonts w:ascii="宋体" w:eastAsia="宋体" w:hAnsi="宋体" w:cs="宋体" w:hint="eastAsia"/>
          <w:bCs/>
          <w:color w:val="000000"/>
          <w:kern w:val="0"/>
          <w:sz w:val="24"/>
          <w:szCs w:val="24"/>
        </w:rPr>
        <w:t>签名或</w:t>
      </w:r>
      <w:r>
        <w:rPr>
          <w:rFonts w:ascii="宋体" w:eastAsia="宋体" w:hAnsi="宋体" w:cs="宋体"/>
          <w:bCs/>
          <w:color w:val="000000"/>
          <w:kern w:val="0"/>
          <w:sz w:val="24"/>
          <w:szCs w:val="24"/>
        </w:rPr>
        <w:t>签章为由主张本协议不成立或不生效</w:t>
      </w:r>
      <w:r>
        <w:rPr>
          <w:rFonts w:ascii="宋体" w:eastAsia="宋体" w:hAnsi="宋体" w:cs="宋体" w:hint="eastAsia"/>
          <w:bCs/>
          <w:color w:val="000000"/>
          <w:kern w:val="0"/>
          <w:sz w:val="24"/>
          <w:szCs w:val="24"/>
        </w:rPr>
        <w:t>。</w:t>
      </w:r>
    </w:p>
    <w:p w:rsidR="00156F5C" w14:paraId="1E8D9B94" w14:textId="77777777">
      <w:pPr>
        <w:widowControl/>
        <w:spacing w:line="360" w:lineRule="auto"/>
        <w:ind w:firstLine="480" w:firstLineChars="200"/>
        <w:jc w:val="left"/>
        <w:rPr>
          <w:rFonts w:ascii="宋体" w:eastAsia="宋体" w:hAnsi="宋体" w:cs="Times New Roman"/>
          <w:b/>
          <w:sz w:val="24"/>
          <w:szCs w:val="24"/>
        </w:rPr>
      </w:pPr>
      <w:r>
        <w:rPr>
          <w:rFonts w:ascii="宋体" w:eastAsia="宋体" w:hAnsi="宋体" w:cs="宋体"/>
          <w:color w:val="000000"/>
          <w:kern w:val="0"/>
          <w:sz w:val="24"/>
          <w:szCs w:val="24"/>
        </w:rPr>
        <w:t>4、</w:t>
      </w:r>
      <w:r>
        <w:rPr>
          <w:rFonts w:ascii="宋体" w:eastAsia="宋体" w:hAnsi="宋体" w:cs="宋体" w:hint="eastAsia"/>
          <w:b/>
          <w:color w:val="000000"/>
          <w:kern w:val="0"/>
          <w:sz w:val="24"/>
          <w:szCs w:val="24"/>
        </w:rPr>
        <w:t>甲方通过乙方</w:t>
      </w:r>
      <w:r>
        <w:rPr>
          <w:rFonts w:ascii="宋体" w:eastAsia="宋体" w:hAnsi="宋体" w:cs="Times New Roman" w:hint="eastAsia"/>
          <w:b/>
          <w:sz w:val="24"/>
          <w:szCs w:val="24"/>
        </w:rPr>
        <w:t>或</w:t>
      </w:r>
      <w:r>
        <w:rPr>
          <w:rFonts w:ascii="宋体" w:eastAsia="宋体" w:hAnsi="宋体" w:cs="宋体" w:hint="eastAsia"/>
          <w:b/>
          <w:color w:val="000000"/>
          <w:kern w:val="0"/>
          <w:sz w:val="24"/>
          <w:szCs w:val="24"/>
        </w:rPr>
        <w:t>代理销售机构提交的有效理财产品认（申）购</w:t>
      </w:r>
      <w:r>
        <w:rPr>
          <w:rFonts w:ascii="宋体" w:eastAsia="宋体" w:hAnsi="宋体" w:cs="宋体"/>
          <w:b/>
          <w:color w:val="000000"/>
          <w:kern w:val="0"/>
          <w:sz w:val="24"/>
          <w:szCs w:val="24"/>
        </w:rPr>
        <w:t>/撤单申请，</w:t>
      </w:r>
      <w:r>
        <w:rPr>
          <w:rFonts w:ascii="宋体" w:eastAsia="宋体" w:hAnsi="宋体" w:cs="宋体" w:hint="eastAsia"/>
          <w:b/>
          <w:color w:val="000000"/>
          <w:kern w:val="0"/>
          <w:sz w:val="24"/>
          <w:szCs w:val="24"/>
        </w:rPr>
        <w:t>并不意味着理财产品认（申）购</w:t>
      </w:r>
      <w:r>
        <w:rPr>
          <w:rFonts w:ascii="宋体" w:eastAsia="宋体" w:hAnsi="宋体" w:cs="宋体"/>
          <w:b/>
          <w:color w:val="000000"/>
          <w:kern w:val="0"/>
          <w:sz w:val="24"/>
          <w:szCs w:val="24"/>
        </w:rPr>
        <w:t>/撤单一定成功，具体</w:t>
      </w:r>
      <w:r>
        <w:rPr>
          <w:rFonts w:ascii="宋体" w:eastAsia="宋体" w:hAnsi="宋体" w:cs="宋体" w:hint="eastAsia"/>
          <w:b/>
          <w:kern w:val="0"/>
          <w:sz w:val="24"/>
          <w:szCs w:val="24"/>
        </w:rPr>
        <w:t>认（申）购</w:t>
      </w:r>
      <w:r>
        <w:rPr>
          <w:rFonts w:ascii="宋体" w:eastAsia="宋体" w:hAnsi="宋体" w:cs="宋体"/>
          <w:b/>
          <w:color w:val="000000"/>
          <w:kern w:val="0"/>
          <w:sz w:val="24"/>
          <w:szCs w:val="24"/>
        </w:rPr>
        <w:t>/撤单的受理结果根据《</w:t>
      </w:r>
      <w:r>
        <w:rPr>
          <w:rFonts w:ascii="宋体" w:eastAsia="宋体" w:hAnsi="宋体" w:cs="宋体" w:hint="eastAsia"/>
          <w:b/>
          <w:color w:val="000000"/>
          <w:kern w:val="0"/>
          <w:sz w:val="24"/>
          <w:szCs w:val="24"/>
        </w:rPr>
        <w:t>理财产品说明书》约定执行。</w:t>
      </w:r>
    </w:p>
    <w:p w:rsidR="00156F5C" w14:paraId="39964C0A" w14:textId="77777777">
      <w:pPr>
        <w:widowControl/>
        <w:spacing w:line="360" w:lineRule="auto"/>
        <w:ind w:firstLine="480" w:firstLineChars="200"/>
        <w:jc w:val="left"/>
        <w:rPr>
          <w:rFonts w:ascii="宋体" w:eastAsia="宋体" w:hAnsi="宋体" w:cs="宋体"/>
          <w:bCs/>
          <w:color w:val="000000"/>
          <w:kern w:val="0"/>
          <w:sz w:val="24"/>
          <w:szCs w:val="24"/>
        </w:rPr>
      </w:pPr>
      <w:r>
        <w:rPr>
          <w:rFonts w:ascii="宋体" w:eastAsia="宋体" w:hAnsi="宋体" w:cs="Times New Roman" w:hint="eastAsia"/>
          <w:sz w:val="24"/>
          <w:szCs w:val="24"/>
        </w:rPr>
        <w:t>5、</w:t>
      </w:r>
      <w:r>
        <w:rPr>
          <w:rFonts w:ascii="宋体" w:eastAsia="宋体" w:hAnsi="宋体" w:cs="宋体" w:hint="eastAsia"/>
          <w:b/>
          <w:bCs/>
          <w:color w:val="000000"/>
          <w:kern w:val="0"/>
          <w:sz w:val="24"/>
          <w:szCs w:val="24"/>
        </w:rPr>
        <w:t>甲方通过代理销售机构购买乙方理财产品时，甲方若需针对产品相关事项进行咨询或投诉，可与乙方或代理销售机构联系，乙方或代理销售机构将及时接听、记录甲方的意见或建议，并与甲方协商共同解决。</w:t>
      </w:r>
    </w:p>
    <w:p w:rsidR="00156F5C" w14:paraId="55EFFC37" w14:textId="77777777">
      <w:pPr>
        <w:widowControl/>
        <w:spacing w:line="360" w:lineRule="auto"/>
        <w:ind w:firstLine="480" w:firstLineChars="200"/>
        <w:jc w:val="left"/>
        <w:rPr>
          <w:rFonts w:ascii="宋体" w:eastAsia="宋体" w:hAnsi="宋体" w:cs="Times New Roman"/>
          <w:sz w:val="24"/>
          <w:szCs w:val="24"/>
        </w:rPr>
      </w:pPr>
      <w:r>
        <w:rPr>
          <w:rFonts w:ascii="宋体" w:eastAsia="宋体" w:hAnsi="宋体" w:cs="Times New Roman"/>
          <w:sz w:val="24"/>
          <w:szCs w:val="24"/>
        </w:rPr>
        <w:t>6、</w:t>
      </w:r>
      <w:r>
        <w:rPr>
          <w:rFonts w:ascii="宋体" w:eastAsia="宋体" w:hAnsi="宋体" w:cs="Times New Roman" w:hint="eastAsia"/>
          <w:sz w:val="24"/>
          <w:szCs w:val="24"/>
        </w:rPr>
        <w:t>本协议生效后</w:t>
      </w:r>
      <w:r>
        <w:rPr>
          <w:rFonts w:ascii="宋体" w:eastAsia="宋体" w:hAnsi="宋体" w:cs="Times New Roman"/>
          <w:sz w:val="24"/>
          <w:szCs w:val="24"/>
        </w:rPr>
        <w:t>,甲方在乙方认</w:t>
      </w:r>
      <w:r>
        <w:rPr>
          <w:rFonts w:ascii="宋体" w:eastAsia="宋体" w:hAnsi="宋体" w:cs="Times New Roman" w:hint="eastAsia"/>
          <w:sz w:val="24"/>
          <w:szCs w:val="24"/>
        </w:rPr>
        <w:t>（申）</w:t>
      </w:r>
      <w:r>
        <w:rPr>
          <w:rFonts w:ascii="宋体" w:eastAsia="宋体" w:hAnsi="宋体" w:cs="Times New Roman"/>
          <w:sz w:val="24"/>
          <w:szCs w:val="24"/>
        </w:rPr>
        <w:t>购</w:t>
      </w:r>
      <w:r>
        <w:rPr>
          <w:rFonts w:ascii="宋体" w:eastAsia="宋体" w:hAnsi="宋体" w:cs="Times New Roman" w:hint="eastAsia"/>
          <w:sz w:val="24"/>
          <w:szCs w:val="24"/>
        </w:rPr>
        <w:t>或赎回本</w:t>
      </w:r>
      <w:r>
        <w:rPr>
          <w:rFonts w:ascii="宋体" w:eastAsia="宋体" w:hAnsi="宋体" w:cs="Times New Roman"/>
          <w:sz w:val="24"/>
          <w:szCs w:val="24"/>
        </w:rPr>
        <w:t>产品</w:t>
      </w:r>
      <w:r>
        <w:rPr>
          <w:rFonts w:ascii="宋体" w:eastAsia="宋体" w:hAnsi="宋体" w:cs="Times New Roman" w:hint="eastAsia"/>
          <w:sz w:val="24"/>
          <w:szCs w:val="24"/>
        </w:rPr>
        <w:t>的任何行为</w:t>
      </w:r>
      <w:r>
        <w:rPr>
          <w:rFonts w:ascii="宋体" w:eastAsia="宋体" w:hAnsi="宋体" w:cs="Times New Roman"/>
          <w:sz w:val="24"/>
          <w:szCs w:val="24"/>
        </w:rPr>
        <w:t>均适用本协议，但本协议不作为甲方认</w:t>
      </w:r>
      <w:r>
        <w:rPr>
          <w:rFonts w:ascii="宋体" w:eastAsia="宋体" w:hAnsi="宋体" w:cs="Times New Roman" w:hint="eastAsia"/>
          <w:sz w:val="24"/>
          <w:szCs w:val="24"/>
        </w:rPr>
        <w:t>（申）</w:t>
      </w:r>
      <w:r>
        <w:rPr>
          <w:rFonts w:ascii="宋体" w:eastAsia="宋体" w:hAnsi="宋体" w:cs="Times New Roman"/>
          <w:sz w:val="24"/>
          <w:szCs w:val="24"/>
        </w:rPr>
        <w:t xml:space="preserve">购或持有乙方管理的特定理财产品的凭证。 </w:t>
      </w:r>
    </w:p>
    <w:p w:rsidR="00156F5C" w14:paraId="72ABA8FD" w14:textId="0D22F869">
      <w:pPr>
        <w:widowControl/>
        <w:spacing w:line="360" w:lineRule="auto"/>
        <w:ind w:firstLine="480" w:firstLineChars="200"/>
        <w:jc w:val="left"/>
        <w:rPr>
          <w:rFonts w:ascii="宋体" w:eastAsia="宋体" w:hAnsi="宋体" w:cs="Times New Roman"/>
          <w:b/>
          <w:bCs/>
          <w:sz w:val="24"/>
          <w:szCs w:val="24"/>
        </w:rPr>
      </w:pPr>
      <w:r>
        <w:rPr>
          <w:rFonts w:ascii="宋体" w:eastAsia="宋体" w:hAnsi="宋体" w:cs="Times New Roman"/>
          <w:sz w:val="24"/>
          <w:szCs w:val="24"/>
        </w:rPr>
        <w:t>7</w:t>
      </w:r>
      <w:r>
        <w:rPr>
          <w:rFonts w:ascii="宋体" w:eastAsia="宋体" w:hAnsi="宋体" w:cs="Times New Roman" w:hint="eastAsia"/>
          <w:sz w:val="24"/>
          <w:szCs w:val="24"/>
        </w:rPr>
        <w:t>、</w:t>
      </w:r>
      <w:r>
        <w:rPr>
          <w:rFonts w:ascii="宋体" w:eastAsia="宋体" w:hAnsi="宋体" w:cs="Times New Roman"/>
          <w:sz w:val="24"/>
          <w:szCs w:val="24"/>
        </w:rPr>
        <w:t>乙方有权不定期对本协议进行更新，</w:t>
      </w:r>
      <w:r>
        <w:rPr>
          <w:rFonts w:ascii="宋体" w:eastAsia="宋体" w:hAnsi="宋体" w:cs="Times New Roman" w:hint="eastAsia"/>
          <w:sz w:val="24"/>
          <w:szCs w:val="24"/>
        </w:rPr>
        <w:t>通过乙方官</w:t>
      </w:r>
      <w:r>
        <w:rPr>
          <w:rFonts w:ascii="宋体" w:eastAsia="宋体" w:hAnsi="宋体" w:cs="Times New Roman"/>
          <w:sz w:val="24"/>
          <w:szCs w:val="24"/>
        </w:rPr>
        <w:t>网（</w:t>
      </w:r>
      <w:r w:rsidRPr="004A5F1C" w:rsidR="004A5F1C">
        <w:rPr>
          <w:rFonts w:ascii="宋体" w:eastAsia="宋体" w:hAnsi="宋体" w:cs="Times New Roman"/>
          <w:sz w:val="24"/>
          <w:szCs w:val="24"/>
        </w:rPr>
        <w:t>www.wmbnb.com</w:t>
      </w:r>
      <w:r>
        <w:rPr>
          <w:rFonts w:ascii="宋体" w:eastAsia="宋体" w:hAnsi="宋体" w:cs="Times New Roman"/>
          <w:sz w:val="24"/>
          <w:szCs w:val="24"/>
        </w:rPr>
        <w:t>）、相关理财代理销售机构官方渠道或其他</w:t>
      </w:r>
      <w:r>
        <w:rPr>
          <w:rFonts w:ascii="宋体" w:eastAsia="宋体" w:hAnsi="宋体" w:cs="Times New Roman" w:hint="eastAsia"/>
          <w:sz w:val="24"/>
          <w:szCs w:val="24"/>
        </w:rPr>
        <w:t>适当的</w:t>
      </w:r>
      <w:r>
        <w:rPr>
          <w:rFonts w:ascii="宋体" w:eastAsia="宋体" w:hAnsi="宋体" w:cs="Times New Roman"/>
          <w:sz w:val="24"/>
          <w:szCs w:val="24"/>
        </w:rPr>
        <w:t>方式进行信息披露（具体产品的信息披露方式、频率等</w:t>
      </w:r>
      <w:r>
        <w:rPr>
          <w:rFonts w:ascii="宋体" w:eastAsia="宋体" w:hAnsi="宋体" w:cs="Times New Roman"/>
          <w:sz w:val="24"/>
          <w:szCs w:val="24"/>
        </w:rPr>
        <w:t>规则见</w:t>
      </w:r>
      <w:r>
        <w:rPr>
          <w:rFonts w:ascii="宋体" w:eastAsia="宋体" w:hAnsi="宋体" w:cs="Times New Roman"/>
          <w:sz w:val="24"/>
          <w:szCs w:val="24"/>
        </w:rPr>
        <w:t>《理财产品说明书》）。</w:t>
      </w:r>
      <w:r>
        <w:rPr>
          <w:rFonts w:ascii="宋体" w:eastAsia="宋体" w:hAnsi="宋体" w:cs="Times New Roman"/>
          <w:b/>
          <w:bCs/>
          <w:sz w:val="24"/>
          <w:szCs w:val="24"/>
        </w:rPr>
        <w:t>乙方更新本协议并进行披露后，如甲方购买</w:t>
      </w:r>
      <w:r>
        <w:rPr>
          <w:rFonts w:ascii="宋体" w:eastAsia="宋体" w:hAnsi="宋体" w:cs="Times New Roman" w:hint="eastAsia"/>
          <w:b/>
          <w:bCs/>
          <w:sz w:val="24"/>
          <w:szCs w:val="24"/>
        </w:rPr>
        <w:t>、</w:t>
      </w:r>
      <w:r>
        <w:rPr>
          <w:rFonts w:ascii="宋体" w:eastAsia="宋体" w:hAnsi="宋体" w:cs="Times New Roman"/>
          <w:b/>
          <w:bCs/>
          <w:sz w:val="24"/>
          <w:szCs w:val="24"/>
        </w:rPr>
        <w:t>或继续持有</w:t>
      </w:r>
      <w:r>
        <w:rPr>
          <w:rFonts w:ascii="宋体" w:eastAsia="宋体" w:hAnsi="宋体" w:cs="Times New Roman" w:hint="eastAsia"/>
          <w:b/>
          <w:bCs/>
          <w:sz w:val="24"/>
          <w:szCs w:val="24"/>
        </w:rPr>
        <w:t>本</w:t>
      </w:r>
      <w:r>
        <w:rPr>
          <w:rFonts w:ascii="宋体" w:eastAsia="宋体" w:hAnsi="宋体" w:cs="Times New Roman"/>
          <w:b/>
          <w:bCs/>
          <w:sz w:val="24"/>
          <w:szCs w:val="24"/>
        </w:rPr>
        <w:t>理财产品</w:t>
      </w:r>
      <w:r>
        <w:rPr>
          <w:rFonts w:ascii="宋体" w:eastAsia="宋体" w:hAnsi="宋体" w:cs="Times New Roman" w:hint="eastAsia"/>
          <w:b/>
          <w:bCs/>
          <w:sz w:val="24"/>
          <w:szCs w:val="24"/>
        </w:rPr>
        <w:t>的</w:t>
      </w:r>
      <w:r>
        <w:rPr>
          <w:rFonts w:ascii="宋体" w:eastAsia="宋体" w:hAnsi="宋体" w:cs="Times New Roman"/>
          <w:b/>
          <w:bCs/>
          <w:sz w:val="24"/>
          <w:szCs w:val="24"/>
        </w:rPr>
        <w:t>，则视为甲方完全接受</w:t>
      </w:r>
      <w:r>
        <w:rPr>
          <w:rFonts w:ascii="宋体" w:eastAsia="宋体" w:hAnsi="宋体" w:cs="Times New Roman" w:hint="eastAsia"/>
          <w:b/>
          <w:bCs/>
          <w:sz w:val="24"/>
          <w:szCs w:val="24"/>
        </w:rPr>
        <w:t>最新版本协议</w:t>
      </w:r>
      <w:r>
        <w:rPr>
          <w:rFonts w:ascii="宋体" w:eastAsia="宋体" w:hAnsi="宋体" w:cs="Times New Roman"/>
          <w:b/>
          <w:bCs/>
          <w:sz w:val="24"/>
          <w:szCs w:val="24"/>
        </w:rPr>
        <w:t>的所有内容。</w:t>
      </w:r>
    </w:p>
    <w:p w:rsidR="00156F5C" w14:paraId="52EE1D96" w14:textId="1924FD3A">
      <w:pPr>
        <w:widowControl/>
        <w:spacing w:line="360" w:lineRule="auto"/>
        <w:ind w:firstLine="480" w:firstLineChars="200"/>
        <w:jc w:val="left"/>
        <w:rPr>
          <w:rFonts w:ascii="宋体" w:eastAsia="宋体" w:hAnsi="宋体" w:cs="Times New Roman"/>
          <w:b/>
          <w:sz w:val="24"/>
          <w:szCs w:val="24"/>
        </w:rPr>
      </w:pPr>
      <w:r>
        <w:rPr>
          <w:rFonts w:ascii="宋体" w:eastAsia="宋体" w:hAnsi="宋体" w:cs="Times New Roman" w:hint="eastAsia"/>
          <w:b/>
          <w:bCs/>
          <w:sz w:val="24"/>
          <w:szCs w:val="24"/>
        </w:rPr>
        <w:t>8、</w:t>
      </w:r>
      <w:r>
        <w:rPr>
          <w:rFonts w:ascii="宋体" w:eastAsia="宋体" w:hAnsi="宋体" w:cs="Times New Roman" w:hint="eastAsia"/>
          <w:b/>
          <w:sz w:val="24"/>
          <w:szCs w:val="24"/>
        </w:rPr>
        <w:t>双方一致同意本协议履行地为浙江省宁波市</w:t>
      </w:r>
      <w:r>
        <w:rPr>
          <w:rFonts w:ascii="宋体" w:eastAsia="宋体" w:hAnsi="宋体" w:cs="Times New Roman" w:hint="eastAsia"/>
          <w:b/>
          <w:sz w:val="24"/>
          <w:szCs w:val="24"/>
        </w:rPr>
        <w:t>鄞</w:t>
      </w:r>
      <w:r>
        <w:rPr>
          <w:rFonts w:ascii="宋体" w:eastAsia="宋体" w:hAnsi="宋体" w:cs="Times New Roman" w:hint="eastAsia"/>
          <w:b/>
          <w:sz w:val="24"/>
          <w:szCs w:val="24"/>
        </w:rPr>
        <w:t>州区。</w:t>
      </w:r>
    </w:p>
    <w:p w:rsidR="00156F5C" w14:paraId="3E7ED80A" w14:textId="77777777">
      <w:pPr>
        <w:pStyle w:val="ListParagraph"/>
        <w:spacing w:line="360" w:lineRule="auto"/>
        <w:ind w:firstLine="482"/>
        <w:rPr>
          <w:rFonts w:ascii="宋体" w:eastAsia="宋体" w:hAnsi="宋体" w:cs="Times New Roman"/>
          <w:b/>
          <w:sz w:val="24"/>
          <w:szCs w:val="24"/>
        </w:rPr>
      </w:pPr>
      <w:r>
        <w:rPr>
          <w:rFonts w:ascii="宋体" w:eastAsia="宋体" w:hAnsi="宋体" w:cs="Times New Roman" w:hint="eastAsia"/>
          <w:b/>
          <w:sz w:val="24"/>
          <w:szCs w:val="24"/>
        </w:rPr>
        <w:t>（二）协议终止</w:t>
      </w:r>
    </w:p>
    <w:p w:rsidR="00156F5C" w14:paraId="2332C14A"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b/>
          <w:sz w:val="24"/>
          <w:szCs w:val="24"/>
        </w:rPr>
        <w:t>1、除《理财产品说明书》约定的提前终止情形外，甲方</w:t>
      </w:r>
      <w:r>
        <w:rPr>
          <w:rFonts w:ascii="宋体" w:eastAsia="宋体" w:hAnsi="宋体" w:cs="Times New Roman" w:hint="eastAsia"/>
          <w:b/>
          <w:sz w:val="24"/>
          <w:szCs w:val="24"/>
        </w:rPr>
        <w:t>发生违反理财产品销售文件的违约行为或交易资金被国家有权机关采取冻结、扣划等保全措施时，乙方有权提前终止本协议，造成甲方损失的，乙方不承担责任。</w:t>
      </w:r>
    </w:p>
    <w:p w:rsidR="00156F5C" w14:paraId="6D2DFC90" w14:textId="77777777">
      <w:pPr>
        <w:spacing w:line="360" w:lineRule="auto"/>
        <w:ind w:firstLine="480" w:firstLineChars="200"/>
        <w:rPr>
          <w:rFonts w:ascii="宋体" w:eastAsia="宋体" w:hAnsi="宋体" w:cs="Times New Roman"/>
          <w:b/>
          <w:sz w:val="24"/>
          <w:szCs w:val="24"/>
        </w:rPr>
      </w:pPr>
      <w:r>
        <w:rPr>
          <w:rFonts w:ascii="宋体" w:eastAsia="宋体" w:hAnsi="宋体" w:cs="Times New Roman"/>
          <w:b/>
          <w:sz w:val="24"/>
          <w:szCs w:val="24"/>
        </w:rPr>
        <w:t>2、如甲方拒绝配合乙方开展尽职调查，或</w:t>
      </w:r>
      <w:r>
        <w:rPr>
          <w:rFonts w:ascii="宋体" w:eastAsia="宋体" w:hAnsi="宋体" w:cs="Times New Roman" w:hint="eastAsia"/>
          <w:b/>
          <w:sz w:val="24"/>
          <w:szCs w:val="24"/>
        </w:rPr>
        <w:t>者乙方发现有关甲方交易存在违法违规，或者乙方发现或有合理理由怀疑甲方或其资金存在洗钱、欺诈、侵权、贩毒、恐怖融资、逃税、侵犯知识产权或其他违法犯罪活动，或者甲方或其交易等被列入国际组织、中国或其他国家发布的制裁名单或制裁范围，乙方有权提前终止本协议，造成甲方损失的，乙方不承担责任。</w:t>
      </w:r>
    </w:p>
    <w:p w:rsidR="00156F5C" w14:paraId="183F017F"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3、乙方宣布本理财产品设立失败、乙方或投资者提前终止理财产品（包括但</w:t>
      </w:r>
      <w:r>
        <w:rPr>
          <w:rFonts w:ascii="宋体" w:eastAsia="宋体" w:hAnsi="宋体" w:cs="Times New Roman"/>
          <w:sz w:val="24"/>
          <w:szCs w:val="24"/>
        </w:rPr>
        <w:t>不限于</w:t>
      </w:r>
      <w:r>
        <w:rPr>
          <w:rFonts w:ascii="宋体" w:eastAsia="宋体" w:hAnsi="宋体" w:cs="Times New Roman" w:hint="eastAsia"/>
          <w:sz w:val="24"/>
          <w:szCs w:val="24"/>
        </w:rPr>
        <w:t>投资者全部赎回理财产品份额）或者理财产品到期并完成清算分配后，本协议自动终止。</w:t>
      </w:r>
    </w:p>
    <w:p w:rsidR="00156F5C" w14:paraId="44292F3E"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sz w:val="24"/>
          <w:szCs w:val="24"/>
        </w:rPr>
        <w:t>4、</w:t>
      </w:r>
      <w:r>
        <w:rPr>
          <w:rFonts w:ascii="宋体" w:eastAsia="宋体" w:hAnsi="宋体" w:cs="Times New Roman" w:hint="eastAsia"/>
          <w:b/>
          <w:sz w:val="24"/>
          <w:szCs w:val="24"/>
        </w:rPr>
        <w:t>甲方通过乙方或代理销售机构提交的有效理财产品赎回</w:t>
      </w:r>
      <w:r>
        <w:rPr>
          <w:rFonts w:ascii="宋体" w:eastAsia="宋体" w:hAnsi="宋体" w:cs="Times New Roman"/>
          <w:b/>
          <w:sz w:val="24"/>
          <w:szCs w:val="24"/>
        </w:rPr>
        <w:t>/撤单申请，并不意味着理</w:t>
      </w:r>
      <w:r>
        <w:rPr>
          <w:rFonts w:ascii="宋体" w:eastAsia="宋体" w:hAnsi="宋体" w:cs="Times New Roman" w:hint="eastAsia"/>
          <w:b/>
          <w:sz w:val="24"/>
          <w:szCs w:val="24"/>
        </w:rPr>
        <w:t>财产品赎回</w:t>
      </w:r>
      <w:r>
        <w:rPr>
          <w:rFonts w:ascii="宋体" w:eastAsia="宋体" w:hAnsi="宋体" w:cs="Times New Roman"/>
          <w:b/>
          <w:sz w:val="24"/>
          <w:szCs w:val="24"/>
        </w:rPr>
        <w:t>/撤单一定成功，具体赎回/撤单的受理结果根据《</w:t>
      </w:r>
      <w:r>
        <w:rPr>
          <w:rFonts w:ascii="宋体" w:eastAsia="宋体" w:hAnsi="宋体" w:cs="Times New Roman" w:hint="eastAsia"/>
          <w:b/>
          <w:sz w:val="24"/>
          <w:szCs w:val="24"/>
        </w:rPr>
        <w:t>理财</w:t>
      </w:r>
      <w:r>
        <w:rPr>
          <w:rFonts w:ascii="宋体" w:eastAsia="宋体" w:hAnsi="宋体" w:cs="Times New Roman"/>
          <w:b/>
          <w:sz w:val="24"/>
          <w:szCs w:val="24"/>
        </w:rPr>
        <w:t>产品说明书》约定</w:t>
      </w:r>
      <w:r>
        <w:rPr>
          <w:rFonts w:ascii="宋体" w:eastAsia="宋体" w:hAnsi="宋体" w:cs="Times New Roman" w:hint="eastAsia"/>
          <w:b/>
          <w:sz w:val="24"/>
          <w:szCs w:val="24"/>
        </w:rPr>
        <w:t>执行。</w:t>
      </w:r>
    </w:p>
    <w:p w:rsidR="00156F5C" w14:paraId="7B0629A6" w14:textId="77777777">
      <w:pPr>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5、</w:t>
      </w:r>
      <w:r>
        <w:rPr>
          <w:rFonts w:ascii="宋体" w:eastAsia="宋体" w:hAnsi="宋体" w:cs="Times New Roman"/>
          <w:sz w:val="24"/>
          <w:szCs w:val="24"/>
        </w:rPr>
        <w:t>本协议及《</w:t>
      </w:r>
      <w:r>
        <w:rPr>
          <w:rFonts w:ascii="宋体" w:eastAsia="宋体" w:hAnsi="宋体" w:cs="Times New Roman" w:hint="eastAsia"/>
          <w:sz w:val="24"/>
          <w:szCs w:val="24"/>
        </w:rPr>
        <w:t>理财</w:t>
      </w:r>
      <w:r>
        <w:rPr>
          <w:rFonts w:ascii="宋体" w:eastAsia="宋体" w:hAnsi="宋体" w:cs="Times New Roman"/>
          <w:sz w:val="24"/>
          <w:szCs w:val="24"/>
        </w:rPr>
        <w:t>产品说明书》项</w:t>
      </w:r>
      <w:r>
        <w:rPr>
          <w:rFonts w:ascii="宋体" w:eastAsia="宋体" w:hAnsi="宋体" w:cs="Times New Roman"/>
          <w:sz w:val="24"/>
          <w:szCs w:val="24"/>
        </w:rPr>
        <w:t>下各方</w:t>
      </w:r>
      <w:r>
        <w:rPr>
          <w:rFonts w:ascii="宋体" w:eastAsia="宋体" w:hAnsi="宋体" w:cs="Times New Roman"/>
          <w:sz w:val="24"/>
          <w:szCs w:val="24"/>
        </w:rPr>
        <w:t>权利义务履行完毕之日，本协议自动终</w:t>
      </w:r>
      <w:r>
        <w:rPr>
          <w:rFonts w:ascii="宋体" w:eastAsia="宋体" w:hAnsi="宋体" w:cs="Times New Roman" w:hint="eastAsia"/>
          <w:sz w:val="24"/>
          <w:szCs w:val="24"/>
        </w:rPr>
        <w:t>止。</w:t>
      </w:r>
    </w:p>
    <w:p w:rsidR="00156F5C" w14:paraId="3678B420" w14:textId="77777777">
      <w:pPr>
        <w:pStyle w:val="ListParagraph"/>
        <w:spacing w:line="360" w:lineRule="auto"/>
        <w:ind w:firstLine="482"/>
        <w:rPr>
          <w:rFonts w:ascii="宋体" w:eastAsia="宋体" w:hAnsi="宋体" w:cs="Times New Roman"/>
          <w:b/>
          <w:sz w:val="24"/>
          <w:szCs w:val="24"/>
        </w:rPr>
      </w:pPr>
      <w:r>
        <w:rPr>
          <w:rFonts w:ascii="宋体" w:eastAsia="宋体" w:hAnsi="宋体" w:cs="Times New Roman" w:hint="eastAsia"/>
          <w:b/>
          <w:sz w:val="24"/>
          <w:szCs w:val="24"/>
        </w:rPr>
        <w:t>第八条</w:t>
      </w:r>
      <w:r>
        <w:rPr>
          <w:rFonts w:ascii="宋体" w:eastAsia="宋体" w:hAnsi="宋体" w:cs="Times New Roman"/>
          <w:sz w:val="24"/>
          <w:szCs w:val="24"/>
        </w:rPr>
        <w:t xml:space="preserve"> </w:t>
      </w:r>
      <w:r>
        <w:rPr>
          <w:rFonts w:ascii="宋体" w:eastAsia="宋体" w:hAnsi="宋体" w:cs="Times New Roman" w:hint="eastAsia"/>
          <w:b/>
          <w:sz w:val="24"/>
          <w:szCs w:val="24"/>
        </w:rPr>
        <w:t>本协议与本理财产品的《理财产品说明书》、《风险揭示书》、《销售（代理销售）协议书》、《投资者权益须知》等理财产品销售文件共同构成一份完整且不可分割的、关于甲方所投资乙方发行</w:t>
      </w:r>
      <w:r>
        <w:rPr>
          <w:rFonts w:ascii="宋体" w:eastAsia="宋体" w:hAnsi="宋体" w:cs="Times New Roman"/>
          <w:b/>
          <w:sz w:val="24"/>
          <w:szCs w:val="24"/>
        </w:rPr>
        <w:t>管理的本</w:t>
      </w:r>
      <w:r>
        <w:rPr>
          <w:rFonts w:ascii="宋体" w:eastAsia="宋体" w:hAnsi="宋体" w:cs="Times New Roman" w:hint="eastAsia"/>
          <w:b/>
          <w:sz w:val="24"/>
          <w:szCs w:val="24"/>
        </w:rPr>
        <w:t>理财产品的全部协议。本协议与《理财产品说明书》不一致的，以《理财产品说明书》为准。如果因任何原因使本协议项下的任何条款或内容无效或被依法撤销，本协议其他条款或内容的合法性、有效性和</w:t>
      </w:r>
      <w:r>
        <w:rPr>
          <w:rFonts w:ascii="宋体" w:eastAsia="宋体" w:hAnsi="宋体" w:cs="Times New Roman" w:hint="eastAsia"/>
          <w:b/>
          <w:sz w:val="24"/>
          <w:szCs w:val="24"/>
        </w:rPr>
        <w:t>可</w:t>
      </w:r>
      <w:r>
        <w:rPr>
          <w:rFonts w:ascii="宋体" w:eastAsia="宋体" w:hAnsi="宋体" w:cs="Times New Roman" w:hint="eastAsia"/>
          <w:b/>
          <w:sz w:val="24"/>
          <w:szCs w:val="24"/>
        </w:rPr>
        <w:t>执行性不受影响。</w:t>
      </w:r>
    </w:p>
    <w:p w:rsidR="00156F5C" w14:paraId="4FA2FBFA" w14:textId="77777777">
      <w:pPr>
        <w:pStyle w:val="ListParagraph"/>
        <w:spacing w:line="360" w:lineRule="auto"/>
        <w:ind w:firstLine="480"/>
        <w:rPr>
          <w:rFonts w:ascii="宋体" w:eastAsia="宋体" w:hAnsi="宋体" w:cs="Times New Roman"/>
          <w:sz w:val="24"/>
          <w:szCs w:val="24"/>
        </w:rPr>
      </w:pPr>
    </w:p>
    <w:p w:rsidR="00156F5C" w14:paraId="3AA9832E" w14:textId="77777777">
      <w:pPr>
        <w:pStyle w:val="ListParagraph"/>
        <w:spacing w:line="360" w:lineRule="auto"/>
        <w:ind w:firstLine="482"/>
        <w:rPr>
          <w:rFonts w:ascii="宋体" w:eastAsia="宋体" w:hAnsi="宋体" w:cs="Times New Roman"/>
          <w:b/>
          <w:sz w:val="24"/>
          <w:szCs w:val="24"/>
        </w:rPr>
      </w:pPr>
      <w:r>
        <w:rPr>
          <w:rFonts w:ascii="宋体" w:eastAsia="宋体" w:hAnsi="宋体" w:cs="Times New Roman" w:hint="eastAsia"/>
          <w:b/>
          <w:sz w:val="24"/>
          <w:szCs w:val="24"/>
        </w:rPr>
        <w:t>声明：甲方是具有完全民事行为能力的自然人/法人/其他</w:t>
      </w:r>
      <w:r>
        <w:rPr>
          <w:rFonts w:ascii="宋体" w:eastAsia="宋体" w:hAnsi="宋体" w:cs="Times New Roman"/>
          <w:b/>
          <w:sz w:val="24"/>
          <w:szCs w:val="24"/>
        </w:rPr>
        <w:t>组织</w:t>
      </w:r>
      <w:r>
        <w:rPr>
          <w:rFonts w:ascii="宋体" w:eastAsia="宋体" w:hAnsi="宋体" w:cs="Times New Roman" w:hint="eastAsia"/>
          <w:b/>
          <w:sz w:val="24"/>
          <w:szCs w:val="24"/>
        </w:rPr>
        <w:t>，自愿投资本理财产品，接受乙方提供的投资理财服务。甲方确认已完整阅读本理财产品的《理财产品说明书》、《风险揭示书》、《销售（代理销售）协议书》、《投资者权益须知》及</w:t>
      </w:r>
      <w:r>
        <w:rPr>
          <w:rFonts w:ascii="宋体" w:eastAsia="宋体" w:hAnsi="宋体" w:cs="Times New Roman"/>
          <w:b/>
          <w:sz w:val="24"/>
          <w:szCs w:val="24"/>
        </w:rPr>
        <w:t>本</w:t>
      </w:r>
      <w:r>
        <w:rPr>
          <w:rFonts w:ascii="宋体" w:eastAsia="宋体" w:hAnsi="宋体" w:cs="Times New Roman" w:hint="eastAsia"/>
          <w:b/>
          <w:sz w:val="24"/>
          <w:szCs w:val="24"/>
        </w:rPr>
        <w:t>协议，并知晓清楚全部条款，签署</w:t>
      </w:r>
      <w:r>
        <w:rPr>
          <w:rFonts w:ascii="宋体" w:eastAsia="宋体" w:hAnsi="宋体" w:cs="Times New Roman"/>
          <w:b/>
          <w:sz w:val="24"/>
          <w:szCs w:val="24"/>
        </w:rPr>
        <w:t>本协议视为对前述</w:t>
      </w:r>
      <w:r>
        <w:rPr>
          <w:rFonts w:ascii="宋体" w:eastAsia="宋体" w:hAnsi="宋体" w:cs="Times New Roman" w:hint="eastAsia"/>
          <w:b/>
          <w:sz w:val="24"/>
          <w:szCs w:val="24"/>
        </w:rPr>
        <w:t>理财产品</w:t>
      </w:r>
      <w:r>
        <w:rPr>
          <w:rFonts w:ascii="宋体" w:eastAsia="宋体" w:hAnsi="宋体" w:cs="Times New Roman"/>
          <w:b/>
          <w:sz w:val="24"/>
          <w:szCs w:val="24"/>
        </w:rPr>
        <w:t>销售文件的</w:t>
      </w:r>
      <w:r>
        <w:rPr>
          <w:rFonts w:ascii="宋体" w:eastAsia="宋体" w:hAnsi="宋体" w:cs="Times New Roman" w:hint="eastAsia"/>
          <w:b/>
          <w:sz w:val="24"/>
          <w:szCs w:val="24"/>
        </w:rPr>
        <w:t>签署</w:t>
      </w:r>
      <w:r>
        <w:rPr>
          <w:rFonts w:ascii="宋体" w:eastAsia="宋体" w:hAnsi="宋体" w:cs="Times New Roman"/>
          <w:b/>
          <w:sz w:val="24"/>
          <w:szCs w:val="24"/>
        </w:rPr>
        <w:t>与确认，</w:t>
      </w:r>
      <w:r>
        <w:rPr>
          <w:rFonts w:ascii="宋体" w:eastAsia="宋体" w:hAnsi="宋体" w:cs="Times New Roman" w:hint="eastAsia"/>
          <w:b/>
          <w:sz w:val="24"/>
          <w:szCs w:val="24"/>
        </w:rPr>
        <w:t>甲方对本协议相关条款不存在任何疑问或异议。</w:t>
      </w:r>
    </w:p>
    <w:p w:rsidR="00156F5C" w14:paraId="141A61FE" w14:textId="77777777">
      <w:pPr>
        <w:pStyle w:val="ListParagraph"/>
        <w:spacing w:line="360" w:lineRule="auto"/>
        <w:ind w:firstLine="482"/>
        <w:rPr>
          <w:rFonts w:ascii="宋体" w:eastAsia="宋体" w:hAnsi="宋体" w:cs="Times New Roman"/>
          <w:b/>
          <w:sz w:val="24"/>
          <w:szCs w:val="24"/>
        </w:rPr>
      </w:pPr>
    </w:p>
    <w:p w:rsidR="00156F5C" w14:paraId="72B27C0B" w14:textId="77777777">
      <w:pPr>
        <w:tabs>
          <w:tab w:val="left" w:pos="3460"/>
        </w:tabs>
        <w:spacing w:line="312" w:lineRule="auto"/>
        <w:ind w:left="63" w:leftChars="30"/>
        <w:rPr>
          <w:rFonts w:ascii="宋体" w:hAnsi="宋体" w:cs="宋体"/>
          <w:b/>
          <w:bCs/>
          <w:kern w:val="0"/>
          <w:sz w:val="24"/>
        </w:rPr>
      </w:pPr>
      <w:r>
        <w:rPr>
          <w:rFonts w:ascii="宋体" w:hAnsi="宋体" w:cs="宋体" w:hint="eastAsia"/>
          <w:b/>
          <w:bCs/>
          <w:kern w:val="0"/>
          <w:sz w:val="24"/>
        </w:rPr>
        <w:t>（自然人签署适用）</w:t>
      </w:r>
    </w:p>
    <w:p w:rsidR="00156F5C" w14:paraId="532DFE6D" w14:textId="77777777">
      <w:pPr>
        <w:tabs>
          <w:tab w:val="left" w:pos="3460"/>
        </w:tabs>
        <w:spacing w:line="312" w:lineRule="auto"/>
        <w:ind w:left="63" w:leftChars="30"/>
        <w:rPr>
          <w:rFonts w:ascii="宋体" w:hAnsi="宋体" w:cs="宋体"/>
          <w:b/>
          <w:bCs/>
          <w:kern w:val="0"/>
          <w:sz w:val="24"/>
        </w:rPr>
      </w:pPr>
      <w:r>
        <w:rPr>
          <w:rFonts w:ascii="宋体" w:hAnsi="宋体" w:cs="宋体" w:hint="eastAsia"/>
          <w:b/>
          <w:bCs/>
          <w:kern w:val="0"/>
          <w:sz w:val="24"/>
        </w:rPr>
        <w:t>甲方签字</w:t>
      </w:r>
      <w:r>
        <w:rPr>
          <w:rFonts w:ascii="宋体" w:hAnsi="宋体" w:cs="宋体" w:hint="eastAsia"/>
          <w:b/>
          <w:bCs/>
          <w:kern w:val="0"/>
          <w:sz w:val="24"/>
        </w:rPr>
        <w:t xml:space="preserve">   ____________</w:t>
      </w:r>
      <w:r>
        <w:rPr>
          <w:rFonts w:ascii="宋体" w:hAnsi="宋体" w:cs="宋体"/>
          <w:b/>
          <w:bCs/>
          <w:kern w:val="0"/>
          <w:sz w:val="24"/>
        </w:rPr>
        <w:tab/>
      </w:r>
    </w:p>
    <w:p w:rsidR="00156F5C" w14:paraId="26867B6F" w14:textId="77777777">
      <w:pPr>
        <w:tabs>
          <w:tab w:val="left" w:pos="3460"/>
        </w:tabs>
        <w:spacing w:line="312" w:lineRule="auto"/>
        <w:ind w:left="63" w:leftChars="30"/>
        <w:rPr>
          <w:rFonts w:ascii="宋体" w:hAnsi="宋体" w:cs="宋体"/>
          <w:b/>
          <w:bCs/>
          <w:kern w:val="0"/>
          <w:sz w:val="24"/>
        </w:rPr>
      </w:pPr>
    </w:p>
    <w:p w:rsidR="00156F5C" w14:paraId="121B0779" w14:textId="77777777">
      <w:pPr>
        <w:spacing w:line="312" w:lineRule="auto"/>
        <w:rPr>
          <w:rFonts w:ascii="宋体" w:hAnsi="宋体" w:cs="宋体"/>
          <w:b/>
          <w:bCs/>
          <w:kern w:val="0"/>
          <w:sz w:val="24"/>
        </w:rPr>
      </w:pPr>
      <w:r>
        <w:rPr>
          <w:rFonts w:ascii="宋体" w:hAnsi="宋体" w:cs="宋体" w:hint="eastAsia"/>
          <w:b/>
          <w:bCs/>
          <w:kern w:val="0"/>
          <w:sz w:val="24"/>
        </w:rPr>
        <w:t>（</w:t>
      </w:r>
      <w:r>
        <w:rPr>
          <w:rFonts w:ascii="宋体" w:hAnsi="宋体" w:cs="宋体"/>
          <w:b/>
          <w:bCs/>
          <w:kern w:val="0"/>
          <w:sz w:val="24"/>
        </w:rPr>
        <w:t>机构投资者</w:t>
      </w:r>
      <w:r>
        <w:rPr>
          <w:rFonts w:ascii="宋体" w:hAnsi="宋体" w:cs="宋体" w:hint="eastAsia"/>
          <w:b/>
          <w:bCs/>
          <w:kern w:val="0"/>
          <w:sz w:val="24"/>
        </w:rPr>
        <w:t>签署适用）</w:t>
      </w:r>
    </w:p>
    <w:p w:rsidR="00156F5C" w14:paraId="3F94ED12" w14:textId="77777777">
      <w:pPr>
        <w:spacing w:line="312" w:lineRule="auto"/>
        <w:rPr>
          <w:rFonts w:ascii="宋体" w:hAnsi="宋体" w:cs="宋体"/>
          <w:b/>
          <w:bCs/>
          <w:kern w:val="0"/>
          <w:sz w:val="24"/>
        </w:rPr>
      </w:pPr>
      <w:r>
        <w:rPr>
          <w:rFonts w:ascii="宋体" w:hAnsi="宋体" w:cs="宋体" w:hint="eastAsia"/>
          <w:b/>
          <w:bCs/>
          <w:kern w:val="0"/>
          <w:sz w:val="24"/>
        </w:rPr>
        <w:t>公章（或经公章授权的其他有效印鉴）：</w:t>
      </w:r>
    </w:p>
    <w:p w:rsidR="00156F5C" w14:paraId="103A1104" w14:textId="77777777">
      <w:pPr>
        <w:spacing w:line="312" w:lineRule="auto"/>
        <w:rPr>
          <w:rFonts w:ascii="宋体" w:hAnsi="宋体" w:cs="宋体"/>
          <w:b/>
          <w:bCs/>
          <w:kern w:val="0"/>
          <w:sz w:val="24"/>
        </w:rPr>
      </w:pPr>
      <w:r>
        <w:rPr>
          <w:rFonts w:ascii="宋体" w:hAnsi="宋体" w:cs="宋体" w:hint="eastAsia"/>
          <w:b/>
          <w:bCs/>
          <w:kern w:val="0"/>
          <w:sz w:val="24"/>
        </w:rPr>
        <w:t>法定代表人（负责人）或授权代理人签字</w:t>
      </w:r>
      <w:r>
        <w:rPr>
          <w:rFonts w:ascii="宋体" w:hAnsi="宋体" w:cs="宋体" w:hint="eastAsia"/>
          <w:b/>
          <w:bCs/>
          <w:kern w:val="0"/>
          <w:sz w:val="24"/>
        </w:rPr>
        <w:t>/</w:t>
      </w:r>
      <w:r>
        <w:rPr>
          <w:rFonts w:ascii="宋体" w:hAnsi="宋体" w:cs="宋体" w:hint="eastAsia"/>
          <w:b/>
          <w:bCs/>
          <w:kern w:val="0"/>
          <w:sz w:val="24"/>
        </w:rPr>
        <w:t>签章：</w:t>
      </w:r>
    </w:p>
    <w:p w:rsidR="00156F5C" w14:paraId="496F54F6" w14:textId="77777777">
      <w:pPr>
        <w:spacing w:line="312" w:lineRule="auto"/>
        <w:rPr>
          <w:rFonts w:ascii="宋体" w:hAnsi="宋体" w:cs="宋体"/>
          <w:b/>
          <w:bCs/>
          <w:kern w:val="0"/>
          <w:sz w:val="24"/>
        </w:rPr>
      </w:pPr>
    </w:p>
    <w:p w:rsidR="00156F5C" w14:paraId="1EAB8911" w14:textId="77777777">
      <w:pPr>
        <w:spacing w:line="312" w:lineRule="auto"/>
        <w:rPr>
          <w:rFonts w:ascii="宋体" w:hAnsi="宋体" w:cs="宋体"/>
          <w:b/>
          <w:bCs/>
          <w:kern w:val="0"/>
          <w:sz w:val="24"/>
        </w:rPr>
      </w:pPr>
    </w:p>
    <w:p w:rsidR="00156F5C" w14:paraId="35B61703" w14:textId="77777777">
      <w:pPr>
        <w:spacing w:line="312" w:lineRule="auto"/>
        <w:rPr>
          <w:rFonts w:ascii="宋体" w:hAnsi="宋体"/>
          <w:sz w:val="24"/>
        </w:rPr>
        <w:sectPr>
          <w:footerReference w:type="default" r:id="rId6"/>
          <w:pgSz w:w="11906" w:h="16838"/>
          <w:pgMar w:top="1440" w:right="1800" w:bottom="1440" w:left="1800" w:header="851" w:footer="992" w:gutter="0"/>
          <w:pgNumType w:fmt="numberInDash"/>
          <w:cols w:space="425"/>
          <w:docGrid w:type="lines" w:linePitch="312"/>
        </w:sectPr>
      </w:pPr>
      <w:r>
        <w:rPr>
          <w:rFonts w:ascii="宋体" w:hAnsi="宋体" w:cs="宋体" w:hint="eastAsia"/>
          <w:b/>
          <w:bCs/>
          <w:kern w:val="0"/>
          <w:sz w:val="24"/>
        </w:rPr>
        <w:t>日期</w:t>
      </w:r>
      <w:r>
        <w:rPr>
          <w:rFonts w:ascii="宋体" w:hAnsi="宋体" w:cs="宋体" w:hint="eastAsia"/>
          <w:b/>
          <w:bCs/>
          <w:kern w:val="0"/>
          <w:sz w:val="24"/>
        </w:rPr>
        <w:t xml:space="preserve">         ____________</w:t>
      </w:r>
    </w:p>
    <w:p>
      <w:pPr>
        <w:spacing w:line="312" w:lineRule="auto"/>
        <w:jc w:val="center"/>
        <w:rPr>
          <w:rFonts w:ascii="黑体" w:eastAsia="黑体" w:hAnsi="宋体" w:cs="Times New Roman"/>
          <w:b/>
          <w:sz w:val="44"/>
          <w:szCs w:val="44"/>
        </w:rPr>
      </w:pPr>
      <w:r>
        <w:rPr>
          <w:rFonts w:ascii="黑体" w:eastAsia="黑体" w:hAnsi="宋体" w:cs="Times New Roman" w:hint="eastAsia"/>
          <w:b/>
          <w:sz w:val="44"/>
          <w:szCs w:val="44"/>
        </w:rPr>
        <w:t>宁银理财宁欣日日薪固定收益类日开理财81号（最短持有14天）产品风险揭示书</w:t>
      </w:r>
    </w:p>
    <w:p>
      <w:pPr>
        <w:spacing w:line="312" w:lineRule="auto"/>
        <w:jc w:val="center"/>
        <w:rPr>
          <w:rFonts w:ascii="黑体" w:eastAsia="黑体" w:hAnsi="宋体" w:cs="Times New Roman"/>
          <w:b/>
          <w:sz w:val="44"/>
          <w:szCs w:val="44"/>
        </w:rPr>
      </w:pPr>
      <w:r>
        <w:rPr>
          <w:rFonts w:ascii="宋体" w:eastAsia="宋体" w:hAnsi="宋体" w:cs="Times New Roman" w:hint="eastAsia"/>
          <w:b/>
          <w:sz w:val="24"/>
          <w:szCs w:val="24"/>
        </w:rPr>
        <w:t>（</w:t>
      </w:r>
      <w:r>
        <w:rPr>
          <w:rFonts w:ascii="宋体" w:eastAsia="宋体" w:hAnsi="宋体" w:cs="Times New Roman"/>
          <w:b/>
          <w:sz w:val="24"/>
          <w:szCs w:val="24"/>
        </w:rPr>
        <w:t>202601</w:t>
      </w:r>
      <w:r>
        <w:rPr>
          <w:rFonts w:ascii="宋体" w:eastAsia="宋体" w:hAnsi="宋体" w:cs="Times New Roman" w:hint="eastAsia"/>
          <w:b/>
          <w:sz w:val="24"/>
          <w:szCs w:val="24"/>
        </w:rPr>
        <w:t>版）</w:t>
      </w:r>
    </w:p>
    <w:p>
      <w:pPr>
        <w:spacing w:line="312" w:lineRule="auto"/>
        <w:rPr>
          <w:rFonts w:ascii="宋体" w:eastAsia="宋体" w:hAnsi="宋体" w:cs="Times New Roman"/>
          <w:sz w:val="24"/>
          <w:szCs w:val="24"/>
        </w:rPr>
      </w:pPr>
      <w:r>
        <w:rPr>
          <w:rFonts w:ascii="宋体" w:eastAsia="宋体" w:hAnsi="宋体" w:cs="Times New Roman" w:hint="eastAsia"/>
          <w:sz w:val="24"/>
          <w:szCs w:val="24"/>
        </w:rPr>
        <w:t>尊敬的投资者：</w:t>
      </w:r>
    </w:p>
    <w:p>
      <w:pPr>
        <w:spacing w:line="312" w:lineRule="auto"/>
        <w:jc w:val="center"/>
        <w:rPr>
          <w:rFonts w:ascii="宋体" w:eastAsia="宋体" w:hAnsi="宋体" w:cs="Times New Roman"/>
          <w:b/>
          <w:sz w:val="24"/>
          <w:szCs w:val="24"/>
          <w:u w:val="single"/>
        </w:rPr>
      </w:pPr>
      <w:r>
        <w:rPr>
          <w:rFonts w:ascii="宋体" w:eastAsia="宋体" w:hAnsi="宋体" w:cs="Times New Roman" w:hint="eastAsia"/>
          <w:b/>
          <w:sz w:val="24"/>
          <w:szCs w:val="24"/>
          <w:u w:val="single"/>
        </w:rPr>
        <w:t>理财非存款、产品有风险、投资须谨慎。</w:t>
      </w:r>
    </w:p>
    <w:p>
      <w:pPr>
        <w:spacing w:line="312" w:lineRule="auto"/>
        <w:jc w:val="center"/>
        <w:rPr>
          <w:rFonts w:ascii="宋体" w:eastAsia="宋体" w:hAnsi="宋体" w:cs="Times New Roman"/>
          <w:b/>
          <w:sz w:val="24"/>
          <w:szCs w:val="24"/>
          <w:u w:val="single"/>
        </w:rPr>
      </w:pPr>
      <w:r>
        <w:rPr>
          <w:rFonts w:ascii="宋体" w:eastAsia="宋体" w:hAnsi="宋体" w:cs="Times New Roman" w:hint="eastAsia"/>
          <w:b/>
          <w:sz w:val="24"/>
          <w:szCs w:val="24"/>
          <w:u w:val="single"/>
        </w:rPr>
        <w:t>理财产品过往业绩不代表其未来表现，不等于理财产品实际收益，投资须谨慎。</w:t>
      </w:r>
    </w:p>
    <w:p>
      <w:pPr>
        <w:spacing w:line="312" w:lineRule="auto"/>
        <w:ind w:firstLine="555"/>
        <w:rPr>
          <w:rFonts w:ascii="宋体" w:eastAsia="宋体" w:hAnsi="宋体" w:cs="Times New Roman"/>
          <w:sz w:val="24"/>
          <w:szCs w:val="24"/>
        </w:rPr>
      </w:pPr>
      <w:r>
        <w:rPr>
          <w:rFonts w:ascii="宋体" w:eastAsia="宋体" w:hAnsi="宋体" w:cs="Times New Roman" w:hint="eastAsia"/>
          <w:sz w:val="24"/>
          <w:szCs w:val="24"/>
        </w:rPr>
        <w:t>本产品</w:t>
      </w:r>
      <w:r>
        <w:rPr>
          <w:rFonts w:ascii="宋体" w:eastAsia="宋体" w:hAnsi="宋体" w:cs="Times New Roman"/>
          <w:sz w:val="24"/>
          <w:szCs w:val="24"/>
        </w:rPr>
        <w:t>系宁银理财有限</w:t>
      </w:r>
      <w:r>
        <w:rPr>
          <w:rFonts w:ascii="宋体" w:eastAsia="宋体" w:hAnsi="宋体" w:cs="Times New Roman" w:hint="eastAsia"/>
          <w:sz w:val="24"/>
          <w:szCs w:val="24"/>
        </w:rPr>
        <w:t>责任</w:t>
      </w:r>
      <w:r>
        <w:rPr>
          <w:rFonts w:ascii="宋体" w:eastAsia="宋体" w:hAnsi="宋体" w:cs="Times New Roman"/>
          <w:sz w:val="24"/>
          <w:szCs w:val="24"/>
        </w:rPr>
        <w:t>公司</w:t>
      </w:r>
      <w:r>
        <w:rPr>
          <w:rFonts w:ascii="宋体" w:eastAsia="宋体" w:hAnsi="宋体" w:cs="Times New Roman" w:hint="eastAsia"/>
          <w:sz w:val="24"/>
          <w:szCs w:val="24"/>
        </w:rPr>
        <w:t>（下称“宁银理财”或“本公司”）</w:t>
      </w:r>
      <w:r>
        <w:rPr>
          <w:rFonts w:ascii="宋体" w:eastAsia="宋体" w:hAnsi="宋体" w:cs="Times New Roman"/>
          <w:sz w:val="24"/>
          <w:szCs w:val="24"/>
        </w:rPr>
        <w:t>发行</w:t>
      </w:r>
      <w:r>
        <w:rPr>
          <w:rFonts w:ascii="宋体" w:eastAsia="宋体" w:hAnsi="宋体" w:cs="Times New Roman" w:hint="eastAsia"/>
          <w:sz w:val="24"/>
          <w:szCs w:val="24"/>
        </w:rPr>
        <w:t>运作</w:t>
      </w:r>
      <w:r>
        <w:rPr>
          <w:rFonts w:ascii="宋体" w:eastAsia="宋体" w:hAnsi="宋体" w:cs="Times New Roman"/>
          <w:sz w:val="24"/>
          <w:szCs w:val="24"/>
        </w:rPr>
        <w:t>的</w:t>
      </w:r>
      <w:r>
        <w:rPr>
          <w:rFonts w:ascii="宋体" w:eastAsia="宋体" w:hAnsi="宋体" w:cs="Times New Roman"/>
          <w:b/>
          <w:sz w:val="24"/>
          <w:szCs w:val="24"/>
        </w:rPr>
        <w:t>非保本</w:t>
      </w:r>
      <w:r>
        <w:rPr>
          <w:rFonts w:ascii="宋体" w:eastAsia="宋体" w:hAnsi="宋体" w:cs="Times New Roman"/>
          <w:sz w:val="24"/>
          <w:szCs w:val="24"/>
        </w:rPr>
        <w:t>理财产品，</w:t>
      </w:r>
      <w:r>
        <w:rPr>
          <w:rFonts w:ascii="宋体" w:eastAsia="宋体" w:hAnsi="宋体" w:cs="Times New Roman" w:hint="eastAsia"/>
          <w:sz w:val="24"/>
          <w:szCs w:val="24"/>
        </w:rPr>
        <w:t>在本产品下</w:t>
      </w:r>
      <w:r>
        <w:rPr>
          <w:rFonts w:ascii="宋体" w:eastAsia="宋体" w:hAnsi="宋体" w:cs="Times New Roman"/>
          <w:sz w:val="24"/>
          <w:szCs w:val="24"/>
        </w:rPr>
        <w:t>，</w:t>
      </w:r>
      <w:r>
        <w:rPr>
          <w:rFonts w:ascii="宋体" w:eastAsia="宋体" w:hAnsi="宋体" w:cs="Times New Roman" w:hint="eastAsia"/>
          <w:sz w:val="24"/>
          <w:szCs w:val="24"/>
        </w:rPr>
        <w:t>您</w:t>
      </w:r>
      <w:r>
        <w:rPr>
          <w:rFonts w:ascii="宋体" w:eastAsia="宋体" w:hAnsi="宋体" w:cs="Times New Roman"/>
          <w:sz w:val="24"/>
          <w:szCs w:val="24"/>
        </w:rPr>
        <w:t>委托</w:t>
      </w:r>
      <w:r>
        <w:rPr>
          <w:rFonts w:ascii="宋体" w:eastAsia="宋体" w:hAnsi="宋体" w:cs="Times New Roman" w:hint="eastAsia"/>
          <w:sz w:val="24"/>
          <w:szCs w:val="24"/>
        </w:rPr>
        <w:t>本</w:t>
      </w:r>
      <w:r>
        <w:rPr>
          <w:rFonts w:ascii="宋体" w:eastAsia="宋体" w:hAnsi="宋体" w:cs="Times New Roman"/>
          <w:sz w:val="24"/>
          <w:szCs w:val="24"/>
        </w:rPr>
        <w:t>公司</w:t>
      </w:r>
      <w:r>
        <w:rPr>
          <w:rFonts w:ascii="宋体" w:eastAsia="宋体" w:hAnsi="宋体" w:cs="Times New Roman" w:hint="eastAsia"/>
          <w:sz w:val="24"/>
          <w:szCs w:val="24"/>
        </w:rPr>
        <w:t>对理财产品资金进行投资管理</w:t>
      </w:r>
      <w:r>
        <w:rPr>
          <w:rFonts w:ascii="宋体" w:eastAsia="宋体" w:hAnsi="宋体" w:cs="Times New Roman"/>
          <w:sz w:val="24"/>
          <w:szCs w:val="24"/>
        </w:rPr>
        <w:t>，</w:t>
      </w:r>
      <w:r>
        <w:rPr>
          <w:rFonts w:ascii="宋体" w:eastAsia="宋体" w:hAnsi="宋体" w:cs="Times New Roman" w:hint="eastAsia"/>
          <w:sz w:val="24"/>
          <w:szCs w:val="24"/>
        </w:rPr>
        <w:t>本公司</w:t>
      </w:r>
      <w:r>
        <w:rPr>
          <w:rFonts w:ascii="宋体" w:eastAsia="宋体" w:hAnsi="宋体" w:cs="Times New Roman"/>
          <w:sz w:val="24"/>
          <w:szCs w:val="24"/>
        </w:rPr>
        <w:t>将</w:t>
      </w:r>
      <w:r>
        <w:rPr>
          <w:rFonts w:ascii="宋体" w:eastAsia="宋体" w:hAnsi="宋体" w:cs="Times New Roman" w:hint="eastAsia"/>
          <w:sz w:val="24"/>
          <w:szCs w:val="24"/>
        </w:rPr>
        <w:t>按照约定条件和实际投资收益情况向您支付收益，不保证本金支付和收益水平</w:t>
      </w:r>
      <w:r>
        <w:rPr>
          <w:rFonts w:ascii="宋体" w:eastAsia="宋体" w:hAnsi="宋体" w:cs="Times New Roman"/>
          <w:sz w:val="24"/>
          <w:szCs w:val="24"/>
        </w:rPr>
        <w:t>。</w:t>
      </w:r>
    </w:p>
    <w:p>
      <w:pPr>
        <w:spacing w:line="312" w:lineRule="auto"/>
        <w:ind w:firstLine="555"/>
        <w:rPr>
          <w:rFonts w:ascii="宋体" w:eastAsia="宋体" w:hAnsi="宋体" w:cs="Times New Roman"/>
          <w:sz w:val="24"/>
          <w:szCs w:val="24"/>
        </w:rPr>
      </w:pPr>
      <w:r>
        <w:rPr>
          <w:rFonts w:ascii="宋体" w:eastAsia="宋体" w:hAnsi="宋体" w:cs="Times New Roman" w:hint="eastAsia"/>
          <w:b/>
          <w:sz w:val="24"/>
          <w:szCs w:val="24"/>
        </w:rPr>
        <w:t>请仔细阅读理财产品销售文件（包括但不限于《理财产品说明书》、《风险揭示书》、《销售（代理销售）协议书》（通过代理销售机构销售的，文件具体名称以代理销售机构为准，下同）、《投资协议书》、《投资者权益须知》），确保</w:t>
      </w:r>
      <w:r>
        <w:rPr>
          <w:rFonts w:ascii="宋体" w:eastAsia="宋体" w:hAnsi="宋体" w:cs="Times New Roman"/>
          <w:b/>
          <w:sz w:val="24"/>
          <w:szCs w:val="24"/>
        </w:rPr>
        <w:t>您已</w:t>
      </w:r>
      <w:r>
        <w:rPr>
          <w:rFonts w:ascii="宋体" w:eastAsia="宋体" w:hAnsi="宋体" w:cs="Times New Roman" w:hint="eastAsia"/>
          <w:b/>
          <w:sz w:val="24"/>
          <w:szCs w:val="24"/>
        </w:rPr>
        <w:t>了解自己的风险承受能力、</w:t>
      </w:r>
      <w:r>
        <w:rPr>
          <w:rFonts w:ascii="宋体" w:eastAsia="宋体" w:hAnsi="宋体" w:cs="Times New Roman"/>
          <w:b/>
          <w:sz w:val="24"/>
          <w:szCs w:val="24"/>
        </w:rPr>
        <w:t>理财</w:t>
      </w:r>
      <w:r>
        <w:rPr>
          <w:rFonts w:ascii="宋体" w:eastAsia="宋体" w:hAnsi="宋体" w:cs="Times New Roman" w:hint="eastAsia"/>
          <w:b/>
          <w:sz w:val="24"/>
          <w:szCs w:val="24"/>
        </w:rPr>
        <w:t>产品具体信息及风险后，谨慎投资。如影响您风险承受能力的因素发生变化，请及时更新风险承受能力评估。</w:t>
      </w:r>
    </w:p>
    <w:p>
      <w:pPr>
        <w:spacing w:line="312" w:lineRule="auto"/>
        <w:ind w:left="63" w:firstLine="480" w:leftChars="30" w:firstLineChars="200"/>
        <w:rPr>
          <w:rFonts w:ascii="宋体" w:eastAsia="宋体" w:hAnsi="宋体" w:cs="Courier New"/>
          <w:b/>
          <w:bCs/>
          <w:sz w:val="24"/>
          <w:szCs w:val="24"/>
        </w:rPr>
      </w:pPr>
      <w:r>
        <w:rPr>
          <w:rFonts w:ascii="宋体" w:eastAsia="宋体" w:hAnsi="宋体" w:cs="Times New Roman" w:hint="eastAsia"/>
          <w:sz w:val="24"/>
          <w:szCs w:val="24"/>
        </w:rPr>
        <w:t>购买本</w:t>
      </w:r>
      <w:r>
        <w:rPr>
          <w:rFonts w:ascii="宋体" w:eastAsia="宋体" w:hAnsi="宋体" w:cs="Times New Roman"/>
          <w:sz w:val="24"/>
          <w:szCs w:val="24"/>
        </w:rPr>
        <w:t>理财产品</w:t>
      </w:r>
      <w:r>
        <w:rPr>
          <w:rFonts w:ascii="宋体" w:eastAsia="宋体" w:hAnsi="宋体" w:cs="Times New Roman" w:hint="eastAsia"/>
          <w:sz w:val="24"/>
          <w:szCs w:val="24"/>
        </w:rPr>
        <w:t>，您将可能面临包括但不限于以下风险：</w:t>
      </w:r>
    </w:p>
    <w:p>
      <w:pPr>
        <w:spacing w:line="276" w:lineRule="auto"/>
        <w:ind w:left="63" w:firstLine="480" w:leftChars="30" w:firstLineChars="200"/>
        <w:rPr>
          <w:rFonts w:ascii="宋体" w:eastAsia="宋体" w:hAnsi="宋体" w:cs="Times New Roman"/>
          <w:b/>
          <w:sz w:val="24"/>
          <w:szCs w:val="24"/>
        </w:rPr>
      </w:pPr>
      <w:r>
        <w:rPr>
          <w:rFonts w:ascii="宋体" w:eastAsia="宋体" w:hAnsi="宋体" w:cs="Times New Roman"/>
          <w:b/>
          <w:sz w:val="24"/>
          <w:szCs w:val="24"/>
        </w:rPr>
        <w:t>1</w:t>
      </w:r>
      <w:r>
        <w:rPr>
          <w:rFonts w:ascii="宋体" w:eastAsia="宋体" w:hAnsi="宋体" w:cs="Times New Roman" w:hint="eastAsia"/>
          <w:b/>
          <w:sz w:val="24"/>
          <w:szCs w:val="24"/>
        </w:rPr>
        <w:t>、市场风险：理财产品在运作过程中，由于市场变化造成产品所投资产价格波动、从而影响理财产品收益的风险。市场风险包括但不限于投资债券面临的利率变化及债券价格波动带来的风险，投资股票面临的股票价格波动带来的风险，投资商品及金融衍生品面临的商品及衍生品价格波动带来的风险等。</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b/>
          <w:sz w:val="24"/>
          <w:szCs w:val="24"/>
        </w:rPr>
        <w:t>2</w:t>
      </w:r>
      <w:r>
        <w:rPr>
          <w:rFonts w:ascii="宋体" w:eastAsia="宋体" w:hAnsi="宋体" w:cs="Times New Roman" w:hint="eastAsia"/>
          <w:b/>
          <w:sz w:val="24"/>
          <w:szCs w:val="24"/>
        </w:rPr>
        <w:t>、信用风险：理财产品所投资产的相关债务人或关联责任人（包括但不限于担保人）等信用状况恶化、不能如期履约的风险。</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Courier New"/>
          <w:b/>
          <w:bCs/>
          <w:sz w:val="24"/>
          <w:szCs w:val="24"/>
        </w:rPr>
        <w:t>3</w:t>
      </w:r>
      <w:r>
        <w:rPr>
          <w:rFonts w:ascii="宋体" w:eastAsia="宋体" w:hAnsi="宋体" w:cs="Courier New" w:hint="eastAsia"/>
          <w:b/>
          <w:bCs/>
          <w:sz w:val="24"/>
          <w:szCs w:val="24"/>
        </w:rPr>
        <w:t>、</w:t>
      </w:r>
      <w:r>
        <w:rPr>
          <w:rFonts w:ascii="宋体" w:eastAsia="宋体" w:hAnsi="宋体" w:cs="Times New Roman" w:hint="eastAsia"/>
          <w:b/>
          <w:sz w:val="24"/>
          <w:szCs w:val="24"/>
        </w:rPr>
        <w:t>理财产品不成立风险：如理财产品募集期届满，发生本理财产品难以成立的情况，宁银理财有权宣布本理财产品不成立。</w:t>
      </w:r>
    </w:p>
    <w:p>
      <w:pPr>
        <w:spacing w:line="312" w:lineRule="auto"/>
        <w:ind w:left="63" w:firstLine="480" w:leftChars="30" w:firstLineChars="200"/>
        <w:rPr>
          <w:rFonts w:ascii="宋体" w:eastAsia="宋体" w:hAnsi="宋体" w:cs="Courier New"/>
          <w:b/>
          <w:bCs/>
          <w:sz w:val="24"/>
          <w:szCs w:val="24"/>
        </w:rPr>
      </w:pPr>
      <w:r>
        <w:rPr>
          <w:rFonts w:ascii="宋体" w:eastAsia="宋体" w:hAnsi="宋体" w:cs="Courier New"/>
          <w:b/>
          <w:bCs/>
          <w:sz w:val="24"/>
          <w:szCs w:val="24"/>
        </w:rPr>
        <w:t>4</w:t>
      </w:r>
      <w:r>
        <w:rPr>
          <w:rFonts w:ascii="宋体" w:eastAsia="宋体" w:hAnsi="宋体" w:cs="Courier New" w:hint="eastAsia"/>
          <w:b/>
          <w:bCs/>
          <w:sz w:val="24"/>
          <w:szCs w:val="24"/>
        </w:rPr>
        <w:t>、流动性风险：在特定市场环境下，理财产品所投资的上述部分市场或资产可能出现流动性较差的情况，导致理财产品存在无法通过变现资产等途径以合理成本及时获得充足资金，用于满足投资者赎回需求、履行其他支付义务的风险。对于有</w:t>
      </w:r>
      <w:r>
        <w:rPr>
          <w:rFonts w:ascii="宋体" w:eastAsia="宋体" w:hAnsi="宋体" w:cs="Courier New"/>
          <w:b/>
          <w:bCs/>
          <w:sz w:val="24"/>
          <w:szCs w:val="24"/>
        </w:rPr>
        <w:t>明确投资期限的理财产品，</w:t>
      </w:r>
      <w:r>
        <w:rPr>
          <w:rFonts w:ascii="宋体" w:eastAsia="宋体" w:hAnsi="宋体" w:cs="Courier New" w:hint="eastAsia"/>
          <w:b/>
          <w:bCs/>
          <w:sz w:val="24"/>
          <w:szCs w:val="24"/>
        </w:rPr>
        <w:t>在存续期内如果您产生流动性需求，可能面临理财产品投资期限与资金需求日不匹配的流动性风险。此外</w:t>
      </w:r>
      <w:r>
        <w:rPr>
          <w:rFonts w:ascii="宋体" w:eastAsia="宋体" w:hAnsi="宋体" w:cs="Courier New"/>
          <w:b/>
          <w:bCs/>
          <w:sz w:val="24"/>
          <w:szCs w:val="24"/>
        </w:rPr>
        <w:t>，</w:t>
      </w:r>
      <w:r>
        <w:rPr>
          <w:rFonts w:ascii="宋体" w:eastAsia="宋体" w:hAnsi="宋体" w:cs="Courier New" w:hint="eastAsia"/>
          <w:b/>
          <w:bCs/>
          <w:sz w:val="24"/>
          <w:szCs w:val="24"/>
        </w:rPr>
        <w:t>针对</w:t>
      </w:r>
      <w:r>
        <w:rPr>
          <w:rFonts w:ascii="宋体" w:eastAsia="宋体" w:hAnsi="宋体" w:cs="Courier New"/>
          <w:b/>
          <w:bCs/>
          <w:sz w:val="24"/>
          <w:szCs w:val="24"/>
        </w:rPr>
        <w:t>开放式产品，</w:t>
      </w:r>
      <w:r>
        <w:rPr>
          <w:rFonts w:ascii="宋体" w:eastAsia="宋体" w:hAnsi="宋体" w:cs="Courier New" w:hint="eastAsia"/>
          <w:b/>
          <w:bCs/>
          <w:sz w:val="24"/>
          <w:szCs w:val="24"/>
        </w:rPr>
        <w:t>投资者只能在开放期的交易时间内进行申购、赎回，开放期内若发生巨额赎回，投资者将面临不能及时赎回理财产品的流动性风险。</w:t>
      </w:r>
    </w:p>
    <w:p>
      <w:pPr>
        <w:spacing w:line="312" w:lineRule="auto"/>
        <w:ind w:left="63" w:firstLine="480" w:leftChars="30" w:firstLineChars="200"/>
        <w:rPr>
          <w:rFonts w:ascii="宋体" w:eastAsia="宋体" w:hAnsi="宋体" w:cs="Courier New"/>
          <w:b/>
          <w:bCs/>
          <w:sz w:val="24"/>
          <w:szCs w:val="24"/>
        </w:rPr>
      </w:pPr>
      <w:r>
        <w:rPr>
          <w:rFonts w:ascii="宋体" w:eastAsia="宋体" w:hAnsi="宋体" w:cs="Courier New" w:hint="eastAsia"/>
          <w:b/>
          <w:bCs/>
          <w:sz w:val="24"/>
          <w:szCs w:val="24"/>
        </w:rPr>
        <w:t>宁银理财可以依照法律法规及产品说明书的约定，综合运用各项理财产品流动性风险应对措施：</w:t>
      </w:r>
    </w:p>
    <w:p>
      <w:pPr>
        <w:spacing w:line="312" w:lineRule="auto"/>
        <w:ind w:left="63" w:firstLine="480" w:leftChars="30" w:firstLineChars="200"/>
        <w:rPr>
          <w:rFonts w:ascii="宋体" w:eastAsia="宋体" w:hAnsi="宋体" w:cs="Courier New"/>
          <w:b/>
          <w:bCs/>
          <w:sz w:val="24"/>
          <w:szCs w:val="24"/>
        </w:rPr>
      </w:pPr>
      <w:r>
        <w:rPr>
          <w:rFonts w:ascii="宋体" w:eastAsia="宋体" w:hAnsi="宋体" w:cs="Courier New" w:hint="eastAsia"/>
          <w:b/>
          <w:bCs/>
          <w:sz w:val="24"/>
          <w:szCs w:val="24"/>
        </w:rPr>
        <w:t>（一）认购风险应对措施，包括：设定单一投资者认购金额上限、设定理财产品单日净认购比例上限、拒绝大额认购、暂停认购，以及国家金融监督管理总局规定的其他措施；</w:t>
      </w:r>
    </w:p>
    <w:p>
      <w:pPr>
        <w:spacing w:line="312" w:lineRule="auto"/>
        <w:ind w:left="63" w:firstLine="480" w:leftChars="30" w:firstLineChars="200"/>
        <w:rPr>
          <w:rFonts w:ascii="宋体" w:eastAsia="宋体" w:hAnsi="宋体" w:cs="Courier New"/>
          <w:b/>
          <w:bCs/>
          <w:sz w:val="24"/>
          <w:szCs w:val="24"/>
        </w:rPr>
      </w:pPr>
      <w:r>
        <w:rPr>
          <w:rFonts w:ascii="宋体" w:eastAsia="宋体" w:hAnsi="宋体" w:cs="Courier New" w:hint="eastAsia"/>
          <w:b/>
          <w:bCs/>
          <w:sz w:val="24"/>
          <w:szCs w:val="24"/>
        </w:rPr>
        <w:t>（二）赎回风险应对措施，包括：设置赎回上限、延期办理巨额赎回申请、暂停接受赎回申请、延缓支付赎回款项、收取短期赎回费、暂停理财产品估值、摆动定价，以及国家金融监督管理总局规定的其他措施。</w:t>
      </w:r>
    </w:p>
    <w:p>
      <w:pPr>
        <w:spacing w:line="312" w:lineRule="auto"/>
        <w:ind w:left="63" w:firstLine="480" w:leftChars="30" w:firstLineChars="200"/>
        <w:rPr>
          <w:rFonts w:ascii="宋体" w:eastAsia="宋体" w:hAnsi="宋体" w:cs="Courier New"/>
          <w:b/>
          <w:bCs/>
          <w:sz w:val="24"/>
          <w:szCs w:val="24"/>
        </w:rPr>
      </w:pPr>
      <w:r>
        <w:rPr>
          <w:rFonts w:ascii="宋体" w:eastAsia="宋体" w:hAnsi="宋体" w:cs="Courier New"/>
          <w:b/>
          <w:bCs/>
          <w:sz w:val="24"/>
          <w:szCs w:val="24"/>
        </w:rPr>
        <w:t>上述</w:t>
      </w:r>
      <w:r>
        <w:rPr>
          <w:rFonts w:ascii="宋体" w:eastAsia="宋体" w:hAnsi="宋体" w:cs="Courier New" w:hint="eastAsia"/>
          <w:b/>
          <w:bCs/>
          <w:sz w:val="24"/>
          <w:szCs w:val="24"/>
        </w:rPr>
        <w:t>理财产品流动性风险应对措施</w:t>
      </w:r>
      <w:r>
        <w:rPr>
          <w:rFonts w:ascii="宋体" w:eastAsia="宋体" w:hAnsi="宋体" w:cs="Courier New"/>
          <w:b/>
          <w:bCs/>
          <w:sz w:val="24"/>
          <w:szCs w:val="24"/>
        </w:rPr>
        <w:t>可能</w:t>
      </w:r>
      <w:r>
        <w:rPr>
          <w:rFonts w:ascii="宋体" w:eastAsia="宋体" w:hAnsi="宋体" w:cs="Courier New" w:hint="eastAsia"/>
          <w:b/>
          <w:bCs/>
          <w:sz w:val="24"/>
          <w:szCs w:val="24"/>
        </w:rPr>
        <w:t>导致无法满足投资者对产品的部分或全部认（申）购或赎回需求，进而</w:t>
      </w:r>
      <w:r>
        <w:rPr>
          <w:rFonts w:ascii="宋体" w:eastAsia="宋体" w:hAnsi="宋体" w:cs="Courier New"/>
          <w:b/>
          <w:bCs/>
          <w:sz w:val="24"/>
          <w:szCs w:val="24"/>
        </w:rPr>
        <w:t>影响投资者的资金流动性安排。</w:t>
      </w:r>
      <w:r>
        <w:rPr>
          <w:rFonts w:ascii="宋体" w:eastAsia="宋体" w:hAnsi="宋体" w:cs="Courier New" w:hint="eastAsia"/>
          <w:b/>
          <w:bCs/>
          <w:sz w:val="24"/>
          <w:szCs w:val="24"/>
        </w:rPr>
        <w:t>当产品管理人根据产品说明书中与投资者事先约定的相关措施的处理方法和程序接受投资者的认（申）购申请时，可能会造成理财产品投资收益摊薄、后续发生巨额赎回可能性增加等潜在影响。</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hint="eastAsia"/>
          <w:b/>
          <w:sz w:val="24"/>
          <w:szCs w:val="24"/>
        </w:rPr>
        <w:t>5、不达业绩比较基准的风险：产品的业绩比较基准为综合考虑产品的投资组合及同类产品过往业绩等因素测算而得，不代表产品业绩的未来表现，不作为宁银理财向您支付产品本金或收益的承诺。本产品为净值型产品，业绩表现将随市场情况波动，具有不确定性，产品业绩表现存在不达业绩基准的风险。</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b/>
          <w:sz w:val="24"/>
          <w:szCs w:val="24"/>
        </w:rPr>
        <w:t>6</w:t>
      </w:r>
      <w:r>
        <w:rPr>
          <w:rFonts w:ascii="宋体" w:eastAsia="宋体" w:hAnsi="宋体" w:cs="Times New Roman" w:hint="eastAsia"/>
          <w:b/>
          <w:sz w:val="24"/>
          <w:szCs w:val="24"/>
        </w:rPr>
        <w:t>、提前终止风险：</w:t>
      </w:r>
      <w:r>
        <w:rPr>
          <w:rFonts w:ascii="Times New Roman" w:eastAsia="宋体" w:hAnsi="Times New Roman" w:cs="Times New Roman" w:hint="eastAsia"/>
          <w:sz w:val="24"/>
          <w:szCs w:val="24"/>
        </w:rPr>
        <w:t>在理财产品存续期内，宁银理财有权在特定情况下提前终止理财产品，一旦产品被提前终止，您可能面临不能继续持有产品的风险。</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b/>
          <w:sz w:val="24"/>
          <w:szCs w:val="24"/>
        </w:rPr>
        <w:t>7</w:t>
      </w:r>
      <w:r>
        <w:rPr>
          <w:rFonts w:ascii="宋体" w:eastAsia="宋体" w:hAnsi="宋体" w:cs="Times New Roman" w:hint="eastAsia"/>
          <w:b/>
          <w:sz w:val="24"/>
          <w:szCs w:val="24"/>
        </w:rPr>
        <w:t>、延期风险：理财产品到期或您决定赎回本产品时，若出现所投资产无法顺利变现、市场发生重大变动或其他宁银理财认为需要延期支付的情形时，本产品将面临无法按时支付相关款项的风险。</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b/>
          <w:sz w:val="24"/>
          <w:szCs w:val="24"/>
        </w:rPr>
        <w:t>8</w:t>
      </w:r>
      <w:r>
        <w:rPr>
          <w:rFonts w:ascii="宋体" w:eastAsia="宋体" w:hAnsi="宋体" w:cs="Times New Roman" w:hint="eastAsia"/>
          <w:b/>
          <w:sz w:val="24"/>
          <w:szCs w:val="24"/>
        </w:rPr>
        <w:t>、政策风险：理财产品在运作过程中，由于国家宏观政策以及市场相关法律法规、监管规定发生变化，导致产品的发行、投资、兑付等流程受到影响，进而影响产品的投资运作和收益的风险。</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b/>
          <w:sz w:val="24"/>
          <w:szCs w:val="24"/>
        </w:rPr>
        <w:t>9</w:t>
      </w:r>
      <w:r>
        <w:rPr>
          <w:rFonts w:ascii="宋体" w:eastAsia="宋体" w:hAnsi="宋体" w:cs="Times New Roman" w:hint="eastAsia"/>
          <w:b/>
          <w:sz w:val="24"/>
          <w:szCs w:val="24"/>
        </w:rPr>
        <w:t>、信息传递风险：宁银理财将于理财产品募集期间、存续期间和终止时，通过本公司官网（</w:t>
      </w:r>
      <w:r>
        <w:rPr>
          <w:rFonts w:ascii="宋体" w:eastAsia="宋体" w:hAnsi="宋体" w:cs="Times New Roman"/>
          <w:b/>
          <w:sz w:val="24"/>
          <w:szCs w:val="24"/>
        </w:rPr>
        <w:t>www.wmbnb.com</w:t>
      </w:r>
      <w:r>
        <w:rPr>
          <w:rFonts w:ascii="宋体" w:eastAsia="宋体" w:hAnsi="宋体" w:cs="Times New Roman" w:hint="eastAsia"/>
          <w:b/>
          <w:sz w:val="24"/>
          <w:szCs w:val="24"/>
        </w:rPr>
        <w:t>）、相关理财代理销售机构官方渠道或其他适当的方式进行信息披露（具体产品的信息披露方式、频率等规则见《理财产品说明书》）。宁银理财或</w:t>
      </w:r>
      <w:r>
        <w:rPr>
          <w:rFonts w:ascii="宋体" w:eastAsia="宋体" w:hAnsi="宋体" w:cs="Times New Roman"/>
          <w:b/>
          <w:sz w:val="24"/>
          <w:szCs w:val="24"/>
        </w:rPr>
        <w:t>代理销售机构通过</w:t>
      </w:r>
      <w:r>
        <w:rPr>
          <w:rFonts w:ascii="宋体" w:eastAsia="宋体" w:hAnsi="宋体" w:cs="Times New Roman" w:hint="eastAsia"/>
          <w:b/>
          <w:sz w:val="24"/>
          <w:szCs w:val="24"/>
        </w:rPr>
        <w:t>理财产品销售</w:t>
      </w:r>
      <w:r>
        <w:rPr>
          <w:rFonts w:ascii="宋体" w:eastAsia="宋体" w:hAnsi="宋体" w:cs="Times New Roman"/>
          <w:b/>
          <w:sz w:val="24"/>
          <w:szCs w:val="24"/>
        </w:rPr>
        <w:t>文件约定方式披露信息后，</w:t>
      </w:r>
      <w:r>
        <w:rPr>
          <w:rFonts w:ascii="宋体" w:eastAsia="宋体" w:hAnsi="宋体" w:cs="Times New Roman" w:hint="eastAsia"/>
          <w:b/>
          <w:sz w:val="24"/>
          <w:szCs w:val="24"/>
        </w:rPr>
        <w:t>视为本公司已</w:t>
      </w:r>
      <w:r>
        <w:rPr>
          <w:rFonts w:ascii="宋体" w:eastAsia="宋体" w:hAnsi="宋体" w:cs="Times New Roman"/>
          <w:b/>
          <w:sz w:val="24"/>
          <w:szCs w:val="24"/>
        </w:rPr>
        <w:t>向</w:t>
      </w:r>
      <w:r>
        <w:rPr>
          <w:rFonts w:ascii="宋体" w:eastAsia="宋体" w:hAnsi="宋体" w:cs="Times New Roman" w:hint="eastAsia"/>
          <w:b/>
          <w:sz w:val="24"/>
          <w:szCs w:val="24"/>
        </w:rPr>
        <w:t>您</w:t>
      </w:r>
      <w:r>
        <w:rPr>
          <w:rFonts w:ascii="宋体" w:eastAsia="宋体" w:hAnsi="宋体" w:cs="Times New Roman"/>
          <w:b/>
          <w:sz w:val="24"/>
          <w:szCs w:val="24"/>
        </w:rPr>
        <w:t>完全履行信息披露义务</w:t>
      </w:r>
      <w:r>
        <w:rPr>
          <w:rFonts w:ascii="宋体" w:eastAsia="宋体" w:hAnsi="宋体" w:cs="Times New Roman" w:hint="eastAsia"/>
          <w:b/>
          <w:sz w:val="24"/>
          <w:szCs w:val="24"/>
        </w:rPr>
        <w:t>，您可依据理财产品销售文件的约定，及时登录本</w:t>
      </w:r>
      <w:r>
        <w:rPr>
          <w:rFonts w:ascii="宋体" w:eastAsia="宋体" w:hAnsi="宋体" w:cs="Times New Roman"/>
          <w:b/>
          <w:sz w:val="24"/>
          <w:szCs w:val="24"/>
        </w:rPr>
        <w:t>公司/代理销售机构</w:t>
      </w:r>
      <w:r>
        <w:rPr>
          <w:rFonts w:ascii="宋体" w:eastAsia="宋体" w:hAnsi="宋体" w:cs="Times New Roman" w:hint="eastAsia"/>
          <w:b/>
          <w:sz w:val="24"/>
          <w:szCs w:val="24"/>
        </w:rPr>
        <w:t>网站或</w:t>
      </w:r>
      <w:r>
        <w:rPr>
          <w:rFonts w:ascii="宋体" w:eastAsia="宋体" w:hAnsi="宋体" w:cs="Times New Roman"/>
          <w:b/>
          <w:sz w:val="24"/>
          <w:szCs w:val="24"/>
        </w:rPr>
        <w:t>致电</w:t>
      </w:r>
      <w:r>
        <w:rPr>
          <w:rFonts w:ascii="宋体" w:eastAsia="宋体" w:hAnsi="宋体" w:cs="Times New Roman" w:hint="eastAsia"/>
          <w:b/>
          <w:sz w:val="24"/>
          <w:szCs w:val="24"/>
        </w:rPr>
        <w:t>本</w:t>
      </w:r>
      <w:r>
        <w:rPr>
          <w:rFonts w:ascii="宋体" w:eastAsia="宋体" w:hAnsi="宋体" w:cs="Times New Roman"/>
          <w:b/>
          <w:sz w:val="24"/>
          <w:szCs w:val="24"/>
        </w:rPr>
        <w:t>公司/代理销售机构</w:t>
      </w:r>
      <w:r>
        <w:rPr>
          <w:rFonts w:ascii="宋体" w:eastAsia="宋体" w:hAnsi="宋体" w:cs="Times New Roman" w:hint="eastAsia"/>
          <w:b/>
          <w:sz w:val="24"/>
          <w:szCs w:val="24"/>
        </w:rPr>
        <w:t>客户服务</w:t>
      </w:r>
      <w:r>
        <w:rPr>
          <w:rFonts w:ascii="宋体" w:eastAsia="宋体" w:hAnsi="宋体" w:cs="Times New Roman"/>
          <w:b/>
          <w:sz w:val="24"/>
          <w:szCs w:val="24"/>
        </w:rPr>
        <w:t>热线（</w:t>
      </w:r>
      <w:r>
        <w:rPr>
          <w:rFonts w:ascii="宋体" w:eastAsia="宋体" w:hAnsi="宋体" w:cs="Times New Roman" w:hint="eastAsia"/>
          <w:b/>
          <w:sz w:val="24"/>
          <w:szCs w:val="24"/>
        </w:rPr>
        <w:t>宁银理财：400-099-5574；代理销售机构详见《理财产品说明书》</w:t>
      </w:r>
      <w:r>
        <w:rPr>
          <w:rFonts w:ascii="宋体" w:eastAsia="宋体" w:hAnsi="宋体" w:cs="Times New Roman"/>
          <w:b/>
          <w:sz w:val="24"/>
          <w:szCs w:val="24"/>
        </w:rPr>
        <w:t>）</w:t>
      </w:r>
      <w:r>
        <w:rPr>
          <w:rFonts w:ascii="宋体" w:eastAsia="宋体" w:hAnsi="宋体" w:cs="Times New Roman" w:hint="eastAsia"/>
          <w:b/>
          <w:sz w:val="24"/>
          <w:szCs w:val="24"/>
        </w:rPr>
        <w:t>查询。如因您未及时查询，或因通讯、系统故障或其他不可抗力等因素的影响，致使您无法及时了解理财产品信息，所产生的责任和风险将由</w:t>
      </w:r>
      <w:r>
        <w:rPr>
          <w:rFonts w:ascii="宋体" w:eastAsia="宋体" w:hAnsi="宋体" w:cs="Times New Roman"/>
          <w:b/>
          <w:sz w:val="24"/>
          <w:szCs w:val="24"/>
        </w:rPr>
        <w:t>您</w:t>
      </w:r>
      <w:r>
        <w:rPr>
          <w:rFonts w:ascii="宋体" w:eastAsia="宋体" w:hAnsi="宋体" w:cs="Times New Roman" w:hint="eastAsia"/>
          <w:b/>
          <w:sz w:val="24"/>
          <w:szCs w:val="24"/>
        </w:rPr>
        <w:t>自行承担。</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hint="eastAsia"/>
          <w:b/>
          <w:sz w:val="24"/>
          <w:szCs w:val="24"/>
        </w:rPr>
        <w:t>您预留在</w:t>
      </w:r>
      <w:r>
        <w:rPr>
          <w:rFonts w:ascii="宋体" w:eastAsia="宋体" w:hAnsi="宋体" w:cs="Times New Roman"/>
          <w:b/>
          <w:sz w:val="24"/>
          <w:szCs w:val="24"/>
        </w:rPr>
        <w:t>公司</w:t>
      </w:r>
      <w:r>
        <w:rPr>
          <w:rFonts w:ascii="宋体" w:eastAsia="宋体" w:hAnsi="宋体" w:cs="Times New Roman" w:hint="eastAsia"/>
          <w:b/>
          <w:sz w:val="24"/>
          <w:szCs w:val="24"/>
        </w:rPr>
        <w:t>或代理销售机构的有效联系方式若发生变更，应及时通知</w:t>
      </w:r>
      <w:r>
        <w:rPr>
          <w:rFonts w:ascii="宋体" w:eastAsia="宋体" w:hAnsi="宋体" w:cs="Times New Roman"/>
          <w:b/>
          <w:sz w:val="24"/>
          <w:szCs w:val="24"/>
        </w:rPr>
        <w:t>公司</w:t>
      </w:r>
      <w:r>
        <w:rPr>
          <w:rFonts w:ascii="宋体" w:eastAsia="宋体" w:hAnsi="宋体" w:cs="Times New Roman" w:hint="eastAsia"/>
          <w:b/>
          <w:sz w:val="24"/>
          <w:szCs w:val="24"/>
        </w:rPr>
        <w:t>或代理销售机构，如因您未及时告知，导致公司或代理销售机构无法及时联系您，由此产生的责任和风险将由</w:t>
      </w:r>
      <w:r>
        <w:rPr>
          <w:rFonts w:ascii="宋体" w:eastAsia="宋体" w:hAnsi="宋体" w:cs="Times New Roman"/>
          <w:b/>
          <w:sz w:val="24"/>
          <w:szCs w:val="24"/>
        </w:rPr>
        <w:t>您</w:t>
      </w:r>
      <w:r>
        <w:rPr>
          <w:rFonts w:ascii="宋体" w:eastAsia="宋体" w:hAnsi="宋体" w:cs="Times New Roman" w:hint="eastAsia"/>
          <w:b/>
          <w:sz w:val="24"/>
          <w:szCs w:val="24"/>
        </w:rPr>
        <w:t>自行承担。</w:t>
      </w:r>
    </w:p>
    <w:p>
      <w:pPr>
        <w:spacing w:line="312" w:lineRule="auto"/>
        <w:ind w:left="63" w:firstLine="480" w:leftChars="30" w:firstLineChars="200"/>
        <w:rPr>
          <w:rFonts w:ascii="宋体" w:eastAsia="宋体" w:hAnsi="宋体" w:cs="Courier New"/>
          <w:b/>
          <w:bCs/>
          <w:sz w:val="24"/>
          <w:szCs w:val="24"/>
        </w:rPr>
      </w:pPr>
      <w:r>
        <w:rPr>
          <w:rFonts w:ascii="宋体" w:eastAsia="宋体" w:hAnsi="宋体" w:cs="Courier New"/>
          <w:b/>
          <w:bCs/>
          <w:sz w:val="24"/>
          <w:szCs w:val="24"/>
        </w:rPr>
        <w:t>10</w:t>
      </w:r>
      <w:r>
        <w:rPr>
          <w:rFonts w:ascii="宋体" w:eastAsia="宋体" w:hAnsi="宋体" w:cs="Courier New" w:hint="eastAsia"/>
          <w:b/>
          <w:bCs/>
          <w:sz w:val="24"/>
          <w:szCs w:val="24"/>
        </w:rPr>
        <w:t>、汇率风险：当理财产品的投资涉及非本国货币时，存在汇率波动带来的风险。</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b/>
          <w:sz w:val="24"/>
          <w:szCs w:val="24"/>
        </w:rPr>
        <w:t>11</w:t>
      </w:r>
      <w:r>
        <w:rPr>
          <w:rFonts w:ascii="宋体" w:eastAsia="宋体" w:hAnsi="宋体" w:cs="Times New Roman" w:hint="eastAsia"/>
          <w:b/>
          <w:sz w:val="24"/>
          <w:szCs w:val="24"/>
        </w:rPr>
        <w:t>、不可抗力风险及意外事件风险：战争、自然灾害、重大政治事件等不可抗力因素或非宁银理财原因的系统故障、投资市场停止交易等意外事件，可能严重影响理财产品的正常运作，影响理财</w:t>
      </w:r>
      <w:r>
        <w:rPr>
          <w:rFonts w:ascii="宋体" w:eastAsia="宋体" w:hAnsi="宋体" w:cs="Times New Roman"/>
          <w:b/>
          <w:sz w:val="24"/>
          <w:szCs w:val="24"/>
        </w:rPr>
        <w:t>产品投资业绩</w:t>
      </w:r>
      <w:r>
        <w:rPr>
          <w:rFonts w:ascii="宋体" w:eastAsia="宋体" w:hAnsi="宋体" w:cs="Times New Roman" w:hint="eastAsia"/>
          <w:b/>
          <w:sz w:val="24"/>
          <w:szCs w:val="24"/>
        </w:rPr>
        <w:t>。</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b/>
          <w:bCs/>
          <w:sz w:val="24"/>
          <w:szCs w:val="24"/>
        </w:rPr>
        <w:t>12</w:t>
      </w:r>
      <w:r>
        <w:rPr>
          <w:rFonts w:ascii="宋体" w:eastAsia="宋体" w:hAnsi="宋体" w:cs="Times New Roman"/>
          <w:b/>
          <w:sz w:val="24"/>
          <w:szCs w:val="24"/>
        </w:rPr>
        <w:t>、</w:t>
      </w:r>
      <w:r>
        <w:rPr>
          <w:rFonts w:ascii="宋体" w:eastAsia="宋体" w:hAnsi="宋体" w:cs="Times New Roman" w:hint="eastAsia"/>
          <w:b/>
          <w:sz w:val="24"/>
          <w:szCs w:val="24"/>
        </w:rPr>
        <w:t>本产品计划投资于商品及金融衍生品类资产，投资于以上资产可能面临包括但不限于以下持仓风险：</w:t>
      </w:r>
    </w:p>
    <w:p>
      <w:pPr>
        <w:spacing w:line="312" w:lineRule="auto"/>
        <w:ind w:left="63" w:firstLine="240" w:leftChars="30" w:firstLineChars="100"/>
        <w:rPr>
          <w:rFonts w:ascii="宋体" w:eastAsia="宋体" w:hAnsi="宋体" w:cs="Times New Roman"/>
          <w:sz w:val="24"/>
          <w:szCs w:val="24"/>
        </w:rPr>
      </w:pPr>
      <w:r>
        <w:rPr>
          <w:rFonts w:ascii="宋体" w:eastAsia="宋体" w:hAnsi="宋体" w:cs="Times New Roman" w:hint="eastAsia"/>
          <w:b/>
          <w:sz w:val="24"/>
          <w:szCs w:val="24"/>
        </w:rPr>
        <w:t>（一）</w:t>
      </w:r>
      <w:r>
        <w:rPr>
          <w:rFonts w:ascii="宋体" w:eastAsia="宋体" w:hAnsi="宋体" w:cs="Times New Roman"/>
          <w:b/>
          <w:sz w:val="24"/>
          <w:szCs w:val="24"/>
        </w:rPr>
        <w:t>交易对手相关风险：</w:t>
      </w:r>
      <w:r>
        <w:rPr>
          <w:rFonts w:ascii="宋体" w:eastAsia="宋体" w:hAnsi="宋体" w:cs="Times New Roman"/>
          <w:sz w:val="24"/>
          <w:szCs w:val="24"/>
        </w:rPr>
        <w:t>金融衍生品交易对手相关风险可能包括信用风险、操作风险、技术风险等。其中，信用风险指在金融衍生品交易和结算过程中，交易对手方可能发生违约情形、遭受不可抗力影响或因破产等其他非主观原因导致无法履行金融衍生品交易合同项下的支付、交付义务而给投资者造成损失的风险；操作风险指交易对手在业务操作过程中，可能因操作失误或违反操作规程导致交易失败或资金划拨失败等而给投资者带来的风险；技术风险指交易对手由于信息技术系统发生故障、存在缺陷等因素影响交易撮合、清算估值、会计核算、资金划转等业务的正常开展，</w:t>
      </w:r>
      <w:r>
        <w:rPr>
          <w:rFonts w:ascii="宋体" w:eastAsia="宋体" w:hAnsi="宋体" w:cs="Times New Roman" w:hint="eastAsia"/>
          <w:sz w:val="24"/>
          <w:szCs w:val="24"/>
        </w:rPr>
        <w:t>导致投资者利益受到影响的风险。</w:t>
      </w:r>
    </w:p>
    <w:p>
      <w:pPr>
        <w:spacing w:line="312" w:lineRule="auto"/>
        <w:ind w:left="63" w:firstLine="240" w:leftChars="30" w:firstLineChars="100"/>
        <w:rPr>
          <w:rFonts w:ascii="宋体" w:eastAsia="宋体" w:hAnsi="宋体" w:cs="Times New Roman"/>
          <w:sz w:val="24"/>
          <w:szCs w:val="24"/>
        </w:rPr>
      </w:pPr>
      <w:r>
        <w:rPr>
          <w:rFonts w:ascii="宋体" w:eastAsia="宋体" w:hAnsi="宋体" w:cs="Times New Roman" w:hint="eastAsia"/>
          <w:b/>
          <w:sz w:val="24"/>
          <w:szCs w:val="24"/>
        </w:rPr>
        <w:t>（二）</w:t>
      </w:r>
      <w:r>
        <w:rPr>
          <w:rFonts w:ascii="宋体" w:eastAsia="宋体" w:hAnsi="宋体" w:cs="Times New Roman"/>
          <w:b/>
          <w:sz w:val="24"/>
          <w:szCs w:val="24"/>
        </w:rPr>
        <w:t>金融衍生品估值模型风险</w:t>
      </w:r>
      <w:r>
        <w:rPr>
          <w:rFonts w:ascii="宋体" w:eastAsia="宋体" w:hAnsi="宋体" w:cs="Times New Roman"/>
          <w:sz w:val="24"/>
          <w:szCs w:val="24"/>
        </w:rPr>
        <w:t>：金融衍生品的估值结果受到估值模型、基于估值模型的计算方法及模型参数等多方面因素的共同影响，任一因素的调整均会导致计算得到的估值结果发生变动，因此金融衍生品存续期间的估值结果仅可作为参考，具体金融衍生品提前终止、部分提前终止、追加交易等均以交易对手实际交易确认结果为准。</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hint="eastAsia"/>
          <w:b/>
          <w:sz w:val="24"/>
          <w:szCs w:val="24"/>
        </w:rPr>
        <w:t>1</w:t>
      </w:r>
      <w:r>
        <w:rPr>
          <w:rFonts w:ascii="宋体" w:eastAsia="宋体" w:hAnsi="宋体" w:cs="Times New Roman"/>
          <w:b/>
          <w:sz w:val="24"/>
          <w:szCs w:val="24"/>
        </w:rPr>
        <w:t>3</w:t>
      </w:r>
      <w:r>
        <w:rPr>
          <w:rFonts w:ascii="宋体" w:eastAsia="宋体" w:hAnsi="宋体" w:cs="Times New Roman" w:hint="eastAsia"/>
          <w:b/>
          <w:sz w:val="24"/>
          <w:szCs w:val="24"/>
        </w:rPr>
        <w:t>、本产品可能投资永续债，届时将可能面临包括但不限于以下风险：</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hint="eastAsia"/>
          <w:b/>
          <w:sz w:val="24"/>
          <w:szCs w:val="24"/>
        </w:rPr>
        <w:t>（1）信用风险：由于永续债发行人长期偿债能力和信用状况发生变化，可能导致债券违约或评级下调。</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hint="eastAsia"/>
          <w:b/>
          <w:sz w:val="24"/>
          <w:szCs w:val="24"/>
        </w:rPr>
        <w:t>（2）利率风险：永续债期限较长或无固定到期日，对利率变动较为敏感，利率上升时价格下跌幅度通常较大。</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hint="eastAsia"/>
          <w:b/>
          <w:sz w:val="24"/>
          <w:szCs w:val="24"/>
        </w:rPr>
        <w:t>（</w:t>
      </w:r>
      <w:r>
        <w:rPr>
          <w:rFonts w:ascii="宋体" w:eastAsia="宋体" w:hAnsi="宋体" w:cs="Times New Roman"/>
          <w:b/>
          <w:sz w:val="24"/>
          <w:szCs w:val="24"/>
        </w:rPr>
        <w:t>3）</w:t>
      </w:r>
      <w:r>
        <w:rPr>
          <w:rFonts w:ascii="宋体" w:eastAsia="宋体" w:hAnsi="宋体" w:cs="Times New Roman" w:hint="eastAsia"/>
          <w:b/>
          <w:sz w:val="24"/>
          <w:szCs w:val="24"/>
        </w:rPr>
        <w:t>流动性风险：永续债二级市场交易可能不活跃，尤其在市场快速变化或信用风险抬升时，可能难以迅速变现或需折价出售。</w:t>
      </w:r>
    </w:p>
    <w:p>
      <w:pPr>
        <w:spacing w:line="312" w:lineRule="auto"/>
        <w:ind w:left="63" w:firstLine="240" w:leftChars="30" w:firstLineChars="100"/>
        <w:rPr>
          <w:rFonts w:ascii="宋体" w:eastAsia="宋体" w:hAnsi="宋体" w:cs="Times New Roman"/>
          <w:sz w:val="24"/>
          <w:szCs w:val="24"/>
        </w:rPr>
      </w:pPr>
    </w:p>
    <w:p>
      <w:pPr>
        <w:spacing w:line="312" w:lineRule="auto"/>
        <w:ind w:firstLine="480" w:firstLineChars="200"/>
        <w:rPr>
          <w:rFonts w:ascii="宋体" w:eastAsia="宋体" w:hAnsi="宋体" w:cs="Times New Roman"/>
          <w:b/>
          <w:sz w:val="24"/>
          <w:szCs w:val="24"/>
        </w:rPr>
      </w:pPr>
      <w:r>
        <w:rPr>
          <w:rFonts w:ascii="宋体" w:eastAsia="宋体" w:hAnsi="宋体" w:cs="Times New Roman" w:hint="eastAsia"/>
          <w:b/>
          <w:sz w:val="24"/>
          <w:szCs w:val="24"/>
        </w:rPr>
        <w:t>上述风险发生时，您的本金及收益可能遭受损失，在最不利情况下，您将损失全部的本金及收益，由此产生的风险及损失将由</w:t>
      </w:r>
      <w:r>
        <w:rPr>
          <w:rFonts w:ascii="宋体" w:eastAsia="宋体" w:hAnsi="宋体" w:cs="Times New Roman"/>
          <w:b/>
          <w:sz w:val="24"/>
          <w:szCs w:val="24"/>
        </w:rPr>
        <w:t>您</w:t>
      </w:r>
      <w:r>
        <w:rPr>
          <w:rFonts w:ascii="宋体" w:eastAsia="宋体" w:hAnsi="宋体" w:cs="Times New Roman" w:hint="eastAsia"/>
          <w:b/>
          <w:sz w:val="24"/>
          <w:szCs w:val="24"/>
        </w:rPr>
        <w:t>自行承担。</w:t>
      </w:r>
    </w:p>
    <w:p>
      <w:pPr>
        <w:spacing w:line="312" w:lineRule="auto"/>
        <w:ind w:left="63" w:firstLine="480" w:leftChars="30" w:firstLineChars="200"/>
        <w:rPr>
          <w:rFonts w:ascii="宋体" w:eastAsia="宋体" w:hAnsi="宋体" w:cs="Times New Roman"/>
          <w:sz w:val="24"/>
          <w:szCs w:val="24"/>
        </w:rPr>
      </w:pP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hint="eastAsia"/>
          <w:sz w:val="24"/>
          <w:szCs w:val="24"/>
        </w:rPr>
        <w:t>根据现行法律法规对于理财</w:t>
      </w:r>
      <w:r>
        <w:rPr>
          <w:rFonts w:ascii="宋体" w:eastAsia="宋体" w:hAnsi="宋体" w:cs="Times New Roman"/>
          <w:sz w:val="24"/>
          <w:szCs w:val="24"/>
        </w:rPr>
        <w:t>产品的分类</w:t>
      </w:r>
      <w:r>
        <w:rPr>
          <w:rFonts w:ascii="宋体" w:eastAsia="宋体" w:hAnsi="宋体" w:cs="Times New Roman" w:hint="eastAsia"/>
          <w:sz w:val="24"/>
          <w:szCs w:val="24"/>
        </w:rPr>
        <w:t>，您还需要了解以下信息：</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b/>
          <w:sz w:val="24"/>
          <w:szCs w:val="24"/>
        </w:rPr>
        <w:t>1、</w:t>
      </w:r>
      <w:r>
        <w:rPr>
          <w:rFonts w:ascii="宋体" w:eastAsia="宋体" w:hAnsi="宋体" w:cs="Times New Roman" w:hint="eastAsia"/>
          <w:b/>
          <w:sz w:val="24"/>
          <w:szCs w:val="24"/>
        </w:rPr>
        <w:t>根据募集方式的不同，理财产品分为公募理财产品和私募理财产品。</w:t>
      </w:r>
      <w:r>
        <w:rPr>
          <w:rFonts w:ascii="宋体" w:eastAsia="宋体" w:hAnsi="宋体" w:cs="Times New Roman" w:hint="eastAsia"/>
          <w:sz w:val="24"/>
          <w:szCs w:val="24"/>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hint="eastAsia"/>
          <w:sz w:val="24"/>
          <w:szCs w:val="24"/>
        </w:rPr>
        <w:t>（一）具有</w:t>
      </w:r>
      <w:r>
        <w:rPr>
          <w:rFonts w:ascii="宋体" w:eastAsia="宋体" w:hAnsi="宋体" w:cs="Times New Roman"/>
          <w:sz w:val="24"/>
          <w:szCs w:val="24"/>
        </w:rPr>
        <w:t>2年以上投资经历，且满足家庭金融净资产不低于300万元人民币，或者家庭金融资产不低于500万元人民币，或者近3年本人年均收入不低于40万元人民币；</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hint="eastAsia"/>
          <w:sz w:val="24"/>
          <w:szCs w:val="24"/>
        </w:rPr>
        <w:t>（二）最近</w:t>
      </w:r>
      <w:r>
        <w:rPr>
          <w:rFonts w:ascii="宋体" w:eastAsia="宋体" w:hAnsi="宋体" w:cs="Times New Roman"/>
          <w:sz w:val="24"/>
          <w:szCs w:val="24"/>
        </w:rPr>
        <w:t>1年末净资产不低于1000万元人民币的法人或者依法成立的其他组织；</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hint="eastAsia"/>
          <w:sz w:val="24"/>
          <w:szCs w:val="24"/>
        </w:rPr>
        <w:t>（三）国务院银行业监督管理机构规定的其他情形。</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b/>
          <w:sz w:val="24"/>
          <w:szCs w:val="24"/>
        </w:rPr>
        <w:t>2、</w:t>
      </w:r>
      <w:r>
        <w:rPr>
          <w:rFonts w:ascii="宋体" w:eastAsia="宋体" w:hAnsi="宋体" w:cs="Times New Roman" w:hint="eastAsia"/>
          <w:b/>
          <w:sz w:val="24"/>
          <w:szCs w:val="24"/>
        </w:rPr>
        <w:t>根据投资性质的不同，理财产品分为固定收益类理财产品、权益类理财产品、商品及金融衍生品类理财产品和混合类理财产品。</w:t>
      </w:r>
      <w:r>
        <w:rPr>
          <w:rFonts w:ascii="宋体" w:eastAsia="宋体" w:hAnsi="宋体" w:cs="Times New Roman" w:hint="eastAsia"/>
          <w:sz w:val="24"/>
          <w:szCs w:val="24"/>
        </w:rPr>
        <w:t>固定收益类理财产品投资于存款、债券等债权类资产的比例不低于</w:t>
      </w:r>
      <w:r>
        <w:rPr>
          <w:rFonts w:ascii="宋体" w:eastAsia="宋体" w:hAnsi="宋体" w:cs="Times New Roman"/>
          <w:sz w:val="24"/>
          <w:szCs w:val="24"/>
        </w:rPr>
        <w:t>80%；权益类理财产品投资于权益类资产的比例不低于80%；商品及金融衍生品类理财产品投资于商品及金融衍生品的比例不低于80%；混合类理财产品投资于债权类资产、权益类资产、商品及金融衍生品类资产且任</w:t>
      </w:r>
      <w:r>
        <w:rPr>
          <w:rFonts w:ascii="宋体" w:eastAsia="宋体" w:hAnsi="宋体" w:cs="Times New Roman" w:hint="eastAsia"/>
          <w:sz w:val="24"/>
          <w:szCs w:val="24"/>
        </w:rPr>
        <w:t>一资产的投资比例未达到前三类理财产品标准。</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b/>
          <w:sz w:val="24"/>
          <w:szCs w:val="24"/>
        </w:rPr>
        <w:t>3、</w:t>
      </w:r>
      <w:r>
        <w:rPr>
          <w:rFonts w:ascii="宋体" w:eastAsia="宋体" w:hAnsi="宋体" w:cs="Times New Roman" w:hint="eastAsia"/>
          <w:b/>
          <w:sz w:val="24"/>
          <w:szCs w:val="24"/>
        </w:rPr>
        <w:t>根据运作方式的不同，将理财产品分为封闭式理财产品和开放式理财产品。</w:t>
      </w:r>
      <w:r>
        <w:rPr>
          <w:rFonts w:ascii="宋体" w:eastAsia="宋体" w:hAnsi="宋体" w:cs="Times New Roman" w:hint="eastAsia"/>
          <w:sz w:val="24"/>
          <w:szCs w:val="24"/>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12" w:lineRule="auto"/>
        <w:ind w:left="63" w:firstLine="480" w:leftChars="30" w:firstLineChars="200"/>
        <w:rPr>
          <w:rFonts w:ascii="宋体" w:eastAsia="宋体" w:hAnsi="宋体" w:cs="Times New Roman"/>
          <w:sz w:val="24"/>
          <w:szCs w:val="24"/>
        </w:rPr>
      </w:pP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hint="eastAsia"/>
          <w:sz w:val="24"/>
          <w:szCs w:val="24"/>
        </w:rPr>
        <w:t>对于在本公司直销渠道购买的产品，产品评级以本公司的评级结果为准。对于在代理销售机构购买的产品，代理销售机构应当独立、审慎地对本理财产品进行销售评级，代理销售机构对产品的评级与本公司产品评级结果不一致的，代理销售机构应当采用对应较高风险等级的评级结果并予以披露，理财产品评级应当以代理销售机构最终披露的评级结果为准。</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hint="eastAsia"/>
          <w:b/>
          <w:bCs/>
          <w:sz w:val="24"/>
          <w:szCs w:val="24"/>
        </w:rPr>
        <w:t>本产品为公募固定收益类开放式理财</w:t>
      </w:r>
      <w:r>
        <w:rPr>
          <w:rFonts w:ascii="宋体" w:eastAsia="宋体" w:hAnsi="宋体" w:cs="Times New Roman"/>
          <w:b/>
          <w:bCs/>
          <w:sz w:val="24"/>
          <w:szCs w:val="24"/>
        </w:rPr>
        <w:t>，</w:t>
      </w:r>
      <w:r>
        <w:rPr>
          <w:rFonts w:ascii="宋体" w:eastAsia="宋体" w:hAnsi="宋体" w:cs="Times New Roman" w:hint="eastAsia"/>
          <w:b/>
          <w:bCs/>
          <w:sz w:val="24"/>
          <w:szCs w:val="24"/>
        </w:rPr>
        <w:t>收益类型为非保本浮动收益,投资期限为无固定期限,本公司对本产品的产品风险评级为PR2,适合被本公司评为稳健型，平衡型，成长型，进取型的投资者购买。</w:t>
      </w:r>
      <w:r>
        <w:rPr>
          <w:rFonts w:ascii="宋体" w:eastAsia="宋体" w:hAnsi="宋体" w:cs="Times New Roman" w:hint="eastAsia"/>
          <w:sz w:val="24"/>
          <w:szCs w:val="24"/>
        </w:rPr>
        <w:t>该产品通过代理销售机构购买的，</w:t>
      </w:r>
      <w:r>
        <w:rPr>
          <w:rFonts w:ascii="宋体" w:eastAsia="宋体" w:hAnsi="宋体" w:cs="Times New Roman"/>
          <w:sz w:val="24"/>
          <w:szCs w:val="24"/>
        </w:rPr>
        <w:t>产品风险评级</w:t>
      </w:r>
      <w:r>
        <w:rPr>
          <w:rFonts w:ascii="宋体" w:eastAsia="宋体" w:hAnsi="宋体" w:cs="Times New Roman" w:hint="eastAsia"/>
          <w:sz w:val="24"/>
          <w:szCs w:val="24"/>
        </w:rPr>
        <w:t>以代理销售机构最终披露的评级结果为准，投资者的风险承受能力等级以代理销售机构的评估结果为准。</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hint="eastAsia"/>
          <w:b/>
          <w:sz w:val="24"/>
          <w:szCs w:val="24"/>
        </w:rPr>
        <w:t>投资者的本金和收益可能会因市场变动而蒙受重大损失，投资者应充分认识投资风险，谨慎投资。最不利情况下，</w:t>
      </w:r>
      <w:r>
        <w:rPr>
          <w:rFonts w:ascii="宋体" w:eastAsia="宋体" w:hAnsi="宋体" w:cs="Times New Roman"/>
          <w:b/>
          <w:sz w:val="24"/>
          <w:szCs w:val="24"/>
        </w:rPr>
        <w:t>您将损失全部本金及收益。</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hint="eastAsia"/>
          <w:sz w:val="24"/>
          <w:szCs w:val="24"/>
        </w:rPr>
        <w:t>示例：如投资者购买本理财产品，本金为</w:t>
      </w:r>
      <w:r>
        <w:rPr>
          <w:rFonts w:ascii="宋体" w:eastAsia="宋体" w:hAnsi="宋体" w:cs="Times New Roman"/>
          <w:sz w:val="24"/>
          <w:szCs w:val="24"/>
        </w:rPr>
        <w:t>10,000.00元，在理财产品资产组合项下资产全部亏损的最不利情况下，理财产品10,000.00元本金将全部损失。</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hint="eastAsia"/>
          <w:b/>
          <w:sz w:val="24"/>
          <w:szCs w:val="24"/>
        </w:rPr>
        <w:t>特别提示：</w:t>
      </w: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hint="eastAsia"/>
          <w:b/>
          <w:sz w:val="24"/>
          <w:szCs w:val="24"/>
        </w:rPr>
        <w:t>该产品通过代理销售机构销售的，理财产品评级应当以代理销售机构最终披露的评级结果为准，投资者的风险承受能力等级以代理销售机构的评估结果为准。</w:t>
      </w:r>
    </w:p>
    <w:p>
      <w:pPr>
        <w:spacing w:line="312" w:lineRule="auto"/>
        <w:ind w:left="63" w:firstLine="480" w:leftChars="30" w:firstLineChars="200"/>
        <w:rPr>
          <w:rFonts w:ascii="宋体" w:eastAsia="宋体" w:hAnsi="宋体" w:cs="Times New Roman"/>
          <w:b/>
          <w:sz w:val="24"/>
          <w:szCs w:val="24"/>
        </w:rPr>
      </w:pPr>
    </w:p>
    <w:p>
      <w:pPr>
        <w:spacing w:line="312" w:lineRule="auto"/>
        <w:ind w:left="63" w:firstLine="480" w:leftChars="30" w:firstLineChars="200"/>
        <w:rPr>
          <w:rFonts w:ascii="宋体" w:eastAsia="宋体" w:hAnsi="宋体" w:cs="Times New Roman"/>
          <w:sz w:val="24"/>
          <w:szCs w:val="24"/>
        </w:rPr>
      </w:pPr>
    </w:p>
    <w:p>
      <w:pPr>
        <w:spacing w:line="312" w:lineRule="auto"/>
        <w:ind w:left="63" w:firstLine="480" w:leftChars="30" w:firstLineChars="200"/>
        <w:rPr>
          <w:rFonts w:ascii="宋体" w:eastAsia="宋体" w:hAnsi="宋体" w:cs="Times New Roman"/>
          <w:b/>
          <w:sz w:val="24"/>
          <w:szCs w:val="24"/>
        </w:rPr>
      </w:pPr>
      <w:r>
        <w:rPr>
          <w:rFonts w:ascii="宋体" w:eastAsia="宋体" w:hAnsi="宋体" w:cs="Times New Roman" w:hint="eastAsia"/>
          <w:b/>
          <w:sz w:val="24"/>
          <w:szCs w:val="24"/>
        </w:rPr>
        <w:t>以下内容由投资者填写（如通过线上渠道购买，</w:t>
      </w:r>
      <w:r>
        <w:rPr>
          <w:rFonts w:ascii="宋体" w:eastAsia="宋体" w:hAnsi="宋体" w:cs="Times New Roman"/>
          <w:b/>
          <w:sz w:val="24"/>
          <w:szCs w:val="24"/>
        </w:rPr>
        <w:t>认</w:t>
      </w:r>
      <w:r>
        <w:rPr>
          <w:rFonts w:ascii="宋体" w:eastAsia="宋体" w:hAnsi="宋体" w:cs="Times New Roman" w:hint="eastAsia"/>
          <w:b/>
          <w:sz w:val="24"/>
          <w:szCs w:val="24"/>
        </w:rPr>
        <w:t>（</w:t>
      </w:r>
      <w:r>
        <w:rPr>
          <w:rFonts w:ascii="宋体" w:eastAsia="宋体" w:hAnsi="宋体" w:cs="Times New Roman"/>
          <w:b/>
          <w:sz w:val="24"/>
          <w:szCs w:val="24"/>
        </w:rPr>
        <w:t>申</w:t>
      </w:r>
      <w:r>
        <w:rPr>
          <w:rFonts w:ascii="宋体" w:eastAsia="宋体" w:hAnsi="宋体" w:cs="Times New Roman" w:hint="eastAsia"/>
          <w:b/>
          <w:sz w:val="24"/>
          <w:szCs w:val="24"/>
        </w:rPr>
        <w:t>）</w:t>
      </w:r>
      <w:r>
        <w:rPr>
          <w:rFonts w:ascii="宋体" w:eastAsia="宋体" w:hAnsi="宋体" w:cs="Times New Roman"/>
          <w:b/>
          <w:sz w:val="24"/>
          <w:szCs w:val="24"/>
        </w:rPr>
        <w:t>购</w:t>
      </w:r>
      <w:r>
        <w:rPr>
          <w:rFonts w:ascii="宋体" w:eastAsia="宋体" w:hAnsi="宋体" w:cs="Times New Roman" w:hint="eastAsia"/>
          <w:b/>
          <w:sz w:val="24"/>
          <w:szCs w:val="24"/>
        </w:rPr>
        <w:t>确认</w:t>
      </w:r>
      <w:r>
        <w:rPr>
          <w:rFonts w:ascii="宋体" w:eastAsia="宋体" w:hAnsi="宋体" w:cs="Times New Roman"/>
          <w:b/>
          <w:sz w:val="24"/>
          <w:szCs w:val="24"/>
        </w:rPr>
        <w:t>即视为</w:t>
      </w:r>
      <w:r>
        <w:rPr>
          <w:rFonts w:ascii="宋体" w:eastAsia="宋体" w:hAnsi="宋体" w:cs="Times New Roman" w:hint="eastAsia"/>
          <w:b/>
          <w:sz w:val="24"/>
          <w:szCs w:val="24"/>
        </w:rPr>
        <w:t>您同意自身</w:t>
      </w:r>
      <w:r>
        <w:rPr>
          <w:rFonts w:ascii="宋体" w:eastAsia="宋体" w:hAnsi="宋体" w:cs="Times New Roman"/>
          <w:b/>
          <w:sz w:val="24"/>
          <w:szCs w:val="24"/>
        </w:rPr>
        <w:t>风险</w:t>
      </w:r>
      <w:r>
        <w:rPr>
          <w:rFonts w:ascii="宋体" w:eastAsia="宋体" w:hAnsi="宋体" w:cs="Times New Roman" w:hint="eastAsia"/>
          <w:b/>
          <w:sz w:val="24"/>
          <w:szCs w:val="24"/>
        </w:rPr>
        <w:t>承受</w:t>
      </w:r>
      <w:r>
        <w:rPr>
          <w:rFonts w:ascii="宋体" w:eastAsia="宋体" w:hAnsi="宋体" w:cs="Times New Roman"/>
          <w:b/>
          <w:sz w:val="24"/>
          <w:szCs w:val="24"/>
        </w:rPr>
        <w:t>能力评级并确认</w:t>
      </w:r>
      <w:r>
        <w:rPr>
          <w:rFonts w:ascii="宋体" w:eastAsia="宋体" w:hAnsi="宋体" w:cs="Times New Roman" w:hint="eastAsia"/>
          <w:b/>
          <w:sz w:val="24"/>
          <w:szCs w:val="24"/>
        </w:rPr>
        <w:t>风险</w:t>
      </w:r>
      <w:r>
        <w:rPr>
          <w:rFonts w:ascii="宋体" w:eastAsia="宋体" w:hAnsi="宋体" w:cs="Times New Roman"/>
          <w:b/>
          <w:sz w:val="24"/>
          <w:szCs w:val="24"/>
        </w:rPr>
        <w:t>揭示内容，愿意承担投资风险</w:t>
      </w:r>
      <w:r>
        <w:rPr>
          <w:rFonts w:ascii="宋体" w:eastAsia="宋体" w:hAnsi="宋体" w:cs="Times New Roman" w:hint="eastAsia"/>
          <w:b/>
          <w:sz w:val="24"/>
          <w:szCs w:val="24"/>
        </w:rPr>
        <w:t>，该等确认与书面</w:t>
      </w:r>
      <w:r>
        <w:rPr>
          <w:rFonts w:ascii="宋体" w:eastAsia="宋体" w:hAnsi="宋体" w:cs="Times New Roman"/>
          <w:b/>
          <w:sz w:val="24"/>
          <w:szCs w:val="24"/>
        </w:rPr>
        <w:t>签署具有同等</w:t>
      </w:r>
      <w:r>
        <w:rPr>
          <w:rFonts w:ascii="宋体" w:eastAsia="宋体" w:hAnsi="宋体" w:cs="Times New Roman" w:hint="eastAsia"/>
          <w:b/>
          <w:sz w:val="24"/>
          <w:szCs w:val="24"/>
        </w:rPr>
        <w:t>效力，无需</w:t>
      </w:r>
      <w:r>
        <w:rPr>
          <w:rFonts w:ascii="宋体" w:eastAsia="宋体" w:hAnsi="宋体" w:cs="Times New Roman"/>
          <w:b/>
          <w:sz w:val="24"/>
          <w:szCs w:val="24"/>
        </w:rPr>
        <w:t>另行签署纸质文件</w:t>
      </w:r>
      <w:r>
        <w:rPr>
          <w:rFonts w:ascii="宋体" w:eastAsia="宋体" w:hAnsi="宋体" w:cs="Times New Roman" w:hint="eastAsia"/>
          <w:b/>
          <w:sz w:val="24"/>
          <w:szCs w:val="24"/>
        </w:rPr>
        <w:t>）：</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sz w:val="24"/>
          <w:szCs w:val="24"/>
        </w:rPr>
        <w:t>1、本人</w:t>
      </w:r>
      <w:r>
        <w:rPr>
          <w:rFonts w:ascii="宋体" w:eastAsia="宋体" w:hAnsi="宋体" w:cs="Times New Roman" w:hint="eastAsia"/>
          <w:sz w:val="24"/>
          <w:szCs w:val="24"/>
        </w:rPr>
        <w:t>/本机构</w:t>
      </w:r>
      <w:r>
        <w:rPr>
          <w:rFonts w:ascii="宋体" w:eastAsia="宋体" w:hAnsi="宋体" w:cs="Times New Roman"/>
          <w:sz w:val="24"/>
          <w:szCs w:val="24"/>
        </w:rPr>
        <w:t>风险承受能力评级结果为（</w:t>
      </w:r>
      <w:r>
        <w:rPr>
          <w:rFonts w:ascii="宋体" w:eastAsia="宋体" w:hAnsi="宋体" w:cs="Times New Roman" w:hint="eastAsia"/>
          <w:sz w:val="24"/>
          <w:szCs w:val="24"/>
        </w:rPr>
        <w:t>专业</w:t>
      </w:r>
      <w:r>
        <w:rPr>
          <w:rFonts w:ascii="宋体" w:eastAsia="宋体" w:hAnsi="宋体" w:cs="Times New Roman"/>
          <w:sz w:val="24"/>
          <w:szCs w:val="24"/>
        </w:rPr>
        <w:t>投资者无需填写）</w:t>
      </w:r>
      <w:r>
        <w:rPr>
          <w:rFonts w:ascii="宋体" w:eastAsia="宋体" w:hAnsi="宋体" w:cs="Times New Roman" w:hint="eastAsia"/>
          <w:sz w:val="24"/>
          <w:szCs w:val="24"/>
        </w:rPr>
        <w:t>：</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1）________（通过宁银理财直销</w:t>
      </w:r>
      <w:r>
        <w:rPr>
          <w:rFonts w:ascii="宋体" w:eastAsia="宋体" w:hAnsi="宋体" w:cs="Times New Roman" w:hint="eastAsia"/>
          <w:sz w:val="24"/>
          <w:szCs w:val="24"/>
        </w:rPr>
        <w:t>渠道购买</w:t>
      </w:r>
      <w:r>
        <w:rPr>
          <w:rFonts w:ascii="宋体" w:eastAsia="宋体" w:hAnsi="宋体" w:cs="Times New Roman"/>
          <w:sz w:val="24"/>
          <w:szCs w:val="24"/>
        </w:rPr>
        <w:t>的</w:t>
      </w:r>
      <w:r>
        <w:rPr>
          <w:rFonts w:ascii="宋体" w:eastAsia="宋体" w:hAnsi="宋体" w:cs="Times New Roman" w:hint="eastAsia"/>
          <w:sz w:val="24"/>
          <w:szCs w:val="24"/>
        </w:rPr>
        <w:t>普通</w:t>
      </w:r>
      <w:r>
        <w:rPr>
          <w:rFonts w:ascii="宋体" w:eastAsia="宋体" w:hAnsi="宋体" w:cs="Times New Roman"/>
          <w:sz w:val="24"/>
          <w:szCs w:val="24"/>
        </w:rPr>
        <w:t>投资者填写）</w:t>
      </w:r>
      <w:r>
        <w:rPr>
          <w:rFonts w:ascii="宋体" w:eastAsia="宋体" w:hAnsi="宋体" w:cs="Times New Roman" w:hint="eastAsia"/>
          <w:sz w:val="24"/>
          <w:szCs w:val="24"/>
        </w:rPr>
        <w:t>，</w:t>
      </w:r>
      <w:r>
        <w:rPr>
          <w:rFonts w:ascii="宋体" w:eastAsia="宋体" w:hAnsi="宋体" w:cs="Times New Roman"/>
          <w:sz w:val="24"/>
          <w:szCs w:val="24"/>
        </w:rPr>
        <w:t>可购买与本人</w:t>
      </w:r>
      <w:r>
        <w:rPr>
          <w:rFonts w:ascii="宋体" w:eastAsia="宋体" w:hAnsi="宋体" w:cs="Times New Roman" w:hint="eastAsia"/>
          <w:sz w:val="24"/>
          <w:szCs w:val="24"/>
        </w:rPr>
        <w:t>/本机构风险级别</w:t>
      </w:r>
      <w:r>
        <w:rPr>
          <w:rFonts w:ascii="宋体" w:eastAsia="宋体" w:hAnsi="宋体" w:cs="Times New Roman"/>
          <w:sz w:val="24"/>
          <w:szCs w:val="24"/>
        </w:rPr>
        <w:t>相匹配的</w:t>
      </w:r>
      <w:r>
        <w:rPr>
          <w:rFonts w:ascii="宋体" w:eastAsia="宋体" w:hAnsi="宋体" w:cs="Times New Roman" w:hint="eastAsia"/>
          <w:sz w:val="24"/>
          <w:szCs w:val="24"/>
        </w:rPr>
        <w:t>理财</w:t>
      </w:r>
      <w:r>
        <w:rPr>
          <w:rFonts w:ascii="宋体" w:eastAsia="宋体" w:hAnsi="宋体" w:cs="Times New Roman"/>
          <w:sz w:val="24"/>
          <w:szCs w:val="24"/>
        </w:rPr>
        <w:t>产品</w:t>
      </w:r>
      <w:r>
        <w:rPr>
          <w:rFonts w:ascii="宋体" w:eastAsia="宋体" w:hAnsi="宋体" w:cs="Times New Roman" w:hint="eastAsia"/>
          <w:sz w:val="24"/>
          <w:szCs w:val="24"/>
        </w:rPr>
        <w:t>，</w:t>
      </w:r>
      <w:r>
        <w:rPr>
          <w:rFonts w:ascii="宋体" w:eastAsia="宋体" w:hAnsi="宋体" w:cs="Times New Roman"/>
          <w:sz w:val="24"/>
          <w:szCs w:val="24"/>
        </w:rPr>
        <w:t>具体</w:t>
      </w:r>
      <w:r>
        <w:rPr>
          <w:rFonts w:ascii="宋体" w:eastAsia="宋体" w:hAnsi="宋体" w:cs="Times New Roman" w:hint="eastAsia"/>
          <w:sz w:val="24"/>
          <w:szCs w:val="24"/>
        </w:rPr>
        <w:t>匹配</w:t>
      </w:r>
      <w:r>
        <w:rPr>
          <w:rFonts w:ascii="宋体" w:eastAsia="宋体" w:hAnsi="宋体" w:cs="Times New Roman"/>
          <w:sz w:val="24"/>
          <w:szCs w:val="24"/>
        </w:rPr>
        <w:t>情况见</w:t>
      </w:r>
      <w:r>
        <w:rPr>
          <w:rFonts w:ascii="宋体" w:eastAsia="宋体" w:hAnsi="宋体" w:cs="Times New Roman" w:hint="eastAsia"/>
          <w:sz w:val="24"/>
          <w:szCs w:val="24"/>
        </w:rPr>
        <w:t>《投资者权益须知</w:t>
      </w:r>
      <w:r>
        <w:rPr>
          <w:rFonts w:ascii="宋体" w:eastAsia="宋体" w:hAnsi="宋体" w:cs="Times New Roman"/>
          <w:sz w:val="24"/>
          <w:szCs w:val="24"/>
        </w:rPr>
        <w:t>》</w:t>
      </w:r>
      <w:r>
        <w:rPr>
          <w:rFonts w:ascii="宋体" w:eastAsia="宋体" w:hAnsi="宋体" w:cs="Times New Roman" w:hint="eastAsia"/>
          <w:sz w:val="24"/>
          <w:szCs w:val="24"/>
        </w:rPr>
        <w:t>。</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sz w:val="24"/>
          <w:szCs w:val="24"/>
        </w:rPr>
        <w:t>2）________（通过代理销售机构</w:t>
      </w:r>
      <w:r>
        <w:rPr>
          <w:rFonts w:ascii="宋体" w:eastAsia="宋体" w:hAnsi="宋体" w:cs="Times New Roman" w:hint="eastAsia"/>
          <w:sz w:val="24"/>
          <w:szCs w:val="24"/>
        </w:rPr>
        <w:t>购买</w:t>
      </w:r>
      <w:r>
        <w:rPr>
          <w:rFonts w:ascii="宋体" w:eastAsia="宋体" w:hAnsi="宋体" w:cs="Times New Roman"/>
          <w:sz w:val="24"/>
          <w:szCs w:val="24"/>
        </w:rPr>
        <w:t>的</w:t>
      </w:r>
      <w:r>
        <w:rPr>
          <w:rFonts w:ascii="宋体" w:eastAsia="宋体" w:hAnsi="宋体" w:cs="Times New Roman" w:hint="eastAsia"/>
          <w:sz w:val="24"/>
          <w:szCs w:val="24"/>
        </w:rPr>
        <w:t>普通</w:t>
      </w:r>
      <w:r>
        <w:rPr>
          <w:rFonts w:ascii="宋体" w:eastAsia="宋体" w:hAnsi="宋体" w:cs="Times New Roman"/>
          <w:sz w:val="24"/>
          <w:szCs w:val="24"/>
        </w:rPr>
        <w:t>投资者填写）</w:t>
      </w:r>
      <w:r>
        <w:rPr>
          <w:rFonts w:ascii="宋体" w:eastAsia="宋体" w:hAnsi="宋体" w:cs="Times New Roman" w:hint="eastAsia"/>
          <w:sz w:val="24"/>
          <w:szCs w:val="24"/>
        </w:rPr>
        <w:t>，</w:t>
      </w:r>
      <w:r>
        <w:rPr>
          <w:rFonts w:ascii="宋体" w:eastAsia="宋体" w:hAnsi="宋体" w:cs="Times New Roman"/>
          <w:sz w:val="24"/>
          <w:szCs w:val="24"/>
        </w:rPr>
        <w:t>可购买</w:t>
      </w:r>
      <w:r>
        <w:rPr>
          <w:rFonts w:ascii="宋体" w:eastAsia="宋体" w:hAnsi="宋体" w:cs="Times New Roman" w:hint="eastAsia"/>
          <w:sz w:val="24"/>
          <w:szCs w:val="24"/>
        </w:rPr>
        <w:t>与</w:t>
      </w:r>
      <w:r>
        <w:rPr>
          <w:rFonts w:ascii="宋体" w:eastAsia="宋体" w:hAnsi="宋体" w:cs="Times New Roman"/>
          <w:sz w:val="24"/>
          <w:szCs w:val="24"/>
        </w:rPr>
        <w:t>本人</w:t>
      </w:r>
      <w:r>
        <w:rPr>
          <w:rFonts w:ascii="宋体" w:eastAsia="宋体" w:hAnsi="宋体" w:cs="Times New Roman" w:hint="eastAsia"/>
          <w:sz w:val="24"/>
          <w:szCs w:val="24"/>
        </w:rPr>
        <w:t>/本机构</w:t>
      </w:r>
      <w:r>
        <w:rPr>
          <w:rFonts w:ascii="宋体" w:eastAsia="宋体" w:hAnsi="宋体" w:cs="Times New Roman"/>
          <w:sz w:val="24"/>
          <w:szCs w:val="24"/>
        </w:rPr>
        <w:t>风险</w:t>
      </w:r>
      <w:r>
        <w:rPr>
          <w:rFonts w:ascii="宋体" w:eastAsia="宋体" w:hAnsi="宋体" w:cs="Times New Roman" w:hint="eastAsia"/>
          <w:sz w:val="24"/>
          <w:szCs w:val="24"/>
        </w:rPr>
        <w:t>级别</w:t>
      </w:r>
      <w:r>
        <w:rPr>
          <w:rFonts w:ascii="宋体" w:eastAsia="宋体" w:hAnsi="宋体" w:cs="Times New Roman"/>
          <w:sz w:val="24"/>
          <w:szCs w:val="24"/>
        </w:rPr>
        <w:t>相匹配的理财产品，具体</w:t>
      </w:r>
      <w:r>
        <w:rPr>
          <w:rFonts w:ascii="宋体" w:eastAsia="宋体" w:hAnsi="宋体" w:cs="Times New Roman" w:hint="eastAsia"/>
          <w:sz w:val="24"/>
          <w:szCs w:val="24"/>
        </w:rPr>
        <w:t>匹配</w:t>
      </w:r>
      <w:r>
        <w:rPr>
          <w:rFonts w:ascii="宋体" w:eastAsia="宋体" w:hAnsi="宋体" w:cs="Times New Roman"/>
          <w:sz w:val="24"/>
          <w:szCs w:val="24"/>
        </w:rPr>
        <w:t>情况从</w:t>
      </w:r>
      <w:r>
        <w:rPr>
          <w:rFonts w:ascii="宋体" w:eastAsia="宋体" w:hAnsi="宋体" w:cs="Times New Roman" w:hint="eastAsia"/>
          <w:sz w:val="24"/>
          <w:szCs w:val="24"/>
        </w:rPr>
        <w:t>代理销售机构对理财产品风险水平及投资者风险承受能力评估</w:t>
      </w:r>
      <w:r>
        <w:rPr>
          <w:rFonts w:ascii="宋体" w:eastAsia="宋体" w:hAnsi="宋体" w:cs="Times New Roman"/>
          <w:sz w:val="24"/>
          <w:szCs w:val="24"/>
        </w:rPr>
        <w:t>。</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sz w:val="24"/>
          <w:szCs w:val="24"/>
        </w:rPr>
        <w:t>2、本人/本机构已经阅读风险揭示书，愿意承担投资风险（在下方横线处抄写本句内容）。</w:t>
      </w:r>
    </w:p>
    <w:p>
      <w:pPr>
        <w:spacing w:line="312" w:lineRule="auto"/>
        <w:ind w:left="63" w:firstLine="480" w:leftChars="30" w:firstLineChars="200"/>
        <w:rPr>
          <w:rFonts w:ascii="宋体" w:eastAsia="宋体" w:hAnsi="宋体" w:cs="Times New Roman"/>
          <w:sz w:val="24"/>
          <w:szCs w:val="24"/>
        </w:rPr>
      </w:pPr>
      <w:r>
        <w:rPr>
          <w:rFonts w:ascii="宋体" w:eastAsia="宋体" w:hAnsi="宋体" w:cs="Times New Roman"/>
          <w:sz w:val="24"/>
          <w:szCs w:val="24"/>
        </w:rPr>
        <w:t>______</w:t>
      </w:r>
      <w:r>
        <w:rPr>
          <w:rFonts w:ascii="宋体" w:eastAsia="宋体" w:hAnsi="宋体" w:cs="Times New Roman"/>
          <w:sz w:val="24"/>
          <w:szCs w:val="24"/>
          <w:u w:val="single"/>
        </w:rPr>
        <w:t xml:space="preserve">______           </w:t>
      </w:r>
      <w:r>
        <w:rPr>
          <w:rFonts w:ascii="宋体" w:eastAsia="宋体" w:hAnsi="宋体" w:cs="Times New Roman"/>
          <w:sz w:val="24"/>
          <w:szCs w:val="24"/>
        </w:rPr>
        <w:t>________________________________________</w:t>
      </w:r>
    </w:p>
    <w:p>
      <w:pPr>
        <w:spacing w:line="312" w:lineRule="auto"/>
        <w:ind w:left="63" w:leftChars="30"/>
        <w:rPr>
          <w:rFonts w:ascii="宋体" w:eastAsia="宋体" w:hAnsi="宋体" w:cs="宋体"/>
          <w:b/>
          <w:bCs/>
          <w:kern w:val="0"/>
          <w:sz w:val="24"/>
          <w:szCs w:val="24"/>
        </w:rPr>
      </w:pPr>
    </w:p>
    <w:p>
      <w:pPr>
        <w:spacing w:line="312" w:lineRule="auto"/>
        <w:ind w:left="63" w:leftChars="30"/>
        <w:jc w:val="left"/>
        <w:rPr>
          <w:rFonts w:ascii="宋体" w:eastAsia="宋体" w:hAnsi="宋体" w:cs="宋体"/>
          <w:b/>
          <w:bCs/>
          <w:kern w:val="0"/>
          <w:sz w:val="24"/>
          <w:szCs w:val="24"/>
        </w:rPr>
      </w:pPr>
      <w:r>
        <w:rPr>
          <w:rFonts w:ascii="宋体" w:eastAsia="宋体" w:hAnsi="宋体" w:cs="宋体" w:hint="eastAsia"/>
          <w:b/>
          <w:bCs/>
          <w:kern w:val="0"/>
          <w:sz w:val="24"/>
          <w:szCs w:val="24"/>
        </w:rPr>
        <w:t>（自然人签署适用）</w:t>
      </w:r>
    </w:p>
    <w:p>
      <w:pPr>
        <w:spacing w:line="312" w:lineRule="auto"/>
        <w:ind w:left="63" w:leftChars="30"/>
        <w:jc w:val="left"/>
        <w:rPr>
          <w:rFonts w:ascii="宋体" w:eastAsia="宋体" w:hAnsi="宋体" w:cs="宋体"/>
          <w:b/>
          <w:bCs/>
          <w:kern w:val="0"/>
          <w:sz w:val="24"/>
          <w:szCs w:val="24"/>
        </w:rPr>
      </w:pPr>
      <w:r>
        <w:rPr>
          <w:rFonts w:ascii="宋体" w:eastAsia="宋体" w:hAnsi="宋体" w:cs="宋体" w:hint="eastAsia"/>
          <w:b/>
          <w:bCs/>
          <w:kern w:val="0"/>
          <w:sz w:val="24"/>
          <w:szCs w:val="24"/>
        </w:rPr>
        <w:t>投资者签字</w:t>
      </w:r>
      <w:r>
        <w:rPr>
          <w:rFonts w:ascii="宋体" w:eastAsia="宋体" w:hAnsi="宋体" w:cs="宋体"/>
          <w:b/>
          <w:bCs/>
          <w:kern w:val="0"/>
          <w:sz w:val="24"/>
          <w:szCs w:val="24"/>
        </w:rPr>
        <w:t xml:space="preserve">   ____________</w:t>
      </w:r>
    </w:p>
    <w:p>
      <w:pPr>
        <w:spacing w:line="312" w:lineRule="auto"/>
        <w:ind w:left="63" w:leftChars="30"/>
        <w:jc w:val="left"/>
        <w:rPr>
          <w:rFonts w:ascii="宋体" w:eastAsia="宋体" w:hAnsi="宋体" w:cs="宋体"/>
          <w:b/>
          <w:bCs/>
          <w:kern w:val="0"/>
          <w:sz w:val="24"/>
          <w:szCs w:val="24"/>
        </w:rPr>
      </w:pPr>
    </w:p>
    <w:p>
      <w:pPr>
        <w:spacing w:line="312" w:lineRule="auto"/>
        <w:ind w:left="63" w:leftChars="30"/>
        <w:jc w:val="left"/>
        <w:rPr>
          <w:rFonts w:ascii="宋体" w:eastAsia="宋体" w:hAnsi="宋体" w:cs="宋体"/>
          <w:b/>
          <w:bCs/>
          <w:kern w:val="0"/>
          <w:sz w:val="24"/>
          <w:szCs w:val="24"/>
        </w:rPr>
      </w:pPr>
      <w:r>
        <w:rPr>
          <w:rFonts w:ascii="宋体" w:eastAsia="宋体" w:hAnsi="宋体" w:cs="宋体" w:hint="eastAsia"/>
          <w:b/>
          <w:bCs/>
          <w:kern w:val="0"/>
          <w:sz w:val="24"/>
          <w:szCs w:val="24"/>
        </w:rPr>
        <w:t>（</w:t>
      </w:r>
      <w:r>
        <w:rPr>
          <w:rFonts w:ascii="宋体" w:eastAsia="宋体" w:hAnsi="宋体" w:cs="宋体"/>
          <w:b/>
          <w:bCs/>
          <w:kern w:val="0"/>
          <w:sz w:val="24"/>
          <w:szCs w:val="24"/>
        </w:rPr>
        <w:t>机构投资者</w:t>
      </w:r>
      <w:r>
        <w:rPr>
          <w:rFonts w:ascii="宋体" w:eastAsia="宋体" w:hAnsi="宋体" w:cs="宋体" w:hint="eastAsia"/>
          <w:b/>
          <w:bCs/>
          <w:kern w:val="0"/>
          <w:sz w:val="24"/>
          <w:szCs w:val="24"/>
        </w:rPr>
        <w:t>签署适用</w:t>
      </w:r>
      <w:r>
        <w:rPr>
          <w:rFonts w:ascii="宋体" w:eastAsia="宋体" w:hAnsi="宋体" w:cs="宋体"/>
          <w:b/>
          <w:bCs/>
          <w:kern w:val="0"/>
          <w:sz w:val="24"/>
          <w:szCs w:val="24"/>
        </w:rPr>
        <w:t>）</w:t>
      </w:r>
    </w:p>
    <w:p>
      <w:pPr>
        <w:spacing w:line="312" w:lineRule="auto"/>
        <w:ind w:left="63" w:leftChars="30"/>
        <w:jc w:val="left"/>
        <w:rPr>
          <w:rFonts w:ascii="宋体" w:eastAsia="宋体" w:hAnsi="宋体" w:cs="宋体"/>
          <w:b/>
          <w:bCs/>
          <w:kern w:val="0"/>
          <w:sz w:val="24"/>
          <w:szCs w:val="24"/>
        </w:rPr>
      </w:pPr>
      <w:r>
        <w:rPr>
          <w:rFonts w:ascii="宋体" w:eastAsia="宋体" w:hAnsi="宋体" w:cs="宋体" w:hint="eastAsia"/>
          <w:b/>
          <w:bCs/>
          <w:kern w:val="0"/>
          <w:sz w:val="24"/>
          <w:szCs w:val="24"/>
        </w:rPr>
        <w:t>公章（或经公章授权的其他有效印鉴）：</w:t>
      </w:r>
    </w:p>
    <w:p>
      <w:pPr>
        <w:spacing w:line="312" w:lineRule="auto"/>
        <w:ind w:left="63" w:leftChars="30"/>
        <w:jc w:val="left"/>
        <w:rPr>
          <w:rFonts w:ascii="宋体" w:eastAsia="宋体" w:hAnsi="宋体" w:cs="宋体"/>
          <w:b/>
          <w:bCs/>
          <w:kern w:val="0"/>
          <w:sz w:val="24"/>
          <w:szCs w:val="24"/>
        </w:rPr>
      </w:pPr>
      <w:r>
        <w:rPr>
          <w:rFonts w:ascii="宋体" w:eastAsia="宋体" w:hAnsi="宋体" w:cs="宋体" w:hint="eastAsia"/>
          <w:b/>
          <w:bCs/>
          <w:kern w:val="0"/>
          <w:sz w:val="24"/>
          <w:szCs w:val="24"/>
        </w:rPr>
        <w:t>法定代表人（负责人）或授权代理人签字/签章：</w:t>
      </w:r>
    </w:p>
    <w:p>
      <w:pPr>
        <w:spacing w:line="312" w:lineRule="auto"/>
        <w:ind w:left="63" w:leftChars="30"/>
        <w:jc w:val="left"/>
        <w:rPr>
          <w:rFonts w:ascii="宋体" w:eastAsia="宋体" w:hAnsi="宋体" w:cs="宋体"/>
          <w:b/>
          <w:bCs/>
          <w:kern w:val="0"/>
          <w:sz w:val="24"/>
          <w:szCs w:val="24"/>
        </w:rPr>
      </w:pPr>
    </w:p>
    <w:p>
      <w:pPr>
        <w:spacing w:line="312" w:lineRule="auto"/>
        <w:ind w:left="63" w:leftChars="30"/>
        <w:jc w:val="left"/>
        <w:rPr>
          <w:rFonts w:ascii="宋体" w:eastAsia="宋体" w:hAnsi="宋体" w:cs="宋体"/>
          <w:b/>
          <w:bCs/>
          <w:kern w:val="0"/>
          <w:sz w:val="24"/>
          <w:szCs w:val="24"/>
        </w:rPr>
      </w:pPr>
    </w:p>
    <w:p>
      <w:pPr>
        <w:spacing w:line="312" w:lineRule="auto"/>
        <w:ind w:left="63" w:leftChars="30"/>
        <w:jc w:val="left"/>
        <w:rPr>
          <w:rFonts w:ascii="宋体" w:eastAsia="宋体" w:hAnsi="宋体" w:cs="Times New Roman"/>
          <w:sz w:val="24"/>
          <w:szCs w:val="24"/>
        </w:rPr>
        <w:sectPr>
          <w:footerReference w:type="default" r:id="rId7"/>
          <w:pgSz w:w="11906" w:h="16838"/>
          <w:pgMar w:top="1440" w:right="1800" w:bottom="1440" w:left="1800" w:header="851" w:footer="992" w:gutter="0"/>
          <w:cols w:num="1" w:space="425"/>
          <w:docGrid w:type="lines" w:linePitch="312" w:charSpace="0"/>
        </w:sectPr>
      </w:pPr>
      <w:r>
        <w:rPr>
          <w:rFonts w:ascii="宋体" w:eastAsia="宋体" w:hAnsi="宋体" w:cs="宋体" w:hint="eastAsia"/>
          <w:b/>
          <w:bCs/>
          <w:kern w:val="0"/>
          <w:sz w:val="24"/>
          <w:szCs w:val="24"/>
        </w:rPr>
        <w:t>日期</w:t>
      </w:r>
      <w:r>
        <w:rPr>
          <w:rFonts w:ascii="宋体" w:eastAsia="宋体" w:hAnsi="宋体" w:cs="宋体"/>
          <w:b/>
          <w:bCs/>
          <w:kern w:val="0"/>
          <w:sz w:val="24"/>
          <w:szCs w:val="24"/>
        </w:rPr>
        <w:t xml:space="preserve">         ____________</w:t>
      </w:r>
    </w:p>
    <w:p w:rsidR="00D41301" w14:paraId="77E82F14" w14:textId="77777777">
      <w:pPr>
        <w:spacing w:line="400" w:lineRule="exact"/>
        <w:jc w:val="center"/>
        <w:rPr>
          <w:rFonts w:ascii="黑体" w:eastAsia="黑体" w:hAnsi="黑体" w:cs="Times New Roman"/>
          <w:b/>
          <w:color w:val="000000"/>
          <w:sz w:val="36"/>
          <w:szCs w:val="36"/>
        </w:rPr>
      </w:pPr>
      <w:r>
        <w:rPr>
          <w:rFonts w:ascii="黑体" w:eastAsia="黑体" w:hAnsi="黑体" w:cs="Times New Roman" w:hint="eastAsia"/>
          <w:b/>
          <w:color w:val="000000"/>
          <w:sz w:val="36"/>
          <w:szCs w:val="36"/>
        </w:rPr>
        <w:t>宁银理财有限责任公司产品投资者权益须知</w:t>
      </w:r>
    </w:p>
    <w:p w:rsidR="00D41301" w14:paraId="2162FAB8" w14:textId="4E438817">
      <w:pPr>
        <w:spacing w:line="400" w:lineRule="exact"/>
        <w:jc w:val="center"/>
        <w:rPr>
          <w:rFonts w:ascii="宋体" w:eastAsia="宋体" w:hAnsi="宋体" w:cs="Times New Roman"/>
          <w:color w:val="000000"/>
          <w:sz w:val="28"/>
          <w:szCs w:val="28"/>
        </w:rPr>
      </w:pPr>
      <w:r>
        <w:rPr>
          <w:rFonts w:ascii="宋体" w:eastAsia="宋体" w:hAnsi="宋体" w:cs="Times New Roman" w:hint="eastAsia"/>
          <w:b/>
          <w:sz w:val="24"/>
          <w:szCs w:val="24"/>
        </w:rPr>
        <w:t>（</w:t>
      </w:r>
      <w:r w:rsidR="00F978AA">
        <w:rPr>
          <w:rFonts w:ascii="宋体" w:eastAsia="宋体" w:hAnsi="宋体" w:cs="Times New Roman"/>
          <w:b/>
          <w:sz w:val="24"/>
          <w:szCs w:val="24"/>
        </w:rPr>
        <w:t>202601</w:t>
      </w:r>
      <w:r>
        <w:rPr>
          <w:rFonts w:ascii="宋体" w:eastAsia="宋体" w:hAnsi="宋体" w:cs="Times New Roman" w:hint="eastAsia"/>
          <w:b/>
          <w:sz w:val="24"/>
          <w:szCs w:val="24"/>
        </w:rPr>
        <w:t>版）</w:t>
      </w:r>
    </w:p>
    <w:p w:rsidR="00D41301" w14:paraId="6D392069" w14:textId="77777777">
      <w:pPr>
        <w:spacing w:line="312" w:lineRule="auto"/>
        <w:rPr>
          <w:rFonts w:ascii="宋体" w:eastAsia="宋体" w:hAnsi="宋体" w:cs="Times New Roman"/>
          <w:color w:val="000000"/>
          <w:sz w:val="24"/>
          <w:szCs w:val="24"/>
        </w:rPr>
      </w:pPr>
    </w:p>
    <w:p w:rsidR="00D41301" w14:paraId="439D457E" w14:textId="77777777">
      <w:pPr>
        <w:spacing w:line="312" w:lineRule="auto"/>
        <w:rPr>
          <w:rFonts w:ascii="宋体" w:eastAsia="宋体" w:hAnsi="宋体" w:cs="Times New Roman"/>
          <w:color w:val="000000"/>
          <w:sz w:val="24"/>
          <w:szCs w:val="24"/>
        </w:rPr>
      </w:pPr>
      <w:r>
        <w:rPr>
          <w:rFonts w:ascii="宋体" w:eastAsia="宋体" w:hAnsi="宋体" w:cs="Times New Roman" w:hint="eastAsia"/>
          <w:color w:val="000000"/>
          <w:sz w:val="24"/>
          <w:szCs w:val="24"/>
        </w:rPr>
        <w:t>尊敬的投资者：</w:t>
      </w:r>
    </w:p>
    <w:p w:rsidR="00D41301" w14:paraId="037FDB9A" w14:textId="77777777">
      <w:pPr>
        <w:spacing w:line="312" w:lineRule="auto"/>
        <w:ind w:firstLine="480" w:firstLineChars="200"/>
        <w:rPr>
          <w:rFonts w:ascii="宋体" w:eastAsia="宋体" w:hAnsi="宋体" w:cs="Times New Roman"/>
          <w:color w:val="000000"/>
          <w:sz w:val="24"/>
          <w:szCs w:val="24"/>
        </w:rPr>
      </w:pPr>
      <w:r>
        <w:rPr>
          <w:rFonts w:ascii="宋体" w:eastAsia="宋体" w:hAnsi="宋体" w:cs="Times New Roman" w:hint="eastAsia"/>
          <w:color w:val="000000"/>
          <w:sz w:val="24"/>
          <w:szCs w:val="24"/>
        </w:rPr>
        <w:t>购买宁银理财有限</w:t>
      </w:r>
      <w:r>
        <w:rPr>
          <w:rFonts w:ascii="宋体" w:eastAsia="宋体" w:hAnsi="宋体" w:cs="Times New Roman"/>
          <w:color w:val="000000"/>
          <w:sz w:val="24"/>
          <w:szCs w:val="24"/>
        </w:rPr>
        <w:t>责任公司（</w:t>
      </w:r>
      <w:r>
        <w:rPr>
          <w:rFonts w:ascii="宋体" w:eastAsia="宋体" w:hAnsi="宋体" w:cs="Times New Roman" w:hint="eastAsia"/>
          <w:color w:val="000000"/>
          <w:sz w:val="24"/>
          <w:szCs w:val="24"/>
        </w:rPr>
        <w:t>下称“宁银理财”或“本公司”</w:t>
      </w:r>
      <w:r>
        <w:rPr>
          <w:rFonts w:ascii="宋体" w:eastAsia="宋体" w:hAnsi="宋体" w:cs="Times New Roman"/>
          <w:color w:val="000000"/>
          <w:sz w:val="24"/>
          <w:szCs w:val="24"/>
        </w:rPr>
        <w:t>）</w:t>
      </w:r>
      <w:r>
        <w:rPr>
          <w:rFonts w:ascii="宋体" w:eastAsia="宋体" w:hAnsi="宋体" w:cs="Times New Roman" w:hint="eastAsia"/>
          <w:color w:val="000000"/>
          <w:sz w:val="24"/>
          <w:szCs w:val="24"/>
        </w:rPr>
        <w:t>发行的</w:t>
      </w:r>
      <w:r>
        <w:rPr>
          <w:rFonts w:ascii="宋体" w:eastAsia="宋体" w:hAnsi="宋体" w:cs="Times New Roman"/>
          <w:color w:val="000000"/>
          <w:sz w:val="24"/>
          <w:szCs w:val="24"/>
        </w:rPr>
        <w:t>理财</w:t>
      </w:r>
      <w:r>
        <w:rPr>
          <w:rFonts w:ascii="宋体" w:eastAsia="宋体" w:hAnsi="宋体" w:cs="Times New Roman" w:hint="eastAsia"/>
          <w:color w:val="000000"/>
          <w:sz w:val="24"/>
          <w:szCs w:val="24"/>
        </w:rPr>
        <w:t>产品，有机会获取投资收益，同时也存在一定投资风险，为了保护您的合法权益，请在购买之前认真阅读以下内容：</w:t>
      </w:r>
    </w:p>
    <w:p w:rsidR="00D41301" w14:paraId="5B185AD7" w14:textId="77777777">
      <w:pPr>
        <w:spacing w:line="312" w:lineRule="auto"/>
        <w:ind w:firstLine="480" w:firstLineChars="200"/>
        <w:rPr>
          <w:rFonts w:ascii="宋体" w:eastAsia="宋体" w:hAnsi="宋体" w:cs="Times New Roman"/>
          <w:b/>
          <w:bCs/>
          <w:color w:val="000000"/>
          <w:sz w:val="24"/>
          <w:szCs w:val="24"/>
        </w:rPr>
      </w:pPr>
      <w:r>
        <w:rPr>
          <w:rFonts w:ascii="宋体" w:eastAsia="宋体" w:hAnsi="宋体" w:cs="Times New Roman" w:hint="eastAsia"/>
          <w:b/>
          <w:bCs/>
          <w:color w:val="000000"/>
          <w:sz w:val="24"/>
          <w:szCs w:val="24"/>
        </w:rPr>
        <w:t>一、理财产品办理流程</w:t>
      </w:r>
    </w:p>
    <w:p w:rsidR="00D41301" w14:paraId="5061D746" w14:textId="77777777">
      <w:pPr>
        <w:spacing w:line="312" w:lineRule="auto"/>
        <w:ind w:firstLine="480" w:firstLineChars="200"/>
        <w:rPr>
          <w:rFonts w:ascii="宋体" w:eastAsia="宋体" w:hAnsi="宋体" w:cs="Times New Roman"/>
          <w:color w:val="000000"/>
          <w:sz w:val="24"/>
          <w:szCs w:val="24"/>
        </w:rPr>
      </w:pPr>
      <w:r>
        <w:rPr>
          <w:rFonts w:ascii="宋体" w:eastAsia="宋体" w:hAnsi="宋体" w:cs="Times New Roman" w:hint="eastAsia"/>
          <w:color w:val="000000"/>
          <w:sz w:val="24"/>
          <w:szCs w:val="24"/>
        </w:rPr>
        <w:t>投资者可通过宁银理财或代理销售机构的营业网点</w:t>
      </w:r>
      <w:r>
        <w:rPr>
          <w:rFonts w:ascii="宋体" w:eastAsia="宋体" w:hAnsi="宋体" w:cs="Times New Roman"/>
          <w:color w:val="000000"/>
          <w:sz w:val="24"/>
          <w:szCs w:val="24"/>
        </w:rPr>
        <w:t>、</w:t>
      </w:r>
      <w:r>
        <w:rPr>
          <w:rFonts w:ascii="宋体" w:eastAsia="宋体" w:hAnsi="宋体" w:cs="Times New Roman" w:hint="eastAsia"/>
          <w:color w:val="000000"/>
          <w:sz w:val="24"/>
          <w:szCs w:val="24"/>
        </w:rPr>
        <w:t>客服</w:t>
      </w:r>
      <w:r>
        <w:rPr>
          <w:rFonts w:ascii="宋体" w:eastAsia="宋体" w:hAnsi="宋体" w:cs="Times New Roman"/>
          <w:color w:val="000000"/>
          <w:sz w:val="24"/>
          <w:szCs w:val="24"/>
        </w:rPr>
        <w:t>电话</w:t>
      </w:r>
      <w:r>
        <w:rPr>
          <w:rFonts w:ascii="宋体" w:eastAsia="宋体" w:hAnsi="宋体" w:cs="Times New Roman" w:hint="eastAsia"/>
          <w:color w:val="000000"/>
          <w:sz w:val="24"/>
          <w:szCs w:val="24"/>
        </w:rPr>
        <w:t>、电子渠道</w:t>
      </w:r>
      <w:r>
        <w:rPr>
          <w:rFonts w:ascii="宋体" w:eastAsia="宋体" w:hAnsi="宋体" w:cs="Times New Roman"/>
          <w:color w:val="000000"/>
          <w:sz w:val="24"/>
          <w:szCs w:val="24"/>
        </w:rPr>
        <w:t>等</w:t>
      </w:r>
      <w:r>
        <w:rPr>
          <w:rFonts w:ascii="宋体" w:eastAsia="宋体" w:hAnsi="宋体" w:cs="Times New Roman" w:hint="eastAsia"/>
          <w:color w:val="000000"/>
          <w:sz w:val="24"/>
          <w:szCs w:val="24"/>
        </w:rPr>
        <w:t>途径</w:t>
      </w:r>
      <w:r>
        <w:rPr>
          <w:rFonts w:ascii="宋体" w:eastAsia="宋体" w:hAnsi="宋体" w:cs="Times New Roman"/>
          <w:color w:val="000000"/>
          <w:sz w:val="24"/>
          <w:szCs w:val="24"/>
        </w:rPr>
        <w:t>了解</w:t>
      </w:r>
      <w:r>
        <w:rPr>
          <w:rFonts w:ascii="宋体" w:eastAsia="宋体" w:hAnsi="宋体" w:cs="Times New Roman" w:hint="eastAsia"/>
          <w:color w:val="000000"/>
          <w:sz w:val="24"/>
          <w:szCs w:val="24"/>
        </w:rPr>
        <w:t>本公司理财产品购买方式、收费标准及方式等，通过《理财产品说明书》</w:t>
      </w:r>
      <w:r>
        <w:rPr>
          <w:rFonts w:ascii="宋体" w:eastAsia="宋体" w:hAnsi="宋体" w:cs="Times New Roman"/>
          <w:color w:val="000000"/>
          <w:sz w:val="24"/>
          <w:szCs w:val="24"/>
        </w:rPr>
        <w:t>了解产品要素</w:t>
      </w:r>
      <w:r>
        <w:rPr>
          <w:rFonts w:ascii="宋体" w:eastAsia="宋体" w:hAnsi="宋体" w:cs="Times New Roman" w:hint="eastAsia"/>
          <w:color w:val="000000"/>
          <w:sz w:val="24"/>
          <w:szCs w:val="24"/>
        </w:rPr>
        <w:t>。</w:t>
      </w:r>
    </w:p>
    <w:p w:rsidR="00D41301" w14:paraId="548C8B38" w14:textId="21065BBA">
      <w:pPr>
        <w:spacing w:line="312" w:lineRule="auto"/>
        <w:ind w:firstLine="480" w:firstLineChars="200"/>
        <w:rPr>
          <w:rFonts w:ascii="宋体" w:eastAsia="宋体" w:hAnsi="宋体" w:cs="Times New Roman"/>
          <w:color w:val="000000"/>
          <w:sz w:val="24"/>
          <w:szCs w:val="24"/>
        </w:rPr>
      </w:pPr>
      <w:r>
        <w:rPr>
          <w:rFonts w:ascii="宋体" w:eastAsia="宋体" w:hAnsi="宋体" w:cs="Times New Roman" w:hint="eastAsia"/>
          <w:color w:val="000000"/>
          <w:sz w:val="24"/>
          <w:szCs w:val="24"/>
        </w:rPr>
        <w:t>普通</w:t>
      </w:r>
      <w:r w:rsidR="00856D00">
        <w:rPr>
          <w:rFonts w:ascii="宋体" w:eastAsia="宋体" w:hAnsi="宋体" w:cs="Times New Roman" w:hint="eastAsia"/>
          <w:color w:val="000000"/>
          <w:sz w:val="24"/>
          <w:szCs w:val="24"/>
        </w:rPr>
        <w:t>投资者在宁银理财直销渠道购买理财产品时，需填写《宁银理财投资者风险承受能力评估书》，了解自身风险承受能力评估情况。</w:t>
      </w:r>
      <w:r>
        <w:rPr>
          <w:rFonts w:ascii="宋体" w:eastAsia="宋体" w:hAnsi="宋体" w:cs="Times New Roman" w:hint="eastAsia"/>
          <w:color w:val="000000"/>
          <w:sz w:val="24"/>
          <w:szCs w:val="24"/>
        </w:rPr>
        <w:t>普通</w:t>
      </w:r>
      <w:r w:rsidR="00856D00">
        <w:rPr>
          <w:rFonts w:ascii="宋体" w:eastAsia="宋体" w:hAnsi="宋体" w:cs="Times New Roman" w:hint="eastAsia"/>
          <w:color w:val="000000"/>
          <w:sz w:val="24"/>
          <w:szCs w:val="24"/>
        </w:rPr>
        <w:t>投资者在代理销售机构购买理财产品时，风险承受能力评估由代理销售机构负责，应按照代理销售机构的要求进行投资者风险承受能力评估。</w:t>
      </w:r>
    </w:p>
    <w:p w:rsidR="00D41301" w14:paraId="2EC5C7AD" w14:textId="77777777">
      <w:pPr>
        <w:spacing w:line="312" w:lineRule="auto"/>
        <w:ind w:firstLine="480" w:firstLineChars="200"/>
        <w:rPr>
          <w:rFonts w:ascii="宋体" w:eastAsia="宋体" w:hAnsi="宋体" w:cs="Times New Roman"/>
          <w:color w:val="000000"/>
          <w:sz w:val="24"/>
          <w:szCs w:val="24"/>
        </w:rPr>
      </w:pPr>
      <w:r>
        <w:rPr>
          <w:rFonts w:ascii="宋体" w:eastAsia="宋体" w:hAnsi="宋体" w:cs="Times New Roman" w:hint="eastAsia"/>
          <w:color w:val="000000"/>
          <w:sz w:val="24"/>
          <w:szCs w:val="24"/>
        </w:rPr>
        <w:t>在</w:t>
      </w:r>
      <w:r>
        <w:rPr>
          <w:rFonts w:ascii="宋体" w:eastAsia="宋体" w:hAnsi="宋体" w:cs="Times New Roman"/>
          <w:color w:val="000000"/>
          <w:sz w:val="24"/>
          <w:szCs w:val="24"/>
        </w:rPr>
        <w:t>决定购买前，</w:t>
      </w:r>
      <w:r>
        <w:rPr>
          <w:rFonts w:ascii="宋体" w:eastAsia="宋体" w:hAnsi="宋体" w:cs="Times New Roman" w:hint="eastAsia"/>
          <w:color w:val="000000"/>
          <w:sz w:val="24"/>
          <w:szCs w:val="24"/>
        </w:rPr>
        <w:t>投资者</w:t>
      </w:r>
      <w:r>
        <w:rPr>
          <w:rFonts w:ascii="宋体" w:eastAsia="宋体" w:hAnsi="宋体" w:cs="Times New Roman"/>
          <w:color w:val="000000"/>
          <w:sz w:val="24"/>
          <w:szCs w:val="24"/>
        </w:rPr>
        <w:t>还需</w:t>
      </w:r>
      <w:r>
        <w:rPr>
          <w:rFonts w:ascii="宋体" w:eastAsia="宋体" w:hAnsi="宋体" w:cs="Times New Roman" w:hint="eastAsia"/>
          <w:color w:val="000000"/>
          <w:sz w:val="24"/>
          <w:szCs w:val="24"/>
        </w:rPr>
        <w:t>阅读并签署具体理财产品销售文件，包括但不限于《理财产品说明书》、《风险揭示书》、《销售（代理销售）协议书》（通过代理销售机构销售的，文件具体名称以代理销售机构为准，下同）、《投资协议书》、《投资者权益须知》，并抄录风险确认语句。</w:t>
      </w:r>
    </w:p>
    <w:p w:rsidR="00D41301" w14:paraId="7489F3A3" w14:textId="0BF9B6CE">
      <w:pPr>
        <w:spacing w:line="312" w:lineRule="auto"/>
        <w:ind w:firstLine="480" w:firstLineChars="200"/>
        <w:rPr>
          <w:rFonts w:ascii="宋体" w:eastAsia="宋体" w:hAnsi="宋体" w:cs="Times New Roman"/>
          <w:b/>
          <w:bCs/>
          <w:color w:val="000000"/>
          <w:sz w:val="24"/>
          <w:szCs w:val="24"/>
        </w:rPr>
      </w:pPr>
      <w:r>
        <w:rPr>
          <w:rFonts w:ascii="宋体" w:eastAsia="宋体" w:hAnsi="宋体" w:cs="Times New Roman" w:hint="eastAsia"/>
          <w:b/>
          <w:bCs/>
          <w:color w:val="000000"/>
          <w:sz w:val="24"/>
          <w:szCs w:val="24"/>
        </w:rPr>
        <w:t>二、</w:t>
      </w:r>
      <w:r w:rsidR="00813255">
        <w:rPr>
          <w:rFonts w:ascii="宋体" w:eastAsia="宋体" w:hAnsi="宋体" w:cs="Times New Roman" w:hint="eastAsia"/>
          <w:b/>
          <w:bCs/>
          <w:color w:val="000000"/>
          <w:sz w:val="24"/>
          <w:szCs w:val="24"/>
        </w:rPr>
        <w:t>普通</w:t>
      </w:r>
      <w:r>
        <w:rPr>
          <w:rFonts w:ascii="宋体" w:eastAsia="宋体" w:hAnsi="宋体" w:cs="Times New Roman" w:hint="eastAsia"/>
          <w:b/>
          <w:bCs/>
          <w:color w:val="000000"/>
          <w:sz w:val="24"/>
          <w:szCs w:val="24"/>
        </w:rPr>
        <w:t>投资者风险承受能力评估</w:t>
      </w:r>
    </w:p>
    <w:p w:rsidR="00D41301" w14:paraId="6B54B277" w14:textId="05E6B436">
      <w:pPr>
        <w:spacing w:line="312" w:lineRule="auto"/>
        <w:ind w:firstLine="480" w:firstLineChars="200"/>
        <w:rPr>
          <w:rFonts w:ascii="宋体" w:eastAsia="宋体" w:hAnsi="宋体" w:cs="Times New Roman"/>
          <w:color w:val="000000"/>
          <w:sz w:val="24"/>
          <w:szCs w:val="24"/>
        </w:rPr>
      </w:pPr>
      <w:r>
        <w:rPr>
          <w:rFonts w:ascii="宋体" w:eastAsia="宋体" w:hAnsi="宋体" w:cs="Times New Roman" w:hint="eastAsia"/>
          <w:color w:val="000000"/>
          <w:sz w:val="24"/>
          <w:szCs w:val="24"/>
        </w:rPr>
        <w:t>普通</w:t>
      </w:r>
      <w:r w:rsidR="00856D00">
        <w:rPr>
          <w:rFonts w:ascii="宋体" w:eastAsia="宋体" w:hAnsi="宋体" w:cs="Times New Roman" w:hint="eastAsia"/>
          <w:color w:val="000000"/>
          <w:sz w:val="24"/>
          <w:szCs w:val="24"/>
        </w:rPr>
        <w:t>投资者在宁银理财或代理销售机构首次购买理财产品前，需进行风险承受能力评估。超过</w:t>
      </w:r>
      <w:r w:rsidR="00856D00">
        <w:rPr>
          <w:rFonts w:ascii="宋体" w:eastAsia="宋体" w:hAnsi="宋体" w:cs="Times New Roman"/>
          <w:color w:val="000000"/>
          <w:sz w:val="24"/>
          <w:szCs w:val="24"/>
        </w:rPr>
        <w:t>一年未进行风险承受能力</w:t>
      </w:r>
      <w:r w:rsidR="00856D00">
        <w:rPr>
          <w:rFonts w:ascii="宋体" w:eastAsia="宋体" w:hAnsi="宋体" w:cs="Times New Roman" w:hint="eastAsia"/>
          <w:color w:val="000000"/>
          <w:sz w:val="24"/>
          <w:szCs w:val="24"/>
        </w:rPr>
        <w:t>评估或</w:t>
      </w:r>
      <w:r w:rsidR="00856D00">
        <w:rPr>
          <w:rFonts w:ascii="宋体" w:eastAsia="宋体" w:hAnsi="宋体" w:cs="Times New Roman"/>
          <w:color w:val="000000"/>
          <w:sz w:val="24"/>
          <w:szCs w:val="24"/>
        </w:rPr>
        <w:t>发生可能影响自身风险承受能力情况的投资者，再次购买理财产品前，应当</w:t>
      </w:r>
      <w:r w:rsidR="00856D00">
        <w:rPr>
          <w:rFonts w:ascii="宋体" w:eastAsia="宋体" w:hAnsi="宋体" w:cs="Times New Roman" w:hint="eastAsia"/>
          <w:color w:val="000000"/>
          <w:sz w:val="24"/>
          <w:szCs w:val="24"/>
        </w:rPr>
        <w:t>在宁银理财或代理销售机构重新完成</w:t>
      </w:r>
      <w:r w:rsidR="00856D00">
        <w:rPr>
          <w:rFonts w:ascii="宋体" w:eastAsia="宋体" w:hAnsi="宋体" w:cs="Times New Roman"/>
          <w:color w:val="000000"/>
          <w:sz w:val="24"/>
          <w:szCs w:val="24"/>
        </w:rPr>
        <w:t>风险承受能力评估。</w:t>
      </w:r>
    </w:p>
    <w:p w:rsidR="00D41301" w14:paraId="2B4F81FB" w14:textId="7E9C3802">
      <w:pPr>
        <w:spacing w:line="312" w:lineRule="auto"/>
        <w:ind w:firstLine="480" w:firstLineChars="200"/>
        <w:rPr>
          <w:rFonts w:ascii="宋体" w:eastAsia="宋体" w:hAnsi="宋体" w:cs="Times New Roman"/>
          <w:color w:val="000000"/>
          <w:sz w:val="24"/>
          <w:szCs w:val="24"/>
        </w:rPr>
      </w:pPr>
      <w:r>
        <w:rPr>
          <w:rFonts w:ascii="宋体" w:eastAsia="宋体" w:hAnsi="宋体" w:cs="Times New Roman" w:hint="eastAsia"/>
          <w:color w:val="000000"/>
          <w:sz w:val="24"/>
          <w:szCs w:val="24"/>
        </w:rPr>
        <w:t>对于</w:t>
      </w:r>
      <w:r>
        <w:rPr>
          <w:rFonts w:ascii="宋体" w:eastAsia="宋体" w:hAnsi="宋体" w:cs="Times New Roman"/>
          <w:color w:val="000000"/>
          <w:sz w:val="24"/>
          <w:szCs w:val="24"/>
        </w:rPr>
        <w:t>通过</w:t>
      </w:r>
      <w:r>
        <w:rPr>
          <w:rFonts w:ascii="宋体" w:eastAsia="宋体" w:hAnsi="宋体" w:cs="Times New Roman" w:hint="eastAsia"/>
          <w:color w:val="000000"/>
          <w:sz w:val="24"/>
          <w:szCs w:val="24"/>
        </w:rPr>
        <w:t>《宁银理财投资者风险承受能力评估书》进行</w:t>
      </w:r>
      <w:r>
        <w:rPr>
          <w:rFonts w:ascii="宋体" w:eastAsia="宋体" w:hAnsi="宋体" w:cs="Times New Roman"/>
          <w:color w:val="000000"/>
          <w:sz w:val="24"/>
          <w:szCs w:val="24"/>
        </w:rPr>
        <w:t>风险</w:t>
      </w:r>
      <w:r>
        <w:rPr>
          <w:rFonts w:ascii="宋体" w:eastAsia="宋体" w:hAnsi="宋体" w:cs="Times New Roman" w:hint="eastAsia"/>
          <w:color w:val="000000"/>
          <w:sz w:val="24"/>
          <w:szCs w:val="24"/>
        </w:rPr>
        <w:t>承受</w:t>
      </w:r>
      <w:r>
        <w:rPr>
          <w:rFonts w:ascii="宋体" w:eastAsia="宋体" w:hAnsi="宋体" w:cs="Times New Roman"/>
          <w:color w:val="000000"/>
          <w:sz w:val="24"/>
          <w:szCs w:val="24"/>
        </w:rPr>
        <w:t>能力评估的投资者，</w:t>
      </w:r>
      <w:r>
        <w:rPr>
          <w:rFonts w:ascii="宋体" w:eastAsia="宋体" w:hAnsi="宋体" w:cs="Times New Roman" w:hint="eastAsia"/>
          <w:color w:val="000000"/>
          <w:sz w:val="24"/>
          <w:szCs w:val="24"/>
        </w:rPr>
        <w:t>风险承受能力可分为5级，由低至高分别为保守型（可以</w:t>
      </w:r>
      <w:r>
        <w:rPr>
          <w:rFonts w:ascii="宋体" w:eastAsia="宋体" w:hAnsi="宋体" w:cs="Times New Roman" w:hint="eastAsia"/>
          <w:color w:val="000000"/>
          <w:sz w:val="24"/>
          <w:szCs w:val="24"/>
        </w:rPr>
        <w:t>承担低</w:t>
      </w:r>
      <w:r>
        <w:rPr>
          <w:rFonts w:ascii="宋体" w:eastAsia="宋体" w:hAnsi="宋体" w:cs="Times New Roman" w:hint="eastAsia"/>
          <w:color w:val="000000"/>
          <w:sz w:val="24"/>
          <w:szCs w:val="24"/>
        </w:rPr>
        <w:t>风险而作风谨慎类型的投资者</w:t>
      </w:r>
      <w:r>
        <w:rPr>
          <w:rFonts w:ascii="宋体" w:eastAsia="宋体" w:hAnsi="宋体" w:cs="Times New Roman"/>
          <w:color w:val="000000"/>
          <w:sz w:val="24"/>
          <w:szCs w:val="24"/>
        </w:rPr>
        <w:t>）</w:t>
      </w:r>
      <w:r>
        <w:rPr>
          <w:rFonts w:ascii="宋体" w:eastAsia="宋体" w:hAnsi="宋体" w:cs="Times New Roman" w:hint="eastAsia"/>
          <w:color w:val="000000"/>
          <w:sz w:val="24"/>
          <w:szCs w:val="24"/>
        </w:rPr>
        <w:t>、稳健型（可以承担低至中低风险类型的投资者</w:t>
      </w:r>
      <w:r>
        <w:rPr>
          <w:rFonts w:ascii="宋体" w:eastAsia="宋体" w:hAnsi="宋体" w:cs="Times New Roman"/>
          <w:color w:val="000000"/>
          <w:sz w:val="24"/>
          <w:szCs w:val="24"/>
        </w:rPr>
        <w:t>）</w:t>
      </w:r>
      <w:r>
        <w:rPr>
          <w:rFonts w:ascii="宋体" w:eastAsia="宋体" w:hAnsi="宋体" w:cs="Times New Roman" w:hint="eastAsia"/>
          <w:color w:val="000000"/>
          <w:sz w:val="24"/>
          <w:szCs w:val="24"/>
        </w:rPr>
        <w:t>、平衡型（可以承担中等风险类型的投资者</w:t>
      </w:r>
      <w:r>
        <w:rPr>
          <w:rFonts w:ascii="宋体" w:eastAsia="宋体" w:hAnsi="宋体" w:cs="Times New Roman"/>
          <w:color w:val="000000"/>
          <w:sz w:val="24"/>
          <w:szCs w:val="24"/>
        </w:rPr>
        <w:t>）</w:t>
      </w:r>
      <w:r>
        <w:rPr>
          <w:rFonts w:ascii="宋体" w:eastAsia="宋体" w:hAnsi="宋体" w:cs="Times New Roman" w:hint="eastAsia"/>
          <w:color w:val="000000"/>
          <w:sz w:val="24"/>
          <w:szCs w:val="24"/>
        </w:rPr>
        <w:t>、成长型（可以承担中等至中高风险类型的投资者</w:t>
      </w:r>
      <w:r>
        <w:rPr>
          <w:rFonts w:ascii="宋体" w:eastAsia="宋体" w:hAnsi="宋体" w:cs="Times New Roman"/>
          <w:color w:val="000000"/>
          <w:sz w:val="24"/>
          <w:szCs w:val="24"/>
        </w:rPr>
        <w:t>）</w:t>
      </w:r>
      <w:r>
        <w:rPr>
          <w:rFonts w:ascii="宋体" w:eastAsia="宋体" w:hAnsi="宋体" w:cs="Times New Roman" w:hint="eastAsia"/>
          <w:color w:val="000000"/>
          <w:sz w:val="24"/>
          <w:szCs w:val="24"/>
        </w:rPr>
        <w:t>、进取型（可以承受高风险类型的投资者</w:t>
      </w:r>
      <w:r>
        <w:rPr>
          <w:rFonts w:ascii="宋体" w:eastAsia="宋体" w:hAnsi="宋体" w:cs="Times New Roman"/>
          <w:color w:val="000000"/>
          <w:sz w:val="24"/>
          <w:szCs w:val="24"/>
        </w:rPr>
        <w:t>）</w:t>
      </w:r>
      <w:r>
        <w:rPr>
          <w:rFonts w:ascii="宋体" w:eastAsia="宋体" w:hAnsi="宋体" w:cs="Times New Roman" w:hint="eastAsia"/>
          <w:color w:val="000000"/>
          <w:sz w:val="24"/>
          <w:szCs w:val="24"/>
        </w:rPr>
        <w:t>。投资者应购买与风险级别相匹配的理财产品，匹配</w:t>
      </w:r>
      <w:r>
        <w:rPr>
          <w:rFonts w:ascii="宋体" w:eastAsia="宋体" w:hAnsi="宋体" w:cs="Times New Roman"/>
          <w:color w:val="000000"/>
          <w:sz w:val="24"/>
          <w:szCs w:val="24"/>
        </w:rPr>
        <w:t>情况见下表：</w:t>
      </w:r>
    </w:p>
    <w:tbl>
      <w:tblPr>
        <w:tblStyle w:val="TableGrid0"/>
        <w:tblW w:w="8648" w:type="dxa"/>
        <w:tblInd w:w="-431" w:type="dxa"/>
        <w:tblLook w:val="04A0"/>
      </w:tblPr>
      <w:tblGrid>
        <w:gridCol w:w="1844"/>
        <w:gridCol w:w="4252"/>
        <w:gridCol w:w="2552"/>
      </w:tblGrid>
      <w:tr w14:paraId="6A89EC24" w14:textId="77777777">
        <w:tblPrEx>
          <w:tblW w:w="8648" w:type="dxa"/>
          <w:tblInd w:w="-431" w:type="dxa"/>
          <w:tblLook w:val="04A0"/>
        </w:tblPrEx>
        <w:tc>
          <w:tcPr>
            <w:tcW w:w="1844" w:type="dxa"/>
          </w:tcPr>
          <w:p w:rsidR="00D41301" w14:paraId="243A52AD"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产品风险等级</w:t>
            </w:r>
          </w:p>
        </w:tc>
        <w:tc>
          <w:tcPr>
            <w:tcW w:w="4252" w:type="dxa"/>
          </w:tcPr>
          <w:p w:rsidR="00D41301" w14:paraId="6C827E2D"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产品</w:t>
            </w:r>
            <w:r>
              <w:rPr>
                <w:rFonts w:ascii="宋体" w:eastAsia="宋体" w:hAnsi="宋体" w:cs="Times New Roman"/>
                <w:color w:val="000000"/>
                <w:szCs w:val="21"/>
              </w:rPr>
              <w:t>风险</w:t>
            </w:r>
            <w:r>
              <w:rPr>
                <w:rFonts w:ascii="宋体" w:eastAsia="宋体" w:hAnsi="宋体" w:cs="Times New Roman" w:hint="eastAsia"/>
                <w:color w:val="000000"/>
                <w:szCs w:val="21"/>
              </w:rPr>
              <w:t>评级说明</w:t>
            </w:r>
          </w:p>
        </w:tc>
        <w:tc>
          <w:tcPr>
            <w:tcW w:w="2552" w:type="dxa"/>
          </w:tcPr>
          <w:p w:rsidR="00D41301" w14:paraId="652F818D"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目标投资者</w:t>
            </w:r>
          </w:p>
        </w:tc>
      </w:tr>
      <w:tr w14:paraId="6F92C6BE" w14:textId="77777777">
        <w:tblPrEx>
          <w:tblW w:w="8648" w:type="dxa"/>
          <w:tblInd w:w="-431" w:type="dxa"/>
          <w:tblLook w:val="04A0"/>
        </w:tblPrEx>
        <w:tc>
          <w:tcPr>
            <w:tcW w:w="1844" w:type="dxa"/>
          </w:tcPr>
          <w:p w:rsidR="00D41301" w14:paraId="48350CD3"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低风险产品</w:t>
            </w:r>
          </w:p>
          <w:p w:rsidR="00D41301" w14:paraId="3639DC23"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w:t>
            </w:r>
            <w:r>
              <w:rPr>
                <w:rFonts w:ascii="宋体" w:eastAsia="宋体" w:hAnsi="宋体" w:cs="Times New Roman"/>
                <w:color w:val="000000"/>
                <w:szCs w:val="21"/>
              </w:rPr>
              <w:t>PR1</w:t>
            </w:r>
            <w:r>
              <w:rPr>
                <w:rFonts w:ascii="宋体" w:eastAsia="宋体" w:hAnsi="宋体" w:cs="Times New Roman" w:hint="eastAsia"/>
                <w:color w:val="000000"/>
                <w:szCs w:val="21"/>
              </w:rPr>
              <w:t>）</w:t>
            </w:r>
          </w:p>
        </w:tc>
        <w:tc>
          <w:tcPr>
            <w:tcW w:w="4252" w:type="dxa"/>
          </w:tcPr>
          <w:p w:rsidR="00D41301" w14:paraId="64BEEA41"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理财产品的总体风险程度很低，宁银理财不承诺本金的完全保障，净值波动很小。宁银理财对于产品本金的正常兑付有较为充分的</w:t>
            </w:r>
            <w:r>
              <w:rPr>
                <w:rFonts w:ascii="宋体" w:eastAsia="宋体" w:hAnsi="宋体" w:cs="Times New Roman" w:hint="eastAsia"/>
                <w:color w:val="000000"/>
                <w:szCs w:val="21"/>
              </w:rPr>
              <w:t>把握。</w:t>
            </w:r>
          </w:p>
        </w:tc>
        <w:tc>
          <w:tcPr>
            <w:tcW w:w="2552" w:type="dxa"/>
          </w:tcPr>
          <w:p w:rsidR="00D41301" w14:paraId="0B2D9AA8" w14:textId="4A1D8E00">
            <w:pPr>
              <w:spacing w:line="312" w:lineRule="auto"/>
              <w:rPr>
                <w:rFonts w:ascii="宋体" w:eastAsia="仿宋_GB2312" w:hAnsi="宋体" w:cs="仿宋_GB2312"/>
                <w:color w:val="000000"/>
                <w:kern w:val="0"/>
                <w:szCs w:val="21"/>
              </w:rPr>
            </w:pPr>
            <w:r>
              <w:rPr>
                <w:rFonts w:ascii="宋体" w:eastAsia="宋体" w:hAnsi="宋体" w:cs="Times New Roman" w:hint="eastAsia"/>
                <w:color w:val="000000"/>
                <w:szCs w:val="21"/>
              </w:rPr>
              <w:t>经宁银理财</w:t>
            </w:r>
            <w:r w:rsidR="00813255">
              <w:rPr>
                <w:rFonts w:ascii="宋体" w:eastAsia="宋体" w:hAnsi="宋体" w:cs="Times New Roman" w:hint="eastAsia"/>
                <w:color w:val="000000"/>
                <w:szCs w:val="21"/>
              </w:rPr>
              <w:t>普通</w:t>
            </w:r>
            <w:r>
              <w:rPr>
                <w:rFonts w:ascii="宋体" w:eastAsia="宋体" w:hAnsi="宋体" w:cs="Times New Roman" w:hint="eastAsia"/>
                <w:color w:val="000000"/>
                <w:szCs w:val="21"/>
              </w:rPr>
              <w:t>投资者风险承受能力评估为保守型、稳健型、平衡型、成长</w:t>
            </w:r>
            <w:r>
              <w:rPr>
                <w:rFonts w:ascii="宋体" w:eastAsia="宋体" w:hAnsi="宋体" w:cs="Times New Roman" w:hint="eastAsia"/>
                <w:color w:val="000000"/>
                <w:szCs w:val="21"/>
              </w:rPr>
              <w:t>型、进取型的投资者</w:t>
            </w:r>
          </w:p>
        </w:tc>
      </w:tr>
      <w:tr w14:paraId="68C9ADA8" w14:textId="77777777">
        <w:tblPrEx>
          <w:tblW w:w="8648" w:type="dxa"/>
          <w:tblInd w:w="-431" w:type="dxa"/>
          <w:tblLook w:val="04A0"/>
        </w:tblPrEx>
        <w:tc>
          <w:tcPr>
            <w:tcW w:w="1844" w:type="dxa"/>
          </w:tcPr>
          <w:p w:rsidR="00D41301" w14:paraId="6CDF4B33"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中低风险产品（</w:t>
            </w:r>
            <w:r>
              <w:rPr>
                <w:rFonts w:ascii="宋体" w:eastAsia="宋体" w:hAnsi="宋体" w:cs="Times New Roman"/>
                <w:color w:val="000000"/>
                <w:szCs w:val="21"/>
              </w:rPr>
              <w:t>PR2</w:t>
            </w:r>
            <w:r>
              <w:rPr>
                <w:rFonts w:ascii="宋体" w:eastAsia="宋体" w:hAnsi="宋体" w:cs="Times New Roman" w:hint="eastAsia"/>
                <w:color w:val="000000"/>
                <w:szCs w:val="21"/>
              </w:rPr>
              <w:t>）</w:t>
            </w:r>
          </w:p>
        </w:tc>
        <w:tc>
          <w:tcPr>
            <w:tcW w:w="4252" w:type="dxa"/>
          </w:tcPr>
          <w:p w:rsidR="00D41301" w14:paraId="4D54DE2F"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理财产品的总体风险程度较低，宁银理财不承诺本金保障，净值波动较小。虽然存在一些可能对产品本金安全产生不利影响的因素，但产品本金出现损失的可能性较小。</w:t>
            </w:r>
            <w:r>
              <w:rPr>
                <w:rFonts w:ascii="宋体" w:eastAsia="宋体" w:hAnsi="宋体" w:cs="Times New Roman"/>
                <w:color w:val="000000"/>
                <w:szCs w:val="21"/>
              </w:rPr>
              <w:t xml:space="preserve"> </w:t>
            </w:r>
          </w:p>
        </w:tc>
        <w:tc>
          <w:tcPr>
            <w:tcW w:w="2552" w:type="dxa"/>
          </w:tcPr>
          <w:p w:rsidR="00D41301" w14:paraId="4BDC9840" w14:textId="6ADD77C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经宁银理财</w:t>
            </w:r>
            <w:r w:rsidR="00813255">
              <w:rPr>
                <w:rFonts w:ascii="宋体" w:eastAsia="宋体" w:hAnsi="宋体" w:cs="Times New Roman" w:hint="eastAsia"/>
                <w:color w:val="000000"/>
                <w:szCs w:val="21"/>
              </w:rPr>
              <w:t>普通</w:t>
            </w:r>
            <w:r>
              <w:rPr>
                <w:rFonts w:ascii="宋体" w:eastAsia="宋体" w:hAnsi="宋体" w:cs="Times New Roman" w:hint="eastAsia"/>
                <w:color w:val="000000"/>
                <w:szCs w:val="21"/>
              </w:rPr>
              <w:t>投资者风险承受能力评估为</w:t>
            </w:r>
            <w:r>
              <w:rPr>
                <w:rFonts w:ascii="宋体" w:eastAsia="宋体" w:hAnsi="宋体" w:cs="Times New Roman" w:hint="eastAsia"/>
                <w:color w:val="000000"/>
                <w:szCs w:val="21"/>
              </w:rPr>
              <w:t>为</w:t>
            </w:r>
            <w:r>
              <w:rPr>
                <w:rFonts w:ascii="宋体" w:eastAsia="宋体" w:hAnsi="宋体" w:cs="Times New Roman" w:hint="eastAsia"/>
                <w:color w:val="000000"/>
                <w:szCs w:val="21"/>
              </w:rPr>
              <w:t>稳健型、平衡型、成长型、进取型的投资者</w:t>
            </w:r>
          </w:p>
        </w:tc>
      </w:tr>
      <w:tr w14:paraId="7D3A5496" w14:textId="77777777">
        <w:tblPrEx>
          <w:tblW w:w="8648" w:type="dxa"/>
          <w:tblInd w:w="-431" w:type="dxa"/>
          <w:tblLook w:val="04A0"/>
        </w:tblPrEx>
        <w:tc>
          <w:tcPr>
            <w:tcW w:w="1844" w:type="dxa"/>
          </w:tcPr>
          <w:p w:rsidR="00D41301" w14:paraId="1C180124"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中风险产品</w:t>
            </w:r>
          </w:p>
          <w:p w:rsidR="00D41301" w14:paraId="5FF08643"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w:t>
            </w:r>
            <w:r>
              <w:rPr>
                <w:rFonts w:ascii="宋体" w:eastAsia="宋体" w:hAnsi="宋体" w:cs="Times New Roman"/>
                <w:color w:val="000000"/>
                <w:szCs w:val="21"/>
              </w:rPr>
              <w:t>PR3</w:t>
            </w:r>
            <w:r>
              <w:rPr>
                <w:rFonts w:ascii="宋体" w:eastAsia="宋体" w:hAnsi="宋体" w:cs="Times New Roman" w:hint="eastAsia"/>
                <w:color w:val="000000"/>
                <w:szCs w:val="21"/>
              </w:rPr>
              <w:t>）</w:t>
            </w:r>
          </w:p>
        </w:tc>
        <w:tc>
          <w:tcPr>
            <w:tcW w:w="4252" w:type="dxa"/>
          </w:tcPr>
          <w:p w:rsidR="00D41301" w14:paraId="295B9D6B"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理财产品的总体风险程度适中，宁银理财不承诺本金保障，净值随投资的市场表现波动较明显，产品本金出现损失的可能性不容忽视。</w:t>
            </w:r>
            <w:r>
              <w:rPr>
                <w:rFonts w:ascii="宋体" w:eastAsia="宋体" w:hAnsi="宋体" w:cs="Times New Roman"/>
                <w:color w:val="000000"/>
                <w:szCs w:val="21"/>
              </w:rPr>
              <w:t xml:space="preserve"> </w:t>
            </w:r>
          </w:p>
        </w:tc>
        <w:tc>
          <w:tcPr>
            <w:tcW w:w="2552" w:type="dxa"/>
          </w:tcPr>
          <w:p w:rsidR="00D41301" w14:paraId="3AB2ECFC" w14:textId="4D490F11">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经宁银理财</w:t>
            </w:r>
            <w:r w:rsidR="00813255">
              <w:rPr>
                <w:rFonts w:ascii="宋体" w:eastAsia="宋体" w:hAnsi="宋体" w:cs="Times New Roman" w:hint="eastAsia"/>
                <w:color w:val="000000"/>
                <w:szCs w:val="21"/>
              </w:rPr>
              <w:t>普通</w:t>
            </w:r>
            <w:r>
              <w:rPr>
                <w:rFonts w:ascii="宋体" w:eastAsia="宋体" w:hAnsi="宋体" w:cs="Times New Roman" w:hint="eastAsia"/>
                <w:color w:val="000000"/>
                <w:szCs w:val="21"/>
              </w:rPr>
              <w:t>投资者风险承受能力评估为平衡型、成长型、进取型的投资者</w:t>
            </w:r>
          </w:p>
        </w:tc>
      </w:tr>
      <w:tr w14:paraId="312519B0" w14:textId="77777777">
        <w:tblPrEx>
          <w:tblW w:w="8648" w:type="dxa"/>
          <w:tblInd w:w="-431" w:type="dxa"/>
          <w:tblLook w:val="04A0"/>
        </w:tblPrEx>
        <w:tc>
          <w:tcPr>
            <w:tcW w:w="1844" w:type="dxa"/>
          </w:tcPr>
          <w:p w:rsidR="00D41301" w14:paraId="41CC04EA"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中</w:t>
            </w:r>
            <w:r>
              <w:rPr>
                <w:rFonts w:ascii="宋体" w:eastAsia="宋体" w:hAnsi="宋体" w:cs="Times New Roman"/>
                <w:color w:val="000000"/>
                <w:szCs w:val="21"/>
              </w:rPr>
              <w:t>高</w:t>
            </w:r>
            <w:r>
              <w:rPr>
                <w:rFonts w:ascii="宋体" w:eastAsia="宋体" w:hAnsi="宋体" w:cs="Times New Roman" w:hint="eastAsia"/>
                <w:color w:val="000000"/>
                <w:szCs w:val="21"/>
              </w:rPr>
              <w:t>风险产品（</w:t>
            </w:r>
            <w:r>
              <w:rPr>
                <w:rFonts w:ascii="宋体" w:eastAsia="宋体" w:hAnsi="宋体" w:cs="Times New Roman"/>
                <w:color w:val="000000"/>
                <w:szCs w:val="21"/>
              </w:rPr>
              <w:t>PR4</w:t>
            </w:r>
            <w:r>
              <w:rPr>
                <w:rFonts w:ascii="宋体" w:eastAsia="宋体" w:hAnsi="宋体" w:cs="Times New Roman" w:hint="eastAsia"/>
                <w:color w:val="000000"/>
                <w:szCs w:val="21"/>
              </w:rPr>
              <w:t>）</w:t>
            </w:r>
          </w:p>
        </w:tc>
        <w:tc>
          <w:tcPr>
            <w:tcW w:w="4252" w:type="dxa"/>
          </w:tcPr>
          <w:p w:rsidR="00D41301" w14:paraId="4AE559C0"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理财产品的总体风险程度较高，宁银理财不承诺本金保障，净值随投资的市场表现波动明显，产品本金出现损失的可能性较高。</w:t>
            </w:r>
            <w:r>
              <w:rPr>
                <w:rFonts w:ascii="宋体" w:eastAsia="宋体" w:hAnsi="宋体" w:cs="Times New Roman"/>
                <w:color w:val="000000"/>
                <w:szCs w:val="21"/>
              </w:rPr>
              <w:t xml:space="preserve"> </w:t>
            </w:r>
          </w:p>
        </w:tc>
        <w:tc>
          <w:tcPr>
            <w:tcW w:w="2552" w:type="dxa"/>
          </w:tcPr>
          <w:p w:rsidR="00D41301" w14:paraId="5BB1054C" w14:textId="06D3F019">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经宁银理财</w:t>
            </w:r>
            <w:r w:rsidR="00813255">
              <w:rPr>
                <w:rFonts w:ascii="宋体" w:eastAsia="宋体" w:hAnsi="宋体" w:cs="Times New Roman" w:hint="eastAsia"/>
                <w:color w:val="000000"/>
                <w:szCs w:val="21"/>
              </w:rPr>
              <w:t>普通</w:t>
            </w:r>
            <w:r>
              <w:rPr>
                <w:rFonts w:ascii="宋体" w:eastAsia="宋体" w:hAnsi="宋体" w:cs="Times New Roman" w:hint="eastAsia"/>
                <w:color w:val="000000"/>
                <w:szCs w:val="21"/>
              </w:rPr>
              <w:t>投资者风险承受能力评估为成长型、进取型的投资者</w:t>
            </w:r>
          </w:p>
        </w:tc>
      </w:tr>
      <w:tr w14:paraId="72A54745" w14:textId="77777777">
        <w:tblPrEx>
          <w:tblW w:w="8648" w:type="dxa"/>
          <w:tblInd w:w="-431" w:type="dxa"/>
          <w:tblLook w:val="04A0"/>
        </w:tblPrEx>
        <w:tc>
          <w:tcPr>
            <w:tcW w:w="1844" w:type="dxa"/>
          </w:tcPr>
          <w:p w:rsidR="00D41301" w14:paraId="7757500C"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高风险产品</w:t>
            </w:r>
          </w:p>
          <w:p w:rsidR="00D41301" w14:paraId="6BA6D7C4"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w:t>
            </w:r>
            <w:r>
              <w:rPr>
                <w:rFonts w:ascii="宋体" w:eastAsia="宋体" w:hAnsi="宋体" w:cs="Times New Roman"/>
                <w:color w:val="000000"/>
                <w:szCs w:val="21"/>
              </w:rPr>
              <w:t>PR5</w:t>
            </w:r>
            <w:r>
              <w:rPr>
                <w:rFonts w:ascii="宋体" w:eastAsia="宋体" w:hAnsi="宋体" w:cs="Times New Roman" w:hint="eastAsia"/>
                <w:color w:val="000000"/>
                <w:szCs w:val="21"/>
              </w:rPr>
              <w:t>）</w:t>
            </w:r>
          </w:p>
        </w:tc>
        <w:tc>
          <w:tcPr>
            <w:tcW w:w="4252" w:type="dxa"/>
          </w:tcPr>
          <w:p w:rsidR="00D41301" w14:paraId="7AB05A55" w14:textId="77777777">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理财产品的总体风险程度高，宁银理财不承诺本金保障，净值随投资的市场表现波动明显，产品本金出现损失的可能性很高，产品本金蒙受全部损失的可能性不容忽视。</w:t>
            </w:r>
            <w:r>
              <w:rPr>
                <w:rFonts w:ascii="宋体" w:eastAsia="宋体" w:hAnsi="宋体" w:cs="Times New Roman"/>
                <w:color w:val="000000"/>
                <w:szCs w:val="21"/>
              </w:rPr>
              <w:t xml:space="preserve"> </w:t>
            </w:r>
          </w:p>
        </w:tc>
        <w:tc>
          <w:tcPr>
            <w:tcW w:w="2552" w:type="dxa"/>
          </w:tcPr>
          <w:p w:rsidR="00D41301" w14:paraId="5A8670E1" w14:textId="0BAE984C">
            <w:pPr>
              <w:spacing w:line="312" w:lineRule="auto"/>
              <w:rPr>
                <w:rFonts w:ascii="宋体" w:eastAsia="宋体" w:hAnsi="宋体" w:cs="Times New Roman"/>
                <w:color w:val="000000"/>
                <w:szCs w:val="21"/>
              </w:rPr>
            </w:pPr>
            <w:r>
              <w:rPr>
                <w:rFonts w:ascii="宋体" w:eastAsia="宋体" w:hAnsi="宋体" w:cs="Times New Roman" w:hint="eastAsia"/>
                <w:color w:val="000000"/>
                <w:szCs w:val="21"/>
              </w:rPr>
              <w:t>经宁银理财</w:t>
            </w:r>
            <w:r w:rsidR="00813255">
              <w:rPr>
                <w:rFonts w:ascii="宋体" w:eastAsia="宋体" w:hAnsi="宋体" w:cs="Times New Roman" w:hint="eastAsia"/>
                <w:color w:val="000000"/>
                <w:szCs w:val="21"/>
              </w:rPr>
              <w:t>普通</w:t>
            </w:r>
            <w:r>
              <w:rPr>
                <w:rFonts w:ascii="宋体" w:eastAsia="宋体" w:hAnsi="宋体" w:cs="Times New Roman" w:hint="eastAsia"/>
                <w:color w:val="000000"/>
                <w:szCs w:val="21"/>
              </w:rPr>
              <w:t>投资者风险承受能力评估为进取型的投资者</w:t>
            </w:r>
          </w:p>
        </w:tc>
      </w:tr>
    </w:tbl>
    <w:p w:rsidR="00D41301" w14:paraId="49AC129C" w14:textId="77777777">
      <w:pPr>
        <w:spacing w:line="312" w:lineRule="auto"/>
        <w:ind w:firstLine="480" w:firstLineChars="200"/>
        <w:rPr>
          <w:rFonts w:ascii="宋体" w:eastAsia="宋体" w:hAnsi="宋体" w:cs="Times New Roman"/>
          <w:color w:val="000000"/>
          <w:sz w:val="24"/>
          <w:szCs w:val="24"/>
        </w:rPr>
      </w:pPr>
      <w:r>
        <w:rPr>
          <w:rFonts w:ascii="宋体" w:eastAsia="宋体" w:hAnsi="宋体" w:cs="Times New Roman" w:hint="eastAsia"/>
          <w:color w:val="000000"/>
          <w:sz w:val="24"/>
          <w:szCs w:val="24"/>
        </w:rPr>
        <w:t>对于</w:t>
      </w:r>
      <w:r>
        <w:rPr>
          <w:rFonts w:ascii="宋体" w:eastAsia="宋体" w:hAnsi="宋体" w:cs="Times New Roman"/>
          <w:color w:val="000000"/>
          <w:sz w:val="24"/>
          <w:szCs w:val="24"/>
        </w:rPr>
        <w:t>通过</w:t>
      </w:r>
      <w:r>
        <w:rPr>
          <w:rFonts w:ascii="宋体" w:eastAsia="宋体" w:hAnsi="宋体" w:cs="Times New Roman" w:hint="eastAsia"/>
          <w:sz w:val="24"/>
          <w:szCs w:val="24"/>
        </w:rPr>
        <w:t>代理销售</w:t>
      </w:r>
      <w:r>
        <w:rPr>
          <w:rFonts w:ascii="宋体" w:eastAsia="宋体" w:hAnsi="宋体" w:cs="Times New Roman" w:hint="eastAsia"/>
          <w:color w:val="000000"/>
          <w:sz w:val="24"/>
          <w:szCs w:val="24"/>
        </w:rPr>
        <w:t>机构进行</w:t>
      </w:r>
      <w:r>
        <w:rPr>
          <w:rFonts w:ascii="宋体" w:eastAsia="宋体" w:hAnsi="宋体" w:cs="Times New Roman"/>
          <w:color w:val="000000"/>
          <w:sz w:val="24"/>
          <w:szCs w:val="24"/>
        </w:rPr>
        <w:t>风险</w:t>
      </w:r>
      <w:r>
        <w:rPr>
          <w:rFonts w:ascii="宋体" w:eastAsia="宋体" w:hAnsi="宋体" w:cs="Times New Roman" w:hint="eastAsia"/>
          <w:color w:val="000000"/>
          <w:sz w:val="24"/>
          <w:szCs w:val="24"/>
        </w:rPr>
        <w:t>承受能力</w:t>
      </w:r>
      <w:r>
        <w:rPr>
          <w:rFonts w:ascii="宋体" w:eastAsia="宋体" w:hAnsi="宋体" w:cs="Times New Roman"/>
          <w:color w:val="000000"/>
          <w:sz w:val="24"/>
          <w:szCs w:val="24"/>
        </w:rPr>
        <w:t>评估的投资者，</w:t>
      </w:r>
      <w:r>
        <w:rPr>
          <w:rFonts w:ascii="宋体" w:eastAsia="宋体" w:hAnsi="宋体" w:cs="Times New Roman" w:hint="eastAsia"/>
          <w:sz w:val="24"/>
          <w:szCs w:val="24"/>
        </w:rPr>
        <w:t>风险承受能力等级以代理销售机构的评估结果为准</w:t>
      </w:r>
      <w:r>
        <w:rPr>
          <w:rFonts w:ascii="宋体" w:eastAsia="宋体" w:hAnsi="宋体" w:cs="Times New Roman"/>
          <w:color w:val="000000"/>
          <w:sz w:val="24"/>
          <w:szCs w:val="24"/>
        </w:rPr>
        <w:t>。</w:t>
      </w:r>
    </w:p>
    <w:p w:rsidR="00D41301" w14:paraId="6952BDEA" w14:textId="77777777">
      <w:pPr>
        <w:spacing w:line="312" w:lineRule="auto"/>
        <w:ind w:firstLine="480" w:firstLineChars="200"/>
        <w:rPr>
          <w:rFonts w:ascii="宋体" w:eastAsia="宋体" w:hAnsi="宋体" w:cs="Times New Roman"/>
          <w:b/>
          <w:bCs/>
          <w:color w:val="000000"/>
          <w:sz w:val="24"/>
          <w:szCs w:val="24"/>
        </w:rPr>
      </w:pPr>
      <w:r>
        <w:rPr>
          <w:rFonts w:ascii="宋体" w:eastAsia="宋体" w:hAnsi="宋体" w:cs="Times New Roman" w:hint="eastAsia"/>
          <w:b/>
          <w:bCs/>
          <w:color w:val="000000"/>
          <w:sz w:val="24"/>
          <w:szCs w:val="24"/>
        </w:rPr>
        <w:t>三、信息披露</w:t>
      </w:r>
    </w:p>
    <w:p w:rsidR="00D41301" w14:paraId="264CB2A5" w14:textId="7FF81720">
      <w:pPr>
        <w:spacing w:line="312" w:lineRule="auto"/>
        <w:ind w:firstLine="480" w:firstLineChars="200"/>
        <w:rPr>
          <w:rFonts w:ascii="宋体" w:eastAsia="宋体" w:hAnsi="宋体" w:cs="Times New Roman"/>
          <w:color w:val="000000"/>
          <w:sz w:val="24"/>
          <w:szCs w:val="24"/>
        </w:rPr>
      </w:pPr>
      <w:r>
        <w:rPr>
          <w:rFonts w:ascii="宋体" w:eastAsia="宋体" w:hAnsi="宋体" w:cs="Times New Roman" w:hint="eastAsia"/>
          <w:color w:val="000000"/>
          <w:sz w:val="24"/>
          <w:szCs w:val="24"/>
        </w:rPr>
        <w:t>宁银理财将于理财产品募集期间、存续期间和终止时，通过本公司网站（</w:t>
      </w:r>
      <w:r w:rsidRPr="00242126" w:rsidR="00EB674E">
        <w:rPr>
          <w:rFonts w:ascii="宋体" w:eastAsia="宋体" w:hAnsi="宋体" w:cs="Times New Roman" w:hint="eastAsia"/>
          <w:color w:val="000000"/>
          <w:sz w:val="24"/>
          <w:szCs w:val="24"/>
        </w:rPr>
        <w:t>www.wmbnb.com</w:t>
      </w:r>
      <w:r>
        <w:rPr>
          <w:rFonts w:ascii="宋体" w:eastAsia="宋体" w:hAnsi="宋体" w:cs="Times New Roman" w:hint="eastAsia"/>
          <w:color w:val="000000"/>
          <w:sz w:val="24"/>
          <w:szCs w:val="24"/>
        </w:rPr>
        <w:t>）、相关产品代理销售机构官方渠道或其他适当的方式进行信息披露（具体产品</w:t>
      </w:r>
      <w:r>
        <w:rPr>
          <w:rFonts w:ascii="宋体" w:eastAsia="宋体" w:hAnsi="宋体" w:cs="Times New Roman"/>
          <w:color w:val="000000"/>
          <w:sz w:val="24"/>
          <w:szCs w:val="24"/>
        </w:rPr>
        <w:t>的</w:t>
      </w:r>
      <w:r>
        <w:rPr>
          <w:rFonts w:ascii="宋体" w:eastAsia="宋体" w:hAnsi="宋体" w:cs="Times New Roman" w:hint="eastAsia"/>
          <w:color w:val="000000"/>
          <w:sz w:val="24"/>
          <w:szCs w:val="24"/>
        </w:rPr>
        <w:t>信息披露方式、频率等</w:t>
      </w:r>
      <w:r>
        <w:rPr>
          <w:rFonts w:ascii="宋体" w:eastAsia="宋体" w:hAnsi="宋体" w:cs="Times New Roman" w:hint="eastAsia"/>
          <w:color w:val="000000"/>
          <w:sz w:val="24"/>
          <w:szCs w:val="24"/>
        </w:rPr>
        <w:t>规则见</w:t>
      </w:r>
      <w:r>
        <w:rPr>
          <w:rFonts w:ascii="宋体" w:eastAsia="宋体" w:hAnsi="宋体" w:cs="Times New Roman" w:hint="eastAsia"/>
          <w:sz w:val="24"/>
          <w:szCs w:val="24"/>
        </w:rPr>
        <w:t>《理财产品说明书》</w:t>
      </w:r>
      <w:r>
        <w:rPr>
          <w:rFonts w:ascii="宋体" w:eastAsia="宋体" w:hAnsi="宋体" w:cs="Times New Roman" w:hint="eastAsia"/>
          <w:color w:val="000000"/>
          <w:sz w:val="24"/>
          <w:szCs w:val="24"/>
        </w:rPr>
        <w:t>）。</w:t>
      </w:r>
      <w:r>
        <w:rPr>
          <w:rFonts w:ascii="宋体" w:eastAsia="宋体" w:hAnsi="宋体" w:cs="Times New Roman" w:hint="eastAsia"/>
          <w:b/>
          <w:bCs/>
          <w:color w:val="000000"/>
          <w:sz w:val="24"/>
          <w:szCs w:val="24"/>
        </w:rPr>
        <w:t>宁银理财或代理销售机构通过理财产品销售文件约定方式披露信息后，视为宁银理财已向投资者完全履行信息披露义务，投资者应依据理财产品销售文件的约定，及时通过宁银理财网站、客服热线或相关产品代理销售机构官方渠道进行查询。</w:t>
      </w:r>
    </w:p>
    <w:p w:rsidR="00D41301" w14:paraId="676E2859" w14:textId="77777777">
      <w:pPr>
        <w:spacing w:line="312" w:lineRule="auto"/>
        <w:ind w:firstLine="480" w:firstLineChars="200"/>
        <w:rPr>
          <w:rFonts w:ascii="宋体" w:eastAsia="宋体" w:hAnsi="宋体" w:cs="Times New Roman"/>
          <w:b/>
          <w:bCs/>
          <w:color w:val="000000"/>
          <w:sz w:val="24"/>
          <w:szCs w:val="24"/>
        </w:rPr>
      </w:pPr>
      <w:r>
        <w:rPr>
          <w:rFonts w:ascii="宋体" w:eastAsia="宋体" w:hAnsi="宋体" w:cs="Times New Roman" w:hint="eastAsia"/>
          <w:b/>
          <w:bCs/>
          <w:color w:val="000000"/>
          <w:sz w:val="24"/>
          <w:szCs w:val="24"/>
        </w:rPr>
        <w:t>四、投资者信息管理</w:t>
      </w:r>
    </w:p>
    <w:p w:rsidR="00D41301" w14:paraId="080ED852" w14:textId="1079DA29">
      <w:pPr>
        <w:spacing w:line="360" w:lineRule="auto"/>
        <w:ind w:firstLine="480" w:firstLineChars="200"/>
        <w:rPr>
          <w:rFonts w:ascii="宋体" w:eastAsia="宋体" w:hAnsi="宋体" w:cs="Times New Roman"/>
          <w:sz w:val="24"/>
          <w:szCs w:val="24"/>
        </w:rPr>
      </w:pPr>
      <w:r>
        <w:rPr>
          <w:rFonts w:ascii="宋体" w:eastAsia="宋体" w:hAnsi="宋体" w:cs="Times New Roman"/>
          <w:b/>
          <w:sz w:val="24"/>
          <w:szCs w:val="24"/>
        </w:rPr>
        <w:t>基于</w:t>
      </w:r>
      <w:r>
        <w:rPr>
          <w:rFonts w:ascii="宋体" w:eastAsia="宋体" w:hAnsi="宋体" w:cs="Times New Roman" w:hint="eastAsia"/>
          <w:b/>
          <w:color w:val="000000"/>
          <w:sz w:val="24"/>
          <w:szCs w:val="24"/>
        </w:rPr>
        <w:t>宁银理财</w:t>
      </w:r>
      <w:r>
        <w:rPr>
          <w:rFonts w:ascii="宋体" w:eastAsia="宋体" w:hAnsi="宋体" w:cs="Times New Roman"/>
          <w:b/>
          <w:sz w:val="24"/>
          <w:szCs w:val="24"/>
        </w:rPr>
        <w:t>履行</w:t>
      </w:r>
      <w:r>
        <w:rPr>
          <w:rFonts w:ascii="宋体" w:eastAsia="宋体" w:hAnsi="宋体" w:cs="Times New Roman" w:hint="eastAsia"/>
          <w:b/>
          <w:sz w:val="24"/>
          <w:szCs w:val="24"/>
        </w:rPr>
        <w:t>理财产品销售文件所载明的各项义务</w:t>
      </w:r>
      <w:r>
        <w:rPr>
          <w:rFonts w:ascii="宋体" w:eastAsia="宋体" w:hAnsi="宋体" w:cs="Times New Roman"/>
          <w:b/>
          <w:sz w:val="24"/>
          <w:szCs w:val="24"/>
        </w:rPr>
        <w:t>、进行服务管理和风险管理、报送监管信息</w:t>
      </w:r>
      <w:r>
        <w:rPr>
          <w:rFonts w:ascii="宋体" w:eastAsia="宋体" w:hAnsi="宋体" w:cs="Times New Roman" w:hint="eastAsia"/>
          <w:b/>
          <w:sz w:val="24"/>
          <w:szCs w:val="24"/>
        </w:rPr>
        <w:t>、</w:t>
      </w:r>
      <w:r>
        <w:rPr>
          <w:rFonts w:ascii="宋体" w:eastAsia="宋体" w:hAnsi="宋体" w:cs="Times New Roman"/>
          <w:b/>
          <w:sz w:val="24"/>
          <w:szCs w:val="24"/>
        </w:rPr>
        <w:t>履行反洗钱、</w:t>
      </w:r>
      <w:r>
        <w:rPr>
          <w:rFonts w:ascii="宋体" w:eastAsia="宋体" w:hAnsi="宋体" w:cs="Times New Roman" w:hint="eastAsia"/>
          <w:b/>
          <w:sz w:val="24"/>
          <w:szCs w:val="24"/>
        </w:rPr>
        <w:t>反恐怖融资、非居民金融账户涉税信息尽职调查、</w:t>
      </w:r>
      <w:r>
        <w:rPr>
          <w:rFonts w:ascii="宋体" w:eastAsia="宋体" w:hAnsi="宋体" w:cs="Times New Roman"/>
          <w:b/>
          <w:sz w:val="24"/>
          <w:szCs w:val="24"/>
        </w:rPr>
        <w:t>投资者资质审核和销售适当性等法律法规和监管要求的义务</w:t>
      </w:r>
      <w:r>
        <w:rPr>
          <w:rFonts w:ascii="宋体" w:eastAsia="宋体" w:hAnsi="宋体" w:cs="Times New Roman" w:hint="eastAsia"/>
          <w:b/>
          <w:sz w:val="24"/>
          <w:szCs w:val="24"/>
        </w:rPr>
        <w:t>的</w:t>
      </w:r>
      <w:r>
        <w:rPr>
          <w:rFonts w:ascii="宋体" w:eastAsia="宋体" w:hAnsi="宋体" w:cs="Times New Roman"/>
          <w:b/>
          <w:sz w:val="24"/>
          <w:szCs w:val="24"/>
        </w:rPr>
        <w:t>需要，</w:t>
      </w:r>
      <w:r>
        <w:rPr>
          <w:rFonts w:ascii="宋体" w:eastAsia="宋体" w:hAnsi="宋体" w:cs="Times New Roman" w:hint="eastAsia"/>
          <w:b/>
          <w:sz w:val="24"/>
          <w:szCs w:val="24"/>
        </w:rPr>
        <w:t>您授权</w:t>
      </w:r>
      <w:r>
        <w:rPr>
          <w:rFonts w:ascii="宋体" w:eastAsia="宋体" w:hAnsi="宋体" w:cs="Times New Roman" w:hint="eastAsia"/>
          <w:b/>
          <w:color w:val="000000"/>
          <w:sz w:val="24"/>
          <w:szCs w:val="24"/>
        </w:rPr>
        <w:t>宁银理财</w:t>
      </w:r>
      <w:r>
        <w:rPr>
          <w:rFonts w:ascii="宋体" w:eastAsia="宋体" w:hAnsi="宋体" w:cs="Times New Roman"/>
          <w:b/>
          <w:sz w:val="24"/>
          <w:szCs w:val="24"/>
        </w:rPr>
        <w:t>在业务办理或履行过程中</w:t>
      </w:r>
      <w:r>
        <w:rPr>
          <w:rFonts w:ascii="宋体" w:eastAsia="宋体" w:hAnsi="宋体" w:cs="Times New Roman" w:hint="eastAsia"/>
          <w:b/>
          <w:sz w:val="24"/>
          <w:szCs w:val="24"/>
        </w:rPr>
        <w:t>直接或通过代理销售机构间接获取并报送、处理投资者个人信息，</w:t>
      </w:r>
      <w:r>
        <w:rPr>
          <w:rFonts w:ascii="宋体" w:eastAsia="宋体" w:hAnsi="宋体" w:cs="Times New Roman" w:hint="eastAsia"/>
          <w:b/>
          <w:bCs/>
          <w:color w:val="000000" w:themeColor="text1"/>
          <w:sz w:val="24"/>
          <w:szCs w:val="24"/>
        </w:rPr>
        <w:t>处理方式为收集、存储、使用、加工、传输、提供等，个人信息包括姓名、性别、国籍或地区、职业、联系方式、地址、身份证件信息等</w:t>
      </w:r>
      <w:r>
        <w:rPr>
          <w:rFonts w:ascii="宋体" w:eastAsia="宋体" w:hAnsi="宋体" w:cs="Times New Roman" w:hint="eastAsia"/>
          <w:b/>
          <w:sz w:val="24"/>
          <w:szCs w:val="24"/>
        </w:rPr>
        <w:t>身份信息，</w:t>
      </w:r>
      <w:r>
        <w:rPr>
          <w:rFonts w:ascii="宋体" w:eastAsia="宋体" w:hAnsi="宋体" w:cs="Times New Roman" w:hint="eastAsia"/>
          <w:b/>
          <w:bCs/>
          <w:color w:val="000000" w:themeColor="text1"/>
          <w:sz w:val="24"/>
          <w:szCs w:val="24"/>
        </w:rPr>
        <w:t>理财账户、银行账户等</w:t>
      </w:r>
      <w:r>
        <w:rPr>
          <w:rFonts w:ascii="宋体" w:eastAsia="宋体" w:hAnsi="宋体" w:cs="Times New Roman" w:hint="eastAsia"/>
          <w:b/>
          <w:sz w:val="24"/>
          <w:szCs w:val="24"/>
        </w:rPr>
        <w:t>账户信息，</w:t>
      </w:r>
      <w:r>
        <w:rPr>
          <w:rFonts w:ascii="宋体" w:eastAsia="宋体" w:hAnsi="宋体" w:cs="Times New Roman" w:hint="eastAsia"/>
          <w:b/>
          <w:bCs/>
          <w:color w:val="000000" w:themeColor="text1"/>
          <w:sz w:val="24"/>
          <w:szCs w:val="24"/>
        </w:rPr>
        <w:t>风险承受能力等级、理财产</w:t>
      </w:r>
      <w:r>
        <w:rPr>
          <w:rFonts w:ascii="宋体" w:eastAsia="宋体" w:hAnsi="宋体" w:cs="Times New Roman" w:hint="eastAsia"/>
          <w:b/>
          <w:bCs/>
          <w:color w:val="000000" w:themeColor="text1"/>
          <w:sz w:val="24"/>
          <w:szCs w:val="24"/>
        </w:rPr>
        <w:t>品交易时间等金融交易信息，</w:t>
      </w:r>
      <w:r>
        <w:rPr>
          <w:rFonts w:ascii="宋体" w:eastAsia="宋体" w:hAnsi="宋体" w:cs="Times New Roman" w:hint="eastAsia"/>
          <w:b/>
          <w:sz w:val="24"/>
          <w:szCs w:val="24"/>
        </w:rPr>
        <w:t>持有理财产品信息等财产信息</w:t>
      </w:r>
      <w:r>
        <w:rPr>
          <w:rFonts w:ascii="宋体" w:eastAsia="宋体" w:hAnsi="宋体" w:cs="Times New Roman" w:hint="eastAsia"/>
          <w:b/>
          <w:bCs/>
          <w:color w:val="000000" w:themeColor="text1"/>
          <w:sz w:val="24"/>
          <w:szCs w:val="24"/>
        </w:rPr>
        <w:t>，及法律法规、监管要求或行业自律准则规定的其他信息</w:t>
      </w:r>
      <w:r>
        <w:rPr>
          <w:rFonts w:ascii="宋体" w:eastAsia="宋体" w:hAnsi="宋体" w:cs="Times New Roman" w:hint="eastAsia"/>
          <w:b/>
          <w:sz w:val="24"/>
          <w:szCs w:val="24"/>
        </w:rPr>
        <w:t>；在宁银理财履行相关法律法规、监管规定的义务及有权机关要求的情况下，授权宁银理财向银行业理财登记托管中心、监管机构及其他有权机关报送或提供上述信息；</w:t>
      </w:r>
      <w:r>
        <w:rPr>
          <w:rFonts w:ascii="宋体" w:eastAsia="宋体" w:hAnsi="宋体" w:cs="Times New Roman"/>
          <w:b/>
          <w:sz w:val="24"/>
          <w:szCs w:val="24"/>
        </w:rPr>
        <w:t>在</w:t>
      </w:r>
      <w:r>
        <w:rPr>
          <w:rFonts w:ascii="宋体" w:eastAsia="宋体" w:hAnsi="宋体" w:cs="Times New Roman" w:hint="eastAsia"/>
          <w:b/>
          <w:color w:val="000000"/>
          <w:sz w:val="24"/>
          <w:szCs w:val="24"/>
        </w:rPr>
        <w:t>宁银理财</w:t>
      </w:r>
      <w:r>
        <w:rPr>
          <w:rFonts w:ascii="宋体" w:eastAsia="宋体" w:hAnsi="宋体" w:cs="Times New Roman"/>
          <w:b/>
          <w:sz w:val="24"/>
          <w:szCs w:val="24"/>
        </w:rPr>
        <w:t>办理本协议项下相关事项所必需的情形下，</w:t>
      </w:r>
      <w:r>
        <w:rPr>
          <w:rFonts w:ascii="宋体" w:eastAsia="宋体" w:hAnsi="宋体" w:cs="Times New Roman" w:hint="eastAsia"/>
          <w:b/>
          <w:sz w:val="24"/>
          <w:szCs w:val="24"/>
        </w:rPr>
        <w:t>授权宁银理财</w:t>
      </w:r>
      <w:r>
        <w:rPr>
          <w:rFonts w:ascii="宋体" w:eastAsia="宋体" w:hAnsi="宋体" w:cs="Times New Roman"/>
          <w:b/>
          <w:sz w:val="24"/>
          <w:szCs w:val="24"/>
        </w:rPr>
        <w:t>向</w:t>
      </w:r>
      <w:r>
        <w:rPr>
          <w:rFonts w:ascii="宋体" w:eastAsia="宋体" w:hAnsi="宋体" w:cs="Times New Roman" w:hint="eastAsia"/>
          <w:b/>
          <w:color w:val="000000"/>
          <w:sz w:val="24"/>
          <w:szCs w:val="24"/>
        </w:rPr>
        <w:t>宁银理财</w:t>
      </w:r>
      <w:r>
        <w:rPr>
          <w:rFonts w:ascii="宋体" w:eastAsia="宋体" w:hAnsi="宋体" w:cs="Times New Roman"/>
          <w:b/>
          <w:sz w:val="24"/>
          <w:szCs w:val="24"/>
        </w:rPr>
        <w:t>集团成员、服务机构及其他</w:t>
      </w:r>
      <w:r>
        <w:rPr>
          <w:rFonts w:ascii="宋体" w:eastAsia="宋体" w:hAnsi="宋体" w:cs="Times New Roman" w:hint="eastAsia"/>
          <w:b/>
          <w:color w:val="000000"/>
          <w:sz w:val="24"/>
          <w:szCs w:val="24"/>
        </w:rPr>
        <w:t>宁银理财</w:t>
      </w:r>
      <w:r>
        <w:rPr>
          <w:rFonts w:ascii="宋体" w:eastAsia="宋体" w:hAnsi="宋体" w:cs="Times New Roman"/>
          <w:b/>
          <w:sz w:val="24"/>
          <w:szCs w:val="24"/>
        </w:rPr>
        <w:t>认为必要的业务合作机构（包括但不限于代理销售机构</w:t>
      </w:r>
      <w:r w:rsidR="004A3A2F">
        <w:rPr>
          <w:rFonts w:ascii="宋体" w:eastAsia="宋体" w:hAnsi="宋体" w:cs="Times New Roman" w:hint="eastAsia"/>
          <w:b/>
          <w:sz w:val="24"/>
          <w:szCs w:val="24"/>
        </w:rPr>
        <w:t>、清算服务机构</w:t>
      </w:r>
      <w:r>
        <w:rPr>
          <w:rFonts w:ascii="宋体" w:eastAsia="宋体" w:hAnsi="宋体" w:cs="Times New Roman" w:hint="eastAsia"/>
          <w:b/>
          <w:bCs/>
          <w:color w:val="000000" w:themeColor="text1"/>
          <w:sz w:val="24"/>
          <w:szCs w:val="24"/>
        </w:rPr>
        <w:t>等</w:t>
      </w:r>
      <w:r>
        <w:rPr>
          <w:rFonts w:ascii="宋体" w:eastAsia="宋体" w:hAnsi="宋体" w:cs="Times New Roman"/>
          <w:b/>
          <w:sz w:val="24"/>
          <w:szCs w:val="24"/>
        </w:rPr>
        <w:t>）提供</w:t>
      </w:r>
      <w:r>
        <w:rPr>
          <w:rFonts w:ascii="宋体" w:eastAsia="宋体" w:hAnsi="宋体" w:cs="Times New Roman" w:hint="eastAsia"/>
          <w:b/>
          <w:color w:val="000000"/>
          <w:sz w:val="24"/>
          <w:szCs w:val="24"/>
        </w:rPr>
        <w:t>宁银理财</w:t>
      </w:r>
      <w:r>
        <w:rPr>
          <w:rFonts w:ascii="宋体" w:eastAsia="宋体" w:hAnsi="宋体" w:cs="Times New Roman"/>
          <w:b/>
          <w:sz w:val="24"/>
          <w:szCs w:val="24"/>
        </w:rPr>
        <w:t>获取的</w:t>
      </w:r>
      <w:r>
        <w:rPr>
          <w:rFonts w:ascii="宋体" w:eastAsia="宋体" w:hAnsi="宋体" w:cs="Times New Roman" w:hint="eastAsia"/>
          <w:b/>
          <w:sz w:val="24"/>
          <w:szCs w:val="24"/>
        </w:rPr>
        <w:t>上述投资者</w:t>
      </w:r>
      <w:r>
        <w:rPr>
          <w:rFonts w:ascii="宋体" w:eastAsia="宋体" w:hAnsi="宋体" w:cs="Times New Roman"/>
          <w:b/>
          <w:sz w:val="24"/>
          <w:szCs w:val="24"/>
        </w:rPr>
        <w:t>信息，</w:t>
      </w:r>
      <w:r>
        <w:rPr>
          <w:rFonts w:ascii="宋体" w:eastAsia="宋体" w:hAnsi="宋体" w:cs="Times New Roman" w:hint="eastAsia"/>
          <w:b/>
          <w:sz w:val="24"/>
          <w:szCs w:val="24"/>
        </w:rPr>
        <w:t>授权使用时限与提供前述服务及履行相关法律法规和监管要求义务的必要时限一致。</w:t>
      </w:r>
      <w:r>
        <w:rPr>
          <w:rFonts w:ascii="宋体" w:eastAsia="宋体" w:hAnsi="宋体" w:cs="Times New Roman"/>
          <w:b/>
          <w:sz w:val="24"/>
          <w:szCs w:val="24"/>
        </w:rPr>
        <w:t>接收信息的</w:t>
      </w:r>
      <w:r>
        <w:rPr>
          <w:rFonts w:ascii="宋体" w:eastAsia="宋体" w:hAnsi="宋体" w:cs="Times New Roman"/>
          <w:b/>
          <w:sz w:val="24"/>
          <w:szCs w:val="24"/>
        </w:rPr>
        <w:t>上述第三</w:t>
      </w:r>
      <w:r>
        <w:rPr>
          <w:rFonts w:ascii="宋体" w:eastAsia="宋体" w:hAnsi="宋体" w:cs="Times New Roman"/>
          <w:b/>
          <w:sz w:val="24"/>
          <w:szCs w:val="24"/>
        </w:rPr>
        <w:t>方将为处理本协议项下事务之目的接触并按照</w:t>
      </w:r>
      <w:r>
        <w:rPr>
          <w:rFonts w:ascii="宋体" w:eastAsia="宋体" w:hAnsi="宋体" w:cs="Times New Roman" w:hint="eastAsia"/>
          <w:b/>
          <w:color w:val="000000"/>
          <w:sz w:val="24"/>
          <w:szCs w:val="24"/>
        </w:rPr>
        <w:t>宁银理财</w:t>
      </w:r>
      <w:r>
        <w:rPr>
          <w:rFonts w:ascii="宋体" w:eastAsia="宋体" w:hAnsi="宋体" w:cs="Times New Roman"/>
          <w:b/>
          <w:sz w:val="24"/>
          <w:szCs w:val="24"/>
        </w:rPr>
        <w:t>的业务需要</w:t>
      </w:r>
      <w:r>
        <w:rPr>
          <w:rFonts w:ascii="宋体" w:eastAsia="宋体" w:hAnsi="宋体" w:cs="Times New Roman" w:hint="eastAsia"/>
          <w:b/>
          <w:sz w:val="24"/>
          <w:szCs w:val="24"/>
        </w:rPr>
        <w:t>处理投资者</w:t>
      </w:r>
      <w:r>
        <w:rPr>
          <w:rFonts w:ascii="宋体" w:eastAsia="宋体" w:hAnsi="宋体" w:cs="Times New Roman"/>
          <w:b/>
          <w:sz w:val="24"/>
          <w:szCs w:val="24"/>
        </w:rPr>
        <w:t>信息</w:t>
      </w:r>
      <w:r>
        <w:rPr>
          <w:rFonts w:ascii="宋体" w:eastAsia="宋体" w:hAnsi="宋体" w:cs="Times New Roman" w:hint="eastAsia"/>
          <w:b/>
          <w:sz w:val="24"/>
          <w:szCs w:val="24"/>
        </w:rPr>
        <w:t>，处理方式</w:t>
      </w:r>
      <w:r>
        <w:rPr>
          <w:rFonts w:ascii="宋体" w:eastAsia="宋体" w:hAnsi="宋体" w:cs="Times New Roman" w:hint="eastAsia"/>
          <w:b/>
          <w:bCs/>
          <w:color w:val="000000" w:themeColor="text1"/>
          <w:sz w:val="24"/>
          <w:szCs w:val="24"/>
        </w:rPr>
        <w:t>包括但不限于存储、使用、加工、传输、提供等</w:t>
      </w:r>
      <w:r>
        <w:rPr>
          <w:rFonts w:ascii="宋体" w:eastAsia="宋体" w:hAnsi="宋体" w:cs="Times New Roman"/>
          <w:b/>
          <w:sz w:val="24"/>
          <w:szCs w:val="24"/>
        </w:rPr>
        <w:t>。</w:t>
      </w:r>
      <w:r w:rsidR="00DA6336">
        <w:rPr>
          <w:rFonts w:ascii="宋体" w:eastAsia="宋体" w:hAnsi="宋体" w:cs="Times New Roman" w:hint="eastAsia"/>
          <w:b/>
          <w:sz w:val="24"/>
          <w:szCs w:val="24"/>
        </w:rPr>
        <w:t>上述约定的您的</w:t>
      </w:r>
      <w:r w:rsidR="00DA6336">
        <w:rPr>
          <w:rFonts w:ascii="宋体" w:eastAsia="宋体" w:hAnsi="宋体" w:cs="Times New Roman" w:hint="eastAsia"/>
          <w:b/>
          <w:bCs/>
          <w:color w:val="000000" w:themeColor="text1"/>
          <w:sz w:val="24"/>
          <w:szCs w:val="24"/>
        </w:rPr>
        <w:t>个人信息包括敏感个人信息，敏感个人信息一旦泄露或非法使用，容易导致您的人格尊严受到侵害或者人身、财产安全受到危害。</w:t>
      </w:r>
      <w:r>
        <w:rPr>
          <w:rFonts w:ascii="宋体" w:eastAsia="宋体" w:hAnsi="宋体" w:cs="Times New Roman" w:hint="eastAsia"/>
          <w:b/>
          <w:color w:val="000000"/>
          <w:sz w:val="24"/>
          <w:szCs w:val="24"/>
        </w:rPr>
        <w:t>宁银理财</w:t>
      </w:r>
      <w:r>
        <w:rPr>
          <w:rFonts w:ascii="宋体" w:eastAsia="宋体" w:hAnsi="宋体" w:cs="Times New Roman" w:hint="eastAsia"/>
          <w:b/>
          <w:sz w:val="24"/>
          <w:szCs w:val="24"/>
        </w:rPr>
        <w:t>承诺</w:t>
      </w:r>
      <w:r w:rsidR="00DA6336">
        <w:rPr>
          <w:rFonts w:ascii="宋体" w:eastAsia="宋体" w:hAnsi="宋体" w:cs="Times New Roman" w:hint="eastAsia"/>
          <w:b/>
          <w:sz w:val="24"/>
          <w:szCs w:val="24"/>
        </w:rPr>
        <w:t>，宁银理财</w:t>
      </w:r>
      <w:r w:rsidR="00DA6336">
        <w:rPr>
          <w:rFonts w:ascii="宋体" w:eastAsia="宋体" w:hAnsi="宋体" w:cs="Times New Roman"/>
          <w:b/>
          <w:bCs/>
          <w:color w:val="000000" w:themeColor="text1"/>
          <w:sz w:val="24"/>
          <w:szCs w:val="24"/>
        </w:rPr>
        <w:t>及</w:t>
      </w:r>
      <w:r w:rsidR="00DA6336">
        <w:rPr>
          <w:rFonts w:ascii="宋体" w:eastAsia="宋体" w:hAnsi="宋体" w:cs="Times New Roman" w:hint="eastAsia"/>
          <w:b/>
          <w:bCs/>
          <w:color w:val="000000" w:themeColor="text1"/>
          <w:sz w:val="24"/>
          <w:szCs w:val="24"/>
        </w:rPr>
        <w:t>第三</w:t>
      </w:r>
      <w:r w:rsidR="00DA6336">
        <w:rPr>
          <w:rFonts w:ascii="宋体" w:eastAsia="宋体" w:hAnsi="宋体" w:cs="Times New Roman" w:hint="eastAsia"/>
          <w:b/>
          <w:bCs/>
          <w:color w:val="000000" w:themeColor="text1"/>
          <w:sz w:val="24"/>
          <w:szCs w:val="24"/>
        </w:rPr>
        <w:t>方</w:t>
      </w:r>
      <w:r w:rsidR="00DA6336">
        <w:rPr>
          <w:rFonts w:ascii="宋体" w:eastAsia="宋体" w:hAnsi="宋体" w:cs="Times New Roman"/>
          <w:b/>
          <w:bCs/>
          <w:color w:val="000000" w:themeColor="text1"/>
          <w:sz w:val="24"/>
          <w:szCs w:val="24"/>
        </w:rPr>
        <w:t>业务</w:t>
      </w:r>
      <w:r w:rsidR="00DA6336">
        <w:rPr>
          <w:rFonts w:ascii="宋体" w:eastAsia="宋体" w:hAnsi="宋体" w:cs="Times New Roman"/>
          <w:b/>
          <w:bCs/>
          <w:color w:val="000000" w:themeColor="text1"/>
          <w:sz w:val="24"/>
          <w:szCs w:val="24"/>
        </w:rPr>
        <w:t>合作机构</w:t>
      </w:r>
      <w:r w:rsidR="00DA6336">
        <w:rPr>
          <w:rFonts w:ascii="宋体" w:eastAsia="宋体" w:hAnsi="宋体" w:cs="Times New Roman" w:hint="eastAsia"/>
          <w:b/>
          <w:bCs/>
          <w:color w:val="000000" w:themeColor="text1"/>
          <w:sz w:val="24"/>
          <w:szCs w:val="24"/>
        </w:rPr>
        <w:t>基于上述目的处理个人信息（包括</w:t>
      </w:r>
      <w:r w:rsidR="00DA6336">
        <w:rPr>
          <w:rFonts w:ascii="宋体" w:eastAsia="宋体" w:hAnsi="宋体" w:cs="Times New Roman"/>
          <w:b/>
          <w:bCs/>
          <w:color w:val="000000" w:themeColor="text1"/>
          <w:sz w:val="24"/>
          <w:szCs w:val="24"/>
        </w:rPr>
        <w:t>敏感个人信息）</w:t>
      </w:r>
      <w:r w:rsidR="00DA6336">
        <w:rPr>
          <w:rFonts w:ascii="宋体" w:eastAsia="宋体" w:hAnsi="宋体" w:cs="Times New Roman" w:hint="eastAsia"/>
          <w:b/>
          <w:bCs/>
          <w:color w:val="000000" w:themeColor="text1"/>
          <w:sz w:val="24"/>
          <w:szCs w:val="24"/>
        </w:rPr>
        <w:t>为提供服务或满足合</w:t>
      </w:r>
      <w:r w:rsidR="00DA6336">
        <w:rPr>
          <w:rFonts w:ascii="宋体" w:eastAsia="宋体" w:hAnsi="宋体" w:cs="Times New Roman" w:hint="eastAsia"/>
          <w:b/>
          <w:bCs/>
          <w:color w:val="000000" w:themeColor="text1"/>
          <w:sz w:val="24"/>
          <w:szCs w:val="24"/>
        </w:rPr>
        <w:t>规</w:t>
      </w:r>
      <w:r w:rsidR="00DA6336">
        <w:rPr>
          <w:rFonts w:ascii="宋体" w:eastAsia="宋体" w:hAnsi="宋体" w:cs="Times New Roman" w:hint="eastAsia"/>
          <w:b/>
          <w:bCs/>
          <w:color w:val="000000" w:themeColor="text1"/>
          <w:sz w:val="24"/>
          <w:szCs w:val="24"/>
        </w:rPr>
        <w:t>要求所必须，宁银理财</w:t>
      </w:r>
      <w:r>
        <w:rPr>
          <w:rFonts w:ascii="宋体" w:eastAsia="宋体" w:hAnsi="宋体" w:cs="Times New Roman" w:hint="eastAsia"/>
          <w:b/>
          <w:sz w:val="24"/>
          <w:szCs w:val="24"/>
        </w:rPr>
        <w:t>将向有关第三</w:t>
      </w:r>
      <w:r>
        <w:rPr>
          <w:rFonts w:ascii="宋体" w:eastAsia="宋体" w:hAnsi="宋体" w:cs="Times New Roman" w:hint="eastAsia"/>
          <w:b/>
          <w:sz w:val="24"/>
          <w:szCs w:val="24"/>
        </w:rPr>
        <w:t>方明确</w:t>
      </w:r>
      <w:r>
        <w:rPr>
          <w:rFonts w:ascii="宋体" w:eastAsia="宋体" w:hAnsi="宋体" w:cs="Times New Roman" w:hint="eastAsia"/>
          <w:b/>
          <w:sz w:val="24"/>
          <w:szCs w:val="24"/>
        </w:rPr>
        <w:t>其保护投资者信息的职责并要求第三方承担相应保密义务</w:t>
      </w:r>
      <w:r w:rsidR="00DA6336">
        <w:rPr>
          <w:rFonts w:ascii="宋体" w:eastAsia="宋体" w:hAnsi="宋体" w:cs="Times New Roman" w:hint="eastAsia"/>
          <w:b/>
          <w:sz w:val="24"/>
          <w:szCs w:val="24"/>
        </w:rPr>
        <w:t>，严格按照</w:t>
      </w:r>
      <w:r w:rsidR="00DA6336">
        <w:rPr>
          <w:rFonts w:ascii="宋体" w:eastAsia="宋体" w:hAnsi="宋体" w:cs="Times New Roman" w:hint="eastAsia"/>
          <w:b/>
          <w:bCs/>
          <w:color w:val="000000" w:themeColor="text1"/>
          <w:sz w:val="24"/>
          <w:szCs w:val="24"/>
        </w:rPr>
        <w:t>相关法律法规及上述约定开展信息处理行为并采取安全保护措施</w:t>
      </w:r>
      <w:r>
        <w:rPr>
          <w:rFonts w:ascii="宋体" w:eastAsia="宋体" w:hAnsi="宋体" w:cs="Times New Roman" w:hint="eastAsia"/>
          <w:b/>
          <w:sz w:val="24"/>
          <w:szCs w:val="24"/>
        </w:rPr>
        <w:t>。宁银理财将妥善保管投资者理财产品销售相关资料，保管年限不低于《中华人民共和国反洗钱法》、《理财公司理财产品销售管理暂行办法》等法律法规及监管规定的年限；超出必要保管期限后，宁银理财、销售机构及其他第三方合作机构（如有）将及时删除投资者的档案（包括以电子化形式以及纸质文本形式保管的投资者个人信息）。</w:t>
      </w:r>
      <w:r>
        <w:rPr>
          <w:rFonts w:ascii="宋体" w:eastAsia="宋体" w:hAnsi="宋体" w:cs="Times New Roman" w:hint="eastAsia"/>
          <w:b/>
          <w:bCs/>
          <w:color w:val="000000" w:themeColor="text1"/>
          <w:sz w:val="24"/>
          <w:szCs w:val="24"/>
        </w:rPr>
        <w:t>如您对第三方机构处理您的个人信息活动有疑问或要求，您可以通过《理财产品说明书》、第三方机构的官方网站（如有）、第三方机构的官方公众号（如有）等渠道获取相应的联系方式以行使您的个人信息权利，或者直接联系我们。</w:t>
      </w:r>
    </w:p>
    <w:p w:rsidR="00D41301" w14:paraId="3C8D6A2D" w14:textId="77777777">
      <w:pPr>
        <w:spacing w:line="312" w:lineRule="auto"/>
        <w:ind w:firstLine="480" w:firstLineChars="200"/>
        <w:outlineLvl w:val="0"/>
        <w:rPr>
          <w:rFonts w:ascii="宋体" w:eastAsia="宋体" w:hAnsi="宋体" w:cs="Times New Roman"/>
          <w:b/>
          <w:bCs/>
          <w:color w:val="000000"/>
          <w:sz w:val="24"/>
          <w:szCs w:val="24"/>
        </w:rPr>
      </w:pPr>
      <w:r>
        <w:rPr>
          <w:rFonts w:ascii="宋体" w:eastAsia="宋体" w:hAnsi="宋体" w:cs="Times New Roman" w:hint="eastAsia"/>
          <w:b/>
          <w:bCs/>
          <w:color w:val="000000"/>
          <w:sz w:val="24"/>
          <w:szCs w:val="24"/>
        </w:rPr>
        <w:t>五、投诉及建议</w:t>
      </w:r>
    </w:p>
    <w:p w:rsidR="00D41301" w14:paraId="182F1685" w14:textId="77777777">
      <w:pPr>
        <w:spacing w:line="312" w:lineRule="auto"/>
        <w:ind w:firstLine="480" w:firstLineChars="200"/>
        <w:rPr>
          <w:rFonts w:ascii="宋体" w:eastAsia="宋体" w:hAnsi="宋体" w:cs="Times New Roman"/>
          <w:b/>
          <w:color w:val="000000"/>
          <w:sz w:val="24"/>
          <w:szCs w:val="24"/>
        </w:rPr>
      </w:pPr>
      <w:r>
        <w:rPr>
          <w:rFonts w:ascii="宋体" w:eastAsia="宋体" w:hAnsi="宋体" w:cs="Times New Roman" w:hint="eastAsia"/>
          <w:b/>
          <w:color w:val="000000"/>
          <w:sz w:val="24"/>
          <w:szCs w:val="24"/>
        </w:rPr>
        <w:t>若您对本理财产品有任何投诉或建议，请拨打宁银理财客服热线、拨打代理销售机构客服热线或反馈至代理销售机构营业网点，宁银理财或代理销售机构将对您所反映的情况和建议作及时的处理和反馈。</w:t>
      </w:r>
    </w:p>
    <w:p w:rsidR="00D41301" w14:paraId="617F9B72" w14:textId="77777777">
      <w:pPr>
        <w:spacing w:line="312" w:lineRule="auto"/>
        <w:ind w:firstLine="480" w:firstLineChars="200"/>
        <w:rPr>
          <w:rFonts w:ascii="宋体" w:eastAsia="宋体" w:hAnsi="宋体" w:cs="Times New Roman"/>
          <w:b/>
          <w:bCs/>
          <w:color w:val="000000"/>
          <w:sz w:val="24"/>
          <w:szCs w:val="24"/>
        </w:rPr>
      </w:pPr>
      <w:r>
        <w:rPr>
          <w:rFonts w:ascii="宋体" w:eastAsia="宋体" w:hAnsi="宋体" w:cs="Times New Roman" w:hint="eastAsia"/>
          <w:b/>
          <w:bCs/>
          <w:color w:val="000000"/>
          <w:sz w:val="24"/>
          <w:szCs w:val="24"/>
        </w:rPr>
        <w:t>六</w:t>
      </w:r>
      <w:r>
        <w:rPr>
          <w:rFonts w:ascii="宋体" w:eastAsia="宋体" w:hAnsi="宋体" w:cs="Times New Roman"/>
          <w:b/>
          <w:bCs/>
          <w:color w:val="000000"/>
          <w:sz w:val="24"/>
          <w:szCs w:val="24"/>
        </w:rPr>
        <w:t>、</w:t>
      </w:r>
      <w:r>
        <w:rPr>
          <w:rFonts w:ascii="宋体" w:eastAsia="宋体" w:hAnsi="宋体" w:cs="Times New Roman" w:hint="eastAsia"/>
          <w:b/>
          <w:bCs/>
          <w:color w:val="000000"/>
          <w:sz w:val="24"/>
          <w:szCs w:val="24"/>
        </w:rPr>
        <w:t>宁银理财</w:t>
      </w:r>
      <w:r>
        <w:rPr>
          <w:rFonts w:ascii="宋体" w:eastAsia="宋体" w:hAnsi="宋体" w:cs="Times New Roman"/>
          <w:b/>
          <w:bCs/>
          <w:color w:val="000000"/>
          <w:sz w:val="24"/>
          <w:szCs w:val="24"/>
        </w:rPr>
        <w:t>联络方式</w:t>
      </w:r>
    </w:p>
    <w:p w:rsidR="00EB674E" w:rsidRPr="00242126" w:rsidP="00EB674E" w14:paraId="74FFCFFC" w14:textId="77777777">
      <w:pPr>
        <w:spacing w:line="312" w:lineRule="auto"/>
        <w:ind w:firstLine="1200" w:firstLineChars="500"/>
        <w:rPr>
          <w:rFonts w:ascii="宋体" w:eastAsia="宋体" w:hAnsi="宋体" w:cs="Times New Roman"/>
          <w:color w:val="000000"/>
          <w:sz w:val="24"/>
          <w:szCs w:val="24"/>
        </w:rPr>
      </w:pPr>
      <w:r w:rsidRPr="00242126">
        <w:rPr>
          <w:rFonts w:ascii="宋体" w:eastAsia="宋体" w:hAnsi="宋体" w:cs="Times New Roman" w:hint="eastAsia"/>
          <w:color w:val="000000"/>
          <w:sz w:val="24"/>
          <w:szCs w:val="24"/>
        </w:rPr>
        <w:t>客服热线：400-099-5574</w:t>
      </w:r>
    </w:p>
    <w:p w:rsidR="00D41301" w14:paraId="4F82E49A" w14:textId="74FA955E">
      <w:pPr>
        <w:spacing w:line="312" w:lineRule="auto"/>
        <w:ind w:firstLine="1200" w:firstLineChars="500"/>
        <w:rPr>
          <w:rFonts w:ascii="宋体" w:eastAsia="宋体" w:hAnsi="宋体" w:cs="Times New Roman"/>
          <w:color w:val="000000"/>
          <w:sz w:val="24"/>
          <w:szCs w:val="24"/>
        </w:rPr>
      </w:pPr>
      <w:r w:rsidRPr="00242126">
        <w:rPr>
          <w:rFonts w:ascii="宋体" w:eastAsia="宋体" w:hAnsi="宋体" w:cs="Times New Roman" w:hint="eastAsia"/>
          <w:color w:val="000000"/>
          <w:sz w:val="24"/>
          <w:szCs w:val="24"/>
        </w:rPr>
        <w:t>官方网站：</w:t>
      </w:r>
      <w:hyperlink r:id="rId8" w:history="1">
        <w:r w:rsidRPr="00242126">
          <w:rPr>
            <w:rFonts w:ascii="Times New Roman" w:eastAsia="宋体" w:hAnsi="Times New Roman" w:cs="Times New Roman" w:hint="eastAsia"/>
            <w:color w:val="000000"/>
            <w:szCs w:val="24"/>
          </w:rPr>
          <w:t>www.wmbnb.com</w:t>
        </w:r>
      </w:hyperlink>
    </w:p>
    <w:p w:rsidR="00D41301" w14:paraId="6B88C6E1" w14:textId="77777777">
      <w:pPr>
        <w:spacing w:line="312" w:lineRule="auto"/>
        <w:ind w:firstLine="48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七、代理销售机构联络方式</w:t>
      </w:r>
    </w:p>
    <w:p w:rsidR="00D41301" w14:paraId="794284E5" w14:textId="77777777">
      <w:pPr>
        <w:autoSpaceDE w:val="0"/>
        <w:autoSpaceDN w:val="0"/>
        <w:adjustRightInd w:val="0"/>
        <w:ind w:left="361" w:firstLine="250" w:leftChars="172" w:firstLineChars="104"/>
        <w:jc w:val="left"/>
        <w:rPr>
          <w:rFonts w:ascii="宋体" w:eastAsia="宋体" w:hAnsi="宋体" w:cs="Times New Roman"/>
          <w:color w:val="000000"/>
          <w:sz w:val="24"/>
          <w:szCs w:val="24"/>
          <w:u w:val="single"/>
        </w:rPr>
        <w:sectPr>
          <w:footerReference w:type="default" r:id="rId9"/>
          <w:pgSz w:w="11906" w:h="16838"/>
          <w:pgMar w:top="1440" w:right="1800" w:bottom="1440" w:left="1800" w:header="851" w:footer="992" w:gutter="0"/>
          <w:pgNumType w:fmt="numberInDash"/>
          <w:cols w:space="425"/>
          <w:docGrid w:type="lines" w:linePitch="312"/>
        </w:sectPr>
      </w:pPr>
      <w:r>
        <w:rPr>
          <w:rFonts w:ascii="宋体" w:eastAsia="宋体" w:hAnsi="宋体" w:cs="Times New Roman" w:hint="eastAsia"/>
          <w:color w:val="000000"/>
          <w:sz w:val="24"/>
          <w:szCs w:val="24"/>
        </w:rPr>
        <w:t>代理销售机构联系方式详见《理财产品说明书》</w:t>
      </w:r>
    </w:p>
    <w:p w:rsidR="0077147C" w14:paraId="360029BC" w14:textId="77777777">
      <w:pPr>
        <w:adjustRightInd w:val="0"/>
        <w:snapToGrid w:val="0"/>
        <w:spacing w:line="312" w:lineRule="auto"/>
        <w:jc w:val="center"/>
        <w:rPr>
          <w:rFonts w:ascii="黑体" w:eastAsia="黑体" w:hAnsi="宋体" w:cs="Times New Roman" w:hint="eastAsia"/>
          <w:b/>
          <w:sz w:val="44"/>
          <w:szCs w:val="44"/>
        </w:rPr>
      </w:pPr>
      <w:r>
        <w:rPr>
          <w:rFonts w:ascii="黑体" w:eastAsia="黑体" w:hAnsi="宋体" w:cs="Times New Roman" w:hint="eastAsia"/>
          <w:b/>
          <w:sz w:val="44"/>
          <w:szCs w:val="44"/>
        </w:rPr>
        <w:t>宁银理财</w:t>
      </w:r>
      <w:r>
        <w:rPr>
          <w:rFonts w:ascii="黑体" w:eastAsia="黑体" w:hAnsi="宋体" w:cs="Times New Roman" w:hint="eastAsia"/>
          <w:b/>
          <w:sz w:val="44"/>
          <w:szCs w:val="44"/>
        </w:rPr>
        <w:t>有限责任公司产品代理销售协议书</w:t>
      </w:r>
    </w:p>
    <w:p w:rsidR="0077147C" w14:paraId="3F4DDD33" w14:textId="71963B14">
      <w:pPr>
        <w:adjustRightInd w:val="0"/>
        <w:snapToGrid w:val="0"/>
        <w:spacing w:line="312" w:lineRule="auto"/>
        <w:jc w:val="center"/>
        <w:rPr>
          <w:rFonts w:ascii="宋体" w:eastAsia="宋体" w:hAnsi="宋体" w:cs="Times New Roman" w:hint="eastAsia"/>
          <w:b/>
          <w:sz w:val="24"/>
          <w:szCs w:val="24"/>
        </w:rPr>
      </w:pPr>
      <w:r>
        <w:rPr>
          <w:rFonts w:ascii="宋体" w:eastAsia="宋体" w:hAnsi="宋体" w:cs="Times New Roman" w:hint="eastAsia"/>
          <w:b/>
          <w:sz w:val="24"/>
          <w:szCs w:val="24"/>
        </w:rPr>
        <w:t>（</w:t>
      </w:r>
      <w:r w:rsidR="00494FE7">
        <w:rPr>
          <w:rFonts w:ascii="宋体" w:eastAsia="宋体" w:hAnsi="宋体" w:cs="Times New Roman"/>
          <w:b/>
          <w:sz w:val="24"/>
          <w:szCs w:val="24"/>
        </w:rPr>
        <w:t>202601</w:t>
      </w:r>
      <w:r>
        <w:rPr>
          <w:rFonts w:ascii="宋体" w:eastAsia="宋体" w:hAnsi="宋体" w:cs="Times New Roman" w:hint="eastAsia"/>
          <w:b/>
          <w:sz w:val="24"/>
          <w:szCs w:val="24"/>
        </w:rPr>
        <w:t>版）</w:t>
      </w:r>
    </w:p>
    <w:p w:rsidR="0077147C" w14:paraId="292BC771" w14:textId="3F6E0F43">
      <w:pPr>
        <w:adjustRightInd w:val="0"/>
        <w:snapToGrid w:val="0"/>
        <w:spacing w:line="312" w:lineRule="auto"/>
        <w:rPr>
          <w:rFonts w:ascii="宋体" w:eastAsia="宋体" w:hAnsi="宋体" w:cs="Times New Roman" w:hint="eastAsia"/>
          <w:sz w:val="24"/>
          <w:szCs w:val="24"/>
        </w:rPr>
      </w:pPr>
      <w:r>
        <w:rPr>
          <w:rFonts w:ascii="宋体" w:eastAsia="宋体" w:hAnsi="宋体" w:cs="Times New Roman" w:hint="eastAsia"/>
          <w:sz w:val="24"/>
          <w:szCs w:val="24"/>
        </w:rPr>
        <w:t xml:space="preserve"> </w:t>
      </w:r>
      <w:r>
        <w:rPr>
          <w:rFonts w:ascii="宋体" w:eastAsia="宋体" w:hAnsi="宋体" w:cs="Times New Roman"/>
          <w:sz w:val="24"/>
          <w:szCs w:val="24"/>
        </w:rPr>
        <w:t xml:space="preserve">    </w:t>
      </w:r>
      <w:r w:rsidRPr="00322831" w:rsidR="00322831">
        <w:rPr>
          <w:rFonts w:ascii="宋体" w:eastAsia="宋体" w:hAnsi="宋体" w:cs="Times New Roman" w:hint="eastAsia"/>
          <w:sz w:val="24"/>
          <w:szCs w:val="24"/>
        </w:rPr>
        <w:t>沧州银行股份有限公司</w:t>
      </w:r>
      <w:r>
        <w:rPr>
          <w:rFonts w:ascii="宋体" w:eastAsia="宋体" w:hAnsi="宋体" w:cs="Times New Roman" w:hint="eastAsia"/>
          <w:sz w:val="24"/>
          <w:szCs w:val="24"/>
        </w:rPr>
        <w:t>（以下简称“乙方”）与其代理销售的理财产品的购买方（以下简称“甲方”）经平等友好协商，本着自愿、诚实信用的原则，就乙方向甲方销售理财产品及提供理财服务相关</w:t>
      </w:r>
      <w:r>
        <w:rPr>
          <w:rFonts w:ascii="宋体" w:eastAsia="宋体" w:hAnsi="宋体" w:cs="Times New Roman"/>
          <w:sz w:val="24"/>
          <w:szCs w:val="24"/>
        </w:rPr>
        <w:t>事宜</w:t>
      </w:r>
      <w:r>
        <w:rPr>
          <w:rFonts w:ascii="宋体" w:eastAsia="宋体" w:hAnsi="宋体" w:cs="Times New Roman" w:hint="eastAsia"/>
          <w:sz w:val="24"/>
          <w:szCs w:val="24"/>
        </w:rPr>
        <w:t>，达成如下协议（以下</w:t>
      </w:r>
      <w:r>
        <w:rPr>
          <w:rFonts w:ascii="宋体" w:eastAsia="宋体" w:hAnsi="宋体" w:cs="Times New Roman"/>
          <w:sz w:val="24"/>
          <w:szCs w:val="24"/>
        </w:rPr>
        <w:t>简称“</w:t>
      </w:r>
      <w:r>
        <w:rPr>
          <w:rFonts w:ascii="宋体" w:eastAsia="宋体" w:hAnsi="宋体" w:cs="Times New Roman" w:hint="eastAsia"/>
          <w:sz w:val="24"/>
          <w:szCs w:val="24"/>
        </w:rPr>
        <w:t>本协议</w:t>
      </w:r>
      <w:r>
        <w:rPr>
          <w:rFonts w:ascii="宋体" w:eastAsia="宋体" w:hAnsi="宋体" w:cs="Times New Roman"/>
          <w:sz w:val="24"/>
          <w:szCs w:val="24"/>
        </w:rPr>
        <w:t>”）</w:t>
      </w:r>
      <w:r>
        <w:rPr>
          <w:rFonts w:ascii="宋体" w:eastAsia="宋体" w:hAnsi="宋体" w:cs="Times New Roman" w:hint="eastAsia"/>
          <w:sz w:val="24"/>
          <w:szCs w:val="24"/>
        </w:rPr>
        <w:t>：</w:t>
      </w:r>
    </w:p>
    <w:p w:rsidR="0077147C" w14:paraId="7E2648D8" w14:textId="500CAF78">
      <w:pPr>
        <w:adjustRightInd w:val="0"/>
        <w:snapToGrid w:val="0"/>
        <w:spacing w:line="312" w:lineRule="auto"/>
        <w:ind w:firstLine="470" w:firstLineChars="196"/>
        <w:rPr>
          <w:rFonts w:ascii="黑体" w:eastAsia="宋体" w:hAnsi="黑体" w:cs="Times New Roman" w:hint="eastAsia"/>
          <w:b/>
          <w:sz w:val="24"/>
          <w:szCs w:val="24"/>
        </w:rPr>
      </w:pPr>
      <w:r>
        <w:rPr>
          <w:rFonts w:ascii="黑体" w:eastAsia="宋体" w:hAnsi="黑体" w:cs="Times New Roman"/>
          <w:b/>
          <w:sz w:val="24"/>
          <w:szCs w:val="24"/>
        </w:rPr>
        <w:t>第</w:t>
      </w:r>
      <w:r>
        <w:rPr>
          <w:rFonts w:ascii="黑体" w:eastAsia="宋体" w:hAnsi="黑体" w:cs="Times New Roman" w:hint="eastAsia"/>
          <w:b/>
          <w:sz w:val="24"/>
          <w:szCs w:val="24"/>
        </w:rPr>
        <w:t>一</w:t>
      </w:r>
      <w:r>
        <w:rPr>
          <w:rFonts w:ascii="黑体" w:eastAsia="宋体" w:hAnsi="黑体" w:cs="Times New Roman"/>
          <w:b/>
          <w:sz w:val="24"/>
          <w:szCs w:val="24"/>
        </w:rPr>
        <w:t>条</w:t>
      </w:r>
      <w:r>
        <w:rPr>
          <w:rFonts w:ascii="黑体" w:eastAsia="宋体" w:hAnsi="黑体" w:cs="Times New Roman"/>
          <w:b/>
          <w:sz w:val="24"/>
          <w:szCs w:val="24"/>
        </w:rPr>
        <w:t xml:space="preserve"> </w:t>
      </w:r>
      <w:r>
        <w:rPr>
          <w:rFonts w:ascii="黑体" w:eastAsia="宋体" w:hAnsi="黑体" w:cs="Times New Roman" w:hint="eastAsia"/>
          <w:b/>
          <w:sz w:val="24"/>
          <w:szCs w:val="24"/>
        </w:rPr>
        <w:t>本理财产品非乙方所发行的理财产品，</w:t>
      </w:r>
      <w:r>
        <w:rPr>
          <w:rFonts w:ascii="黑体" w:eastAsia="宋体" w:hAnsi="黑体" w:cs="Times New Roman" w:hint="eastAsia"/>
          <w:b/>
          <w:sz w:val="24"/>
          <w:szCs w:val="24"/>
        </w:rPr>
        <w:t>乙方仅</w:t>
      </w:r>
      <w:r>
        <w:rPr>
          <w:rFonts w:ascii="黑体" w:eastAsia="宋体" w:hAnsi="黑体" w:cs="Times New Roman" w:hint="eastAsia"/>
          <w:b/>
          <w:sz w:val="24"/>
          <w:szCs w:val="24"/>
        </w:rPr>
        <w:t>作为本产品的代理销售机构，本产品</w:t>
      </w:r>
      <w:r>
        <w:rPr>
          <w:rFonts w:ascii="黑体" w:eastAsia="宋体" w:hAnsi="黑体" w:cs="Times New Roman" w:hint="eastAsia"/>
          <w:b/>
          <w:sz w:val="24"/>
          <w:szCs w:val="24"/>
        </w:rPr>
        <w:t>由宁银理财</w:t>
      </w:r>
      <w:r>
        <w:rPr>
          <w:rFonts w:ascii="黑体" w:eastAsia="宋体" w:hAnsi="黑体" w:cs="Times New Roman" w:hint="eastAsia"/>
          <w:b/>
          <w:sz w:val="24"/>
          <w:szCs w:val="24"/>
        </w:rPr>
        <w:t>有限责任公司发行与管理，</w:t>
      </w:r>
      <w:r w:rsidRPr="00322831" w:rsidR="00322831">
        <w:rPr>
          <w:rFonts w:ascii="宋体" w:eastAsia="宋体" w:hAnsi="宋体" w:cs="Times New Roman" w:hint="eastAsia"/>
          <w:b/>
          <w:sz w:val="24"/>
          <w:szCs w:val="24"/>
        </w:rPr>
        <w:t>沧州银行股份有限公司</w:t>
      </w:r>
      <w:r>
        <w:rPr>
          <w:rFonts w:ascii="黑体" w:eastAsia="宋体" w:hAnsi="黑体" w:cs="Times New Roman" w:hint="eastAsia"/>
          <w:b/>
          <w:sz w:val="24"/>
          <w:szCs w:val="24"/>
        </w:rPr>
        <w:t>作为代销机构不承担产品的投资和兑付责任。乙方受理的代理销售理财产品业务申请，以产品管理人的最终确认结果为准。</w:t>
      </w:r>
    </w:p>
    <w:p w:rsidR="0077147C" w14:paraId="0F8F12B2" w14:textId="77777777">
      <w:pPr>
        <w:adjustRightInd w:val="0"/>
        <w:snapToGrid w:val="0"/>
        <w:spacing w:line="312" w:lineRule="auto"/>
        <w:ind w:firstLine="470" w:firstLineChars="196"/>
        <w:rPr>
          <w:rFonts w:ascii="宋体" w:eastAsia="宋体" w:hAnsi="宋体" w:cs="Times New Roman" w:hint="eastAsia"/>
          <w:b/>
          <w:sz w:val="24"/>
          <w:szCs w:val="24"/>
        </w:rPr>
      </w:pPr>
      <w:r>
        <w:rPr>
          <w:rFonts w:ascii="宋体" w:eastAsia="宋体" w:hAnsi="宋体" w:cs="Times New Roman" w:hint="eastAsia"/>
          <w:b/>
          <w:bCs/>
          <w:sz w:val="24"/>
          <w:szCs w:val="24"/>
        </w:rPr>
        <w:t>第二</w:t>
      </w:r>
      <w:r>
        <w:rPr>
          <w:rFonts w:ascii="宋体" w:eastAsia="宋体" w:hAnsi="宋体" w:cs="Times New Roman" w:hint="eastAsia"/>
          <w:b/>
          <w:sz w:val="24"/>
          <w:szCs w:val="24"/>
        </w:rPr>
        <w:t>条 释义</w:t>
      </w:r>
    </w:p>
    <w:p w:rsidR="0077147C" w14:paraId="7ECCE591" w14:textId="77777777">
      <w:pPr>
        <w:adjustRightInd w:val="0"/>
        <w:snapToGrid w:val="0"/>
        <w:spacing w:line="312" w:lineRule="auto"/>
        <w:ind w:firstLine="540" w:firstLineChars="225"/>
        <w:jc w:val="left"/>
        <w:rPr>
          <w:rFonts w:ascii="宋体" w:eastAsia="宋体" w:hAnsi="宋体" w:cs="Times New Roman" w:hint="eastAsia"/>
          <w:bCs/>
          <w:sz w:val="24"/>
          <w:szCs w:val="24"/>
        </w:rPr>
      </w:pPr>
      <w:r>
        <w:rPr>
          <w:rFonts w:ascii="宋体" w:eastAsia="宋体" w:hAnsi="宋体" w:cs="Times New Roman" w:hint="eastAsia"/>
          <w:bCs/>
          <w:sz w:val="24"/>
          <w:szCs w:val="24"/>
        </w:rPr>
        <w:t>甲方与乙方约定，本协议及本理财产品的《理财产品说明书》、《风险揭示书》、《投资协议书》、《投资者权益须知》等理财产品销售文件中所涉以下名词均具有以下含义：</w:t>
      </w:r>
    </w:p>
    <w:p w:rsidR="0077147C" w14:paraId="3FA20DD7" w14:textId="77777777">
      <w:pPr>
        <w:numPr>
          <w:ilvl w:val="0"/>
          <w:numId w:val="3"/>
        </w:numPr>
        <w:adjustRightInd w:val="0"/>
        <w:snapToGrid w:val="0"/>
        <w:spacing w:line="312" w:lineRule="auto"/>
        <w:ind w:left="1200" w:hanging="720" w:firstLineChars="0"/>
        <w:jc w:val="left"/>
        <w:rPr>
          <w:rFonts w:ascii="黑体" w:eastAsia="宋体" w:hAnsi="黑体" w:cs="Times New Roman" w:hint="eastAsia"/>
          <w:b/>
          <w:sz w:val="24"/>
          <w:szCs w:val="24"/>
        </w:rPr>
      </w:pPr>
      <w:r>
        <w:rPr>
          <w:rFonts w:ascii="黑体" w:eastAsia="宋体" w:hAnsi="黑体" w:cs="Times New Roman" w:hint="eastAsia"/>
          <w:b/>
          <w:sz w:val="24"/>
          <w:szCs w:val="24"/>
        </w:rPr>
        <w:t>理财计划</w:t>
      </w:r>
      <w:r>
        <w:rPr>
          <w:rFonts w:ascii="黑体" w:eastAsia="宋体" w:hAnsi="黑体" w:cs="Times New Roman"/>
          <w:b/>
          <w:sz w:val="24"/>
          <w:szCs w:val="24"/>
        </w:rPr>
        <w:t>/</w:t>
      </w:r>
      <w:r>
        <w:rPr>
          <w:rFonts w:ascii="黑体" w:eastAsia="宋体" w:hAnsi="黑体" w:cs="Times New Roman" w:hint="eastAsia"/>
          <w:b/>
          <w:sz w:val="24"/>
          <w:szCs w:val="24"/>
        </w:rPr>
        <w:t>理财产品</w:t>
      </w:r>
      <w:r>
        <w:rPr>
          <w:rFonts w:ascii="黑体" w:eastAsia="宋体" w:hAnsi="黑体" w:cs="Times New Roman"/>
          <w:b/>
          <w:sz w:val="24"/>
          <w:szCs w:val="24"/>
        </w:rPr>
        <w:t>/</w:t>
      </w:r>
      <w:r>
        <w:rPr>
          <w:rFonts w:ascii="黑体" w:eastAsia="宋体" w:hAnsi="黑体" w:cs="Times New Roman" w:hint="eastAsia"/>
          <w:b/>
          <w:sz w:val="24"/>
          <w:szCs w:val="24"/>
        </w:rPr>
        <w:t>产品：指乙方代理销售的宁银理财有限责任公司</w:t>
      </w:r>
      <w:r>
        <w:rPr>
          <w:rFonts w:ascii="宋体" w:eastAsia="宋体" w:hAnsi="宋体" w:cs="Times New Roman" w:hint="eastAsia"/>
          <w:b/>
          <w:bCs/>
          <w:sz w:val="24"/>
          <w:szCs w:val="24"/>
        </w:rPr>
        <w:t>担任产品管理人的理财</w:t>
      </w:r>
      <w:r>
        <w:rPr>
          <w:rFonts w:ascii="黑体" w:eastAsia="宋体" w:hAnsi="黑体" w:cs="Times New Roman" w:hint="eastAsia"/>
          <w:b/>
          <w:sz w:val="24"/>
          <w:szCs w:val="24"/>
        </w:rPr>
        <w:t>产品，具体产品信息详见《理财产品说明书》。</w:t>
      </w:r>
    </w:p>
    <w:p w:rsidR="0077147C" w14:paraId="4BA9BBE2" w14:textId="77777777">
      <w:pPr>
        <w:numPr>
          <w:ilvl w:val="0"/>
          <w:numId w:val="3"/>
        </w:numPr>
        <w:adjustRightInd w:val="0"/>
        <w:snapToGrid w:val="0"/>
        <w:spacing w:line="312" w:lineRule="auto"/>
        <w:ind w:left="1200" w:hanging="720" w:firstLineChars="0"/>
        <w:jc w:val="left"/>
        <w:rPr>
          <w:rFonts w:ascii="宋体" w:eastAsia="宋体" w:hAnsi="宋体" w:cs="Times New Roman" w:hint="eastAsia"/>
          <w:bCs/>
          <w:sz w:val="24"/>
          <w:szCs w:val="24"/>
        </w:rPr>
      </w:pPr>
      <w:r>
        <w:rPr>
          <w:rFonts w:ascii="宋体" w:eastAsia="宋体" w:hAnsi="宋体" w:cs="Times New Roman" w:hint="eastAsia"/>
          <w:bCs/>
          <w:sz w:val="24"/>
          <w:szCs w:val="24"/>
        </w:rPr>
        <w:t>管理机构/产品管理人：指宁银理财有限责任公司。</w:t>
      </w:r>
    </w:p>
    <w:p w:rsidR="0077147C" w14:paraId="4999B1CE"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sz w:val="24"/>
          <w:szCs w:val="24"/>
        </w:rPr>
        <w:t>（三）投资者指定账户</w:t>
      </w:r>
      <w:r>
        <w:rPr>
          <w:rFonts w:ascii="宋体" w:eastAsia="宋体" w:hAnsi="宋体" w:cs="Times New Roman"/>
          <w:sz w:val="24"/>
          <w:szCs w:val="24"/>
        </w:rPr>
        <w:t>/</w:t>
      </w:r>
      <w:r>
        <w:rPr>
          <w:rFonts w:ascii="宋体" w:eastAsia="宋体" w:hAnsi="宋体" w:cs="Times New Roman" w:hint="eastAsia"/>
          <w:sz w:val="24"/>
          <w:szCs w:val="24"/>
        </w:rPr>
        <w:t>甲方指定账户：指甲方开立的用于本产品资金划转的银行账户，资金划转行为包括但不限于认（申）购时的本金扣划，赎回</w:t>
      </w:r>
      <w:r>
        <w:rPr>
          <w:rFonts w:ascii="宋体" w:eastAsia="宋体" w:hAnsi="宋体" w:cs="Times New Roman"/>
          <w:sz w:val="24"/>
          <w:szCs w:val="24"/>
        </w:rPr>
        <w:t>/</w:t>
      </w:r>
      <w:r>
        <w:rPr>
          <w:rFonts w:ascii="宋体" w:eastAsia="宋体" w:hAnsi="宋体" w:cs="Times New Roman" w:hint="eastAsia"/>
          <w:sz w:val="24"/>
          <w:szCs w:val="24"/>
        </w:rPr>
        <w:t>到期时的本金（如有）及收益（如有）划付</w:t>
      </w:r>
      <w:r>
        <w:rPr>
          <w:rFonts w:ascii="Times New Roman" w:eastAsia="宋体" w:hAnsi="Times New Roman" w:cs="Times New Roman" w:hint="eastAsia"/>
          <w:sz w:val="24"/>
          <w:szCs w:val="24"/>
        </w:rPr>
        <w:t>等</w:t>
      </w:r>
      <w:r>
        <w:rPr>
          <w:rFonts w:ascii="宋体" w:eastAsia="宋体" w:hAnsi="宋体" w:cs="Times New Roman" w:hint="eastAsia"/>
          <w:sz w:val="24"/>
          <w:szCs w:val="24"/>
        </w:rPr>
        <w:t>。</w:t>
      </w:r>
    </w:p>
    <w:p w:rsidR="0077147C" w14:paraId="28470A79"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sz w:val="24"/>
          <w:szCs w:val="24"/>
        </w:rPr>
        <w:t>（四）募集期：是指</w:t>
      </w:r>
      <w:r>
        <w:rPr>
          <w:rFonts w:ascii="宋体" w:eastAsia="宋体" w:hAnsi="宋体" w:cs="Times New Roman" w:hint="eastAsia"/>
          <w:color w:val="000000"/>
          <w:sz w:val="24"/>
          <w:szCs w:val="24"/>
        </w:rPr>
        <w:t>产品管理人</w:t>
      </w:r>
      <w:r>
        <w:rPr>
          <w:rFonts w:ascii="宋体" w:eastAsia="宋体" w:hAnsi="宋体" w:cs="Times New Roman" w:hint="eastAsia"/>
          <w:sz w:val="24"/>
          <w:szCs w:val="24"/>
        </w:rPr>
        <w:t>确定的可接受投资者对于理财产品认购申请的时间区间。</w:t>
      </w:r>
    </w:p>
    <w:p w:rsidR="0077147C" w14:paraId="4869873E"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sz w:val="24"/>
          <w:szCs w:val="24"/>
        </w:rPr>
        <w:t>（五）工作日：详见《理财产品说明书》。</w:t>
      </w:r>
    </w:p>
    <w:p w:rsidR="0077147C" w14:paraId="137633B6" w14:textId="77777777">
      <w:pPr>
        <w:adjustRightInd w:val="0"/>
        <w:snapToGrid w:val="0"/>
        <w:spacing w:line="312" w:lineRule="auto"/>
        <w:ind w:firstLine="480" w:firstLineChars="200"/>
        <w:rPr>
          <w:rFonts w:ascii="宋体" w:eastAsia="宋体" w:hAnsi="宋体" w:cs="Times New Roman" w:hint="eastAsia"/>
          <w:color w:val="000000"/>
          <w:sz w:val="24"/>
          <w:szCs w:val="24"/>
        </w:rPr>
      </w:pPr>
      <w:r>
        <w:rPr>
          <w:rFonts w:ascii="宋体" w:eastAsia="宋体" w:hAnsi="宋体" w:cs="Times New Roman" w:hint="eastAsia"/>
          <w:color w:val="000000"/>
          <w:sz w:val="24"/>
          <w:szCs w:val="24"/>
        </w:rPr>
        <w:t>（六）产品成立日：指理财产品的投资运作</w:t>
      </w:r>
      <w:r>
        <w:rPr>
          <w:rFonts w:ascii="宋体" w:eastAsia="宋体" w:hAnsi="宋体" w:cs="Times New Roman"/>
          <w:color w:val="000000"/>
          <w:sz w:val="24"/>
          <w:szCs w:val="24"/>
        </w:rPr>
        <w:t>起始日</w:t>
      </w:r>
      <w:r>
        <w:rPr>
          <w:rFonts w:ascii="宋体" w:eastAsia="宋体" w:hAnsi="宋体" w:cs="Times New Roman" w:hint="eastAsia"/>
          <w:color w:val="000000"/>
          <w:sz w:val="24"/>
          <w:szCs w:val="24"/>
        </w:rPr>
        <w:t>。</w:t>
      </w:r>
    </w:p>
    <w:p w:rsidR="0077147C" w14:paraId="38AA8CF5"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sz w:val="24"/>
          <w:szCs w:val="24"/>
        </w:rPr>
        <w:t>（七）开放日：</w:t>
      </w:r>
      <w:r>
        <w:rPr>
          <w:rFonts w:ascii="宋体" w:eastAsia="宋体" w:hAnsi="宋体" w:cs="Times New Roman" w:hint="eastAsia"/>
          <w:color w:val="000000"/>
          <w:sz w:val="24"/>
          <w:szCs w:val="24"/>
        </w:rPr>
        <w:t>产品管理人</w:t>
      </w:r>
      <w:r>
        <w:rPr>
          <w:rFonts w:ascii="宋体" w:eastAsia="宋体" w:hAnsi="宋体" w:cs="Times New Roman" w:hint="eastAsia"/>
          <w:sz w:val="24"/>
          <w:szCs w:val="24"/>
        </w:rPr>
        <w:t>发行的开放式理财产品成立后，可供投资者进行申购</w:t>
      </w:r>
      <w:r>
        <w:rPr>
          <w:rFonts w:ascii="宋体" w:eastAsia="宋体" w:hAnsi="宋体" w:cs="Times New Roman"/>
          <w:sz w:val="24"/>
          <w:szCs w:val="24"/>
        </w:rPr>
        <w:t>、赎回</w:t>
      </w:r>
      <w:r>
        <w:rPr>
          <w:rFonts w:ascii="宋体" w:eastAsia="宋体" w:hAnsi="宋体" w:cs="Times New Roman" w:hint="eastAsia"/>
          <w:sz w:val="24"/>
          <w:szCs w:val="24"/>
        </w:rPr>
        <w:t>等交易的日期。</w:t>
      </w:r>
    </w:p>
    <w:p w:rsidR="0077147C" w14:paraId="01EE638E"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sz w:val="24"/>
          <w:szCs w:val="24"/>
        </w:rPr>
        <w:t>（</w:t>
      </w:r>
      <w:r>
        <w:rPr>
          <w:rFonts w:ascii="宋体" w:eastAsia="宋体" w:hAnsi="宋体" w:cs="Times New Roman" w:hint="eastAsia"/>
          <w:color w:val="000000"/>
          <w:sz w:val="24"/>
          <w:szCs w:val="24"/>
        </w:rPr>
        <w:t>八</w:t>
      </w:r>
      <w:r>
        <w:rPr>
          <w:rFonts w:ascii="宋体" w:eastAsia="宋体" w:hAnsi="宋体" w:cs="Times New Roman" w:hint="eastAsia"/>
          <w:sz w:val="24"/>
          <w:szCs w:val="24"/>
        </w:rPr>
        <w:t>）申购开放日：</w:t>
      </w:r>
      <w:r>
        <w:rPr>
          <w:rFonts w:ascii="宋体" w:eastAsia="宋体" w:hAnsi="宋体" w:cs="Times New Roman" w:hint="eastAsia"/>
          <w:color w:val="000000"/>
          <w:sz w:val="24"/>
          <w:szCs w:val="24"/>
        </w:rPr>
        <w:t>产品管理人</w:t>
      </w:r>
      <w:r>
        <w:rPr>
          <w:rFonts w:ascii="宋体" w:eastAsia="宋体" w:hAnsi="宋体" w:cs="Times New Roman" w:hint="eastAsia"/>
          <w:sz w:val="24"/>
          <w:szCs w:val="24"/>
        </w:rPr>
        <w:t>发行的开放式理财产品成立后，可供投资者进行申购交易的日期。</w:t>
      </w:r>
    </w:p>
    <w:p w:rsidR="0077147C" w14:paraId="316DFC2E"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sz w:val="24"/>
          <w:szCs w:val="24"/>
        </w:rPr>
        <w:t>（</w:t>
      </w:r>
      <w:r>
        <w:rPr>
          <w:rFonts w:ascii="宋体" w:eastAsia="宋体" w:hAnsi="宋体" w:cs="Times New Roman" w:hint="eastAsia"/>
          <w:color w:val="000000"/>
          <w:sz w:val="24"/>
          <w:szCs w:val="24"/>
        </w:rPr>
        <w:t>九</w:t>
      </w:r>
      <w:r>
        <w:rPr>
          <w:rFonts w:ascii="宋体" w:eastAsia="宋体" w:hAnsi="宋体" w:cs="Times New Roman" w:hint="eastAsia"/>
          <w:sz w:val="24"/>
          <w:szCs w:val="24"/>
        </w:rPr>
        <w:t>）认购：甲方在</w:t>
      </w:r>
      <w:r>
        <w:rPr>
          <w:rFonts w:ascii="宋体" w:eastAsia="宋体" w:hAnsi="宋体" w:cs="Times New Roman"/>
          <w:sz w:val="24"/>
          <w:szCs w:val="24"/>
        </w:rPr>
        <w:t>募集</w:t>
      </w:r>
      <w:r>
        <w:rPr>
          <w:rFonts w:ascii="宋体" w:eastAsia="宋体" w:hAnsi="宋体" w:cs="Times New Roman"/>
          <w:sz w:val="24"/>
          <w:szCs w:val="24"/>
        </w:rPr>
        <w:t>期</w:t>
      </w:r>
      <w:r>
        <w:rPr>
          <w:rFonts w:ascii="宋体" w:eastAsia="宋体" w:hAnsi="宋体" w:cs="Times New Roman" w:hint="eastAsia"/>
          <w:sz w:val="24"/>
          <w:szCs w:val="24"/>
        </w:rPr>
        <w:t>申请</w:t>
      </w:r>
      <w:r>
        <w:rPr>
          <w:rFonts w:ascii="宋体" w:eastAsia="宋体" w:hAnsi="宋体" w:cs="Times New Roman" w:hint="eastAsia"/>
          <w:sz w:val="24"/>
          <w:szCs w:val="24"/>
        </w:rPr>
        <w:t>购买理财产品份额的</w:t>
      </w:r>
      <w:r>
        <w:rPr>
          <w:rFonts w:ascii="宋体" w:eastAsia="宋体" w:hAnsi="宋体" w:cs="Times New Roman"/>
          <w:sz w:val="24"/>
          <w:szCs w:val="24"/>
        </w:rPr>
        <w:t>行为</w:t>
      </w:r>
      <w:r>
        <w:rPr>
          <w:rFonts w:ascii="宋体" w:eastAsia="宋体" w:hAnsi="宋体" w:cs="Times New Roman" w:hint="eastAsia"/>
          <w:sz w:val="24"/>
          <w:szCs w:val="24"/>
        </w:rPr>
        <w:t>。</w:t>
      </w:r>
    </w:p>
    <w:p w:rsidR="0077147C" w14:paraId="63703007" w14:textId="77777777">
      <w:pPr>
        <w:adjustRightInd w:val="0"/>
        <w:snapToGrid w:val="0"/>
        <w:spacing w:line="312" w:lineRule="auto"/>
        <w:ind w:firstLine="480" w:firstLineChars="200"/>
        <w:jc w:val="left"/>
        <w:rPr>
          <w:rFonts w:ascii="宋体" w:eastAsia="宋体" w:hAnsi="宋体" w:cs="Times New Roman" w:hint="eastAsia"/>
          <w:color w:val="000000"/>
          <w:sz w:val="24"/>
          <w:szCs w:val="24"/>
        </w:rPr>
      </w:pPr>
      <w:r>
        <w:rPr>
          <w:rFonts w:ascii="宋体" w:eastAsia="宋体" w:hAnsi="宋体" w:cs="Times New Roman" w:hint="eastAsia"/>
          <w:color w:val="000000"/>
          <w:sz w:val="24"/>
          <w:szCs w:val="24"/>
        </w:rPr>
        <w:t>（十）申购</w:t>
      </w:r>
      <w:r>
        <w:rPr>
          <w:rFonts w:ascii="宋体" w:eastAsia="宋体" w:hAnsi="宋体" w:cs="Times New Roman"/>
          <w:color w:val="000000"/>
          <w:sz w:val="24"/>
          <w:szCs w:val="24"/>
        </w:rPr>
        <w:t>：</w:t>
      </w:r>
      <w:r>
        <w:rPr>
          <w:rFonts w:ascii="宋体" w:eastAsia="宋体" w:hAnsi="宋体" w:cs="Times New Roman" w:hint="eastAsia"/>
          <w:sz w:val="24"/>
          <w:szCs w:val="24"/>
        </w:rPr>
        <w:t>甲方在开放</w:t>
      </w:r>
      <w:r>
        <w:rPr>
          <w:rFonts w:ascii="宋体" w:eastAsia="宋体" w:hAnsi="宋体" w:cs="Times New Roman" w:hint="eastAsia"/>
          <w:sz w:val="24"/>
          <w:szCs w:val="24"/>
        </w:rPr>
        <w:t>期申请</w:t>
      </w:r>
      <w:r>
        <w:rPr>
          <w:rFonts w:ascii="宋体" w:eastAsia="宋体" w:hAnsi="宋体" w:cs="Times New Roman" w:hint="eastAsia"/>
          <w:sz w:val="24"/>
          <w:szCs w:val="24"/>
        </w:rPr>
        <w:t>购买理财产品份额的</w:t>
      </w:r>
      <w:r>
        <w:rPr>
          <w:rFonts w:ascii="宋体" w:eastAsia="宋体" w:hAnsi="宋体" w:cs="Times New Roman"/>
          <w:sz w:val="24"/>
          <w:szCs w:val="24"/>
        </w:rPr>
        <w:t>行为</w:t>
      </w:r>
      <w:r>
        <w:rPr>
          <w:rFonts w:ascii="宋体" w:eastAsia="宋体" w:hAnsi="宋体" w:cs="Times New Roman" w:hint="eastAsia"/>
          <w:sz w:val="24"/>
          <w:szCs w:val="24"/>
        </w:rPr>
        <w:t>。</w:t>
      </w:r>
    </w:p>
    <w:p w:rsidR="0077147C" w14:paraId="61EF59AD" w14:textId="77777777">
      <w:pPr>
        <w:widowControl/>
        <w:spacing w:line="360" w:lineRule="auto"/>
        <w:ind w:firstLine="480" w:firstLineChars="200"/>
        <w:jc w:val="left"/>
        <w:rPr>
          <w:rFonts w:ascii="宋体" w:eastAsia="宋体" w:hAnsi="宋体" w:cs="宋体" w:hint="eastAsia"/>
          <w:kern w:val="0"/>
          <w:sz w:val="24"/>
          <w:szCs w:val="24"/>
        </w:rPr>
      </w:pPr>
      <w:r>
        <w:rPr>
          <w:rFonts w:ascii="宋体" w:eastAsia="宋体" w:hAnsi="宋体" w:cs="Times New Roman" w:hint="eastAsia"/>
          <w:color w:val="000000"/>
          <w:sz w:val="24"/>
          <w:szCs w:val="24"/>
        </w:rPr>
        <w:t>（十一）赎回：</w:t>
      </w:r>
      <w:r>
        <w:rPr>
          <w:rFonts w:ascii="宋体" w:eastAsia="宋体" w:hAnsi="宋体" w:cs="Times New Roman" w:hint="eastAsia"/>
          <w:sz w:val="24"/>
          <w:szCs w:val="24"/>
        </w:rPr>
        <w:t>甲方在开放</w:t>
      </w:r>
      <w:r>
        <w:rPr>
          <w:rFonts w:ascii="宋体" w:eastAsia="宋体" w:hAnsi="宋体" w:cs="Times New Roman" w:hint="eastAsia"/>
          <w:sz w:val="24"/>
          <w:szCs w:val="24"/>
        </w:rPr>
        <w:t>期申请</w:t>
      </w:r>
      <w:r>
        <w:rPr>
          <w:rFonts w:ascii="宋体" w:eastAsia="宋体" w:hAnsi="宋体" w:cs="Times New Roman" w:hint="eastAsia"/>
          <w:sz w:val="24"/>
          <w:szCs w:val="24"/>
        </w:rPr>
        <w:t>赎回理财产品份额的行为。</w:t>
      </w:r>
    </w:p>
    <w:p w:rsidR="0077147C" w14:paraId="36503995" w14:textId="77777777">
      <w:pPr>
        <w:adjustRightInd w:val="0"/>
        <w:snapToGrid w:val="0"/>
        <w:spacing w:line="360" w:lineRule="auto"/>
        <w:ind w:firstLine="480" w:firstLineChars="200"/>
        <w:jc w:val="left"/>
        <w:rPr>
          <w:rFonts w:ascii="宋体" w:eastAsia="宋体" w:hAnsi="宋体" w:cs="Times New Roman" w:hint="eastAsia"/>
          <w:color w:val="000000"/>
          <w:sz w:val="24"/>
          <w:szCs w:val="24"/>
        </w:rPr>
      </w:pPr>
      <w:r>
        <w:rPr>
          <w:rFonts w:ascii="宋体" w:eastAsia="宋体" w:hAnsi="宋体" w:cs="Times New Roman" w:hint="eastAsia"/>
          <w:color w:val="000000"/>
          <w:sz w:val="24"/>
          <w:szCs w:val="24"/>
        </w:rPr>
        <w:t>（十二）到期日：指理财</w:t>
      </w:r>
      <w:r>
        <w:rPr>
          <w:rFonts w:ascii="宋体" w:eastAsia="宋体" w:hAnsi="宋体" w:cs="Times New Roman"/>
          <w:color w:val="000000"/>
          <w:sz w:val="24"/>
          <w:szCs w:val="24"/>
        </w:rPr>
        <w:t>产品的投资运作终止日</w:t>
      </w:r>
      <w:r>
        <w:rPr>
          <w:rFonts w:ascii="宋体" w:eastAsia="宋体" w:hAnsi="宋体" w:cs="Times New Roman" w:hint="eastAsia"/>
          <w:color w:val="000000"/>
          <w:sz w:val="24"/>
          <w:szCs w:val="24"/>
        </w:rPr>
        <w:t>。</w:t>
      </w:r>
    </w:p>
    <w:p w:rsidR="0077147C" w14:paraId="3EBDED02" w14:textId="77777777">
      <w:pPr>
        <w:adjustRightInd w:val="0"/>
        <w:snapToGrid w:val="0"/>
        <w:spacing w:line="312" w:lineRule="auto"/>
        <w:ind w:firstLine="480" w:firstLineChars="200"/>
        <w:jc w:val="left"/>
        <w:rPr>
          <w:rFonts w:ascii="宋体" w:eastAsia="宋体" w:hAnsi="宋体" w:cs="Times New Roman" w:hint="eastAsia"/>
          <w:color w:val="000000"/>
          <w:sz w:val="24"/>
          <w:szCs w:val="24"/>
        </w:rPr>
      </w:pPr>
      <w:r>
        <w:rPr>
          <w:rFonts w:ascii="宋体" w:eastAsia="宋体" w:hAnsi="宋体" w:cs="Times New Roman" w:hint="eastAsia"/>
          <w:color w:val="000000"/>
          <w:sz w:val="24"/>
          <w:szCs w:val="24"/>
        </w:rPr>
        <w:t>（十三</w:t>
      </w:r>
      <w:r>
        <w:rPr>
          <w:rFonts w:ascii="宋体" w:eastAsia="宋体" w:hAnsi="宋体" w:cs="Times New Roman"/>
          <w:color w:val="000000"/>
          <w:sz w:val="24"/>
          <w:szCs w:val="24"/>
        </w:rPr>
        <w:t>）</w:t>
      </w:r>
      <w:r>
        <w:rPr>
          <w:rFonts w:ascii="宋体" w:eastAsia="宋体" w:hAnsi="宋体" w:cs="Times New Roman" w:hint="eastAsia"/>
          <w:color w:val="000000"/>
          <w:sz w:val="24"/>
          <w:szCs w:val="24"/>
        </w:rPr>
        <w:t>资金清算日：理财产品的本金（</w:t>
      </w:r>
      <w:r>
        <w:rPr>
          <w:rFonts w:ascii="宋体" w:eastAsia="宋体" w:hAnsi="宋体" w:cs="Times New Roman"/>
          <w:color w:val="000000"/>
          <w:sz w:val="24"/>
          <w:szCs w:val="24"/>
        </w:rPr>
        <w:t>若有）</w:t>
      </w:r>
      <w:r>
        <w:rPr>
          <w:rFonts w:ascii="宋体" w:eastAsia="宋体" w:hAnsi="宋体" w:cs="Times New Roman" w:hint="eastAsia"/>
          <w:color w:val="000000"/>
          <w:sz w:val="24"/>
          <w:szCs w:val="24"/>
        </w:rPr>
        <w:t>和收益（</w:t>
      </w:r>
      <w:r>
        <w:rPr>
          <w:rFonts w:ascii="宋体" w:eastAsia="宋体" w:hAnsi="宋体" w:cs="Times New Roman"/>
          <w:color w:val="000000"/>
          <w:sz w:val="24"/>
          <w:szCs w:val="24"/>
        </w:rPr>
        <w:t>若有）</w:t>
      </w:r>
      <w:r>
        <w:rPr>
          <w:rFonts w:ascii="宋体" w:eastAsia="宋体" w:hAnsi="宋体" w:cs="Times New Roman" w:hint="eastAsia"/>
          <w:color w:val="000000"/>
          <w:sz w:val="24"/>
          <w:szCs w:val="24"/>
        </w:rPr>
        <w:t>划向甲方指定账户的日期。</w:t>
      </w:r>
    </w:p>
    <w:p w:rsidR="0077147C" w14:paraId="173A4470" w14:textId="77777777">
      <w:pPr>
        <w:adjustRightInd w:val="0"/>
        <w:snapToGrid w:val="0"/>
        <w:spacing w:line="312" w:lineRule="auto"/>
        <w:ind w:firstLine="480" w:firstLineChars="200"/>
        <w:jc w:val="left"/>
        <w:rPr>
          <w:rFonts w:ascii="宋体" w:eastAsia="宋体" w:hAnsi="宋体" w:cs="宋体" w:hint="eastAsia"/>
          <w:kern w:val="0"/>
          <w:sz w:val="24"/>
          <w:szCs w:val="24"/>
        </w:rPr>
      </w:pPr>
      <w:r>
        <w:rPr>
          <w:rFonts w:ascii="宋体" w:eastAsia="宋体" w:hAnsi="宋体" w:cs="Times New Roman" w:hint="eastAsia"/>
          <w:color w:val="000000"/>
          <w:sz w:val="24"/>
          <w:szCs w:val="24"/>
        </w:rPr>
        <w:t>（十四）单位净值：指理财产品份额的单位净值，即每一份理财计划份额以人民币或其他币种计价的价格。</w:t>
      </w:r>
    </w:p>
    <w:p w:rsidR="0077147C" w14:paraId="316046F1" w14:textId="77777777">
      <w:pPr>
        <w:adjustRightInd w:val="0"/>
        <w:snapToGrid w:val="0"/>
        <w:spacing w:line="312" w:lineRule="auto"/>
        <w:ind w:firstLine="480" w:firstLineChars="200"/>
        <w:jc w:val="left"/>
        <w:rPr>
          <w:rFonts w:ascii="宋体" w:eastAsia="宋体" w:hAnsi="宋体" w:cs="宋体" w:hint="eastAsia"/>
          <w:color w:val="000000"/>
          <w:kern w:val="0"/>
          <w:sz w:val="22"/>
          <w:szCs w:val="24"/>
        </w:rPr>
      </w:pPr>
      <w:r>
        <w:rPr>
          <w:rFonts w:ascii="宋体" w:eastAsia="宋体" w:hAnsi="宋体" w:cs="Times New Roman" w:hint="eastAsia"/>
          <w:color w:val="000000"/>
          <w:sz w:val="24"/>
          <w:szCs w:val="24"/>
        </w:rPr>
        <w:t>（十五）累计净值：指理财产品份额的单位净值与产品成立后历次累计单位收益分配的总和。</w:t>
      </w:r>
    </w:p>
    <w:p w:rsidR="0077147C" w14:paraId="558E659D" w14:textId="77777777">
      <w:pPr>
        <w:adjustRightInd w:val="0"/>
        <w:snapToGrid w:val="0"/>
        <w:spacing w:line="312" w:lineRule="auto"/>
        <w:ind w:firstLine="480" w:firstLineChars="200"/>
        <w:jc w:val="left"/>
        <w:rPr>
          <w:rFonts w:ascii="宋体" w:eastAsia="宋体" w:hAnsi="宋体" w:cs="Times New Roman" w:hint="eastAsia"/>
          <w:color w:val="000000"/>
          <w:sz w:val="24"/>
          <w:szCs w:val="24"/>
        </w:rPr>
      </w:pPr>
      <w:r>
        <w:rPr>
          <w:rFonts w:ascii="宋体" w:eastAsia="宋体" w:hAnsi="宋体" w:cs="Times New Roman" w:hint="eastAsia"/>
          <w:color w:val="000000"/>
          <w:sz w:val="24"/>
          <w:szCs w:val="24"/>
        </w:rPr>
        <w:t>（十六）提前</w:t>
      </w:r>
      <w:r>
        <w:rPr>
          <w:rFonts w:ascii="宋体" w:eastAsia="宋体" w:hAnsi="宋体" w:cs="Times New Roman"/>
          <w:color w:val="000000"/>
          <w:sz w:val="24"/>
          <w:szCs w:val="24"/>
        </w:rPr>
        <w:t>赎回权：</w:t>
      </w:r>
      <w:r>
        <w:rPr>
          <w:rFonts w:ascii="宋体" w:eastAsia="宋体" w:hAnsi="宋体" w:cs="Times New Roman" w:hint="eastAsia"/>
          <w:color w:val="000000"/>
          <w:sz w:val="24"/>
          <w:szCs w:val="24"/>
        </w:rPr>
        <w:t>在理财产品存续期内甲方按照理财产品销售文件约定提前赎回理财产品的</w:t>
      </w:r>
      <w:r>
        <w:rPr>
          <w:rFonts w:ascii="宋体" w:eastAsia="宋体" w:hAnsi="宋体" w:cs="Times New Roman"/>
          <w:color w:val="000000"/>
          <w:sz w:val="24"/>
          <w:szCs w:val="24"/>
        </w:rPr>
        <w:t>权利，</w:t>
      </w:r>
      <w:r>
        <w:rPr>
          <w:rFonts w:ascii="宋体" w:eastAsia="宋体" w:hAnsi="宋体" w:cs="Times New Roman" w:hint="eastAsia"/>
          <w:color w:val="000000"/>
          <w:sz w:val="24"/>
          <w:szCs w:val="24"/>
        </w:rPr>
        <w:t>甲方具体是否享有</w:t>
      </w:r>
      <w:r>
        <w:rPr>
          <w:rFonts w:ascii="宋体" w:eastAsia="宋体" w:hAnsi="宋体" w:cs="Times New Roman"/>
          <w:color w:val="000000"/>
          <w:sz w:val="24"/>
          <w:szCs w:val="24"/>
        </w:rPr>
        <w:t>理财产品的提前赎回权</w:t>
      </w:r>
      <w:r>
        <w:rPr>
          <w:rFonts w:ascii="宋体" w:eastAsia="宋体" w:hAnsi="宋体" w:cs="Times New Roman" w:hint="eastAsia"/>
          <w:color w:val="000000"/>
          <w:sz w:val="24"/>
          <w:szCs w:val="24"/>
        </w:rPr>
        <w:t>及</w:t>
      </w:r>
      <w:r>
        <w:rPr>
          <w:rFonts w:ascii="宋体" w:eastAsia="宋体" w:hAnsi="宋体" w:cs="Times New Roman"/>
          <w:color w:val="000000"/>
          <w:sz w:val="24"/>
          <w:szCs w:val="24"/>
        </w:rPr>
        <w:t>行使</w:t>
      </w:r>
      <w:r>
        <w:rPr>
          <w:rFonts w:ascii="宋体" w:eastAsia="宋体" w:hAnsi="宋体" w:cs="Times New Roman" w:hint="eastAsia"/>
          <w:color w:val="000000"/>
          <w:sz w:val="24"/>
          <w:szCs w:val="24"/>
        </w:rPr>
        <w:t>权利</w:t>
      </w:r>
      <w:r>
        <w:rPr>
          <w:rFonts w:ascii="宋体" w:eastAsia="宋体" w:hAnsi="宋体" w:cs="Times New Roman"/>
          <w:color w:val="000000"/>
          <w:sz w:val="24"/>
          <w:szCs w:val="24"/>
        </w:rPr>
        <w:t>的条件和内容</w:t>
      </w:r>
      <w:r>
        <w:rPr>
          <w:rFonts w:ascii="宋体" w:eastAsia="宋体" w:hAnsi="宋体" w:cs="Times New Roman" w:hint="eastAsia"/>
          <w:color w:val="000000"/>
          <w:sz w:val="24"/>
          <w:szCs w:val="24"/>
        </w:rPr>
        <w:t>，依据《理财产品说明书》的</w:t>
      </w:r>
      <w:r>
        <w:rPr>
          <w:rFonts w:ascii="宋体" w:eastAsia="宋体" w:hAnsi="宋体" w:cs="Times New Roman"/>
          <w:color w:val="000000"/>
          <w:sz w:val="24"/>
          <w:szCs w:val="24"/>
        </w:rPr>
        <w:t>约定</w:t>
      </w:r>
      <w:r>
        <w:rPr>
          <w:rFonts w:ascii="宋体" w:eastAsia="宋体" w:hAnsi="宋体" w:cs="Times New Roman" w:hint="eastAsia"/>
          <w:color w:val="000000"/>
          <w:sz w:val="24"/>
          <w:szCs w:val="24"/>
        </w:rPr>
        <w:t>。</w:t>
      </w:r>
    </w:p>
    <w:p w:rsidR="0077147C" w14:paraId="52DD1E9C" w14:textId="77777777">
      <w:pPr>
        <w:adjustRightInd w:val="0"/>
        <w:snapToGrid w:val="0"/>
        <w:spacing w:line="312" w:lineRule="auto"/>
        <w:ind w:firstLine="480" w:firstLineChars="200"/>
        <w:jc w:val="left"/>
        <w:rPr>
          <w:rFonts w:ascii="宋体" w:eastAsia="宋体" w:hAnsi="宋体" w:cs="Times New Roman" w:hint="eastAsia"/>
          <w:color w:val="000000"/>
          <w:sz w:val="24"/>
          <w:szCs w:val="24"/>
        </w:rPr>
      </w:pPr>
      <w:r>
        <w:rPr>
          <w:rFonts w:ascii="宋体" w:eastAsia="宋体" w:hAnsi="宋体" w:cs="Times New Roman" w:hint="eastAsia"/>
          <w:color w:val="000000"/>
          <w:sz w:val="24"/>
          <w:szCs w:val="24"/>
        </w:rPr>
        <w:t>（十七）提前终止权：在理财产品存续期内产品管理人按照理财产品销售文件约定提前终止理财产品的权利，产品管理人</w:t>
      </w:r>
      <w:r>
        <w:rPr>
          <w:rFonts w:ascii="宋体" w:eastAsia="宋体" w:hAnsi="宋体" w:cs="Times New Roman"/>
          <w:color w:val="000000"/>
          <w:sz w:val="24"/>
          <w:szCs w:val="24"/>
        </w:rPr>
        <w:t>具体是否</w:t>
      </w:r>
      <w:r>
        <w:rPr>
          <w:rFonts w:ascii="宋体" w:eastAsia="宋体" w:hAnsi="宋体" w:cs="Times New Roman" w:hint="eastAsia"/>
          <w:color w:val="000000"/>
          <w:sz w:val="24"/>
          <w:szCs w:val="24"/>
        </w:rPr>
        <w:t>享有</w:t>
      </w:r>
      <w:r>
        <w:rPr>
          <w:rFonts w:ascii="宋体" w:eastAsia="宋体" w:hAnsi="宋体" w:cs="Times New Roman"/>
          <w:color w:val="000000"/>
          <w:sz w:val="24"/>
          <w:szCs w:val="24"/>
        </w:rPr>
        <w:t>理财产品的提前终止权</w:t>
      </w:r>
      <w:r>
        <w:rPr>
          <w:rFonts w:ascii="宋体" w:eastAsia="宋体" w:hAnsi="宋体" w:cs="Times New Roman" w:hint="eastAsia"/>
          <w:color w:val="000000"/>
          <w:sz w:val="24"/>
          <w:szCs w:val="24"/>
        </w:rPr>
        <w:t>及行使权利的条件和内容，依据《理财产品说明书》的</w:t>
      </w:r>
      <w:r>
        <w:rPr>
          <w:rFonts w:ascii="宋体" w:eastAsia="宋体" w:hAnsi="宋体" w:cs="Times New Roman"/>
          <w:color w:val="000000"/>
          <w:sz w:val="24"/>
          <w:szCs w:val="24"/>
        </w:rPr>
        <w:t>约定</w:t>
      </w:r>
      <w:r>
        <w:rPr>
          <w:rFonts w:ascii="宋体" w:eastAsia="宋体" w:hAnsi="宋体" w:cs="Times New Roman" w:hint="eastAsia"/>
          <w:color w:val="000000"/>
          <w:sz w:val="24"/>
          <w:szCs w:val="24"/>
        </w:rPr>
        <w:t>。</w:t>
      </w:r>
    </w:p>
    <w:p w:rsidR="0077147C" w14:paraId="07EC3A11" w14:textId="77777777">
      <w:pPr>
        <w:adjustRightInd w:val="0"/>
        <w:snapToGrid w:val="0"/>
        <w:spacing w:line="312" w:lineRule="auto"/>
        <w:ind w:firstLine="480" w:firstLineChars="200"/>
        <w:jc w:val="left"/>
        <w:rPr>
          <w:rFonts w:ascii="宋体" w:eastAsia="宋体" w:hAnsi="宋体" w:cs="Times New Roman" w:hint="eastAsia"/>
          <w:color w:val="000000"/>
          <w:sz w:val="24"/>
          <w:szCs w:val="24"/>
        </w:rPr>
      </w:pPr>
      <w:r>
        <w:rPr>
          <w:rFonts w:ascii="宋体" w:eastAsia="宋体" w:hAnsi="宋体" w:cs="Times New Roman" w:hint="eastAsia"/>
          <w:color w:val="000000"/>
          <w:sz w:val="24"/>
          <w:szCs w:val="24"/>
        </w:rPr>
        <w:t>（十八）代理销售机构：指根据产品管理人委托，代理销售理财产品的机构。</w:t>
      </w:r>
    </w:p>
    <w:p w:rsidR="0077147C" w14:paraId="0C7C472A" w14:textId="77777777">
      <w:pPr>
        <w:adjustRightInd w:val="0"/>
        <w:snapToGrid w:val="0"/>
        <w:spacing w:line="312" w:lineRule="auto"/>
        <w:ind w:firstLine="480" w:firstLineChars="200"/>
        <w:jc w:val="left"/>
        <w:rPr>
          <w:rFonts w:ascii="宋体" w:eastAsia="宋体" w:hAnsi="宋体" w:cs="Times New Roman" w:hint="eastAsia"/>
          <w:color w:val="000000"/>
          <w:sz w:val="24"/>
          <w:szCs w:val="24"/>
        </w:rPr>
      </w:pPr>
      <w:r>
        <w:rPr>
          <w:rFonts w:ascii="宋体" w:eastAsia="宋体" w:hAnsi="宋体" w:cs="Times New Roman" w:hint="eastAsia"/>
          <w:color w:val="000000"/>
          <w:sz w:val="24"/>
          <w:szCs w:val="24"/>
        </w:rPr>
        <w:t>（</w:t>
      </w:r>
      <w:r>
        <w:rPr>
          <w:rFonts w:ascii="宋体" w:eastAsia="宋体" w:hAnsi="宋体" w:cs="Times New Roman" w:hint="eastAsia"/>
          <w:sz w:val="24"/>
          <w:szCs w:val="24"/>
        </w:rPr>
        <w:t>十九</w:t>
      </w:r>
      <w:r>
        <w:rPr>
          <w:rFonts w:ascii="宋体" w:eastAsia="宋体" w:hAnsi="宋体" w:cs="Times New Roman" w:hint="eastAsia"/>
          <w:color w:val="000000"/>
          <w:sz w:val="24"/>
          <w:szCs w:val="24"/>
        </w:rPr>
        <w:t>）销售机构：指根据产品管理人委托，可以销售本理财产品的机构，包括产品管理人和代理销售机构。</w:t>
      </w:r>
    </w:p>
    <w:p w:rsidR="0077147C" w14:paraId="16C2D773" w14:textId="77777777">
      <w:pPr>
        <w:adjustRightInd w:val="0"/>
        <w:snapToGrid w:val="0"/>
        <w:spacing w:line="312" w:lineRule="auto"/>
        <w:ind w:firstLine="480" w:firstLineChars="200"/>
        <w:jc w:val="left"/>
        <w:rPr>
          <w:rFonts w:ascii="宋体" w:eastAsia="宋体" w:hAnsi="宋体" w:cs="Times New Roman" w:hint="eastAsia"/>
          <w:sz w:val="24"/>
          <w:szCs w:val="24"/>
        </w:rPr>
      </w:pPr>
      <w:r>
        <w:rPr>
          <w:rFonts w:ascii="宋体" w:eastAsia="宋体" w:hAnsi="宋体" w:cs="Times New Roman" w:hint="eastAsia"/>
          <w:sz w:val="24"/>
          <w:szCs w:val="24"/>
        </w:rPr>
        <w:t>（二十）线下渠道：包括但</w:t>
      </w:r>
      <w:r>
        <w:rPr>
          <w:rFonts w:ascii="宋体" w:eastAsia="宋体" w:hAnsi="宋体" w:cs="Times New Roman"/>
          <w:sz w:val="24"/>
          <w:szCs w:val="24"/>
        </w:rPr>
        <w:t>不限于</w:t>
      </w:r>
      <w:r>
        <w:rPr>
          <w:rFonts w:ascii="宋体" w:eastAsia="宋体" w:hAnsi="宋体" w:cs="Times New Roman" w:hint="eastAsia"/>
          <w:color w:val="000000"/>
          <w:sz w:val="24"/>
          <w:szCs w:val="24"/>
        </w:rPr>
        <w:t>销售机构</w:t>
      </w:r>
      <w:r>
        <w:rPr>
          <w:rFonts w:ascii="宋体" w:eastAsia="宋体" w:hAnsi="宋体" w:cs="Times New Roman"/>
          <w:sz w:val="24"/>
          <w:szCs w:val="24"/>
        </w:rPr>
        <w:t>的</w:t>
      </w:r>
      <w:r>
        <w:rPr>
          <w:rFonts w:ascii="宋体" w:eastAsia="宋体" w:hAnsi="宋体" w:cs="Times New Roman" w:hint="eastAsia"/>
          <w:sz w:val="24"/>
          <w:szCs w:val="24"/>
        </w:rPr>
        <w:t>营业网点</w:t>
      </w:r>
      <w:r>
        <w:rPr>
          <w:rFonts w:ascii="宋体" w:eastAsia="宋体" w:hAnsi="宋体" w:cs="Times New Roman"/>
          <w:sz w:val="24"/>
          <w:szCs w:val="24"/>
        </w:rPr>
        <w:t>等具有实体营销场所的</w:t>
      </w:r>
      <w:r>
        <w:rPr>
          <w:rFonts w:ascii="宋体" w:eastAsia="宋体" w:hAnsi="宋体" w:cs="Times New Roman" w:hint="eastAsia"/>
          <w:sz w:val="24"/>
          <w:szCs w:val="24"/>
        </w:rPr>
        <w:t>销售</w:t>
      </w:r>
      <w:r>
        <w:rPr>
          <w:rFonts w:ascii="宋体" w:eastAsia="宋体" w:hAnsi="宋体" w:cs="Times New Roman"/>
          <w:sz w:val="24"/>
          <w:szCs w:val="24"/>
        </w:rPr>
        <w:t>渠道。</w:t>
      </w:r>
    </w:p>
    <w:p w:rsidR="0077147C" w14:paraId="4BD00B4D" w14:textId="77777777">
      <w:pPr>
        <w:adjustRightInd w:val="0"/>
        <w:snapToGrid w:val="0"/>
        <w:spacing w:line="312" w:lineRule="auto"/>
        <w:ind w:firstLine="480" w:firstLineChars="200"/>
        <w:jc w:val="left"/>
        <w:rPr>
          <w:rFonts w:ascii="宋体" w:eastAsia="宋体" w:hAnsi="宋体" w:cs="Times New Roman" w:hint="eastAsia"/>
          <w:sz w:val="24"/>
          <w:szCs w:val="24"/>
        </w:rPr>
      </w:pPr>
      <w:r>
        <w:rPr>
          <w:rFonts w:ascii="宋体" w:eastAsia="宋体" w:hAnsi="宋体" w:cs="Times New Roman" w:hint="eastAsia"/>
          <w:sz w:val="24"/>
          <w:szCs w:val="24"/>
        </w:rPr>
        <w:t>（二十一</w:t>
      </w:r>
      <w:r>
        <w:rPr>
          <w:rFonts w:ascii="宋体" w:eastAsia="宋体" w:hAnsi="宋体" w:cs="Times New Roman"/>
          <w:sz w:val="24"/>
          <w:szCs w:val="24"/>
        </w:rPr>
        <w:t>）</w:t>
      </w:r>
      <w:r>
        <w:rPr>
          <w:rFonts w:ascii="宋体" w:eastAsia="宋体" w:hAnsi="宋体" w:cs="Times New Roman" w:hint="eastAsia"/>
          <w:sz w:val="24"/>
          <w:szCs w:val="24"/>
        </w:rPr>
        <w:t>线上渠道</w:t>
      </w:r>
      <w:r>
        <w:rPr>
          <w:rFonts w:ascii="宋体" w:eastAsia="宋体" w:hAnsi="宋体" w:cs="Times New Roman"/>
          <w:sz w:val="24"/>
          <w:szCs w:val="24"/>
        </w:rPr>
        <w:t>：</w:t>
      </w:r>
      <w:r>
        <w:rPr>
          <w:rFonts w:ascii="宋体" w:eastAsia="宋体" w:hAnsi="宋体" w:cs="Times New Roman" w:hint="eastAsia"/>
          <w:sz w:val="24"/>
          <w:szCs w:val="24"/>
        </w:rPr>
        <w:t>包括</w:t>
      </w:r>
      <w:r>
        <w:rPr>
          <w:rFonts w:ascii="宋体" w:eastAsia="宋体" w:hAnsi="宋体" w:cs="Times New Roman"/>
          <w:sz w:val="24"/>
          <w:szCs w:val="24"/>
        </w:rPr>
        <w:t>但不限于</w:t>
      </w:r>
      <w:r>
        <w:rPr>
          <w:rFonts w:ascii="宋体" w:eastAsia="宋体" w:hAnsi="宋体" w:cs="Times New Roman" w:hint="eastAsia"/>
          <w:color w:val="000000"/>
          <w:sz w:val="24"/>
          <w:szCs w:val="24"/>
        </w:rPr>
        <w:t>销售机构</w:t>
      </w:r>
      <w:r>
        <w:rPr>
          <w:rFonts w:ascii="宋体" w:eastAsia="宋体" w:hAnsi="宋体" w:cs="Times New Roman"/>
          <w:sz w:val="24"/>
          <w:szCs w:val="24"/>
        </w:rPr>
        <w:t>的</w:t>
      </w:r>
      <w:r>
        <w:rPr>
          <w:rFonts w:ascii="宋体" w:eastAsia="宋体" w:hAnsi="宋体" w:cs="Times New Roman" w:hint="eastAsia"/>
          <w:sz w:val="24"/>
          <w:szCs w:val="24"/>
        </w:rPr>
        <w:t>网上销售</w:t>
      </w:r>
      <w:r>
        <w:rPr>
          <w:rFonts w:ascii="宋体" w:eastAsia="宋体" w:hAnsi="宋体" w:cs="Times New Roman"/>
          <w:sz w:val="24"/>
          <w:szCs w:val="24"/>
        </w:rPr>
        <w:t>平台、手机</w:t>
      </w:r>
      <w:r>
        <w:rPr>
          <w:rFonts w:ascii="宋体" w:eastAsia="宋体" w:hAnsi="宋体" w:cs="Times New Roman" w:hint="eastAsia"/>
          <w:sz w:val="24"/>
          <w:szCs w:val="24"/>
        </w:rPr>
        <w:t>销售</w:t>
      </w:r>
      <w:r>
        <w:rPr>
          <w:rFonts w:ascii="宋体" w:eastAsia="宋体" w:hAnsi="宋体" w:cs="Times New Roman"/>
          <w:sz w:val="24"/>
          <w:szCs w:val="24"/>
        </w:rPr>
        <w:t>平台</w:t>
      </w:r>
      <w:r>
        <w:rPr>
          <w:rFonts w:ascii="宋体" w:eastAsia="宋体" w:hAnsi="宋体" w:cs="Times New Roman" w:hint="eastAsia"/>
          <w:sz w:val="24"/>
          <w:szCs w:val="24"/>
        </w:rPr>
        <w:t>等不</w:t>
      </w:r>
      <w:r>
        <w:rPr>
          <w:rFonts w:ascii="宋体" w:eastAsia="宋体" w:hAnsi="宋体" w:cs="Times New Roman"/>
          <w:sz w:val="24"/>
          <w:szCs w:val="24"/>
        </w:rPr>
        <w:t>具有实体营销场所的</w:t>
      </w:r>
      <w:r>
        <w:rPr>
          <w:rFonts w:ascii="宋体" w:eastAsia="宋体" w:hAnsi="宋体" w:cs="Times New Roman" w:hint="eastAsia"/>
          <w:sz w:val="24"/>
          <w:szCs w:val="24"/>
        </w:rPr>
        <w:t>销售</w:t>
      </w:r>
      <w:r>
        <w:rPr>
          <w:rFonts w:ascii="宋体" w:eastAsia="宋体" w:hAnsi="宋体" w:cs="Times New Roman"/>
          <w:sz w:val="24"/>
          <w:szCs w:val="24"/>
        </w:rPr>
        <w:t>渠道。</w:t>
      </w:r>
    </w:p>
    <w:p w:rsidR="0077147C" w14:paraId="074E6F7A" w14:textId="77777777">
      <w:pPr>
        <w:adjustRightInd w:val="0"/>
        <w:snapToGrid w:val="0"/>
        <w:spacing w:line="312" w:lineRule="auto"/>
        <w:ind w:firstLine="480" w:firstLineChars="200"/>
        <w:jc w:val="left"/>
        <w:rPr>
          <w:rFonts w:ascii="宋体" w:eastAsia="宋体" w:hAnsi="宋体" w:cs="Times New Roman" w:hint="eastAsia"/>
          <w:sz w:val="24"/>
          <w:szCs w:val="24"/>
        </w:rPr>
      </w:pPr>
      <w:r>
        <w:rPr>
          <w:rFonts w:ascii="宋体" w:eastAsia="宋体" w:hAnsi="宋体" w:cs="Times New Roman" w:hint="eastAsia"/>
          <w:sz w:val="24"/>
          <w:szCs w:val="24"/>
        </w:rPr>
        <w:t>（二十二</w:t>
      </w:r>
      <w:r>
        <w:rPr>
          <w:rFonts w:ascii="宋体" w:eastAsia="宋体" w:hAnsi="宋体" w:cs="Times New Roman"/>
          <w:sz w:val="24"/>
          <w:szCs w:val="24"/>
        </w:rPr>
        <w:t>）</w:t>
      </w:r>
      <w:r>
        <w:rPr>
          <w:rFonts w:ascii="宋体" w:eastAsia="宋体" w:hAnsi="宋体" w:cs="Times New Roman" w:hint="eastAsia"/>
          <w:sz w:val="24"/>
          <w:szCs w:val="24"/>
        </w:rPr>
        <w:t>理财产品销售</w:t>
      </w:r>
      <w:r>
        <w:rPr>
          <w:rFonts w:ascii="宋体" w:eastAsia="宋体" w:hAnsi="宋体" w:cs="Times New Roman"/>
          <w:sz w:val="24"/>
          <w:szCs w:val="24"/>
        </w:rPr>
        <w:t>文件：</w:t>
      </w:r>
      <w:r>
        <w:rPr>
          <w:rFonts w:ascii="宋体" w:eastAsia="宋体" w:hAnsi="宋体" w:cs="Times New Roman" w:hint="eastAsia"/>
          <w:sz w:val="24"/>
          <w:szCs w:val="24"/>
        </w:rPr>
        <w:t>包括《理财产品说明书》、《风险揭示书》、《销售（代理销售）协议书》、《投资协议书》和《投资者权益须知》等有关文件，以及对以上文件的有效修改或补充。</w:t>
      </w:r>
    </w:p>
    <w:p w:rsidR="0077147C" w14:paraId="495FDCD0" w14:textId="77777777">
      <w:pPr>
        <w:adjustRightInd w:val="0"/>
        <w:snapToGrid w:val="0"/>
        <w:spacing w:line="312" w:lineRule="auto"/>
        <w:ind w:firstLine="470" w:firstLineChars="196"/>
        <w:rPr>
          <w:rFonts w:ascii="宋体" w:eastAsia="宋体" w:hAnsi="宋体" w:cs="Times New Roman" w:hint="eastAsia"/>
          <w:sz w:val="24"/>
          <w:szCs w:val="24"/>
        </w:rPr>
      </w:pPr>
      <w:r>
        <w:rPr>
          <w:rFonts w:ascii="宋体" w:eastAsia="宋体" w:hAnsi="宋体" w:cs="Times New Roman"/>
          <w:b/>
          <w:bCs/>
          <w:sz w:val="24"/>
          <w:szCs w:val="24"/>
        </w:rPr>
        <w:t>第</w:t>
      </w:r>
      <w:r>
        <w:rPr>
          <w:rFonts w:ascii="宋体" w:eastAsia="宋体" w:hAnsi="宋体" w:cs="Times New Roman" w:hint="eastAsia"/>
          <w:b/>
          <w:bCs/>
          <w:sz w:val="24"/>
          <w:szCs w:val="24"/>
        </w:rPr>
        <w:t>三</w:t>
      </w:r>
      <w:r>
        <w:rPr>
          <w:rFonts w:ascii="宋体" w:eastAsia="宋体" w:hAnsi="宋体" w:cs="Times New Roman"/>
          <w:b/>
          <w:bCs/>
          <w:sz w:val="24"/>
          <w:szCs w:val="24"/>
        </w:rPr>
        <w:t>条</w:t>
      </w:r>
      <w:r>
        <w:rPr>
          <w:rFonts w:ascii="宋体" w:eastAsia="宋体" w:hAnsi="宋体" w:cs="Times New Roman" w:hint="eastAsia"/>
          <w:b/>
          <w:bCs/>
          <w:sz w:val="24"/>
          <w:szCs w:val="24"/>
        </w:rPr>
        <w:t xml:space="preserve"> 本协议所称</w:t>
      </w:r>
      <w:r>
        <w:rPr>
          <w:rFonts w:ascii="宋体" w:eastAsia="宋体" w:hAnsi="宋体" w:cs="Times New Roman" w:hint="eastAsia"/>
          <w:b/>
          <w:sz w:val="24"/>
          <w:szCs w:val="24"/>
        </w:rPr>
        <w:t>理财产品是指产品管理人按照约定条件和实际投资收益情况向投资者支付收益、不保证本金支付和收益水平的非保本理财产品</w:t>
      </w:r>
      <w:r>
        <w:rPr>
          <w:rFonts w:ascii="宋体" w:eastAsia="宋体" w:hAnsi="宋体" w:cs="Times New Roman"/>
          <w:b/>
          <w:sz w:val="24"/>
          <w:szCs w:val="24"/>
        </w:rPr>
        <w:t>。</w:t>
      </w:r>
      <w:r>
        <w:rPr>
          <w:rFonts w:ascii="宋体" w:eastAsia="宋体" w:hAnsi="宋体" w:cs="Times New Roman" w:hint="eastAsia"/>
          <w:b/>
          <w:sz w:val="24"/>
          <w:szCs w:val="24"/>
        </w:rPr>
        <w:t>甲方认（申）</w:t>
      </w:r>
      <w:r>
        <w:rPr>
          <w:rFonts w:ascii="宋体" w:eastAsia="宋体" w:hAnsi="宋体" w:cs="Times New Roman" w:hint="eastAsia"/>
          <w:b/>
          <w:sz w:val="24"/>
          <w:szCs w:val="24"/>
        </w:rPr>
        <w:t>购本理财</w:t>
      </w:r>
      <w:r>
        <w:rPr>
          <w:rFonts w:ascii="宋体" w:eastAsia="宋体" w:hAnsi="宋体" w:cs="Times New Roman" w:hint="eastAsia"/>
          <w:b/>
          <w:sz w:val="24"/>
          <w:szCs w:val="24"/>
        </w:rPr>
        <w:t>产品，投资风险由甲方承担。投资风险包括但不限于市场风险、信用风险等，具体详见《风险揭示书》。</w:t>
      </w:r>
    </w:p>
    <w:p w:rsidR="0077147C" w14:paraId="7DA6E45C" w14:textId="2294B8F6">
      <w:pPr>
        <w:adjustRightInd w:val="0"/>
        <w:snapToGrid w:val="0"/>
        <w:spacing w:line="312" w:lineRule="auto"/>
        <w:ind w:firstLine="480" w:firstLineChars="200"/>
        <w:jc w:val="left"/>
        <w:rPr>
          <w:rFonts w:ascii="宋体" w:eastAsia="宋体" w:hAnsi="宋体" w:cs="Times New Roman" w:hint="eastAsia"/>
          <w:b/>
          <w:sz w:val="24"/>
          <w:szCs w:val="24"/>
          <w:u w:val="single"/>
        </w:rPr>
      </w:pPr>
      <w:r>
        <w:rPr>
          <w:rFonts w:ascii="宋体" w:eastAsia="宋体" w:hAnsi="宋体" w:cs="Times New Roman" w:hint="eastAsia"/>
          <w:b/>
          <w:sz w:val="24"/>
          <w:szCs w:val="24"/>
        </w:rPr>
        <w:t xml:space="preserve">第四条 </w:t>
      </w:r>
      <w:r>
        <w:rPr>
          <w:rFonts w:ascii="宋体" w:eastAsia="宋体" w:hAnsi="宋体" w:cs="Times New Roman" w:hint="eastAsia"/>
          <w:b/>
          <w:sz w:val="24"/>
          <w:szCs w:val="24"/>
          <w:u w:val="single"/>
        </w:rPr>
        <w:t>根据理财产品投资范围、风险收益特点、流动性等不同因素，乙方代理销售的理财产品分为</w:t>
      </w:r>
      <w:r w:rsidR="00DD1ED4">
        <w:rPr>
          <w:rFonts w:ascii="宋体" w:eastAsia="宋体" w:hAnsi="宋体" w:cs="Times New Roman" w:hint="eastAsia"/>
          <w:b/>
          <w:sz w:val="24"/>
          <w:szCs w:val="24"/>
          <w:u w:val="single"/>
        </w:rPr>
        <w:t>五</w:t>
      </w:r>
      <w:r>
        <w:rPr>
          <w:rFonts w:ascii="宋体" w:eastAsia="宋体" w:hAnsi="宋体" w:cs="Times New Roman" w:hint="eastAsia"/>
          <w:b/>
          <w:sz w:val="24"/>
          <w:szCs w:val="24"/>
          <w:u w:val="single"/>
        </w:rPr>
        <w:t>个风险等级，与甲方在乙方评估的风险承受能力等级</w:t>
      </w:r>
      <w:r w:rsidR="00DD1ED4">
        <w:rPr>
          <w:rFonts w:ascii="宋体" w:eastAsia="宋体" w:hAnsi="宋体" w:cs="Times New Roman" w:hint="eastAsia"/>
          <w:b/>
          <w:sz w:val="24"/>
          <w:szCs w:val="24"/>
          <w:u w:val="single"/>
        </w:rPr>
        <w:t>五</w:t>
      </w:r>
      <w:r>
        <w:rPr>
          <w:rFonts w:ascii="宋体" w:eastAsia="宋体" w:hAnsi="宋体" w:cs="Times New Roman" w:hint="eastAsia"/>
          <w:b/>
          <w:sz w:val="24"/>
          <w:szCs w:val="24"/>
          <w:u w:val="single"/>
        </w:rPr>
        <w:t>个等级一一对应。甲方需根据风险承受能力评估结果选择风险承受能力相匹配的产品。</w:t>
      </w:r>
      <w:r w:rsidR="003A3BD8">
        <w:rPr>
          <w:rFonts w:ascii="宋体" w:eastAsia="宋体" w:hAnsi="宋体" w:cs="Times New Roman" w:hint="eastAsia"/>
          <w:b/>
          <w:sz w:val="24"/>
          <w:szCs w:val="24"/>
          <w:u w:val="single"/>
        </w:rPr>
        <w:t>普通</w:t>
      </w:r>
      <w:r>
        <w:rPr>
          <w:rFonts w:ascii="宋体" w:eastAsia="宋体" w:hAnsi="宋体" w:cs="Times New Roman" w:hint="eastAsia"/>
          <w:b/>
          <w:sz w:val="24"/>
          <w:szCs w:val="24"/>
          <w:u w:val="single"/>
        </w:rPr>
        <w:t>投资者在乙方销售渠道首次购买理财产品前，需进行风险承受能力评估。超过</w:t>
      </w:r>
      <w:r>
        <w:rPr>
          <w:rFonts w:ascii="宋体" w:eastAsia="宋体" w:hAnsi="宋体" w:cs="Times New Roman"/>
          <w:b/>
          <w:sz w:val="24"/>
          <w:szCs w:val="24"/>
          <w:u w:val="single"/>
        </w:rPr>
        <w:t>一年未进行风险承受能力</w:t>
      </w:r>
      <w:r>
        <w:rPr>
          <w:rFonts w:ascii="宋体" w:eastAsia="宋体" w:hAnsi="宋体" w:cs="Times New Roman" w:hint="eastAsia"/>
          <w:b/>
          <w:sz w:val="24"/>
          <w:szCs w:val="24"/>
          <w:u w:val="single"/>
        </w:rPr>
        <w:t>评估或</w:t>
      </w:r>
      <w:r>
        <w:rPr>
          <w:rFonts w:ascii="宋体" w:eastAsia="宋体" w:hAnsi="宋体" w:cs="Times New Roman"/>
          <w:b/>
          <w:sz w:val="24"/>
          <w:szCs w:val="24"/>
          <w:u w:val="single"/>
        </w:rPr>
        <w:t>发生可能影响自身风险承受能力情况的投资者，再次购买理财产品前，应当</w:t>
      </w:r>
      <w:r>
        <w:rPr>
          <w:rFonts w:ascii="宋体" w:eastAsia="宋体" w:hAnsi="宋体" w:cs="Times New Roman" w:hint="eastAsia"/>
          <w:b/>
          <w:sz w:val="24"/>
          <w:szCs w:val="24"/>
          <w:u w:val="single"/>
        </w:rPr>
        <w:t>在乙方销售渠道重新完成</w:t>
      </w:r>
      <w:r>
        <w:rPr>
          <w:rFonts w:ascii="宋体" w:eastAsia="宋体" w:hAnsi="宋体" w:cs="Times New Roman"/>
          <w:b/>
          <w:sz w:val="24"/>
          <w:szCs w:val="24"/>
          <w:u w:val="single"/>
        </w:rPr>
        <w:t>风险承受能力评估。</w:t>
      </w:r>
    </w:p>
    <w:p w:rsidR="0077147C" w14:paraId="0693A499" w14:textId="77777777">
      <w:pPr>
        <w:adjustRightInd w:val="0"/>
        <w:snapToGrid w:val="0"/>
        <w:spacing w:line="312" w:lineRule="auto"/>
        <w:ind w:firstLine="480" w:firstLineChars="200"/>
        <w:rPr>
          <w:rFonts w:ascii="宋体" w:eastAsia="宋体" w:hAnsi="宋体" w:cs="Times New Roman" w:hint="eastAsia"/>
          <w:bCs/>
          <w:sz w:val="24"/>
          <w:szCs w:val="24"/>
        </w:rPr>
      </w:pPr>
      <w:r>
        <w:rPr>
          <w:rFonts w:ascii="宋体" w:eastAsia="宋体" w:hAnsi="宋体" w:cs="Times New Roman" w:hint="eastAsia"/>
          <w:b/>
          <w:bCs/>
          <w:sz w:val="24"/>
          <w:szCs w:val="24"/>
        </w:rPr>
        <w:t xml:space="preserve">第五条 </w:t>
      </w:r>
      <w:r>
        <w:rPr>
          <w:rFonts w:ascii="宋体" w:eastAsia="宋体" w:hAnsi="宋体" w:cs="Times New Roman" w:hint="eastAsia"/>
          <w:bCs/>
          <w:sz w:val="24"/>
          <w:szCs w:val="24"/>
        </w:rPr>
        <w:t>理财产品的认（申）购及赎回相关规则，详见《理财产品说明书》。</w:t>
      </w:r>
      <w:r>
        <w:rPr>
          <w:rFonts w:ascii="宋体" w:eastAsia="宋体" w:hAnsi="宋体" w:cs="Times New Roman" w:hint="eastAsia"/>
          <w:b/>
          <w:bCs/>
          <w:sz w:val="24"/>
          <w:szCs w:val="24"/>
        </w:rPr>
        <w:t>乙方将甲方认（申）</w:t>
      </w:r>
      <w:r>
        <w:rPr>
          <w:rFonts w:ascii="宋体" w:eastAsia="宋体" w:hAnsi="宋体" w:cs="Times New Roman" w:hint="eastAsia"/>
          <w:b/>
          <w:bCs/>
          <w:sz w:val="24"/>
          <w:szCs w:val="24"/>
        </w:rPr>
        <w:t>购投资</w:t>
      </w:r>
      <w:r>
        <w:rPr>
          <w:rFonts w:ascii="宋体" w:eastAsia="宋体" w:hAnsi="宋体" w:cs="Times New Roman" w:hint="eastAsia"/>
          <w:b/>
          <w:bCs/>
          <w:sz w:val="24"/>
          <w:szCs w:val="24"/>
        </w:rPr>
        <w:t>本金划付</w:t>
      </w:r>
      <w:r>
        <w:rPr>
          <w:rFonts w:ascii="宋体" w:eastAsia="宋体" w:hAnsi="宋体" w:cs="Times New Roman" w:hint="eastAsia"/>
          <w:b/>
          <w:bCs/>
          <w:sz w:val="24"/>
          <w:szCs w:val="24"/>
        </w:rPr>
        <w:t>至产品</w:t>
      </w:r>
      <w:r>
        <w:rPr>
          <w:rFonts w:ascii="宋体" w:eastAsia="宋体" w:hAnsi="宋体" w:cs="Times New Roman" w:hint="eastAsia"/>
          <w:b/>
          <w:bCs/>
          <w:sz w:val="24"/>
          <w:szCs w:val="24"/>
        </w:rPr>
        <w:t>管理人前，对应投资本金的划付和计息方式以乙方规则为准。在产品约定的投资期内，投资本金不另计存款利息。</w:t>
      </w:r>
    </w:p>
    <w:p w:rsidR="0077147C" w14:paraId="691E28C4" w14:textId="77777777">
      <w:pPr>
        <w:adjustRightInd w:val="0"/>
        <w:snapToGrid w:val="0"/>
        <w:spacing w:line="312" w:lineRule="auto"/>
        <w:ind w:firstLine="480" w:firstLineChars="200"/>
        <w:rPr>
          <w:rFonts w:ascii="宋体" w:eastAsia="宋体" w:hAnsi="宋体" w:cs="Times New Roman" w:hint="eastAsia"/>
          <w:bCs/>
          <w:sz w:val="24"/>
          <w:szCs w:val="24"/>
        </w:rPr>
      </w:pPr>
      <w:r>
        <w:rPr>
          <w:rFonts w:ascii="宋体" w:eastAsia="宋体" w:hAnsi="宋体" w:cs="Times New Roman" w:hint="eastAsia"/>
          <w:b/>
          <w:bCs/>
          <w:sz w:val="24"/>
          <w:szCs w:val="24"/>
        </w:rPr>
        <w:t xml:space="preserve">第六条 </w:t>
      </w:r>
      <w:r>
        <w:rPr>
          <w:rFonts w:ascii="宋体" w:eastAsia="宋体" w:hAnsi="宋体" w:cs="Times New Roman" w:hint="eastAsia"/>
          <w:bCs/>
          <w:sz w:val="24"/>
          <w:szCs w:val="24"/>
        </w:rPr>
        <w:t>本协议项下理财产品存续期内，甲方是否可办理赎回，详见《理财产品说明书》。</w:t>
      </w:r>
    </w:p>
    <w:p w:rsidR="0077147C" w14:paraId="450EE755" w14:textId="77777777">
      <w:pPr>
        <w:adjustRightInd w:val="0"/>
        <w:snapToGrid w:val="0"/>
        <w:spacing w:line="312" w:lineRule="auto"/>
        <w:ind w:firstLine="480" w:firstLineChars="200"/>
        <w:rPr>
          <w:rFonts w:ascii="宋体" w:eastAsia="宋体" w:hAnsi="宋体" w:cs="Times New Roman" w:hint="eastAsia"/>
          <w:bCs/>
          <w:sz w:val="24"/>
          <w:szCs w:val="24"/>
        </w:rPr>
      </w:pPr>
      <w:r>
        <w:rPr>
          <w:rFonts w:ascii="宋体" w:eastAsia="宋体" w:hAnsi="宋体" w:cs="Times New Roman" w:hint="eastAsia"/>
          <w:b/>
          <w:bCs/>
          <w:sz w:val="24"/>
          <w:szCs w:val="24"/>
        </w:rPr>
        <w:t>未经产品</w:t>
      </w:r>
      <w:r>
        <w:rPr>
          <w:rFonts w:ascii="宋体" w:eastAsia="宋体" w:hAnsi="宋体" w:cs="Times New Roman"/>
          <w:b/>
          <w:bCs/>
          <w:sz w:val="24"/>
          <w:szCs w:val="24"/>
        </w:rPr>
        <w:t>管理人同意，</w:t>
      </w:r>
      <w:r>
        <w:rPr>
          <w:rFonts w:ascii="宋体" w:eastAsia="宋体" w:hAnsi="宋体" w:cs="Times New Roman" w:hint="eastAsia"/>
          <w:b/>
          <w:bCs/>
          <w:sz w:val="24"/>
          <w:szCs w:val="24"/>
        </w:rPr>
        <w:t>甲方不得</w:t>
      </w:r>
      <w:r>
        <w:rPr>
          <w:rFonts w:ascii="宋体" w:eastAsia="宋体" w:hAnsi="宋体" w:cs="Times New Roman"/>
          <w:b/>
          <w:bCs/>
          <w:sz w:val="24"/>
          <w:szCs w:val="24"/>
        </w:rPr>
        <w:t>以本</w:t>
      </w:r>
      <w:r>
        <w:rPr>
          <w:rFonts w:ascii="宋体" w:eastAsia="宋体" w:hAnsi="宋体" w:cs="Times New Roman" w:hint="eastAsia"/>
          <w:b/>
          <w:bCs/>
          <w:sz w:val="24"/>
          <w:szCs w:val="24"/>
        </w:rPr>
        <w:t>协议</w:t>
      </w:r>
      <w:r>
        <w:rPr>
          <w:rFonts w:ascii="宋体" w:eastAsia="宋体" w:hAnsi="宋体" w:cs="Times New Roman"/>
          <w:b/>
          <w:bCs/>
          <w:sz w:val="24"/>
          <w:szCs w:val="24"/>
        </w:rPr>
        <w:t>项下</w:t>
      </w:r>
      <w:r>
        <w:rPr>
          <w:rFonts w:ascii="宋体" w:eastAsia="宋体" w:hAnsi="宋体" w:cs="Times New Roman" w:hint="eastAsia"/>
          <w:b/>
          <w:bCs/>
          <w:sz w:val="24"/>
          <w:szCs w:val="24"/>
        </w:rPr>
        <w:t>理财产品</w:t>
      </w:r>
      <w:r>
        <w:rPr>
          <w:rFonts w:ascii="宋体" w:eastAsia="宋体" w:hAnsi="宋体" w:cs="Times New Roman"/>
          <w:b/>
          <w:bCs/>
          <w:sz w:val="24"/>
          <w:szCs w:val="24"/>
        </w:rPr>
        <w:t>的权益（</w:t>
      </w:r>
      <w:r>
        <w:rPr>
          <w:rFonts w:ascii="宋体" w:eastAsia="宋体" w:hAnsi="宋体" w:cs="Times New Roman" w:hint="eastAsia"/>
          <w:b/>
          <w:bCs/>
          <w:sz w:val="24"/>
          <w:szCs w:val="24"/>
        </w:rPr>
        <w:t>包括</w:t>
      </w:r>
      <w:r>
        <w:rPr>
          <w:rFonts w:ascii="宋体" w:eastAsia="宋体" w:hAnsi="宋体" w:cs="Times New Roman"/>
          <w:b/>
          <w:bCs/>
          <w:sz w:val="24"/>
          <w:szCs w:val="24"/>
        </w:rPr>
        <w:t>单独和整体）</w:t>
      </w:r>
      <w:r>
        <w:rPr>
          <w:rFonts w:ascii="宋体" w:eastAsia="宋体" w:hAnsi="宋体" w:cs="Times New Roman" w:hint="eastAsia"/>
          <w:b/>
          <w:bCs/>
          <w:sz w:val="24"/>
          <w:szCs w:val="24"/>
        </w:rPr>
        <w:t>为</w:t>
      </w:r>
      <w:r>
        <w:rPr>
          <w:rFonts w:ascii="宋体" w:eastAsia="宋体" w:hAnsi="宋体" w:cs="Times New Roman"/>
          <w:b/>
          <w:bCs/>
          <w:sz w:val="24"/>
          <w:szCs w:val="24"/>
        </w:rPr>
        <w:t>甲方</w:t>
      </w:r>
      <w:r>
        <w:rPr>
          <w:rFonts w:ascii="宋体" w:eastAsia="宋体" w:hAnsi="宋体" w:cs="Times New Roman" w:hint="eastAsia"/>
          <w:b/>
          <w:bCs/>
          <w:sz w:val="24"/>
          <w:szCs w:val="24"/>
        </w:rPr>
        <w:t>或任何</w:t>
      </w:r>
      <w:r>
        <w:rPr>
          <w:rFonts w:ascii="宋体" w:eastAsia="宋体" w:hAnsi="宋体" w:cs="Times New Roman"/>
          <w:b/>
          <w:bCs/>
          <w:sz w:val="24"/>
          <w:szCs w:val="24"/>
        </w:rPr>
        <w:t>第三人的债务设定担保或其他权益</w:t>
      </w:r>
      <w:r>
        <w:rPr>
          <w:rFonts w:ascii="宋体" w:eastAsia="宋体" w:hAnsi="宋体" w:cs="Times New Roman" w:hint="eastAsia"/>
          <w:b/>
          <w:bCs/>
          <w:sz w:val="24"/>
          <w:szCs w:val="24"/>
        </w:rPr>
        <w:t>。未经产品</w:t>
      </w:r>
      <w:r>
        <w:rPr>
          <w:rFonts w:ascii="宋体" w:eastAsia="宋体" w:hAnsi="宋体" w:cs="Times New Roman"/>
          <w:b/>
          <w:bCs/>
          <w:sz w:val="24"/>
          <w:szCs w:val="24"/>
        </w:rPr>
        <w:t>管理人同意，</w:t>
      </w:r>
      <w:r>
        <w:rPr>
          <w:rFonts w:ascii="宋体" w:eastAsia="宋体" w:hAnsi="宋体" w:cs="Times New Roman" w:hint="eastAsia"/>
          <w:b/>
          <w:bCs/>
          <w:sz w:val="24"/>
          <w:szCs w:val="24"/>
        </w:rPr>
        <w:t>甲方</w:t>
      </w:r>
      <w:r>
        <w:rPr>
          <w:rFonts w:ascii="宋体" w:eastAsia="宋体" w:hAnsi="宋体" w:cs="Times New Roman"/>
          <w:b/>
          <w:bCs/>
          <w:sz w:val="24"/>
          <w:szCs w:val="24"/>
        </w:rPr>
        <w:t>不得向任何第三人转让</w:t>
      </w:r>
      <w:r>
        <w:rPr>
          <w:rFonts w:ascii="宋体" w:eastAsia="宋体" w:hAnsi="宋体" w:cs="Times New Roman" w:hint="eastAsia"/>
          <w:b/>
          <w:bCs/>
          <w:sz w:val="24"/>
          <w:szCs w:val="24"/>
        </w:rPr>
        <w:t>、</w:t>
      </w:r>
      <w:r>
        <w:rPr>
          <w:rFonts w:ascii="宋体" w:eastAsia="宋体" w:hAnsi="宋体" w:cs="Times New Roman"/>
          <w:b/>
          <w:bCs/>
          <w:sz w:val="24"/>
          <w:szCs w:val="24"/>
        </w:rPr>
        <w:t>赠与本</w:t>
      </w:r>
      <w:r>
        <w:rPr>
          <w:rFonts w:ascii="宋体" w:eastAsia="宋体" w:hAnsi="宋体" w:cs="Times New Roman" w:hint="eastAsia"/>
          <w:b/>
          <w:bCs/>
          <w:sz w:val="24"/>
          <w:szCs w:val="24"/>
        </w:rPr>
        <w:t>协议项下理财</w:t>
      </w:r>
      <w:r>
        <w:rPr>
          <w:rFonts w:ascii="宋体" w:eastAsia="宋体" w:hAnsi="宋体" w:cs="Times New Roman"/>
          <w:b/>
          <w:bCs/>
          <w:sz w:val="24"/>
          <w:szCs w:val="24"/>
        </w:rPr>
        <w:t>产品的权益（</w:t>
      </w:r>
      <w:r>
        <w:rPr>
          <w:rFonts w:ascii="宋体" w:eastAsia="宋体" w:hAnsi="宋体" w:cs="Times New Roman" w:hint="eastAsia"/>
          <w:b/>
          <w:bCs/>
          <w:sz w:val="24"/>
          <w:szCs w:val="24"/>
        </w:rPr>
        <w:t>包括</w:t>
      </w:r>
      <w:r>
        <w:rPr>
          <w:rFonts w:ascii="宋体" w:eastAsia="宋体" w:hAnsi="宋体" w:cs="Times New Roman"/>
          <w:b/>
          <w:bCs/>
          <w:sz w:val="24"/>
          <w:szCs w:val="24"/>
        </w:rPr>
        <w:t>单独和整体）</w:t>
      </w:r>
      <w:r>
        <w:rPr>
          <w:rFonts w:ascii="宋体" w:eastAsia="宋体" w:hAnsi="宋体" w:cs="Times New Roman" w:hint="eastAsia"/>
          <w:b/>
          <w:bCs/>
          <w:sz w:val="24"/>
          <w:szCs w:val="24"/>
        </w:rPr>
        <w:t>。</w:t>
      </w:r>
    </w:p>
    <w:p w:rsidR="0077147C" w14:paraId="67CD7295" w14:textId="77777777">
      <w:pPr>
        <w:adjustRightInd w:val="0"/>
        <w:snapToGrid w:val="0"/>
        <w:spacing w:line="312" w:lineRule="auto"/>
        <w:ind w:firstLine="480" w:firstLineChars="200"/>
        <w:rPr>
          <w:rFonts w:ascii="宋体" w:eastAsia="宋体" w:hAnsi="宋体" w:cs="Times New Roman" w:hint="eastAsia"/>
          <w:b/>
          <w:sz w:val="24"/>
          <w:szCs w:val="24"/>
        </w:rPr>
      </w:pPr>
      <w:r>
        <w:rPr>
          <w:rFonts w:ascii="宋体" w:eastAsia="宋体" w:hAnsi="宋体" w:cs="Times New Roman" w:hint="eastAsia"/>
          <w:b/>
          <w:color w:val="000000"/>
          <w:kern w:val="0"/>
          <w:sz w:val="24"/>
          <w:szCs w:val="24"/>
        </w:rPr>
        <w:t>第七条</w:t>
      </w:r>
      <w:r>
        <w:rPr>
          <w:rFonts w:ascii="宋体" w:eastAsia="宋体" w:hAnsi="宋体" w:cs="Times New Roman" w:hint="eastAsia"/>
          <w:color w:val="000000"/>
          <w:kern w:val="0"/>
          <w:sz w:val="24"/>
          <w:szCs w:val="24"/>
        </w:rPr>
        <w:t xml:space="preserve"> </w:t>
      </w:r>
      <w:r>
        <w:rPr>
          <w:rFonts w:ascii="宋体" w:eastAsia="宋体" w:hAnsi="宋体" w:cs="Times New Roman" w:hint="eastAsia"/>
          <w:b/>
          <w:sz w:val="24"/>
          <w:szCs w:val="24"/>
        </w:rPr>
        <w:t>本协议项下理财产品存续期内，如因有权机关采取强制措施导致甲方的理财产品份额部分或者全部被冻结、扣划或处置的，由此产生的损失均由甲方承担，</w:t>
      </w:r>
      <w:r>
        <w:rPr>
          <w:rFonts w:ascii="宋体" w:eastAsia="宋体" w:hAnsi="宋体" w:cs="Times New Roman" w:hint="eastAsia"/>
          <w:b/>
          <w:bCs/>
          <w:sz w:val="24"/>
          <w:szCs w:val="24"/>
        </w:rPr>
        <w:t>乙方和</w:t>
      </w:r>
      <w:r>
        <w:rPr>
          <w:rFonts w:ascii="宋体" w:eastAsia="宋体" w:hAnsi="宋体" w:cs="Times New Roman"/>
          <w:b/>
          <w:bCs/>
          <w:sz w:val="24"/>
          <w:szCs w:val="24"/>
        </w:rPr>
        <w:t>产品管理人</w:t>
      </w:r>
      <w:r>
        <w:rPr>
          <w:rFonts w:ascii="宋体" w:eastAsia="宋体" w:hAnsi="宋体" w:cs="Times New Roman" w:hint="eastAsia"/>
          <w:b/>
          <w:bCs/>
          <w:sz w:val="24"/>
          <w:szCs w:val="24"/>
        </w:rPr>
        <w:t>对此不承担任何责任。</w:t>
      </w:r>
    </w:p>
    <w:p w:rsidR="0077147C" w14:paraId="4FB19BA4"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b/>
          <w:bCs/>
          <w:sz w:val="24"/>
          <w:szCs w:val="24"/>
        </w:rPr>
        <w:t xml:space="preserve">第八条 </w:t>
      </w:r>
      <w:r>
        <w:rPr>
          <w:rFonts w:ascii="宋体" w:eastAsia="宋体" w:hAnsi="宋体" w:cs="Times New Roman" w:hint="eastAsia"/>
          <w:b/>
          <w:sz w:val="24"/>
          <w:szCs w:val="24"/>
        </w:rPr>
        <w:t>乙方及</w:t>
      </w:r>
      <w:r>
        <w:rPr>
          <w:rFonts w:ascii="宋体" w:eastAsia="宋体" w:hAnsi="宋体" w:cs="Times New Roman"/>
          <w:b/>
          <w:sz w:val="24"/>
          <w:szCs w:val="24"/>
        </w:rPr>
        <w:t>产品管理人</w:t>
      </w:r>
      <w:r>
        <w:rPr>
          <w:rFonts w:ascii="宋体" w:eastAsia="宋体" w:hAnsi="宋体" w:cs="Times New Roman" w:hint="eastAsia"/>
          <w:b/>
          <w:sz w:val="24"/>
          <w:szCs w:val="24"/>
        </w:rPr>
        <w:t>有权根据国家有关法律、法规的规定，以及理财产品销售文件</w:t>
      </w:r>
      <w:r>
        <w:rPr>
          <w:rFonts w:ascii="宋体" w:eastAsia="宋体" w:hAnsi="宋体" w:cs="Times New Roman"/>
          <w:b/>
          <w:sz w:val="24"/>
          <w:szCs w:val="24"/>
        </w:rPr>
        <w:t>的约定</w:t>
      </w:r>
      <w:r>
        <w:rPr>
          <w:rFonts w:ascii="宋体" w:eastAsia="宋体" w:hAnsi="宋体" w:cs="Times New Roman" w:hint="eastAsia"/>
          <w:b/>
          <w:sz w:val="24"/>
          <w:szCs w:val="24"/>
        </w:rPr>
        <w:t>向甲方收取相应的费用，收费项目、收费条件、收费标准和收费方式在《理财产品说明书》中载明。</w:t>
      </w:r>
      <w:r>
        <w:rPr>
          <w:rFonts w:ascii="宋体" w:eastAsia="宋体" w:hAnsi="宋体" w:cs="Times New Roman" w:hint="eastAsia"/>
          <w:sz w:val="24"/>
          <w:szCs w:val="24"/>
        </w:rPr>
        <w:t>乙方及</w:t>
      </w:r>
      <w:r>
        <w:rPr>
          <w:rFonts w:ascii="宋体" w:eastAsia="宋体" w:hAnsi="宋体" w:cs="Times New Roman"/>
          <w:sz w:val="24"/>
          <w:szCs w:val="24"/>
        </w:rPr>
        <w:t>产品管理人</w:t>
      </w:r>
      <w:r>
        <w:rPr>
          <w:rFonts w:ascii="宋体" w:eastAsia="宋体" w:hAnsi="宋体" w:cs="Times New Roman" w:hint="eastAsia"/>
          <w:sz w:val="24"/>
          <w:szCs w:val="24"/>
        </w:rPr>
        <w:t>根据业务发展和投资管理情况，可以对收费标准和收费方式等</w:t>
      </w:r>
      <w:r>
        <w:rPr>
          <w:rFonts w:ascii="宋体" w:eastAsia="宋体" w:hAnsi="宋体" w:cs="Times New Roman"/>
          <w:sz w:val="24"/>
          <w:szCs w:val="24"/>
        </w:rPr>
        <w:t>产品要素</w:t>
      </w:r>
      <w:r>
        <w:rPr>
          <w:rFonts w:ascii="宋体" w:eastAsia="宋体" w:hAnsi="宋体" w:cs="Times New Roman" w:hint="eastAsia"/>
          <w:sz w:val="24"/>
          <w:szCs w:val="24"/>
        </w:rPr>
        <w:t>进行调整，但应在</w:t>
      </w:r>
      <w:r>
        <w:rPr>
          <w:rFonts w:ascii="宋体" w:eastAsia="宋体" w:hAnsi="宋体" w:cs="Times New Roman"/>
          <w:sz w:val="24"/>
          <w:szCs w:val="24"/>
        </w:rPr>
        <w:t>调整前</w:t>
      </w:r>
      <w:r>
        <w:rPr>
          <w:rFonts w:ascii="宋体" w:eastAsia="宋体" w:hAnsi="宋体" w:cs="Times New Roman" w:hint="eastAsia"/>
          <w:sz w:val="24"/>
          <w:szCs w:val="24"/>
        </w:rPr>
        <w:t>通过理财产品</w:t>
      </w:r>
      <w:r>
        <w:rPr>
          <w:rFonts w:ascii="宋体" w:eastAsia="宋体" w:hAnsi="宋体" w:cs="Times New Roman"/>
          <w:sz w:val="24"/>
          <w:szCs w:val="24"/>
        </w:rPr>
        <w:t>销售文件约定的方式</w:t>
      </w:r>
      <w:r>
        <w:rPr>
          <w:rFonts w:ascii="宋体" w:eastAsia="宋体" w:hAnsi="宋体" w:cs="Times New Roman" w:hint="eastAsia"/>
          <w:sz w:val="24"/>
          <w:szCs w:val="24"/>
        </w:rPr>
        <w:t>将有关情况及时向甲方披露。上述情况下本产品将可能开放赎回，具体以信息披露公告为准。</w:t>
      </w:r>
      <w:r>
        <w:rPr>
          <w:rFonts w:ascii="宋体" w:eastAsia="宋体" w:hAnsi="宋体" w:cs="Times New Roman" w:hint="eastAsia"/>
          <w:b/>
          <w:sz w:val="24"/>
          <w:szCs w:val="24"/>
        </w:rPr>
        <w:t>甲方不同意公告内容的，可在公告执行前按公告约定全部赎回本产品。若甲方在公告执行后继续持有本产品的，视同接受公告内容。</w:t>
      </w:r>
    </w:p>
    <w:p w:rsidR="0077147C" w14:paraId="6BACB06D" w14:textId="77777777">
      <w:pPr>
        <w:adjustRightInd w:val="0"/>
        <w:snapToGrid w:val="0"/>
        <w:spacing w:line="312" w:lineRule="auto"/>
        <w:ind w:firstLine="480" w:firstLineChars="200"/>
        <w:rPr>
          <w:rFonts w:ascii="宋体" w:eastAsia="宋体" w:hAnsi="宋体" w:cs="Times New Roman" w:hint="eastAsia"/>
          <w:b/>
          <w:bCs/>
          <w:sz w:val="24"/>
          <w:szCs w:val="24"/>
        </w:rPr>
      </w:pPr>
      <w:r>
        <w:rPr>
          <w:rFonts w:ascii="宋体" w:eastAsia="宋体" w:hAnsi="宋体" w:cs="Times New Roman" w:hint="eastAsia"/>
          <w:b/>
          <w:bCs/>
          <w:sz w:val="24"/>
          <w:szCs w:val="24"/>
        </w:rPr>
        <w:t>第九条 甲方</w:t>
      </w:r>
      <w:r>
        <w:rPr>
          <w:rFonts w:ascii="宋体" w:eastAsia="宋体" w:hAnsi="宋体" w:cs="Times New Roman"/>
          <w:b/>
          <w:bCs/>
          <w:sz w:val="24"/>
          <w:szCs w:val="24"/>
        </w:rPr>
        <w:t>通过</w:t>
      </w:r>
      <w:r>
        <w:rPr>
          <w:rFonts w:ascii="宋体" w:eastAsia="宋体" w:hAnsi="宋体" w:cs="Times New Roman" w:hint="eastAsia"/>
          <w:b/>
          <w:bCs/>
          <w:sz w:val="24"/>
          <w:szCs w:val="24"/>
        </w:rPr>
        <w:t>乙方认（申）购</w:t>
      </w:r>
      <w:r>
        <w:rPr>
          <w:rFonts w:ascii="宋体" w:eastAsia="宋体" w:hAnsi="宋体" w:cs="Times New Roman"/>
          <w:b/>
          <w:bCs/>
          <w:sz w:val="24"/>
          <w:szCs w:val="24"/>
        </w:rPr>
        <w:t>理财产品</w:t>
      </w:r>
      <w:r>
        <w:rPr>
          <w:rFonts w:ascii="宋体" w:eastAsia="宋体" w:hAnsi="宋体" w:cs="Times New Roman" w:hint="eastAsia"/>
          <w:b/>
          <w:bCs/>
          <w:sz w:val="24"/>
          <w:szCs w:val="24"/>
        </w:rPr>
        <w:t>的</w:t>
      </w:r>
      <w:r>
        <w:rPr>
          <w:rFonts w:ascii="宋体" w:eastAsia="宋体" w:hAnsi="宋体" w:cs="Times New Roman"/>
          <w:b/>
          <w:bCs/>
          <w:sz w:val="24"/>
          <w:szCs w:val="24"/>
        </w:rPr>
        <w:t>，</w:t>
      </w:r>
      <w:r>
        <w:rPr>
          <w:rFonts w:ascii="宋体" w:eastAsia="宋体" w:hAnsi="宋体" w:cs="Times New Roman" w:hint="eastAsia"/>
          <w:b/>
          <w:bCs/>
          <w:sz w:val="24"/>
          <w:szCs w:val="24"/>
        </w:rPr>
        <w:t>对于</w:t>
      </w:r>
      <w:r>
        <w:rPr>
          <w:rFonts w:ascii="宋体" w:eastAsia="宋体" w:hAnsi="宋体" w:cs="Times New Roman"/>
          <w:b/>
          <w:bCs/>
          <w:sz w:val="24"/>
          <w:szCs w:val="24"/>
        </w:rPr>
        <w:t>公募理财产品，</w:t>
      </w:r>
      <w:r>
        <w:rPr>
          <w:rFonts w:ascii="宋体" w:eastAsia="宋体" w:hAnsi="宋体" w:cs="Times New Roman" w:hint="eastAsia"/>
          <w:b/>
          <w:bCs/>
          <w:sz w:val="24"/>
          <w:szCs w:val="24"/>
        </w:rPr>
        <w:t>除</w:t>
      </w:r>
      <w:r>
        <w:rPr>
          <w:rFonts w:ascii="宋体" w:eastAsia="宋体" w:hAnsi="宋体" w:cs="Times New Roman"/>
          <w:b/>
          <w:bCs/>
          <w:sz w:val="24"/>
          <w:szCs w:val="24"/>
        </w:rPr>
        <w:t>理财</w:t>
      </w:r>
      <w:r>
        <w:rPr>
          <w:rFonts w:ascii="宋体" w:eastAsia="宋体" w:hAnsi="宋体" w:cs="Times New Roman" w:hint="eastAsia"/>
          <w:b/>
          <w:bCs/>
          <w:sz w:val="24"/>
          <w:szCs w:val="24"/>
        </w:rPr>
        <w:t>产品</w:t>
      </w:r>
      <w:r>
        <w:rPr>
          <w:rFonts w:ascii="宋体" w:eastAsia="宋体" w:hAnsi="宋体" w:cs="Times New Roman"/>
          <w:b/>
          <w:bCs/>
          <w:sz w:val="24"/>
          <w:szCs w:val="24"/>
        </w:rPr>
        <w:t>账单</w:t>
      </w:r>
      <w:r>
        <w:rPr>
          <w:rFonts w:ascii="宋体" w:eastAsia="宋体" w:hAnsi="宋体" w:cs="Times New Roman" w:hint="eastAsia"/>
          <w:b/>
          <w:bCs/>
          <w:sz w:val="24"/>
          <w:szCs w:val="24"/>
        </w:rPr>
        <w:t>由乙方</w:t>
      </w:r>
      <w:r>
        <w:rPr>
          <w:rFonts w:ascii="宋体" w:eastAsia="宋体" w:hAnsi="宋体" w:cs="Times New Roman"/>
          <w:b/>
          <w:bCs/>
          <w:sz w:val="24"/>
          <w:szCs w:val="24"/>
        </w:rPr>
        <w:t>负责向</w:t>
      </w:r>
      <w:r>
        <w:rPr>
          <w:rFonts w:ascii="宋体" w:eastAsia="宋体" w:hAnsi="宋体" w:cs="Times New Roman" w:hint="eastAsia"/>
          <w:b/>
          <w:bCs/>
          <w:sz w:val="24"/>
          <w:szCs w:val="24"/>
        </w:rPr>
        <w:t>甲方提供外，</w:t>
      </w:r>
      <w:r>
        <w:rPr>
          <w:rFonts w:ascii="宋体" w:eastAsia="宋体" w:hAnsi="宋体" w:cs="Times New Roman"/>
          <w:b/>
          <w:bCs/>
          <w:sz w:val="24"/>
          <w:szCs w:val="24"/>
        </w:rPr>
        <w:t>其余信息披露</w:t>
      </w:r>
      <w:r>
        <w:rPr>
          <w:rFonts w:ascii="宋体" w:eastAsia="宋体" w:hAnsi="宋体" w:cs="Times New Roman" w:hint="eastAsia"/>
          <w:b/>
          <w:bCs/>
          <w:sz w:val="24"/>
          <w:szCs w:val="24"/>
        </w:rPr>
        <w:t>义务由</w:t>
      </w:r>
      <w:r>
        <w:rPr>
          <w:rFonts w:ascii="宋体" w:eastAsia="宋体" w:hAnsi="宋体" w:cs="Times New Roman"/>
          <w:b/>
          <w:bCs/>
          <w:sz w:val="24"/>
          <w:szCs w:val="24"/>
        </w:rPr>
        <w:t>乙方和</w:t>
      </w:r>
      <w:r>
        <w:rPr>
          <w:rFonts w:ascii="宋体" w:eastAsia="宋体" w:hAnsi="宋体" w:cs="Times New Roman" w:hint="eastAsia"/>
          <w:b/>
          <w:bCs/>
          <w:sz w:val="24"/>
          <w:szCs w:val="24"/>
        </w:rPr>
        <w:t>产品管理人</w:t>
      </w:r>
      <w:r>
        <w:rPr>
          <w:rFonts w:ascii="宋体" w:eastAsia="宋体" w:hAnsi="宋体" w:cs="Times New Roman"/>
          <w:b/>
          <w:bCs/>
          <w:sz w:val="24"/>
          <w:szCs w:val="24"/>
        </w:rPr>
        <w:t>共同承担</w:t>
      </w:r>
      <w:r>
        <w:rPr>
          <w:rFonts w:ascii="宋体" w:eastAsia="宋体" w:hAnsi="宋体" w:cs="Times New Roman" w:hint="eastAsia"/>
          <w:b/>
          <w:bCs/>
          <w:sz w:val="24"/>
          <w:szCs w:val="24"/>
        </w:rPr>
        <w:t>；</w:t>
      </w:r>
      <w:r>
        <w:rPr>
          <w:rFonts w:ascii="宋体" w:eastAsia="宋体" w:hAnsi="宋体" w:cs="Times New Roman"/>
          <w:b/>
          <w:bCs/>
          <w:sz w:val="24"/>
          <w:szCs w:val="24"/>
        </w:rPr>
        <w:t>对于私募理财产品，信息披露</w:t>
      </w:r>
      <w:r>
        <w:rPr>
          <w:rFonts w:ascii="宋体" w:eastAsia="宋体" w:hAnsi="宋体" w:cs="Times New Roman" w:hint="eastAsia"/>
          <w:b/>
          <w:bCs/>
          <w:sz w:val="24"/>
          <w:szCs w:val="24"/>
        </w:rPr>
        <w:t>义务</w:t>
      </w:r>
      <w:r>
        <w:rPr>
          <w:rFonts w:ascii="宋体" w:eastAsia="宋体" w:hAnsi="宋体" w:cs="Times New Roman"/>
          <w:b/>
          <w:bCs/>
          <w:sz w:val="24"/>
          <w:szCs w:val="24"/>
        </w:rPr>
        <w:t>由</w:t>
      </w:r>
      <w:r>
        <w:rPr>
          <w:rFonts w:ascii="宋体" w:eastAsia="宋体" w:hAnsi="宋体" w:cs="Times New Roman" w:hint="eastAsia"/>
          <w:b/>
          <w:bCs/>
          <w:sz w:val="24"/>
          <w:szCs w:val="24"/>
        </w:rPr>
        <w:t>乙方承担</w:t>
      </w:r>
      <w:r>
        <w:rPr>
          <w:rFonts w:ascii="宋体" w:eastAsia="宋体" w:hAnsi="宋体" w:cs="Times New Roman"/>
          <w:b/>
          <w:bCs/>
          <w:sz w:val="24"/>
          <w:szCs w:val="24"/>
        </w:rPr>
        <w:t>。因</w:t>
      </w:r>
      <w:r>
        <w:rPr>
          <w:rFonts w:ascii="宋体" w:eastAsia="宋体" w:hAnsi="宋体" w:cs="Times New Roman" w:hint="eastAsia"/>
          <w:b/>
          <w:bCs/>
          <w:sz w:val="24"/>
          <w:szCs w:val="24"/>
        </w:rPr>
        <w:t>乙方</w:t>
      </w:r>
      <w:r>
        <w:rPr>
          <w:rFonts w:ascii="宋体" w:eastAsia="宋体" w:hAnsi="宋体" w:cs="Times New Roman"/>
          <w:b/>
          <w:bCs/>
          <w:sz w:val="24"/>
          <w:szCs w:val="24"/>
        </w:rPr>
        <w:t>信息披露错误或不及时导致甲方损失的，由</w:t>
      </w:r>
      <w:r>
        <w:rPr>
          <w:rFonts w:ascii="宋体" w:eastAsia="宋体" w:hAnsi="宋体" w:cs="Times New Roman" w:hint="eastAsia"/>
          <w:b/>
          <w:bCs/>
          <w:sz w:val="24"/>
          <w:szCs w:val="24"/>
        </w:rPr>
        <w:t>乙方</w:t>
      </w:r>
      <w:r>
        <w:rPr>
          <w:rFonts w:ascii="宋体" w:eastAsia="宋体" w:hAnsi="宋体" w:cs="Times New Roman"/>
          <w:b/>
          <w:bCs/>
          <w:sz w:val="24"/>
          <w:szCs w:val="24"/>
        </w:rPr>
        <w:t>向甲方承担赔偿责任。</w:t>
      </w:r>
      <w:r>
        <w:rPr>
          <w:rFonts w:ascii="宋体" w:eastAsia="宋体" w:hAnsi="宋体" w:cs="Times New Roman" w:hint="eastAsia"/>
          <w:b/>
          <w:bCs/>
          <w:sz w:val="24"/>
          <w:szCs w:val="24"/>
        </w:rPr>
        <w:t>具体理财产品的信息披露方式、频率等</w:t>
      </w:r>
      <w:r>
        <w:rPr>
          <w:rFonts w:ascii="宋体" w:eastAsia="宋体" w:hAnsi="宋体" w:cs="Times New Roman" w:hint="eastAsia"/>
          <w:b/>
          <w:bCs/>
          <w:sz w:val="24"/>
          <w:szCs w:val="24"/>
        </w:rPr>
        <w:t>规则见</w:t>
      </w:r>
      <w:r>
        <w:rPr>
          <w:rFonts w:ascii="宋体" w:eastAsia="宋体" w:hAnsi="宋体" w:cs="Times New Roman" w:hint="eastAsia"/>
          <w:b/>
          <w:sz w:val="24"/>
          <w:szCs w:val="24"/>
        </w:rPr>
        <w:t>《理财产品说明书》</w:t>
      </w:r>
      <w:r>
        <w:rPr>
          <w:rFonts w:ascii="宋体" w:eastAsia="宋体" w:hAnsi="宋体" w:cs="Times New Roman" w:hint="eastAsia"/>
          <w:b/>
          <w:bCs/>
          <w:sz w:val="24"/>
          <w:szCs w:val="24"/>
        </w:rPr>
        <w:t>。</w:t>
      </w:r>
    </w:p>
    <w:p w:rsidR="0077147C" w14:paraId="5AF93B3C" w14:textId="77777777">
      <w:pPr>
        <w:spacing w:line="360" w:lineRule="auto"/>
        <w:ind w:firstLine="480" w:firstLineChars="200"/>
        <w:rPr>
          <w:rFonts w:ascii="宋体" w:eastAsia="宋体" w:hAnsi="宋体" w:cs="Times New Roman" w:hint="eastAsia"/>
          <w:sz w:val="24"/>
          <w:szCs w:val="24"/>
        </w:rPr>
      </w:pPr>
      <w:r>
        <w:rPr>
          <w:rFonts w:ascii="宋体" w:eastAsia="宋体" w:hAnsi="宋体" w:cs="Times New Roman" w:hint="eastAsia"/>
          <w:b/>
          <w:bCs/>
          <w:sz w:val="24"/>
          <w:szCs w:val="24"/>
        </w:rPr>
        <w:t>第十条 根据监管</w:t>
      </w:r>
      <w:r>
        <w:rPr>
          <w:rFonts w:ascii="宋体" w:eastAsia="宋体" w:hAnsi="宋体" w:cs="Times New Roman"/>
          <w:b/>
          <w:bCs/>
          <w:sz w:val="24"/>
          <w:szCs w:val="24"/>
        </w:rPr>
        <w:t>规定，</w:t>
      </w:r>
      <w:r>
        <w:rPr>
          <w:rFonts w:ascii="宋体" w:eastAsia="宋体" w:hAnsi="宋体" w:cs="Times New Roman" w:hint="eastAsia"/>
          <w:b/>
          <w:bCs/>
          <w:sz w:val="24"/>
          <w:szCs w:val="24"/>
        </w:rPr>
        <w:t>公募理财产品是指面向不特定社会公众公开发行的理财产品，私募理财产品是指面向合格投资者非公开发行的理财产品。</w:t>
      </w:r>
      <w:r>
        <w:rPr>
          <w:rFonts w:ascii="宋体" w:eastAsia="宋体" w:hAnsi="宋体" w:cs="Times New Roman" w:hint="eastAsia"/>
          <w:b/>
          <w:sz w:val="24"/>
          <w:szCs w:val="24"/>
        </w:rPr>
        <w:t>私募理财产品募集期最后一天为产品冷静期，冷静</w:t>
      </w:r>
      <w:r>
        <w:rPr>
          <w:rFonts w:ascii="宋体" w:eastAsia="宋体" w:hAnsi="宋体" w:cs="Times New Roman" w:hint="eastAsia"/>
          <w:b/>
          <w:sz w:val="24"/>
          <w:szCs w:val="24"/>
        </w:rPr>
        <w:t>期具体</w:t>
      </w:r>
      <w:r>
        <w:rPr>
          <w:rFonts w:ascii="宋体" w:eastAsia="宋体" w:hAnsi="宋体" w:cs="Times New Roman" w:hint="eastAsia"/>
          <w:b/>
          <w:sz w:val="24"/>
          <w:szCs w:val="24"/>
        </w:rPr>
        <w:t>设置规则以《理财产品说明书》为准</w:t>
      </w:r>
      <w:r>
        <w:rPr>
          <w:rFonts w:ascii="宋体" w:eastAsia="宋体" w:hAnsi="宋体" w:cs="Times New Roman"/>
          <w:b/>
          <w:sz w:val="24"/>
          <w:szCs w:val="24"/>
        </w:rPr>
        <w:t>。在冷静期内，如甲方改变投</w:t>
      </w:r>
      <w:r>
        <w:rPr>
          <w:rFonts w:ascii="宋体" w:eastAsia="宋体" w:hAnsi="宋体" w:cs="Times New Roman" w:hint="eastAsia"/>
          <w:b/>
          <w:sz w:val="24"/>
          <w:szCs w:val="24"/>
        </w:rPr>
        <w:t>资决定，应立即撤销认</w:t>
      </w:r>
      <w:r>
        <w:rPr>
          <w:rFonts w:ascii="宋体" w:eastAsia="宋体" w:hAnsi="宋体" w:cs="Times New Roman"/>
          <w:b/>
          <w:sz w:val="24"/>
          <w:szCs w:val="24"/>
        </w:rPr>
        <w:t>购的申请或</w:t>
      </w:r>
      <w:r>
        <w:rPr>
          <w:rFonts w:ascii="宋体" w:eastAsia="宋体" w:hAnsi="宋体" w:cs="Times New Roman" w:hint="eastAsia"/>
          <w:b/>
          <w:sz w:val="24"/>
          <w:szCs w:val="24"/>
        </w:rPr>
        <w:t>通过乙方向乙方和产品管理人提出解除相应理财产品销售文件，乙方和产品管理人应当遵从甲方意愿，解除已签订的理财产品销售文件，并及时退还甲方的全部投资款项。</w:t>
      </w:r>
    </w:p>
    <w:p w:rsidR="0077147C" w14:paraId="26624D88" w14:textId="77777777">
      <w:pPr>
        <w:adjustRightInd w:val="0"/>
        <w:snapToGrid w:val="0"/>
        <w:spacing w:line="312" w:lineRule="auto"/>
        <w:ind w:firstLine="480" w:firstLineChars="200"/>
        <w:rPr>
          <w:rFonts w:ascii="宋体" w:eastAsia="宋体" w:hAnsi="宋体" w:cs="Times New Roman" w:hint="eastAsia"/>
          <w:b/>
          <w:bCs/>
          <w:sz w:val="24"/>
          <w:szCs w:val="24"/>
        </w:rPr>
      </w:pPr>
      <w:r>
        <w:rPr>
          <w:rFonts w:ascii="宋体" w:eastAsia="宋体" w:hAnsi="宋体" w:cs="Times New Roman" w:hint="eastAsia"/>
          <w:b/>
          <w:bCs/>
          <w:sz w:val="24"/>
          <w:szCs w:val="24"/>
        </w:rPr>
        <w:t>第十一条 甲方</w:t>
      </w:r>
      <w:r>
        <w:rPr>
          <w:rFonts w:ascii="宋体" w:eastAsia="宋体" w:hAnsi="宋体" w:cs="Times New Roman"/>
          <w:b/>
          <w:bCs/>
          <w:sz w:val="24"/>
          <w:szCs w:val="24"/>
        </w:rPr>
        <w:t>通过</w:t>
      </w:r>
      <w:r>
        <w:rPr>
          <w:rFonts w:ascii="宋体" w:eastAsia="宋体" w:hAnsi="宋体" w:cs="Times New Roman" w:hint="eastAsia"/>
          <w:b/>
          <w:bCs/>
          <w:sz w:val="24"/>
          <w:szCs w:val="24"/>
        </w:rPr>
        <w:t>乙方认（申）购</w:t>
      </w:r>
      <w:r>
        <w:rPr>
          <w:rFonts w:ascii="宋体" w:eastAsia="宋体" w:hAnsi="宋体" w:cs="Times New Roman"/>
          <w:b/>
          <w:bCs/>
          <w:sz w:val="24"/>
          <w:szCs w:val="24"/>
        </w:rPr>
        <w:t>理财产品</w:t>
      </w:r>
      <w:r>
        <w:rPr>
          <w:rFonts w:ascii="宋体" w:eastAsia="宋体" w:hAnsi="宋体" w:cs="Times New Roman" w:hint="eastAsia"/>
          <w:b/>
          <w:bCs/>
          <w:sz w:val="24"/>
          <w:szCs w:val="24"/>
        </w:rPr>
        <w:t>的</w:t>
      </w:r>
      <w:r>
        <w:rPr>
          <w:rFonts w:ascii="宋体" w:eastAsia="宋体" w:hAnsi="宋体" w:cs="Times New Roman"/>
          <w:b/>
          <w:bCs/>
          <w:sz w:val="24"/>
          <w:szCs w:val="24"/>
        </w:rPr>
        <w:t>，如因</w:t>
      </w:r>
      <w:r>
        <w:rPr>
          <w:rFonts w:ascii="宋体" w:eastAsia="宋体" w:hAnsi="宋体" w:cs="Times New Roman" w:hint="eastAsia"/>
          <w:b/>
          <w:bCs/>
          <w:sz w:val="24"/>
          <w:szCs w:val="24"/>
        </w:rPr>
        <w:t>乙方</w:t>
      </w:r>
      <w:r>
        <w:rPr>
          <w:rFonts w:ascii="宋体" w:eastAsia="宋体" w:hAnsi="宋体" w:cs="Times New Roman"/>
          <w:b/>
          <w:bCs/>
          <w:sz w:val="24"/>
          <w:szCs w:val="24"/>
        </w:rPr>
        <w:t>交易系统故障、</w:t>
      </w:r>
      <w:r>
        <w:rPr>
          <w:rFonts w:ascii="宋体" w:eastAsia="宋体" w:hAnsi="宋体" w:cs="Times New Roman" w:hint="eastAsia"/>
          <w:b/>
          <w:bCs/>
          <w:sz w:val="24"/>
          <w:szCs w:val="24"/>
        </w:rPr>
        <w:t>销售误导、</w:t>
      </w:r>
      <w:r>
        <w:rPr>
          <w:rFonts w:ascii="宋体" w:eastAsia="宋体" w:hAnsi="宋体" w:cs="Times New Roman"/>
          <w:b/>
          <w:bCs/>
          <w:sz w:val="24"/>
          <w:szCs w:val="24"/>
        </w:rPr>
        <w:t>未尽销售适当性匹配义务</w:t>
      </w:r>
      <w:r>
        <w:rPr>
          <w:rFonts w:ascii="宋体" w:eastAsia="宋体" w:hAnsi="宋体" w:cs="Times New Roman" w:hint="eastAsia"/>
          <w:b/>
          <w:bCs/>
          <w:sz w:val="24"/>
          <w:szCs w:val="24"/>
        </w:rPr>
        <w:t>等错误或过失，</w:t>
      </w:r>
      <w:r>
        <w:rPr>
          <w:rFonts w:ascii="宋体" w:eastAsia="宋体" w:hAnsi="宋体" w:cs="Times New Roman"/>
          <w:b/>
          <w:bCs/>
          <w:sz w:val="24"/>
          <w:szCs w:val="24"/>
        </w:rPr>
        <w:t>导致甲方损失的，由</w:t>
      </w:r>
      <w:r>
        <w:rPr>
          <w:rFonts w:ascii="宋体" w:eastAsia="宋体" w:hAnsi="宋体" w:cs="Times New Roman" w:hint="eastAsia"/>
          <w:b/>
          <w:bCs/>
          <w:sz w:val="24"/>
          <w:szCs w:val="24"/>
        </w:rPr>
        <w:t>乙方</w:t>
      </w:r>
      <w:r>
        <w:rPr>
          <w:rFonts w:ascii="宋体" w:eastAsia="宋体" w:hAnsi="宋体" w:cs="Times New Roman"/>
          <w:b/>
          <w:bCs/>
          <w:sz w:val="24"/>
          <w:szCs w:val="24"/>
        </w:rPr>
        <w:t>向甲方承担赔偿责任。</w:t>
      </w:r>
    </w:p>
    <w:p w:rsidR="0077147C" w14:paraId="244520FE"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b/>
          <w:bCs/>
          <w:sz w:val="24"/>
          <w:szCs w:val="24"/>
        </w:rPr>
        <w:t xml:space="preserve">第十二条 </w:t>
      </w:r>
      <w:r>
        <w:rPr>
          <w:rFonts w:ascii="宋体" w:eastAsia="宋体" w:hAnsi="宋体" w:cs="Times New Roman" w:hint="eastAsia"/>
          <w:sz w:val="24"/>
          <w:szCs w:val="24"/>
        </w:rPr>
        <w:t>本协议项下理财产品募集期结束，理财产品未被足额认购的，</w:t>
      </w:r>
      <w:r>
        <w:rPr>
          <w:rFonts w:ascii="宋体" w:eastAsia="宋体" w:hAnsi="宋体" w:cs="Times New Roman" w:hint="eastAsia"/>
          <w:bCs/>
          <w:color w:val="000000"/>
          <w:sz w:val="24"/>
          <w:szCs w:val="24"/>
        </w:rPr>
        <w:t>按照《理财产品说明书》约定执行</w:t>
      </w:r>
      <w:r>
        <w:rPr>
          <w:rFonts w:ascii="宋体" w:eastAsia="宋体" w:hAnsi="宋体" w:cs="Times New Roman" w:hint="eastAsia"/>
          <w:sz w:val="24"/>
          <w:szCs w:val="24"/>
        </w:rPr>
        <w:t>。</w:t>
      </w:r>
    </w:p>
    <w:p w:rsidR="0077147C" w14:paraId="0B0F67CD"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b/>
          <w:bCs/>
          <w:sz w:val="24"/>
          <w:szCs w:val="24"/>
        </w:rPr>
        <w:t xml:space="preserve">第十三条 </w:t>
      </w:r>
      <w:r>
        <w:rPr>
          <w:rFonts w:ascii="宋体" w:eastAsia="宋体" w:hAnsi="宋体" w:cs="Times New Roman"/>
          <w:b/>
          <w:bCs/>
          <w:sz w:val="24"/>
          <w:szCs w:val="24"/>
        </w:rPr>
        <w:t xml:space="preserve"> </w:t>
      </w:r>
      <w:r>
        <w:rPr>
          <w:rFonts w:ascii="宋体" w:eastAsia="宋体" w:hAnsi="宋体" w:cs="Times New Roman"/>
          <w:sz w:val="24"/>
          <w:szCs w:val="24"/>
        </w:rPr>
        <w:t>在本协议项下理财产品资金清算日，</w:t>
      </w:r>
      <w:r>
        <w:rPr>
          <w:rFonts w:ascii="宋体" w:eastAsia="宋体" w:hAnsi="宋体" w:cs="Times New Roman" w:hint="eastAsia"/>
          <w:bCs/>
          <w:sz w:val="24"/>
          <w:szCs w:val="24"/>
        </w:rPr>
        <w:t>通过乙方认（</w:t>
      </w:r>
      <w:r>
        <w:rPr>
          <w:rFonts w:ascii="宋体" w:eastAsia="宋体" w:hAnsi="宋体" w:cs="Times New Roman"/>
          <w:bCs/>
          <w:sz w:val="24"/>
          <w:szCs w:val="24"/>
        </w:rPr>
        <w:t>申</w:t>
      </w:r>
      <w:r>
        <w:rPr>
          <w:rFonts w:ascii="宋体" w:eastAsia="宋体" w:hAnsi="宋体" w:cs="Times New Roman" w:hint="eastAsia"/>
          <w:bCs/>
          <w:sz w:val="24"/>
          <w:szCs w:val="24"/>
        </w:rPr>
        <w:t>）</w:t>
      </w:r>
      <w:r>
        <w:rPr>
          <w:rFonts w:ascii="宋体" w:eastAsia="宋体" w:hAnsi="宋体" w:cs="Times New Roman"/>
          <w:bCs/>
          <w:sz w:val="24"/>
          <w:szCs w:val="24"/>
        </w:rPr>
        <w:t>购理财</w:t>
      </w:r>
      <w:r>
        <w:rPr>
          <w:rFonts w:ascii="宋体" w:eastAsia="宋体" w:hAnsi="宋体" w:cs="Times New Roman" w:hint="eastAsia"/>
          <w:bCs/>
          <w:sz w:val="24"/>
          <w:szCs w:val="24"/>
        </w:rPr>
        <w:t>产品</w:t>
      </w:r>
      <w:r>
        <w:rPr>
          <w:rFonts w:ascii="宋体" w:eastAsia="宋体" w:hAnsi="宋体" w:cs="Times New Roman"/>
          <w:bCs/>
          <w:sz w:val="24"/>
          <w:szCs w:val="24"/>
        </w:rPr>
        <w:t>的，</w:t>
      </w:r>
      <w:r>
        <w:rPr>
          <w:rFonts w:ascii="宋体" w:eastAsia="宋体" w:hAnsi="宋体" w:cs="Times New Roman" w:hint="eastAsia"/>
          <w:bCs/>
          <w:sz w:val="24"/>
          <w:szCs w:val="24"/>
        </w:rPr>
        <w:t>产品管理人仅负责</w:t>
      </w:r>
      <w:r>
        <w:rPr>
          <w:rFonts w:ascii="宋体" w:eastAsia="宋体" w:hAnsi="宋体" w:cs="Times New Roman"/>
          <w:bCs/>
          <w:sz w:val="24"/>
          <w:szCs w:val="24"/>
        </w:rPr>
        <w:t>将清算金额</w:t>
      </w:r>
      <w:r>
        <w:rPr>
          <w:rFonts w:ascii="宋体" w:eastAsia="宋体" w:hAnsi="宋体" w:cs="Times New Roman" w:hint="eastAsia"/>
          <w:bCs/>
          <w:sz w:val="24"/>
          <w:szCs w:val="24"/>
        </w:rPr>
        <w:t>统一</w:t>
      </w:r>
      <w:r>
        <w:rPr>
          <w:rFonts w:ascii="宋体" w:eastAsia="宋体" w:hAnsi="宋体" w:cs="Times New Roman"/>
          <w:bCs/>
          <w:sz w:val="24"/>
          <w:szCs w:val="24"/>
        </w:rPr>
        <w:t>划付至</w:t>
      </w:r>
      <w:r>
        <w:rPr>
          <w:rFonts w:ascii="宋体" w:eastAsia="宋体" w:hAnsi="宋体" w:cs="Times New Roman" w:hint="eastAsia"/>
          <w:bCs/>
          <w:sz w:val="24"/>
          <w:szCs w:val="24"/>
        </w:rPr>
        <w:t>乙方，由乙方</w:t>
      </w:r>
      <w:r>
        <w:rPr>
          <w:rFonts w:ascii="宋体" w:eastAsia="宋体" w:hAnsi="宋体" w:cs="Times New Roman"/>
          <w:bCs/>
          <w:sz w:val="24"/>
          <w:szCs w:val="24"/>
        </w:rPr>
        <w:t>负责</w:t>
      </w:r>
      <w:r>
        <w:rPr>
          <w:rFonts w:ascii="宋体" w:eastAsia="宋体" w:hAnsi="宋体" w:cs="Times New Roman" w:hint="eastAsia"/>
          <w:bCs/>
          <w:sz w:val="24"/>
          <w:szCs w:val="24"/>
        </w:rPr>
        <w:t>划入</w:t>
      </w:r>
      <w:r>
        <w:rPr>
          <w:rFonts w:ascii="宋体" w:eastAsia="宋体" w:hAnsi="宋体" w:cs="Times New Roman"/>
          <w:bCs/>
          <w:sz w:val="24"/>
          <w:szCs w:val="24"/>
        </w:rPr>
        <w:t>甲方</w:t>
      </w:r>
      <w:r>
        <w:rPr>
          <w:rFonts w:ascii="宋体" w:eastAsia="宋体" w:hAnsi="宋体" w:cs="Times New Roman" w:hint="eastAsia"/>
          <w:bCs/>
          <w:sz w:val="24"/>
          <w:szCs w:val="24"/>
        </w:rPr>
        <w:t>指定</w:t>
      </w:r>
      <w:r>
        <w:rPr>
          <w:rFonts w:ascii="宋体" w:eastAsia="宋体" w:hAnsi="宋体" w:cs="Times New Roman"/>
          <w:bCs/>
          <w:sz w:val="24"/>
          <w:szCs w:val="24"/>
        </w:rPr>
        <w:t>账户</w:t>
      </w:r>
      <w:r>
        <w:rPr>
          <w:rFonts w:ascii="宋体" w:eastAsia="宋体" w:hAnsi="宋体" w:cs="Times New Roman" w:hint="eastAsia"/>
          <w:sz w:val="24"/>
          <w:szCs w:val="24"/>
        </w:rPr>
        <w:t>。</w:t>
      </w:r>
      <w:r>
        <w:rPr>
          <w:rFonts w:ascii="宋体" w:eastAsia="宋体" w:hAnsi="宋体" w:cs="Times New Roman" w:hint="eastAsia"/>
          <w:b/>
          <w:sz w:val="24"/>
          <w:szCs w:val="24"/>
        </w:rPr>
        <w:t>从到期日到</w:t>
      </w:r>
      <w:bookmarkStart w:id="21" w:name="OLE_LINK3_1"/>
      <w:bookmarkStart w:id="22" w:name="OLE_LINK4_1"/>
      <w:r>
        <w:rPr>
          <w:rFonts w:ascii="宋体" w:eastAsia="宋体" w:hAnsi="宋体" w:cs="Times New Roman" w:hint="eastAsia"/>
          <w:b/>
          <w:sz w:val="24"/>
          <w:szCs w:val="24"/>
        </w:rPr>
        <w:t>资金清算日</w:t>
      </w:r>
      <w:bookmarkEnd w:id="21"/>
      <w:bookmarkEnd w:id="22"/>
      <w:r>
        <w:rPr>
          <w:rFonts w:ascii="宋体" w:eastAsia="宋体" w:hAnsi="宋体" w:cs="Times New Roman" w:hint="eastAsia"/>
          <w:b/>
          <w:sz w:val="24"/>
          <w:szCs w:val="24"/>
        </w:rPr>
        <w:t>的期间不计付利息。</w:t>
      </w:r>
    </w:p>
    <w:p w:rsidR="0077147C" w14:paraId="690DC770" w14:textId="77777777">
      <w:pPr>
        <w:adjustRightInd w:val="0"/>
        <w:snapToGrid w:val="0"/>
        <w:spacing w:line="312" w:lineRule="auto"/>
        <w:ind w:firstLine="480" w:firstLineChars="200"/>
        <w:rPr>
          <w:rFonts w:ascii="宋体" w:eastAsia="宋体" w:hAnsi="宋体" w:cs="Times New Roman" w:hint="eastAsia"/>
          <w:b/>
          <w:sz w:val="24"/>
          <w:szCs w:val="24"/>
        </w:rPr>
      </w:pPr>
      <w:r>
        <w:rPr>
          <w:rFonts w:ascii="宋体" w:eastAsia="宋体" w:hAnsi="宋体" w:cs="Times New Roman" w:hint="eastAsia"/>
          <w:b/>
          <w:bCs/>
          <w:sz w:val="24"/>
          <w:szCs w:val="24"/>
        </w:rPr>
        <w:t xml:space="preserve">第十四条 </w:t>
      </w:r>
      <w:r>
        <w:rPr>
          <w:rFonts w:ascii="宋体" w:eastAsia="宋体" w:hAnsi="宋体" w:cs="Times New Roman" w:hint="eastAsia"/>
          <w:sz w:val="24"/>
          <w:szCs w:val="24"/>
        </w:rPr>
        <w:t>本协议终止前，甲方不得将</w:t>
      </w:r>
      <w:r>
        <w:rPr>
          <w:rFonts w:ascii="宋体" w:eastAsia="宋体" w:hAnsi="宋体" w:cs="Times New Roman" w:hint="eastAsia"/>
          <w:bCs/>
          <w:sz w:val="24"/>
          <w:szCs w:val="24"/>
        </w:rPr>
        <w:t>指定账户</w:t>
      </w:r>
      <w:r>
        <w:rPr>
          <w:rFonts w:ascii="宋体" w:eastAsia="宋体" w:hAnsi="宋体" w:cs="Times New Roman" w:hint="eastAsia"/>
          <w:sz w:val="24"/>
          <w:szCs w:val="24"/>
        </w:rPr>
        <w:t>销户。</w:t>
      </w:r>
      <w:r>
        <w:rPr>
          <w:rFonts w:ascii="宋体" w:eastAsia="宋体" w:hAnsi="宋体" w:cs="Times New Roman" w:hint="eastAsia"/>
          <w:b/>
          <w:sz w:val="24"/>
          <w:szCs w:val="24"/>
        </w:rPr>
        <w:t>若发生因甲方注销</w:t>
      </w:r>
      <w:r>
        <w:rPr>
          <w:rFonts w:ascii="宋体" w:eastAsia="宋体" w:hAnsi="宋体" w:cs="Times New Roman" w:hint="eastAsia"/>
          <w:b/>
          <w:bCs/>
          <w:sz w:val="24"/>
          <w:szCs w:val="24"/>
        </w:rPr>
        <w:t>账户</w:t>
      </w:r>
      <w:r>
        <w:rPr>
          <w:rFonts w:ascii="宋体" w:eastAsia="宋体" w:hAnsi="宋体" w:cs="Times New Roman" w:hint="eastAsia"/>
          <w:b/>
          <w:sz w:val="24"/>
          <w:szCs w:val="24"/>
        </w:rPr>
        <w:t>造成资金无法入账，乙方和</w:t>
      </w:r>
      <w:r>
        <w:rPr>
          <w:rFonts w:ascii="宋体" w:eastAsia="宋体" w:hAnsi="宋体" w:cs="Times New Roman"/>
          <w:b/>
          <w:sz w:val="24"/>
          <w:szCs w:val="24"/>
        </w:rPr>
        <w:t>产品管理人</w:t>
      </w:r>
      <w:r>
        <w:rPr>
          <w:rFonts w:ascii="宋体" w:eastAsia="宋体" w:hAnsi="宋体" w:cs="Times New Roman" w:hint="eastAsia"/>
          <w:b/>
          <w:sz w:val="24"/>
          <w:szCs w:val="24"/>
        </w:rPr>
        <w:t>不承担任何责任。</w:t>
      </w:r>
    </w:p>
    <w:p w:rsidR="0077147C" w14:paraId="50A8F4B8" w14:textId="77777777">
      <w:pPr>
        <w:adjustRightInd w:val="0"/>
        <w:snapToGrid w:val="0"/>
        <w:spacing w:line="312" w:lineRule="auto"/>
        <w:ind w:firstLine="480" w:firstLineChars="200"/>
        <w:rPr>
          <w:rFonts w:ascii="宋体" w:eastAsia="宋体" w:hAnsi="宋体" w:cs="Times New Roman" w:hint="eastAsia"/>
          <w:b/>
          <w:sz w:val="24"/>
          <w:szCs w:val="24"/>
        </w:rPr>
      </w:pPr>
      <w:r>
        <w:rPr>
          <w:rFonts w:ascii="宋体" w:eastAsia="宋体" w:hAnsi="宋体" w:cs="Times New Roman" w:hint="eastAsia"/>
          <w:b/>
          <w:bCs/>
          <w:sz w:val="24"/>
          <w:szCs w:val="24"/>
        </w:rPr>
        <w:t>第十五条</w:t>
      </w:r>
      <w:r>
        <w:rPr>
          <w:rFonts w:ascii="宋体" w:eastAsia="宋体" w:hAnsi="宋体" w:cs="Times New Roman" w:hint="eastAsia"/>
          <w:b/>
          <w:sz w:val="24"/>
          <w:szCs w:val="24"/>
        </w:rPr>
        <w:t xml:space="preserve"> 免责条款</w:t>
      </w:r>
    </w:p>
    <w:p w:rsidR="0077147C" w14:paraId="7CC1194C" w14:textId="77777777">
      <w:pPr>
        <w:adjustRightInd w:val="0"/>
        <w:snapToGrid w:val="0"/>
        <w:spacing w:line="312" w:lineRule="auto"/>
        <w:ind w:firstLine="422" w:firstLineChars="176"/>
        <w:rPr>
          <w:rFonts w:ascii="宋体" w:eastAsia="宋体" w:hAnsi="宋体" w:cs="Times New Roman" w:hint="eastAsia"/>
          <w:b/>
          <w:sz w:val="24"/>
          <w:szCs w:val="24"/>
        </w:rPr>
      </w:pPr>
      <w:r>
        <w:rPr>
          <w:rFonts w:ascii="宋体" w:eastAsia="宋体" w:hAnsi="宋体" w:cs="Times New Roman" w:hint="eastAsia"/>
          <w:b/>
          <w:sz w:val="24"/>
          <w:szCs w:val="24"/>
        </w:rPr>
        <w:t>（一</w:t>
      </w:r>
      <w:r>
        <w:rPr>
          <w:rFonts w:ascii="宋体" w:eastAsia="宋体" w:hAnsi="宋体" w:cs="Times New Roman"/>
          <w:b/>
          <w:sz w:val="24"/>
          <w:szCs w:val="24"/>
        </w:rPr>
        <w:t>）</w:t>
      </w:r>
      <w:r>
        <w:rPr>
          <w:rFonts w:ascii="宋体" w:eastAsia="宋体" w:hAnsi="宋体" w:cs="Times New Roman" w:hint="eastAsia"/>
          <w:b/>
          <w:sz w:val="24"/>
          <w:szCs w:val="24"/>
        </w:rPr>
        <w:t>由于地震、火灾、战争、罢工或者国家有关法律、法规、规章、政策的改变、紧急措施的出台等不可抗力因素导致的交易中断、延误、禁止等任何风险及损失，乙方和</w:t>
      </w:r>
      <w:r>
        <w:rPr>
          <w:rFonts w:ascii="宋体" w:eastAsia="宋体" w:hAnsi="宋体" w:cs="Times New Roman"/>
          <w:b/>
          <w:sz w:val="24"/>
          <w:szCs w:val="24"/>
        </w:rPr>
        <w:t>产品管理人</w:t>
      </w:r>
      <w:r>
        <w:rPr>
          <w:rFonts w:ascii="宋体" w:eastAsia="宋体" w:hAnsi="宋体" w:cs="Times New Roman" w:hint="eastAsia"/>
          <w:b/>
          <w:sz w:val="24"/>
          <w:szCs w:val="24"/>
        </w:rPr>
        <w:t>不承担责任，但乙方应在条件允许的情况下通知甲方，并采取一切必要的补救措施以减小不可抗力因素造成的损失。</w:t>
      </w:r>
    </w:p>
    <w:p w:rsidR="0077147C" w14:paraId="16F46C60" w14:textId="77777777">
      <w:pPr>
        <w:adjustRightInd w:val="0"/>
        <w:snapToGrid w:val="0"/>
        <w:spacing w:line="312" w:lineRule="auto"/>
        <w:ind w:firstLine="422" w:firstLineChars="176"/>
        <w:rPr>
          <w:rFonts w:ascii="宋体" w:eastAsia="宋体" w:hAnsi="宋体" w:cs="Times New Roman" w:hint="eastAsia"/>
          <w:b/>
          <w:sz w:val="24"/>
          <w:szCs w:val="24"/>
        </w:rPr>
      </w:pPr>
      <w:r>
        <w:rPr>
          <w:rFonts w:ascii="宋体" w:eastAsia="宋体" w:hAnsi="宋体" w:cs="Times New Roman" w:hint="eastAsia"/>
          <w:b/>
          <w:sz w:val="24"/>
          <w:szCs w:val="24"/>
        </w:rPr>
        <w:t>（二</w:t>
      </w:r>
      <w:r>
        <w:rPr>
          <w:rFonts w:ascii="宋体" w:eastAsia="宋体" w:hAnsi="宋体" w:cs="Times New Roman"/>
          <w:b/>
          <w:sz w:val="24"/>
          <w:szCs w:val="24"/>
        </w:rPr>
        <w:t>）</w:t>
      </w:r>
      <w:r>
        <w:rPr>
          <w:rFonts w:ascii="宋体" w:eastAsia="宋体" w:hAnsi="宋体" w:cs="Times New Roman" w:hint="eastAsia"/>
          <w:b/>
          <w:sz w:val="24"/>
          <w:szCs w:val="24"/>
        </w:rPr>
        <w:t>由于国家法律、法规及政策的变更或</w:t>
      </w:r>
      <w:r>
        <w:rPr>
          <w:rFonts w:ascii="宋体" w:eastAsia="宋体" w:hAnsi="宋体" w:cs="Times New Roman"/>
          <w:b/>
          <w:sz w:val="24"/>
          <w:szCs w:val="24"/>
        </w:rPr>
        <w:t>因国家</w:t>
      </w:r>
      <w:r>
        <w:rPr>
          <w:rFonts w:ascii="宋体" w:eastAsia="宋体" w:hAnsi="宋体" w:cs="Times New Roman" w:hint="eastAsia"/>
          <w:b/>
          <w:sz w:val="24"/>
          <w:szCs w:val="24"/>
        </w:rPr>
        <w:t>行政机关</w:t>
      </w:r>
      <w:r>
        <w:rPr>
          <w:rFonts w:ascii="宋体" w:eastAsia="宋体" w:hAnsi="宋体" w:cs="Times New Roman"/>
          <w:b/>
          <w:sz w:val="24"/>
          <w:szCs w:val="24"/>
        </w:rPr>
        <w:t>行使</w:t>
      </w:r>
      <w:r>
        <w:rPr>
          <w:rFonts w:ascii="宋体" w:eastAsia="宋体" w:hAnsi="宋体" w:cs="Times New Roman" w:hint="eastAsia"/>
          <w:b/>
          <w:sz w:val="24"/>
          <w:szCs w:val="24"/>
        </w:rPr>
        <w:t>权力而导致的相关风险及损失，乙方和</w:t>
      </w:r>
      <w:r>
        <w:rPr>
          <w:rFonts w:ascii="宋体" w:eastAsia="宋体" w:hAnsi="宋体" w:cs="Times New Roman"/>
          <w:b/>
          <w:sz w:val="24"/>
          <w:szCs w:val="24"/>
        </w:rPr>
        <w:t>产品管理人</w:t>
      </w:r>
      <w:r>
        <w:rPr>
          <w:rFonts w:ascii="宋体" w:eastAsia="宋体" w:hAnsi="宋体" w:cs="Times New Roman" w:hint="eastAsia"/>
          <w:b/>
          <w:sz w:val="24"/>
          <w:szCs w:val="24"/>
        </w:rPr>
        <w:t>不承担责任。</w:t>
      </w:r>
    </w:p>
    <w:p w:rsidR="0077147C" w14:paraId="39EE6AC7" w14:textId="77777777">
      <w:pPr>
        <w:adjustRightInd w:val="0"/>
        <w:snapToGrid w:val="0"/>
        <w:spacing w:line="312" w:lineRule="auto"/>
        <w:ind w:firstLine="422" w:firstLineChars="176"/>
        <w:rPr>
          <w:rFonts w:ascii="宋体" w:eastAsia="宋体" w:hAnsi="宋体" w:cs="Times New Roman" w:hint="eastAsia"/>
          <w:b/>
          <w:sz w:val="24"/>
          <w:szCs w:val="24"/>
        </w:rPr>
      </w:pPr>
      <w:r>
        <w:rPr>
          <w:rFonts w:ascii="宋体" w:eastAsia="宋体" w:hAnsi="宋体" w:cs="Times New Roman" w:hint="eastAsia"/>
          <w:b/>
          <w:sz w:val="24"/>
          <w:szCs w:val="24"/>
        </w:rPr>
        <w:t>（三）如无</w:t>
      </w:r>
      <w:r>
        <w:rPr>
          <w:rFonts w:ascii="宋体" w:eastAsia="宋体" w:hAnsi="宋体" w:cs="Times New Roman"/>
          <w:b/>
          <w:sz w:val="24"/>
          <w:szCs w:val="24"/>
        </w:rPr>
        <w:t>特别约定，</w:t>
      </w:r>
      <w:r>
        <w:rPr>
          <w:rFonts w:ascii="宋体" w:eastAsia="宋体" w:hAnsi="宋体" w:cs="Times New Roman" w:hint="eastAsia"/>
          <w:b/>
          <w:sz w:val="24"/>
          <w:szCs w:val="24"/>
        </w:rPr>
        <w:t>本协议中涉及的所有日期</w:t>
      </w:r>
      <w:r>
        <w:rPr>
          <w:rFonts w:ascii="宋体" w:eastAsia="宋体" w:hAnsi="宋体" w:cs="Times New Roman" w:hint="eastAsia"/>
          <w:b/>
          <w:sz w:val="24"/>
          <w:szCs w:val="24"/>
        </w:rPr>
        <w:t>如遇非工作日</w:t>
      </w:r>
      <w:r>
        <w:rPr>
          <w:rFonts w:ascii="宋体" w:eastAsia="宋体" w:hAnsi="宋体" w:cs="Times New Roman" w:hint="eastAsia"/>
          <w:b/>
          <w:sz w:val="24"/>
          <w:szCs w:val="24"/>
        </w:rPr>
        <w:t>，则延至下一个工作日，由此导致的风险，乙方和</w:t>
      </w:r>
      <w:r>
        <w:rPr>
          <w:rFonts w:ascii="宋体" w:eastAsia="宋体" w:hAnsi="宋体" w:cs="Times New Roman"/>
          <w:b/>
          <w:sz w:val="24"/>
          <w:szCs w:val="24"/>
        </w:rPr>
        <w:t>产品管理人</w:t>
      </w:r>
      <w:r>
        <w:rPr>
          <w:rFonts w:ascii="宋体" w:eastAsia="宋体" w:hAnsi="宋体" w:cs="Times New Roman" w:hint="eastAsia"/>
          <w:b/>
          <w:sz w:val="24"/>
          <w:szCs w:val="24"/>
        </w:rPr>
        <w:t>不承担责任。</w:t>
      </w:r>
    </w:p>
    <w:p w:rsidR="0077147C" w14:paraId="0A832E36" w14:textId="77777777">
      <w:pPr>
        <w:adjustRightInd w:val="0"/>
        <w:snapToGrid w:val="0"/>
        <w:spacing w:line="312" w:lineRule="auto"/>
        <w:ind w:firstLine="480" w:firstLineChars="200"/>
        <w:rPr>
          <w:rFonts w:ascii="宋体" w:eastAsia="宋体" w:hAnsi="宋体" w:cs="Times New Roman" w:hint="eastAsia"/>
          <w:b/>
          <w:sz w:val="24"/>
          <w:szCs w:val="24"/>
        </w:rPr>
      </w:pPr>
      <w:r>
        <w:rPr>
          <w:rFonts w:ascii="宋体" w:eastAsia="宋体" w:hAnsi="宋体" w:cs="Times New Roman" w:hint="eastAsia"/>
          <w:b/>
          <w:sz w:val="24"/>
          <w:szCs w:val="24"/>
        </w:rPr>
        <w:t>第十六条 甲方承诺</w:t>
      </w:r>
    </w:p>
    <w:p w:rsidR="0077147C" w14:paraId="65907FE4" w14:textId="77777777">
      <w:pPr>
        <w:adjustRightInd w:val="0"/>
        <w:snapToGrid w:val="0"/>
        <w:spacing w:line="312" w:lineRule="auto"/>
        <w:ind w:firstLine="422" w:firstLineChars="176"/>
        <w:rPr>
          <w:rFonts w:ascii="宋体" w:eastAsia="宋体" w:hAnsi="宋体" w:cs="Times New Roman" w:hint="eastAsia"/>
          <w:b/>
          <w:sz w:val="24"/>
          <w:szCs w:val="24"/>
        </w:rPr>
      </w:pPr>
      <w:r>
        <w:rPr>
          <w:rFonts w:ascii="宋体" w:eastAsia="宋体" w:hAnsi="宋体" w:cs="Times New Roman" w:hint="eastAsia"/>
          <w:b/>
          <w:sz w:val="24"/>
          <w:szCs w:val="24"/>
        </w:rPr>
        <w:t>（一）甲方承诺，购买本理财产品的资金为其合法所有，</w:t>
      </w:r>
      <w:r>
        <w:rPr>
          <w:rFonts w:ascii="宋体" w:eastAsia="宋体" w:hAnsi="宋体" w:cs="Times New Roman"/>
          <w:b/>
          <w:sz w:val="24"/>
          <w:szCs w:val="24"/>
        </w:rPr>
        <w:t>投资行为符合法律、法规及相关监管部门的规定</w:t>
      </w:r>
      <w:r>
        <w:rPr>
          <w:rFonts w:ascii="宋体" w:eastAsia="宋体" w:hAnsi="宋体" w:cs="Times New Roman" w:hint="eastAsia"/>
          <w:b/>
          <w:sz w:val="24"/>
          <w:szCs w:val="24"/>
        </w:rPr>
        <w:t>。</w:t>
      </w:r>
    </w:p>
    <w:p w:rsidR="0077147C" w14:paraId="73874975" w14:textId="77777777">
      <w:pPr>
        <w:adjustRightInd w:val="0"/>
        <w:snapToGrid w:val="0"/>
        <w:spacing w:line="312" w:lineRule="auto"/>
        <w:ind w:firstLine="408" w:firstLineChars="170"/>
        <w:jc w:val="left"/>
        <w:rPr>
          <w:rFonts w:ascii="宋体" w:eastAsia="宋体" w:hAnsi="宋体" w:cs="Times New Roman" w:hint="eastAsia"/>
          <w:b/>
          <w:sz w:val="24"/>
          <w:szCs w:val="24"/>
        </w:rPr>
      </w:pPr>
      <w:r>
        <w:rPr>
          <w:rFonts w:ascii="宋体" w:eastAsia="宋体" w:hAnsi="宋体" w:cs="Times New Roman" w:hint="eastAsia"/>
          <w:b/>
          <w:sz w:val="24"/>
          <w:szCs w:val="24"/>
        </w:rPr>
        <w:t>（二）</w:t>
      </w:r>
      <w:r>
        <w:rPr>
          <w:rFonts w:ascii="宋体" w:eastAsia="宋体" w:hAnsi="宋体" w:cs="Times New Roman" w:hint="eastAsia"/>
          <w:b/>
          <w:bCs/>
          <w:color w:val="000000"/>
          <w:sz w:val="24"/>
          <w:szCs w:val="24"/>
        </w:rPr>
        <w:t>甲方承诺，购买本理财产品的资金为合法自有资金或合法募集资金，不存在使用贷款、发行债券等筹集的非自有资金投资资产管理产品的情形。</w:t>
      </w:r>
    </w:p>
    <w:p w:rsidR="0077147C" w14:paraId="281A0278" w14:textId="77777777">
      <w:pPr>
        <w:adjustRightInd w:val="0"/>
        <w:snapToGrid w:val="0"/>
        <w:spacing w:line="312" w:lineRule="auto"/>
        <w:ind w:firstLine="410" w:firstLineChars="171"/>
        <w:jc w:val="left"/>
        <w:rPr>
          <w:rFonts w:ascii="宋体" w:eastAsia="宋体" w:hAnsi="宋体" w:cs="Times New Roman" w:hint="eastAsia"/>
          <w:b/>
          <w:sz w:val="24"/>
          <w:szCs w:val="24"/>
        </w:rPr>
      </w:pPr>
      <w:r>
        <w:rPr>
          <w:rFonts w:ascii="宋体" w:eastAsia="宋体" w:hAnsi="宋体" w:cs="Times New Roman" w:hint="eastAsia"/>
          <w:b/>
          <w:sz w:val="24"/>
          <w:szCs w:val="24"/>
        </w:rPr>
        <w:t>（三）甲方承诺，</w:t>
      </w:r>
      <w:r>
        <w:rPr>
          <w:rFonts w:ascii="宋体" w:eastAsia="宋体" w:hAnsi="宋体" w:cs="Times New Roman"/>
          <w:b/>
          <w:sz w:val="24"/>
          <w:szCs w:val="24"/>
        </w:rPr>
        <w:t>甲方</w:t>
      </w:r>
      <w:r>
        <w:rPr>
          <w:rFonts w:ascii="宋体" w:eastAsia="宋体" w:hAnsi="宋体" w:cs="Times New Roman" w:hint="eastAsia"/>
          <w:b/>
          <w:sz w:val="24"/>
          <w:szCs w:val="24"/>
        </w:rPr>
        <w:t>所提供的信息和资料真实有效，</w:t>
      </w:r>
      <w:r>
        <w:rPr>
          <w:rFonts w:ascii="宋体" w:eastAsia="宋体" w:hAnsi="宋体" w:cs="Times New Roman"/>
          <w:b/>
          <w:sz w:val="24"/>
          <w:szCs w:val="24"/>
        </w:rPr>
        <w:t>且同意配合乙方</w:t>
      </w:r>
      <w:r>
        <w:rPr>
          <w:rFonts w:ascii="宋体" w:eastAsia="宋体" w:hAnsi="宋体" w:cs="Times New Roman" w:hint="eastAsia"/>
          <w:b/>
          <w:sz w:val="24"/>
          <w:szCs w:val="24"/>
        </w:rPr>
        <w:t>及产品管理人根据法律法规</w:t>
      </w:r>
      <w:r>
        <w:rPr>
          <w:rFonts w:ascii="宋体" w:eastAsia="宋体" w:hAnsi="宋体" w:cs="Times New Roman"/>
          <w:b/>
          <w:sz w:val="24"/>
          <w:szCs w:val="24"/>
        </w:rPr>
        <w:t>、监管</w:t>
      </w:r>
      <w:r>
        <w:rPr>
          <w:rFonts w:ascii="宋体" w:eastAsia="宋体" w:hAnsi="宋体" w:cs="Times New Roman" w:hint="eastAsia"/>
          <w:b/>
          <w:sz w:val="24"/>
          <w:szCs w:val="24"/>
        </w:rPr>
        <w:t>政策的</w:t>
      </w:r>
      <w:r>
        <w:rPr>
          <w:rFonts w:ascii="宋体" w:eastAsia="宋体" w:hAnsi="宋体" w:cs="Times New Roman"/>
          <w:b/>
          <w:sz w:val="24"/>
          <w:szCs w:val="24"/>
        </w:rPr>
        <w:t>规定</w:t>
      </w:r>
      <w:r>
        <w:rPr>
          <w:rFonts w:ascii="宋体" w:eastAsia="宋体" w:hAnsi="宋体" w:cs="Times New Roman" w:hint="eastAsia"/>
          <w:b/>
          <w:sz w:val="24"/>
          <w:szCs w:val="24"/>
        </w:rPr>
        <w:t>，</w:t>
      </w:r>
      <w:r>
        <w:rPr>
          <w:rFonts w:ascii="宋体" w:eastAsia="宋体" w:hAnsi="宋体" w:cs="Times New Roman"/>
          <w:b/>
          <w:sz w:val="24"/>
          <w:szCs w:val="24"/>
        </w:rPr>
        <w:t>完成</w:t>
      </w:r>
      <w:r>
        <w:rPr>
          <w:rFonts w:ascii="宋体" w:eastAsia="宋体" w:hAnsi="宋体" w:cs="Times New Roman" w:hint="eastAsia"/>
          <w:b/>
          <w:sz w:val="24"/>
          <w:szCs w:val="24"/>
        </w:rPr>
        <w:t>风险</w:t>
      </w:r>
      <w:r>
        <w:rPr>
          <w:rFonts w:ascii="宋体" w:eastAsia="宋体" w:hAnsi="宋体" w:cs="Times New Roman"/>
          <w:b/>
          <w:sz w:val="24"/>
          <w:szCs w:val="24"/>
        </w:rPr>
        <w:t>承受能力评估、</w:t>
      </w:r>
      <w:r>
        <w:rPr>
          <w:rFonts w:ascii="宋体" w:eastAsia="宋体" w:hAnsi="宋体" w:cs="Times New Roman" w:hint="eastAsia"/>
          <w:b/>
          <w:sz w:val="24"/>
          <w:szCs w:val="24"/>
        </w:rPr>
        <w:t>销售</w:t>
      </w:r>
      <w:r>
        <w:rPr>
          <w:rFonts w:ascii="宋体" w:eastAsia="宋体" w:hAnsi="宋体" w:cs="Times New Roman"/>
          <w:b/>
          <w:sz w:val="24"/>
          <w:szCs w:val="24"/>
        </w:rPr>
        <w:t>适当性</w:t>
      </w:r>
      <w:r>
        <w:rPr>
          <w:rFonts w:ascii="宋体" w:eastAsia="宋体" w:hAnsi="宋体" w:cs="Times New Roman" w:hint="eastAsia"/>
          <w:b/>
          <w:sz w:val="24"/>
          <w:szCs w:val="24"/>
        </w:rPr>
        <w:t>管理</w:t>
      </w:r>
      <w:r>
        <w:rPr>
          <w:rFonts w:ascii="宋体" w:eastAsia="宋体" w:hAnsi="宋体" w:cs="Times New Roman"/>
          <w:b/>
          <w:sz w:val="24"/>
          <w:szCs w:val="24"/>
        </w:rPr>
        <w:t>、反洗钱</w:t>
      </w:r>
      <w:r>
        <w:rPr>
          <w:rFonts w:ascii="宋体" w:eastAsia="宋体" w:hAnsi="宋体" w:cs="Times New Roman" w:hint="eastAsia"/>
          <w:b/>
          <w:sz w:val="24"/>
          <w:szCs w:val="24"/>
        </w:rPr>
        <w:t>管理</w:t>
      </w:r>
      <w:r>
        <w:rPr>
          <w:rFonts w:ascii="宋体" w:eastAsia="宋体" w:hAnsi="宋体" w:cs="Times New Roman"/>
          <w:b/>
          <w:sz w:val="24"/>
          <w:szCs w:val="24"/>
        </w:rPr>
        <w:t>、非居民</w:t>
      </w:r>
      <w:r>
        <w:rPr>
          <w:rFonts w:ascii="宋体" w:eastAsia="宋体" w:hAnsi="宋体" w:cs="Times New Roman" w:hint="eastAsia"/>
          <w:b/>
          <w:sz w:val="24"/>
          <w:szCs w:val="24"/>
        </w:rPr>
        <w:t>金融</w:t>
      </w:r>
      <w:r>
        <w:rPr>
          <w:rFonts w:ascii="宋体" w:eastAsia="宋体" w:hAnsi="宋体" w:cs="Times New Roman"/>
          <w:b/>
          <w:sz w:val="24"/>
          <w:szCs w:val="24"/>
        </w:rPr>
        <w:t>账户涉税信息</w:t>
      </w:r>
      <w:r>
        <w:rPr>
          <w:rFonts w:ascii="宋体" w:eastAsia="宋体" w:hAnsi="宋体" w:cs="Times New Roman" w:hint="eastAsia"/>
          <w:b/>
          <w:sz w:val="24"/>
          <w:szCs w:val="24"/>
        </w:rPr>
        <w:t>尽职</w:t>
      </w:r>
      <w:r>
        <w:rPr>
          <w:rFonts w:ascii="宋体" w:eastAsia="宋体" w:hAnsi="宋体" w:cs="Times New Roman"/>
          <w:b/>
          <w:sz w:val="24"/>
          <w:szCs w:val="24"/>
        </w:rPr>
        <w:t>调查</w:t>
      </w:r>
      <w:r>
        <w:rPr>
          <w:rFonts w:ascii="宋体" w:eastAsia="宋体" w:hAnsi="宋体" w:cs="Times New Roman" w:hint="eastAsia"/>
          <w:b/>
          <w:sz w:val="24"/>
          <w:szCs w:val="24"/>
        </w:rPr>
        <w:t>等工作。</w:t>
      </w:r>
    </w:p>
    <w:p w:rsidR="0077147C" w14:paraId="08DD7DE7" w14:textId="77777777">
      <w:pPr>
        <w:adjustRightInd w:val="0"/>
        <w:snapToGrid w:val="0"/>
        <w:spacing w:line="312" w:lineRule="auto"/>
        <w:ind w:firstLine="410" w:firstLineChars="171"/>
        <w:jc w:val="left"/>
        <w:rPr>
          <w:rFonts w:ascii="宋体" w:eastAsia="宋体" w:hAnsi="宋体" w:cs="Times New Roman" w:hint="eastAsia"/>
          <w:b/>
          <w:sz w:val="24"/>
          <w:szCs w:val="24"/>
        </w:rPr>
      </w:pPr>
      <w:r>
        <w:rPr>
          <w:rFonts w:ascii="宋体" w:eastAsia="宋体" w:hAnsi="宋体" w:cs="Times New Roman" w:hint="eastAsia"/>
          <w:b/>
          <w:bCs/>
          <w:color w:val="000000"/>
          <w:sz w:val="24"/>
          <w:szCs w:val="24"/>
        </w:rPr>
        <w:t>甲方同意，</w:t>
      </w:r>
      <w:r>
        <w:rPr>
          <w:rFonts w:ascii="宋体" w:eastAsia="宋体" w:hAnsi="宋体" w:cs="Times New Roman" w:hint="eastAsia"/>
          <w:b/>
          <w:sz w:val="24"/>
          <w:szCs w:val="24"/>
        </w:rPr>
        <w:t>本协议履行</w:t>
      </w:r>
      <w:r>
        <w:rPr>
          <w:rFonts w:ascii="宋体" w:eastAsia="宋体" w:hAnsi="宋体" w:cs="Times New Roman"/>
          <w:b/>
          <w:sz w:val="24"/>
          <w:szCs w:val="24"/>
        </w:rPr>
        <w:t>过程中，</w:t>
      </w:r>
      <w:r>
        <w:rPr>
          <w:rFonts w:ascii="宋体" w:eastAsia="宋体" w:hAnsi="宋体" w:cs="Times New Roman" w:hint="eastAsia"/>
          <w:b/>
          <w:sz w:val="24"/>
          <w:szCs w:val="24"/>
        </w:rPr>
        <w:t>乙方及</w:t>
      </w:r>
      <w:r>
        <w:rPr>
          <w:rFonts w:ascii="宋体" w:eastAsia="宋体" w:hAnsi="宋体" w:cs="Times New Roman"/>
          <w:b/>
          <w:sz w:val="24"/>
          <w:szCs w:val="24"/>
        </w:rPr>
        <w:t>产品管理人</w:t>
      </w:r>
      <w:r>
        <w:rPr>
          <w:rFonts w:ascii="宋体" w:eastAsia="宋体" w:hAnsi="宋体" w:cs="Times New Roman" w:hint="eastAsia"/>
          <w:b/>
          <w:sz w:val="24"/>
          <w:szCs w:val="24"/>
        </w:rPr>
        <w:t>需</w:t>
      </w:r>
      <w:r>
        <w:rPr>
          <w:rFonts w:ascii="宋体" w:eastAsia="宋体" w:hAnsi="宋体" w:cs="Times New Roman"/>
          <w:b/>
          <w:sz w:val="24"/>
          <w:szCs w:val="24"/>
        </w:rPr>
        <w:t>联系甲方时，</w:t>
      </w:r>
      <w:r>
        <w:rPr>
          <w:rFonts w:ascii="宋体" w:eastAsia="宋体" w:hAnsi="宋体" w:cs="Times New Roman" w:hint="eastAsia"/>
          <w:b/>
          <w:sz w:val="24"/>
          <w:szCs w:val="24"/>
        </w:rPr>
        <w:t>乙方及</w:t>
      </w:r>
      <w:r>
        <w:rPr>
          <w:rFonts w:ascii="宋体" w:eastAsia="宋体" w:hAnsi="宋体" w:cs="Times New Roman"/>
          <w:b/>
          <w:sz w:val="24"/>
          <w:szCs w:val="24"/>
        </w:rPr>
        <w:t>产品管理人仅按照甲方</w:t>
      </w:r>
      <w:r>
        <w:rPr>
          <w:rFonts w:ascii="宋体" w:eastAsia="宋体" w:hAnsi="宋体" w:cs="Times New Roman" w:hint="eastAsia"/>
          <w:b/>
          <w:sz w:val="24"/>
          <w:szCs w:val="24"/>
        </w:rPr>
        <w:t>进行</w:t>
      </w:r>
      <w:r>
        <w:rPr>
          <w:rFonts w:ascii="宋体" w:eastAsia="宋体" w:hAnsi="宋体" w:cs="Times New Roman"/>
          <w:b/>
          <w:sz w:val="24"/>
          <w:szCs w:val="24"/>
        </w:rPr>
        <w:t>交易时</w:t>
      </w:r>
      <w:r>
        <w:rPr>
          <w:rFonts w:ascii="宋体" w:eastAsia="宋体" w:hAnsi="宋体" w:cs="Times New Roman" w:hint="eastAsia"/>
          <w:b/>
          <w:sz w:val="24"/>
          <w:szCs w:val="24"/>
        </w:rPr>
        <w:t>在乙方</w:t>
      </w:r>
      <w:r>
        <w:rPr>
          <w:rFonts w:ascii="宋体" w:eastAsia="宋体" w:hAnsi="宋体" w:cs="Times New Roman"/>
          <w:b/>
          <w:sz w:val="24"/>
          <w:szCs w:val="24"/>
        </w:rPr>
        <w:t>留存的</w:t>
      </w:r>
      <w:r>
        <w:rPr>
          <w:rFonts w:ascii="宋体" w:eastAsia="宋体" w:hAnsi="宋体" w:cs="Times New Roman" w:hint="eastAsia"/>
          <w:b/>
          <w:sz w:val="24"/>
          <w:szCs w:val="24"/>
        </w:rPr>
        <w:t>方式</w:t>
      </w:r>
      <w:r>
        <w:rPr>
          <w:rFonts w:ascii="宋体" w:eastAsia="宋体" w:hAnsi="宋体" w:cs="Times New Roman"/>
          <w:b/>
          <w:sz w:val="24"/>
          <w:szCs w:val="24"/>
        </w:rPr>
        <w:t>联系甲方</w:t>
      </w:r>
      <w:r>
        <w:rPr>
          <w:rFonts w:ascii="宋体" w:eastAsia="宋体" w:hAnsi="宋体" w:cs="Times New Roman" w:hint="eastAsia"/>
          <w:b/>
          <w:sz w:val="24"/>
          <w:szCs w:val="24"/>
        </w:rPr>
        <w:t>，甲方</w:t>
      </w:r>
      <w:r>
        <w:rPr>
          <w:rFonts w:ascii="宋体" w:eastAsia="宋体" w:hAnsi="宋体" w:cs="Times New Roman"/>
          <w:b/>
          <w:sz w:val="24"/>
          <w:szCs w:val="24"/>
        </w:rPr>
        <w:t>联系信息如有变更的，应及时通知乙方</w:t>
      </w:r>
      <w:r>
        <w:rPr>
          <w:rFonts w:ascii="宋体" w:eastAsia="宋体" w:hAnsi="宋体" w:cs="Times New Roman" w:hint="eastAsia"/>
          <w:b/>
          <w:sz w:val="24"/>
          <w:szCs w:val="24"/>
        </w:rPr>
        <w:t>，</w:t>
      </w:r>
      <w:r>
        <w:rPr>
          <w:rFonts w:ascii="宋体" w:eastAsia="宋体" w:hAnsi="宋体" w:cs="Times New Roman"/>
          <w:b/>
          <w:sz w:val="24"/>
          <w:szCs w:val="24"/>
        </w:rPr>
        <w:t>乙方</w:t>
      </w:r>
      <w:r>
        <w:rPr>
          <w:rFonts w:ascii="宋体" w:eastAsia="宋体" w:hAnsi="宋体" w:cs="Times New Roman" w:hint="eastAsia"/>
          <w:b/>
          <w:sz w:val="24"/>
          <w:szCs w:val="24"/>
        </w:rPr>
        <w:t>及</w:t>
      </w:r>
      <w:r>
        <w:rPr>
          <w:rFonts w:ascii="宋体" w:eastAsia="宋体" w:hAnsi="宋体" w:cs="Times New Roman"/>
          <w:b/>
          <w:sz w:val="24"/>
          <w:szCs w:val="24"/>
        </w:rPr>
        <w:t>产品管理人按照变更后的方式联系甲方。</w:t>
      </w:r>
      <w:r>
        <w:rPr>
          <w:rFonts w:ascii="宋体" w:eastAsia="宋体" w:hAnsi="宋体" w:cs="Times New Roman" w:hint="eastAsia"/>
          <w:b/>
          <w:sz w:val="24"/>
          <w:szCs w:val="24"/>
        </w:rPr>
        <w:t>对于</w:t>
      </w:r>
      <w:r>
        <w:rPr>
          <w:rFonts w:ascii="宋体" w:eastAsia="宋体" w:hAnsi="宋体" w:cs="Times New Roman"/>
          <w:b/>
          <w:sz w:val="24"/>
          <w:szCs w:val="24"/>
        </w:rPr>
        <w:t>甲方</w:t>
      </w:r>
      <w:r>
        <w:rPr>
          <w:rFonts w:ascii="宋体" w:eastAsia="宋体" w:hAnsi="宋体" w:cs="Times New Roman" w:hint="eastAsia"/>
          <w:b/>
          <w:sz w:val="24"/>
          <w:szCs w:val="24"/>
        </w:rPr>
        <w:t>变更</w:t>
      </w:r>
      <w:r>
        <w:rPr>
          <w:rFonts w:ascii="宋体" w:eastAsia="宋体" w:hAnsi="宋体" w:cs="Times New Roman"/>
          <w:b/>
          <w:sz w:val="24"/>
          <w:szCs w:val="24"/>
        </w:rPr>
        <w:t>联系信息</w:t>
      </w:r>
      <w:r>
        <w:rPr>
          <w:rFonts w:ascii="宋体" w:eastAsia="宋体" w:hAnsi="宋体" w:cs="Times New Roman" w:hint="eastAsia"/>
          <w:b/>
          <w:sz w:val="24"/>
          <w:szCs w:val="24"/>
        </w:rPr>
        <w:t>但并</w:t>
      </w:r>
      <w:r>
        <w:rPr>
          <w:rFonts w:ascii="宋体" w:eastAsia="宋体" w:hAnsi="宋体" w:cs="Times New Roman"/>
          <w:b/>
          <w:sz w:val="24"/>
          <w:szCs w:val="24"/>
        </w:rPr>
        <w:t>未按本协议约定及时通知乙方</w:t>
      </w:r>
      <w:r>
        <w:rPr>
          <w:rFonts w:ascii="宋体" w:eastAsia="宋体" w:hAnsi="宋体" w:cs="Times New Roman" w:hint="eastAsia"/>
          <w:b/>
          <w:sz w:val="24"/>
          <w:szCs w:val="24"/>
        </w:rPr>
        <w:t>而</w:t>
      </w:r>
      <w:r>
        <w:rPr>
          <w:rFonts w:ascii="宋体" w:eastAsia="宋体" w:hAnsi="宋体" w:cs="Times New Roman"/>
          <w:b/>
          <w:sz w:val="24"/>
          <w:szCs w:val="24"/>
        </w:rPr>
        <w:t>造成的损失，</w:t>
      </w:r>
      <w:r>
        <w:rPr>
          <w:rFonts w:ascii="宋体" w:eastAsia="宋体" w:hAnsi="宋体" w:cs="Times New Roman" w:hint="eastAsia"/>
          <w:b/>
          <w:sz w:val="24"/>
          <w:szCs w:val="24"/>
        </w:rPr>
        <w:t>由甲方自行</w:t>
      </w:r>
      <w:r>
        <w:rPr>
          <w:rFonts w:ascii="宋体" w:eastAsia="宋体" w:hAnsi="宋体" w:cs="Times New Roman"/>
          <w:b/>
          <w:sz w:val="24"/>
          <w:szCs w:val="24"/>
        </w:rPr>
        <w:t>承担。</w:t>
      </w:r>
    </w:p>
    <w:p w:rsidR="0077147C" w14:paraId="56E072D8" w14:textId="168B1E9A">
      <w:pPr>
        <w:adjustRightInd w:val="0"/>
        <w:snapToGrid w:val="0"/>
        <w:spacing w:line="312" w:lineRule="auto"/>
        <w:ind w:firstLine="480" w:firstLineChars="200"/>
        <w:rPr>
          <w:rFonts w:ascii="宋体" w:eastAsia="宋体" w:hAnsi="宋体" w:cs="Times New Roman" w:hint="eastAsia"/>
          <w:b/>
          <w:sz w:val="24"/>
          <w:szCs w:val="24"/>
        </w:rPr>
      </w:pPr>
      <w:r>
        <w:rPr>
          <w:rFonts w:ascii="宋体" w:eastAsia="宋体" w:hAnsi="宋体" w:cs="Times New Roman" w:hint="eastAsia"/>
          <w:b/>
          <w:bCs/>
          <w:color w:val="000000"/>
          <w:sz w:val="24"/>
          <w:szCs w:val="24"/>
        </w:rPr>
        <w:t>（四）基</w:t>
      </w:r>
      <w:r>
        <w:rPr>
          <w:rFonts w:ascii="宋体" w:eastAsia="宋体" w:hAnsi="宋体" w:cs="Times New Roman"/>
          <w:b/>
          <w:sz w:val="24"/>
          <w:szCs w:val="24"/>
        </w:rPr>
        <w:t>于</w:t>
      </w:r>
      <w:r>
        <w:rPr>
          <w:rFonts w:ascii="宋体" w:eastAsia="宋体" w:hAnsi="宋体" w:cs="Times New Roman" w:hint="eastAsia"/>
          <w:b/>
          <w:sz w:val="24"/>
          <w:szCs w:val="24"/>
        </w:rPr>
        <w:t>产品管理人及乙方</w:t>
      </w:r>
      <w:r>
        <w:rPr>
          <w:rFonts w:ascii="宋体" w:eastAsia="宋体" w:hAnsi="宋体" w:cs="Times New Roman"/>
          <w:b/>
          <w:sz w:val="24"/>
          <w:szCs w:val="24"/>
        </w:rPr>
        <w:t>履行</w:t>
      </w:r>
      <w:r>
        <w:rPr>
          <w:rFonts w:ascii="宋体" w:eastAsia="宋体" w:hAnsi="宋体" w:cs="Times New Roman" w:hint="eastAsia"/>
          <w:b/>
          <w:sz w:val="24"/>
          <w:szCs w:val="24"/>
        </w:rPr>
        <w:t>理财产品</w:t>
      </w:r>
      <w:r>
        <w:rPr>
          <w:rFonts w:ascii="宋体" w:eastAsia="宋体" w:hAnsi="宋体" w:cs="Times New Roman"/>
          <w:b/>
          <w:sz w:val="24"/>
          <w:szCs w:val="24"/>
        </w:rPr>
        <w:t>销售文件所载明的各项</w:t>
      </w:r>
      <w:r>
        <w:rPr>
          <w:rFonts w:ascii="宋体" w:eastAsia="宋体" w:hAnsi="宋体" w:cs="Times New Roman" w:hint="eastAsia"/>
          <w:b/>
          <w:sz w:val="24"/>
          <w:szCs w:val="24"/>
        </w:rPr>
        <w:t>义务</w:t>
      </w:r>
      <w:r>
        <w:rPr>
          <w:rFonts w:ascii="宋体" w:eastAsia="宋体" w:hAnsi="宋体" w:cs="Times New Roman"/>
          <w:b/>
          <w:sz w:val="24"/>
          <w:szCs w:val="24"/>
        </w:rPr>
        <w:t>、进行服务管理和风险管理、报送监管信息</w:t>
      </w:r>
      <w:r>
        <w:rPr>
          <w:rFonts w:ascii="宋体" w:eastAsia="宋体" w:hAnsi="宋体" w:cs="Times New Roman" w:hint="eastAsia"/>
          <w:b/>
          <w:sz w:val="24"/>
          <w:szCs w:val="24"/>
        </w:rPr>
        <w:t>、</w:t>
      </w:r>
      <w:r>
        <w:rPr>
          <w:rFonts w:ascii="宋体" w:eastAsia="宋体" w:hAnsi="宋体" w:cs="Times New Roman"/>
          <w:b/>
          <w:sz w:val="24"/>
          <w:szCs w:val="24"/>
        </w:rPr>
        <w:t>履行反洗钱、</w:t>
      </w:r>
      <w:r>
        <w:rPr>
          <w:rFonts w:ascii="宋体" w:eastAsia="宋体" w:hAnsi="宋体" w:cs="Times New Roman" w:hint="eastAsia"/>
          <w:b/>
          <w:sz w:val="24"/>
          <w:szCs w:val="24"/>
        </w:rPr>
        <w:t>反恐怖融资、非居民金融账户涉税信息尽职调查、</w:t>
      </w:r>
      <w:r>
        <w:rPr>
          <w:rFonts w:ascii="宋体" w:eastAsia="宋体" w:hAnsi="宋体" w:cs="Times New Roman"/>
          <w:b/>
          <w:sz w:val="24"/>
          <w:szCs w:val="24"/>
        </w:rPr>
        <w:t>投资者资质审核和销售适当性等法律法规和监管要求的义务</w:t>
      </w:r>
      <w:r>
        <w:rPr>
          <w:rFonts w:ascii="宋体" w:eastAsia="宋体" w:hAnsi="宋体" w:cs="Times New Roman" w:hint="eastAsia"/>
          <w:b/>
          <w:sz w:val="24"/>
          <w:szCs w:val="24"/>
        </w:rPr>
        <w:t>的</w:t>
      </w:r>
      <w:r>
        <w:rPr>
          <w:rFonts w:ascii="宋体" w:eastAsia="宋体" w:hAnsi="宋体" w:cs="Times New Roman"/>
          <w:b/>
          <w:sz w:val="24"/>
          <w:szCs w:val="24"/>
        </w:rPr>
        <w:t>需要，甲方授权</w:t>
      </w:r>
      <w:r>
        <w:rPr>
          <w:rFonts w:ascii="宋体" w:eastAsia="宋体" w:hAnsi="宋体" w:cs="Times New Roman" w:hint="eastAsia"/>
          <w:b/>
          <w:sz w:val="24"/>
          <w:szCs w:val="24"/>
        </w:rPr>
        <w:t>乙方</w:t>
      </w:r>
      <w:r>
        <w:rPr>
          <w:rFonts w:ascii="宋体" w:eastAsia="宋体" w:hAnsi="宋体" w:cs="Times New Roman"/>
          <w:b/>
          <w:sz w:val="24"/>
          <w:szCs w:val="24"/>
        </w:rPr>
        <w:t>在业务办理或履行过程中</w:t>
      </w:r>
      <w:r>
        <w:rPr>
          <w:rFonts w:ascii="宋体" w:eastAsia="宋体" w:hAnsi="宋体" w:cs="Times New Roman" w:hint="eastAsia"/>
          <w:b/>
          <w:sz w:val="24"/>
          <w:szCs w:val="24"/>
        </w:rPr>
        <w:t>获取并报送、处理甲方个人信息，授权产品管理人</w:t>
      </w:r>
      <w:r>
        <w:rPr>
          <w:rFonts w:ascii="宋体" w:eastAsia="宋体" w:hAnsi="宋体" w:cs="Times New Roman"/>
          <w:b/>
          <w:sz w:val="24"/>
          <w:szCs w:val="24"/>
        </w:rPr>
        <w:t>在业务办理或履行过程中</w:t>
      </w:r>
      <w:r>
        <w:rPr>
          <w:rFonts w:ascii="宋体" w:eastAsia="宋体" w:hAnsi="宋体" w:cs="Times New Roman" w:hint="eastAsia"/>
          <w:b/>
          <w:sz w:val="24"/>
          <w:szCs w:val="24"/>
        </w:rPr>
        <w:t>直接</w:t>
      </w:r>
      <w:r>
        <w:rPr>
          <w:rFonts w:ascii="宋体" w:eastAsia="宋体" w:hAnsi="宋体" w:cs="Times New Roman"/>
          <w:b/>
          <w:sz w:val="24"/>
          <w:szCs w:val="24"/>
        </w:rPr>
        <w:t>或</w:t>
      </w:r>
      <w:r>
        <w:rPr>
          <w:rFonts w:ascii="宋体" w:eastAsia="宋体" w:hAnsi="宋体" w:cs="Times New Roman" w:hint="eastAsia"/>
          <w:b/>
          <w:sz w:val="24"/>
          <w:szCs w:val="24"/>
        </w:rPr>
        <w:t>通过乙方间接获取并报送、处理甲方</w:t>
      </w:r>
      <w:r w:rsidR="00047C5B">
        <w:rPr>
          <w:rFonts w:ascii="宋体" w:eastAsia="宋体" w:hAnsi="宋体" w:cs="Times New Roman" w:hint="eastAsia"/>
          <w:b/>
          <w:sz w:val="24"/>
          <w:szCs w:val="24"/>
        </w:rPr>
        <w:t>或甲方相关人员的</w:t>
      </w:r>
      <w:r>
        <w:rPr>
          <w:rFonts w:ascii="宋体" w:eastAsia="宋体" w:hAnsi="宋体" w:cs="Times New Roman" w:hint="eastAsia"/>
          <w:b/>
          <w:sz w:val="24"/>
          <w:szCs w:val="24"/>
        </w:rPr>
        <w:t>个人信息。处理方式为收集、存储、使用、加工、传输、提供等，个人信息包括姓名、性别、国籍或地区、职业、联系方式、地址、身份证件信息等身份信息，理财账户、银行账户等账户信息，</w:t>
      </w:r>
      <w:r>
        <w:rPr>
          <w:rFonts w:ascii="宋体" w:eastAsia="宋体" w:hAnsi="宋体" w:cs="Times New Roman" w:hint="eastAsia"/>
          <w:b/>
          <w:bCs/>
          <w:color w:val="000000" w:themeColor="text1"/>
          <w:sz w:val="24"/>
          <w:szCs w:val="24"/>
        </w:rPr>
        <w:t>风险承受能力等级、理财产品交易时间等金融交易信息，</w:t>
      </w:r>
      <w:r>
        <w:rPr>
          <w:rFonts w:ascii="宋体" w:eastAsia="宋体" w:hAnsi="宋体" w:cs="Times New Roman" w:hint="eastAsia"/>
          <w:b/>
          <w:sz w:val="24"/>
          <w:szCs w:val="24"/>
        </w:rPr>
        <w:t>持有理财产品信息等财产信息，及法律法规、监管要求或行业自律准则规定的其他信息；</w:t>
      </w:r>
      <w:r>
        <w:rPr>
          <w:rFonts w:ascii="宋体" w:eastAsia="宋体" w:hAnsi="宋体" w:cs="Times New Roman" w:hint="eastAsia"/>
          <w:b/>
          <w:bCs/>
          <w:color w:val="000000" w:themeColor="text1"/>
          <w:sz w:val="24"/>
          <w:szCs w:val="24"/>
        </w:rPr>
        <w:t>在产品管理人及乙方履行相关法律法规、监管规定的义务及有权机关要求的情况下，甲方授权产品管理人及乙方向银行业理财登记托管中心、监管机构及其他有权机关报送或提供上述信息；</w:t>
      </w:r>
      <w:r>
        <w:rPr>
          <w:rFonts w:ascii="宋体" w:eastAsia="宋体" w:hAnsi="宋体" w:cs="Times New Roman"/>
          <w:b/>
          <w:sz w:val="24"/>
          <w:szCs w:val="24"/>
        </w:rPr>
        <w:t>在</w:t>
      </w:r>
      <w:r>
        <w:rPr>
          <w:rFonts w:ascii="宋体" w:eastAsia="宋体" w:hAnsi="宋体" w:cs="Times New Roman" w:hint="eastAsia"/>
          <w:b/>
          <w:sz w:val="24"/>
          <w:szCs w:val="24"/>
        </w:rPr>
        <w:t>产品</w:t>
      </w:r>
      <w:r>
        <w:rPr>
          <w:rFonts w:ascii="宋体" w:eastAsia="宋体" w:hAnsi="宋体" w:cs="Times New Roman"/>
          <w:b/>
          <w:sz w:val="24"/>
          <w:szCs w:val="24"/>
        </w:rPr>
        <w:t>管理人</w:t>
      </w:r>
      <w:r>
        <w:rPr>
          <w:rFonts w:ascii="宋体" w:eastAsia="宋体" w:hAnsi="宋体" w:cs="Times New Roman" w:hint="eastAsia"/>
          <w:b/>
          <w:sz w:val="24"/>
          <w:szCs w:val="24"/>
        </w:rPr>
        <w:t>及乙方</w:t>
      </w:r>
      <w:r>
        <w:rPr>
          <w:rFonts w:ascii="宋体" w:eastAsia="宋体" w:hAnsi="宋体" w:cs="Times New Roman"/>
          <w:b/>
          <w:sz w:val="24"/>
          <w:szCs w:val="24"/>
        </w:rPr>
        <w:t>办理本</w:t>
      </w:r>
      <w:r>
        <w:rPr>
          <w:rFonts w:ascii="宋体" w:eastAsia="宋体" w:hAnsi="宋体" w:cs="Times New Roman" w:hint="eastAsia"/>
          <w:b/>
          <w:sz w:val="24"/>
          <w:szCs w:val="24"/>
        </w:rPr>
        <w:t>协议</w:t>
      </w:r>
      <w:r>
        <w:rPr>
          <w:rFonts w:ascii="宋体" w:eastAsia="宋体" w:hAnsi="宋体" w:cs="Times New Roman"/>
          <w:b/>
          <w:sz w:val="24"/>
          <w:szCs w:val="24"/>
        </w:rPr>
        <w:t>项下相关事项所必需的情形下，甲方同意并授权</w:t>
      </w:r>
      <w:r>
        <w:rPr>
          <w:rFonts w:ascii="宋体" w:eastAsia="宋体" w:hAnsi="宋体" w:cs="Times New Roman" w:hint="eastAsia"/>
          <w:b/>
          <w:sz w:val="24"/>
          <w:szCs w:val="24"/>
        </w:rPr>
        <w:t>产品</w:t>
      </w:r>
      <w:r>
        <w:rPr>
          <w:rFonts w:ascii="宋体" w:eastAsia="宋体" w:hAnsi="宋体" w:cs="Times New Roman"/>
          <w:b/>
          <w:sz w:val="24"/>
          <w:szCs w:val="24"/>
        </w:rPr>
        <w:t>管理人</w:t>
      </w:r>
      <w:r>
        <w:rPr>
          <w:rFonts w:ascii="宋体" w:eastAsia="宋体" w:hAnsi="宋体" w:cs="Times New Roman" w:hint="eastAsia"/>
          <w:b/>
          <w:sz w:val="24"/>
          <w:szCs w:val="24"/>
        </w:rPr>
        <w:t>及乙方</w:t>
      </w:r>
      <w:r>
        <w:rPr>
          <w:rFonts w:ascii="宋体" w:eastAsia="宋体" w:hAnsi="宋体" w:cs="Times New Roman"/>
          <w:b/>
          <w:sz w:val="24"/>
          <w:szCs w:val="24"/>
        </w:rPr>
        <w:t>向</w:t>
      </w:r>
      <w:r>
        <w:rPr>
          <w:rFonts w:ascii="宋体" w:eastAsia="宋体" w:hAnsi="宋体" w:cs="Times New Roman" w:hint="eastAsia"/>
          <w:b/>
          <w:sz w:val="24"/>
          <w:szCs w:val="24"/>
        </w:rPr>
        <w:t>其</w:t>
      </w:r>
      <w:r>
        <w:rPr>
          <w:rFonts w:ascii="宋体" w:eastAsia="宋体" w:hAnsi="宋体" w:cs="Times New Roman"/>
          <w:b/>
          <w:sz w:val="24"/>
          <w:szCs w:val="24"/>
        </w:rPr>
        <w:t>集团成员、服务机构及其他</w:t>
      </w:r>
      <w:r>
        <w:rPr>
          <w:rFonts w:ascii="宋体" w:eastAsia="宋体" w:hAnsi="宋体" w:cs="Times New Roman" w:hint="eastAsia"/>
          <w:b/>
          <w:sz w:val="24"/>
          <w:szCs w:val="24"/>
        </w:rPr>
        <w:t>产品管理人或</w:t>
      </w:r>
      <w:r>
        <w:rPr>
          <w:rFonts w:ascii="宋体" w:eastAsia="宋体" w:hAnsi="宋体" w:cs="Times New Roman"/>
          <w:b/>
          <w:sz w:val="24"/>
          <w:szCs w:val="24"/>
        </w:rPr>
        <w:t>乙方认为必要的业务合作机构</w:t>
      </w:r>
      <w:r w:rsidR="00745E89">
        <w:rPr>
          <w:rFonts w:ascii="宋体" w:eastAsia="宋体" w:hAnsi="宋体" w:cs="Times New Roman" w:hint="eastAsia"/>
          <w:b/>
          <w:sz w:val="24"/>
          <w:szCs w:val="24"/>
        </w:rPr>
        <w:t>（包括但不限于清算服务机构等）</w:t>
      </w:r>
      <w:r>
        <w:rPr>
          <w:rFonts w:ascii="宋体" w:eastAsia="宋体" w:hAnsi="宋体" w:cs="Times New Roman"/>
          <w:b/>
          <w:sz w:val="24"/>
          <w:szCs w:val="24"/>
        </w:rPr>
        <w:t>提供</w:t>
      </w:r>
      <w:r>
        <w:rPr>
          <w:rFonts w:ascii="宋体" w:eastAsia="宋体" w:hAnsi="宋体" w:cs="Times New Roman" w:hint="eastAsia"/>
          <w:b/>
          <w:sz w:val="24"/>
          <w:szCs w:val="24"/>
        </w:rPr>
        <w:t>其</w:t>
      </w:r>
      <w:r>
        <w:rPr>
          <w:rFonts w:ascii="宋体" w:eastAsia="宋体" w:hAnsi="宋体" w:cs="Times New Roman"/>
          <w:b/>
          <w:sz w:val="24"/>
          <w:szCs w:val="24"/>
        </w:rPr>
        <w:t>获取的</w:t>
      </w:r>
      <w:r>
        <w:rPr>
          <w:rFonts w:ascii="宋体" w:eastAsia="宋体" w:hAnsi="宋体" w:cs="Times New Roman" w:hint="eastAsia"/>
          <w:b/>
          <w:sz w:val="24"/>
          <w:szCs w:val="24"/>
        </w:rPr>
        <w:t>上述</w:t>
      </w:r>
      <w:r>
        <w:rPr>
          <w:rFonts w:ascii="宋体" w:eastAsia="宋体" w:hAnsi="宋体" w:cs="Times New Roman"/>
          <w:b/>
          <w:sz w:val="24"/>
          <w:szCs w:val="24"/>
        </w:rPr>
        <w:t>甲方信息，</w:t>
      </w:r>
      <w:r>
        <w:rPr>
          <w:rFonts w:ascii="宋体" w:eastAsia="宋体" w:hAnsi="宋体" w:cs="Times New Roman" w:hint="eastAsia"/>
          <w:b/>
          <w:sz w:val="24"/>
          <w:szCs w:val="24"/>
        </w:rPr>
        <w:t>授权使用时限与提供前述服务及履行相关法律法规和监管要求义务的必要时限一致。</w:t>
      </w:r>
      <w:r>
        <w:rPr>
          <w:rFonts w:ascii="宋体" w:eastAsia="宋体" w:hAnsi="宋体" w:cs="Times New Roman"/>
          <w:b/>
          <w:sz w:val="24"/>
          <w:szCs w:val="24"/>
        </w:rPr>
        <w:t>接收信息的</w:t>
      </w:r>
      <w:r>
        <w:rPr>
          <w:rFonts w:ascii="宋体" w:eastAsia="宋体" w:hAnsi="宋体" w:cs="Times New Roman"/>
          <w:b/>
          <w:sz w:val="24"/>
          <w:szCs w:val="24"/>
        </w:rPr>
        <w:t>上述第三</w:t>
      </w:r>
      <w:r>
        <w:rPr>
          <w:rFonts w:ascii="宋体" w:eastAsia="宋体" w:hAnsi="宋体" w:cs="Times New Roman"/>
          <w:b/>
          <w:sz w:val="24"/>
          <w:szCs w:val="24"/>
        </w:rPr>
        <w:t>方将为处理本协议项下事务之目的接触并按照</w:t>
      </w:r>
      <w:r>
        <w:rPr>
          <w:rFonts w:ascii="宋体" w:eastAsia="宋体" w:hAnsi="宋体" w:cs="Times New Roman" w:hint="eastAsia"/>
          <w:b/>
          <w:sz w:val="24"/>
          <w:szCs w:val="24"/>
        </w:rPr>
        <w:t>产品管理人或乙方</w:t>
      </w:r>
      <w:r>
        <w:rPr>
          <w:rFonts w:ascii="宋体" w:eastAsia="宋体" w:hAnsi="宋体" w:cs="Times New Roman"/>
          <w:b/>
          <w:sz w:val="24"/>
          <w:szCs w:val="24"/>
        </w:rPr>
        <w:t>的业务需要</w:t>
      </w:r>
      <w:r>
        <w:rPr>
          <w:rFonts w:ascii="宋体" w:eastAsia="宋体" w:hAnsi="宋体" w:cs="Times New Roman" w:hint="eastAsia"/>
          <w:b/>
          <w:sz w:val="24"/>
          <w:szCs w:val="24"/>
        </w:rPr>
        <w:t>处理</w:t>
      </w:r>
      <w:r>
        <w:rPr>
          <w:rFonts w:ascii="宋体" w:eastAsia="宋体" w:hAnsi="宋体" w:cs="Times New Roman"/>
          <w:b/>
          <w:sz w:val="24"/>
          <w:szCs w:val="24"/>
        </w:rPr>
        <w:t>甲方信息</w:t>
      </w:r>
      <w:r>
        <w:rPr>
          <w:rFonts w:ascii="宋体" w:eastAsia="宋体" w:hAnsi="宋体" w:cs="Times New Roman" w:hint="eastAsia"/>
          <w:b/>
          <w:sz w:val="24"/>
          <w:szCs w:val="24"/>
        </w:rPr>
        <w:t>，</w:t>
      </w:r>
      <w:r>
        <w:rPr>
          <w:rFonts w:ascii="宋体" w:eastAsia="宋体" w:hAnsi="宋体" w:cs="Times New Roman" w:hint="eastAsia"/>
          <w:b/>
          <w:bCs/>
          <w:color w:val="000000" w:themeColor="text1"/>
          <w:sz w:val="24"/>
          <w:szCs w:val="24"/>
        </w:rPr>
        <w:t>处理方式包括但不限于存储、使用、加工、传输、提供等</w:t>
      </w:r>
      <w:r>
        <w:rPr>
          <w:rFonts w:ascii="宋体" w:eastAsia="宋体" w:hAnsi="宋体" w:cs="Times New Roman"/>
          <w:b/>
          <w:sz w:val="24"/>
          <w:szCs w:val="24"/>
        </w:rPr>
        <w:t>。</w:t>
      </w:r>
      <w:r w:rsidR="00011561">
        <w:rPr>
          <w:rFonts w:ascii="宋体" w:eastAsia="宋体" w:hAnsi="宋体" w:cs="Times New Roman" w:hint="eastAsia"/>
          <w:b/>
          <w:bCs/>
          <w:color w:val="000000" w:themeColor="text1"/>
          <w:sz w:val="24"/>
          <w:szCs w:val="24"/>
        </w:rPr>
        <w:t>上述约定的甲方</w:t>
      </w:r>
      <w:r w:rsidR="00047C5B">
        <w:rPr>
          <w:rFonts w:ascii="宋体" w:eastAsia="宋体" w:hAnsi="宋体" w:cs="Times New Roman" w:hint="eastAsia"/>
          <w:b/>
          <w:bCs/>
          <w:color w:val="000000" w:themeColor="text1"/>
          <w:sz w:val="24"/>
          <w:szCs w:val="24"/>
        </w:rPr>
        <w:t>或甲方相关人员的</w:t>
      </w:r>
      <w:r w:rsidR="00011561">
        <w:rPr>
          <w:rFonts w:ascii="宋体" w:eastAsia="宋体" w:hAnsi="宋体" w:cs="Times New Roman" w:hint="eastAsia"/>
          <w:b/>
          <w:bCs/>
          <w:color w:val="000000" w:themeColor="text1"/>
          <w:sz w:val="24"/>
          <w:szCs w:val="24"/>
        </w:rPr>
        <w:t>个人信息包括敏感个人信息，敏感个人信息一旦泄露或非法使用，容易导致甲方</w:t>
      </w:r>
      <w:r w:rsidR="00047C5B">
        <w:rPr>
          <w:rFonts w:ascii="宋体" w:eastAsia="宋体" w:hAnsi="宋体" w:cs="Times New Roman" w:hint="eastAsia"/>
          <w:b/>
          <w:bCs/>
          <w:color w:val="000000" w:themeColor="text1"/>
          <w:sz w:val="24"/>
          <w:szCs w:val="24"/>
        </w:rPr>
        <w:t>或甲方相关人员</w:t>
      </w:r>
      <w:r w:rsidR="00011561">
        <w:rPr>
          <w:rFonts w:ascii="宋体" w:eastAsia="宋体" w:hAnsi="宋体" w:cs="Times New Roman" w:hint="eastAsia"/>
          <w:b/>
          <w:bCs/>
          <w:color w:val="000000" w:themeColor="text1"/>
          <w:sz w:val="24"/>
          <w:szCs w:val="24"/>
        </w:rPr>
        <w:t>的人格尊严受到侵害或者人身、财产安全受到危害。</w:t>
      </w:r>
      <w:r>
        <w:rPr>
          <w:rFonts w:ascii="宋体" w:eastAsia="宋体" w:hAnsi="宋体" w:cs="Times New Roman" w:hint="eastAsia"/>
          <w:b/>
          <w:sz w:val="24"/>
          <w:szCs w:val="24"/>
        </w:rPr>
        <w:t>产品管理人及乙方</w:t>
      </w:r>
      <w:r>
        <w:rPr>
          <w:rFonts w:ascii="宋体" w:eastAsia="宋体" w:hAnsi="宋体" w:cs="Times New Roman"/>
          <w:b/>
          <w:sz w:val="24"/>
          <w:szCs w:val="24"/>
        </w:rPr>
        <w:t>将向有关第三</w:t>
      </w:r>
      <w:r>
        <w:rPr>
          <w:rFonts w:ascii="宋体" w:eastAsia="宋体" w:hAnsi="宋体" w:cs="Times New Roman"/>
          <w:b/>
          <w:sz w:val="24"/>
          <w:szCs w:val="24"/>
        </w:rPr>
        <w:t>方明确</w:t>
      </w:r>
      <w:r>
        <w:rPr>
          <w:rFonts w:ascii="宋体" w:eastAsia="宋体" w:hAnsi="宋体" w:cs="Times New Roman"/>
          <w:b/>
          <w:sz w:val="24"/>
          <w:szCs w:val="24"/>
        </w:rPr>
        <w:t>其保护甲</w:t>
      </w:r>
      <w:r>
        <w:rPr>
          <w:rFonts w:ascii="宋体" w:eastAsia="宋体" w:hAnsi="宋体" w:cs="Times New Roman" w:hint="eastAsia"/>
          <w:b/>
          <w:sz w:val="24"/>
          <w:szCs w:val="24"/>
        </w:rPr>
        <w:t>方信息的职责并要求第三方承担相应保密义务</w:t>
      </w:r>
      <w:r w:rsidR="00C23727">
        <w:rPr>
          <w:rFonts w:ascii="宋体" w:eastAsia="宋体" w:hAnsi="宋体" w:cs="Times New Roman" w:hint="eastAsia"/>
          <w:b/>
          <w:sz w:val="24"/>
          <w:szCs w:val="24"/>
        </w:rPr>
        <w:t>，</w:t>
      </w:r>
      <w:bookmarkStart w:id="23" w:name="OLE_LINK99"/>
      <w:bookmarkStart w:id="24" w:name="OLE_LINK100"/>
      <w:r w:rsidR="00C23727">
        <w:rPr>
          <w:rFonts w:ascii="宋体" w:eastAsia="宋体" w:hAnsi="宋体" w:cs="Times New Roman" w:hint="eastAsia"/>
          <w:b/>
          <w:bCs/>
          <w:color w:val="000000" w:themeColor="text1"/>
          <w:sz w:val="24"/>
          <w:szCs w:val="24"/>
        </w:rPr>
        <w:t>严格按照相关法律法规及上述约定开展信息处理行为并采取安全保护措施</w:t>
      </w:r>
      <w:bookmarkEnd w:id="23"/>
      <w:bookmarkEnd w:id="24"/>
      <w:r>
        <w:rPr>
          <w:rFonts w:ascii="宋体" w:eastAsia="宋体" w:hAnsi="宋体" w:cs="Times New Roman" w:hint="eastAsia"/>
          <w:b/>
          <w:sz w:val="24"/>
          <w:szCs w:val="24"/>
        </w:rPr>
        <w:t>。</w:t>
      </w:r>
      <w:r>
        <w:rPr>
          <w:rFonts w:ascii="宋体" w:eastAsia="宋体" w:hAnsi="宋体" w:cs="Times New Roman" w:hint="eastAsia"/>
          <w:b/>
          <w:bCs/>
          <w:color w:val="000000"/>
          <w:sz w:val="24"/>
          <w:szCs w:val="24"/>
        </w:rPr>
        <w:t>产品管理人及乙方将妥善保管投资者理财产品销售相关资料，保管年限不低于《中华人民共和国反洗钱法》、《理财公司理财产品销售管理暂行办法》等法律法规及监管规定的年限。 超出必要保管期限后，产品管理人、乙方及其他第三方合作机构（如有）将及时删除投资者的档案（包括以电子化形式以及纸质文本形式保管的投资者个人信息）。 如甲方对第三方机构处理甲方的个人信息活动有疑问或要求，</w:t>
      </w:r>
      <w:r>
        <w:rPr>
          <w:rFonts w:ascii="宋体" w:eastAsia="宋体" w:hAnsi="宋体" w:cs="Times New Roman" w:hint="eastAsia"/>
          <w:b/>
          <w:bCs/>
          <w:color w:val="000000"/>
          <w:sz w:val="24"/>
          <w:szCs w:val="24"/>
        </w:rPr>
        <w:t>甲方可以通过《理财产品说明书》、甲方与乙方的相关协议（如有）、第三方机构的官方网站（如有）、第三方机构的官方公众号（如有）等渠道获取相应的联系方式以行使甲方的个人信息权利，或者直接联系产品管理人或乙方。</w:t>
      </w:r>
    </w:p>
    <w:p w:rsidR="0077147C" w14:paraId="034B7153" w14:textId="77777777">
      <w:pPr>
        <w:adjustRightInd w:val="0"/>
        <w:snapToGrid w:val="0"/>
        <w:spacing w:line="312" w:lineRule="auto"/>
        <w:ind w:firstLine="408" w:firstLineChars="170"/>
        <w:jc w:val="left"/>
        <w:rPr>
          <w:rFonts w:ascii="宋体" w:eastAsia="宋体" w:hAnsi="宋体" w:cs="Times New Roman" w:hint="eastAsia"/>
          <w:b/>
          <w:bCs/>
          <w:color w:val="000000"/>
          <w:sz w:val="24"/>
          <w:szCs w:val="24"/>
        </w:rPr>
      </w:pPr>
      <w:r>
        <w:rPr>
          <w:rFonts w:ascii="宋体" w:eastAsia="宋体" w:hAnsi="宋体" w:cs="Times New Roman" w:hint="eastAsia"/>
          <w:b/>
          <w:bCs/>
          <w:color w:val="000000"/>
          <w:sz w:val="24"/>
          <w:szCs w:val="24"/>
        </w:rPr>
        <w:t>（五）乙方通过电子渠道向</w:t>
      </w:r>
      <w:r>
        <w:rPr>
          <w:rFonts w:ascii="宋体" w:eastAsia="宋体" w:hAnsi="宋体" w:cs="Times New Roman" w:hint="eastAsia"/>
          <w:b/>
          <w:bCs/>
          <w:color w:val="000000"/>
          <w:sz w:val="24"/>
          <w:szCs w:val="24"/>
        </w:rPr>
        <w:t>非机构</w:t>
      </w:r>
      <w:r>
        <w:rPr>
          <w:rFonts w:ascii="宋体" w:eastAsia="宋体" w:hAnsi="宋体" w:cs="Times New Roman" w:hint="eastAsia"/>
          <w:b/>
          <w:bCs/>
          <w:color w:val="000000"/>
          <w:sz w:val="24"/>
          <w:szCs w:val="24"/>
        </w:rPr>
        <w:t>投资者销售理财产品的，将积极采取有效措施和技术手段完整客观记录营销推介、产品风险和关键信息提示、投资者确认和反馈等重点销售环节，确保能够满足回溯检查和核查取证的需要。甲方同意乙方进行上述记录行为。</w:t>
      </w:r>
    </w:p>
    <w:p w:rsidR="0077147C" w14:paraId="004734FA" w14:textId="77777777">
      <w:pPr>
        <w:adjustRightInd w:val="0"/>
        <w:snapToGrid w:val="0"/>
        <w:spacing w:line="312" w:lineRule="auto"/>
        <w:ind w:firstLine="480" w:firstLineChars="200"/>
        <w:rPr>
          <w:rFonts w:ascii="宋体" w:eastAsia="宋体" w:hAnsi="宋体" w:cs="Times New Roman" w:hint="eastAsia"/>
          <w:b/>
          <w:sz w:val="24"/>
          <w:szCs w:val="24"/>
        </w:rPr>
      </w:pPr>
      <w:r>
        <w:rPr>
          <w:rFonts w:ascii="宋体" w:eastAsia="宋体" w:hAnsi="宋体" w:cs="Times New Roman" w:hint="eastAsia"/>
          <w:b/>
          <w:bCs/>
          <w:sz w:val="24"/>
          <w:szCs w:val="24"/>
        </w:rPr>
        <w:t>第十七条</w:t>
      </w:r>
      <w:r>
        <w:rPr>
          <w:rFonts w:ascii="宋体" w:eastAsia="宋体" w:hAnsi="宋体" w:cs="Times New Roman" w:hint="eastAsia"/>
          <w:sz w:val="24"/>
          <w:szCs w:val="24"/>
        </w:rPr>
        <w:t xml:space="preserve"> </w:t>
      </w:r>
      <w:r>
        <w:rPr>
          <w:rFonts w:ascii="宋体" w:eastAsia="宋体" w:hAnsi="宋体" w:cs="Times New Roman" w:hint="eastAsia"/>
          <w:b/>
          <w:sz w:val="24"/>
          <w:szCs w:val="24"/>
        </w:rPr>
        <w:t>争议处理</w:t>
      </w:r>
    </w:p>
    <w:p w:rsidR="0077147C" w14:paraId="46C81AA9" w14:textId="77777777">
      <w:pPr>
        <w:spacing w:line="360" w:lineRule="auto"/>
        <w:ind w:firstLine="480" w:firstLineChars="200"/>
        <w:rPr>
          <w:rFonts w:ascii="宋体" w:eastAsia="宋体" w:hAnsi="宋体" w:cs="Times New Roman" w:hint="eastAsia"/>
          <w:b/>
          <w:sz w:val="24"/>
          <w:szCs w:val="24"/>
        </w:rPr>
      </w:pPr>
      <w:r>
        <w:rPr>
          <w:rFonts w:ascii="宋体" w:eastAsia="宋体" w:hAnsi="宋体" w:cs="Times New Roman" w:hint="eastAsia"/>
          <w:b/>
          <w:sz w:val="24"/>
          <w:szCs w:val="24"/>
        </w:rPr>
        <w:t>本协议适用中华人民共和国法律。本协议履行过程中所发生的一切争议，双方应本着诚实信用的原则友好协商解决。若协商不成，双方均同意选择</w:t>
      </w:r>
      <w:r>
        <w:rPr>
          <w:rFonts w:ascii="宋体" w:eastAsia="宋体" w:hAnsi="宋体" w:cs="Times New Roman" w:hint="eastAsia"/>
          <w:b/>
          <w:sz w:val="24"/>
          <w:szCs w:val="24"/>
        </w:rPr>
        <w:t>如下第</w:t>
      </w:r>
      <w:r>
        <w:rPr>
          <w:rFonts w:ascii="宋体" w:eastAsia="宋体" w:hAnsi="宋体" w:cs="Times New Roman"/>
          <w:b/>
          <w:sz w:val="24"/>
          <w:szCs w:val="24"/>
          <w:u w:val="single"/>
        </w:rPr>
        <w:t xml:space="preserve"> 2 </w:t>
      </w:r>
      <w:r>
        <w:rPr>
          <w:rFonts w:ascii="宋体" w:eastAsia="宋体" w:hAnsi="宋体" w:cs="Times New Roman"/>
          <w:b/>
          <w:sz w:val="24"/>
          <w:szCs w:val="24"/>
        </w:rPr>
        <w:t>种方式解决</w:t>
      </w:r>
      <w:r>
        <w:rPr>
          <w:rFonts w:ascii="宋体" w:eastAsia="宋体" w:hAnsi="宋体" w:cs="Times New Roman" w:hint="eastAsia"/>
          <w:b/>
          <w:sz w:val="24"/>
          <w:szCs w:val="24"/>
        </w:rPr>
        <w:t>：</w:t>
      </w:r>
    </w:p>
    <w:p w:rsidR="0077147C" w14:paraId="05B3ACF2" w14:textId="77777777">
      <w:pPr>
        <w:spacing w:line="360" w:lineRule="auto"/>
        <w:ind w:firstLine="480" w:firstLineChars="200"/>
        <w:rPr>
          <w:rFonts w:ascii="宋体" w:eastAsia="宋体" w:hAnsi="宋体" w:cs="Times New Roman" w:hint="eastAsia"/>
          <w:b/>
          <w:sz w:val="24"/>
          <w:szCs w:val="24"/>
        </w:rPr>
      </w:pPr>
      <w:r>
        <w:rPr>
          <w:rFonts w:ascii="宋体" w:eastAsia="宋体" w:hAnsi="宋体" w:cs="Times New Roman"/>
          <w:b/>
          <w:sz w:val="24"/>
          <w:szCs w:val="24"/>
        </w:rPr>
        <w:t>1、</w:t>
      </w:r>
      <w:r>
        <w:rPr>
          <w:rFonts w:ascii="宋体" w:eastAsia="宋体" w:hAnsi="宋体" w:cs="Times New Roman" w:hint="eastAsia"/>
          <w:b/>
          <w:sz w:val="24"/>
          <w:szCs w:val="24"/>
        </w:rPr>
        <w:t>提交【/】仲裁委员会仲裁。仲裁应按照该仲裁机构现行有效的仲裁规则进行。仲裁裁决是终局的，对双方均有约束力。</w:t>
      </w:r>
    </w:p>
    <w:p w:rsidR="0077147C" w14:paraId="58FE642E" w14:textId="77777777">
      <w:pPr>
        <w:spacing w:line="360" w:lineRule="auto"/>
        <w:ind w:firstLine="480" w:firstLineChars="200"/>
        <w:rPr>
          <w:rFonts w:ascii="宋体" w:eastAsia="宋体" w:hAnsi="宋体" w:cs="Times New Roman" w:hint="eastAsia"/>
          <w:b/>
          <w:sz w:val="24"/>
          <w:szCs w:val="24"/>
        </w:rPr>
      </w:pPr>
      <w:r>
        <w:rPr>
          <w:rFonts w:ascii="宋体" w:eastAsia="宋体" w:hAnsi="宋体" w:cs="Times New Roman"/>
          <w:b/>
          <w:sz w:val="24"/>
          <w:szCs w:val="24"/>
        </w:rPr>
        <w:t>2、</w:t>
      </w:r>
      <w:r>
        <w:rPr>
          <w:rFonts w:ascii="宋体" w:eastAsia="宋体" w:hAnsi="宋体" w:cs="Times New Roman" w:hint="eastAsia"/>
          <w:b/>
          <w:sz w:val="24"/>
          <w:szCs w:val="24"/>
        </w:rPr>
        <w:t>任何一方均有权向被告方所在地或合同履行地有管辖权的人民法院提起诉讼。</w:t>
      </w:r>
    </w:p>
    <w:p w:rsidR="0077147C" w14:paraId="32560F41" w14:textId="77777777">
      <w:pPr>
        <w:adjustRightInd w:val="0"/>
        <w:snapToGrid w:val="0"/>
        <w:spacing w:line="312" w:lineRule="auto"/>
        <w:ind w:firstLine="480" w:firstLineChars="200"/>
        <w:rPr>
          <w:rFonts w:ascii="宋体" w:eastAsia="宋体" w:hAnsi="宋体" w:cs="Times New Roman" w:hint="eastAsia"/>
          <w:b/>
          <w:sz w:val="24"/>
          <w:szCs w:val="24"/>
        </w:rPr>
      </w:pPr>
      <w:r>
        <w:rPr>
          <w:rFonts w:ascii="宋体" w:eastAsia="宋体" w:hAnsi="宋体" w:cs="Times New Roman" w:hint="eastAsia"/>
          <w:b/>
          <w:sz w:val="24"/>
          <w:szCs w:val="24"/>
        </w:rPr>
        <w:t>在争议解决期间，若该争议不影响本协议其他条款及其他理财产品</w:t>
      </w:r>
      <w:r>
        <w:rPr>
          <w:rFonts w:ascii="宋体" w:eastAsia="宋体" w:hAnsi="宋体" w:cs="Times New Roman"/>
          <w:b/>
          <w:sz w:val="24"/>
          <w:szCs w:val="24"/>
        </w:rPr>
        <w:t>销售文件</w:t>
      </w:r>
      <w:r>
        <w:rPr>
          <w:rFonts w:ascii="宋体" w:eastAsia="宋体" w:hAnsi="宋体" w:cs="Times New Roman" w:hint="eastAsia"/>
          <w:b/>
          <w:sz w:val="24"/>
          <w:szCs w:val="24"/>
        </w:rPr>
        <w:t>各条款的履行，前述条款应继续履行。因处理争议产生的费用（包括但不限于律师费、诉讼费等），除法院判决</w:t>
      </w:r>
      <w:r>
        <w:rPr>
          <w:rFonts w:ascii="宋体" w:eastAsia="宋体" w:hAnsi="宋体" w:cs="Times New Roman"/>
          <w:b/>
          <w:sz w:val="24"/>
          <w:szCs w:val="24"/>
        </w:rPr>
        <w:t>/裁定另有规定，</w:t>
      </w:r>
      <w:r>
        <w:rPr>
          <w:rFonts w:ascii="宋体" w:eastAsia="宋体" w:hAnsi="宋体" w:cs="Times New Roman" w:hint="eastAsia"/>
          <w:b/>
          <w:sz w:val="24"/>
          <w:szCs w:val="24"/>
        </w:rPr>
        <w:t>由败诉方承担。</w:t>
      </w:r>
    </w:p>
    <w:p w:rsidR="0077147C" w14:paraId="2A940296" w14:textId="77777777">
      <w:pPr>
        <w:adjustRightInd w:val="0"/>
        <w:snapToGrid w:val="0"/>
        <w:spacing w:line="312" w:lineRule="auto"/>
        <w:ind w:firstLine="480" w:firstLineChars="200"/>
        <w:rPr>
          <w:rFonts w:ascii="宋体" w:eastAsia="宋体" w:hAnsi="宋体" w:cs="Times New Roman" w:hint="eastAsia"/>
          <w:b/>
          <w:sz w:val="24"/>
          <w:szCs w:val="24"/>
        </w:rPr>
      </w:pPr>
      <w:r>
        <w:rPr>
          <w:rFonts w:ascii="宋体" w:eastAsia="宋体" w:hAnsi="宋体" w:cs="Times New Roman" w:hint="eastAsia"/>
          <w:b/>
          <w:bCs/>
          <w:sz w:val="24"/>
          <w:szCs w:val="24"/>
        </w:rPr>
        <w:t>第十八条</w:t>
      </w:r>
      <w:r>
        <w:rPr>
          <w:rFonts w:ascii="宋体" w:eastAsia="宋体" w:hAnsi="宋体" w:cs="Times New Roman" w:hint="eastAsia"/>
          <w:b/>
          <w:sz w:val="24"/>
          <w:szCs w:val="24"/>
        </w:rPr>
        <w:t xml:space="preserve"> 协议的生效</w:t>
      </w:r>
    </w:p>
    <w:p w:rsidR="0077147C" w14:paraId="0B340365"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sz w:val="24"/>
          <w:szCs w:val="24"/>
        </w:rPr>
        <w:t>甲方通过乙方营业网点购买本理财产品，本协议于甲方签署（甲方为自然人的，应签字；甲方为机构的，应加盖公章（或经公章授权的其他有效印鉴），并由其法定代表人（负责人）或授权代理人签字/签章；甲方为资产管理产品的，应加盖甲方产品管理人公章（或经公章授权的其他有效印鉴），并由甲方产品管理人的法定代表人（负责人）或授权代理人签字/签章）且产品管理人确认甲方成功认（申）购并收到甲方缴付的全部投资款项之日起生效。</w:t>
      </w:r>
    </w:p>
    <w:p w:rsidR="0077147C" w14:paraId="6572F76E" w14:textId="77777777">
      <w:pPr>
        <w:widowControl/>
        <w:spacing w:line="312" w:lineRule="auto"/>
        <w:ind w:firstLine="422"/>
        <w:jc w:val="left"/>
        <w:rPr>
          <w:rFonts w:ascii="宋体" w:eastAsia="宋体" w:hAnsi="宋体" w:cs="Times New Roman" w:hint="eastAsia"/>
          <w:sz w:val="24"/>
          <w:szCs w:val="24"/>
        </w:rPr>
      </w:pPr>
      <w:r>
        <w:rPr>
          <w:rFonts w:ascii="宋体" w:eastAsia="宋体" w:hAnsi="宋体" w:cs="Times New Roman" w:hint="eastAsia"/>
          <w:sz w:val="24"/>
          <w:szCs w:val="24"/>
        </w:rPr>
        <w:t>甲方通过乙方网上银行、手机银行等线</w:t>
      </w:r>
      <w:r>
        <w:rPr>
          <w:rFonts w:ascii="宋体" w:eastAsia="宋体" w:hAnsi="宋体" w:cs="Times New Roman" w:hint="eastAsia"/>
          <w:sz w:val="24"/>
          <w:szCs w:val="24"/>
        </w:rPr>
        <w:t>上渠道</w:t>
      </w:r>
      <w:r>
        <w:rPr>
          <w:rFonts w:ascii="宋体" w:eastAsia="宋体" w:hAnsi="宋体" w:cs="Times New Roman" w:hint="eastAsia"/>
          <w:sz w:val="24"/>
          <w:szCs w:val="24"/>
        </w:rPr>
        <w:t>购买理财产品，本协议经甲方点击同意本协议且产品管理人确认甲方成功认（申）购并收到甲方缴付的全部投资款项之日起生效。双方认可线上点击同意具有与书面签署同等的法律效力。</w:t>
      </w:r>
    </w:p>
    <w:p w:rsidR="0077147C" w14:paraId="068B2A94" w14:textId="70CB6134">
      <w:pPr>
        <w:widowControl/>
        <w:spacing w:line="312" w:lineRule="auto"/>
        <w:ind w:firstLine="422"/>
        <w:jc w:val="left"/>
        <w:rPr>
          <w:rFonts w:ascii="微软雅黑" w:eastAsia="微软雅黑" w:hAnsi="微软雅黑" w:cs="宋体" w:hint="eastAsia"/>
          <w:b/>
          <w:color w:val="666666"/>
          <w:kern w:val="0"/>
          <w:szCs w:val="21"/>
        </w:rPr>
      </w:pPr>
      <w:r>
        <w:rPr>
          <w:rFonts w:ascii="宋体" w:eastAsia="宋体" w:hAnsi="宋体" w:cs="Times New Roman" w:hint="eastAsia"/>
          <w:b/>
          <w:sz w:val="24"/>
          <w:szCs w:val="24"/>
        </w:rPr>
        <w:t>如甲方对所购买的产品或服务有任何疑问、意见或建议，可通过拨打乙方</w:t>
      </w:r>
      <w:r>
        <w:rPr>
          <w:rFonts w:ascii="宋体" w:eastAsia="宋体" w:hAnsi="宋体" w:cs="Times New Roman"/>
          <w:b/>
          <w:sz w:val="24"/>
          <w:szCs w:val="24"/>
        </w:rPr>
        <w:t>客户服务与投诉热线</w:t>
      </w:r>
      <w:r>
        <w:rPr>
          <w:rFonts w:ascii="宋体" w:eastAsia="宋体" w:hAnsi="宋体" w:cs="Times New Roman" w:hint="eastAsia"/>
          <w:b/>
          <w:sz w:val="24"/>
          <w:szCs w:val="24"/>
        </w:rPr>
        <w:t>（</w:t>
      </w:r>
      <w:r w:rsidRPr="00322831" w:rsidR="00322831">
        <w:rPr>
          <w:rFonts w:ascii="宋体" w:eastAsia="宋体" w:hAnsi="宋体" w:cs="Times New Roman"/>
          <w:b/>
          <w:sz w:val="24"/>
          <w:szCs w:val="24"/>
        </w:rPr>
        <w:t>0317-96328</w:t>
      </w:r>
      <w:r>
        <w:rPr>
          <w:rFonts w:ascii="宋体" w:eastAsia="宋体" w:hAnsi="宋体" w:cs="Times New Roman" w:hint="eastAsia"/>
          <w:b/>
          <w:sz w:val="24"/>
          <w:szCs w:val="24"/>
        </w:rPr>
        <w:t>）</w:t>
      </w:r>
      <w:r>
        <w:rPr>
          <w:rFonts w:ascii="宋体" w:eastAsia="宋体" w:hAnsi="宋体" w:cs="Times New Roman"/>
          <w:b/>
          <w:sz w:val="24"/>
          <w:szCs w:val="24"/>
        </w:rPr>
        <w:t>咨询与反映。</w:t>
      </w:r>
    </w:p>
    <w:p w:rsidR="0077147C" w14:paraId="23ED2DA9" w14:textId="77777777">
      <w:pPr>
        <w:adjustRightInd w:val="0"/>
        <w:snapToGrid w:val="0"/>
        <w:spacing w:line="312" w:lineRule="auto"/>
        <w:ind w:firstLine="480" w:firstLineChars="200"/>
        <w:rPr>
          <w:rFonts w:ascii="宋体" w:eastAsia="宋体" w:hAnsi="宋体" w:cs="Times New Roman" w:hint="eastAsia"/>
          <w:b/>
          <w:sz w:val="24"/>
          <w:szCs w:val="24"/>
        </w:rPr>
      </w:pPr>
      <w:r>
        <w:rPr>
          <w:rFonts w:ascii="宋体" w:eastAsia="宋体" w:hAnsi="宋体" w:cs="Times New Roman" w:hint="eastAsia"/>
          <w:b/>
          <w:sz w:val="24"/>
          <w:szCs w:val="24"/>
        </w:rPr>
        <w:t>通过</w:t>
      </w:r>
      <w:r>
        <w:rPr>
          <w:rFonts w:ascii="宋体" w:eastAsia="宋体" w:hAnsi="宋体" w:cs="Times New Roman"/>
          <w:b/>
          <w:sz w:val="24"/>
          <w:szCs w:val="24"/>
        </w:rPr>
        <w:t>线</w:t>
      </w:r>
      <w:r>
        <w:rPr>
          <w:rFonts w:ascii="宋体" w:eastAsia="宋体" w:hAnsi="宋体" w:cs="Times New Roman"/>
          <w:b/>
          <w:sz w:val="24"/>
          <w:szCs w:val="24"/>
        </w:rPr>
        <w:t>上渠道认</w:t>
      </w:r>
      <w:r>
        <w:rPr>
          <w:rFonts w:ascii="宋体" w:eastAsia="宋体" w:hAnsi="宋体" w:cs="Times New Roman" w:hint="eastAsia"/>
          <w:b/>
          <w:sz w:val="24"/>
          <w:szCs w:val="24"/>
        </w:rPr>
        <w:t>（申）</w:t>
      </w:r>
      <w:r>
        <w:rPr>
          <w:rFonts w:ascii="宋体" w:eastAsia="宋体" w:hAnsi="宋体" w:cs="Times New Roman"/>
          <w:b/>
          <w:sz w:val="24"/>
          <w:szCs w:val="24"/>
        </w:rPr>
        <w:t>购时，</w:t>
      </w:r>
      <w:r>
        <w:rPr>
          <w:rFonts w:ascii="宋体" w:eastAsia="宋体" w:hAnsi="宋体" w:cs="Times New Roman" w:hint="eastAsia"/>
          <w:b/>
          <w:sz w:val="24"/>
          <w:szCs w:val="24"/>
        </w:rPr>
        <w:t>甲方</w:t>
      </w:r>
      <w:r>
        <w:rPr>
          <w:rFonts w:ascii="宋体" w:eastAsia="宋体" w:hAnsi="宋体" w:cs="Times New Roman"/>
          <w:b/>
          <w:sz w:val="24"/>
          <w:szCs w:val="24"/>
        </w:rPr>
        <w:t>使用的</w:t>
      </w:r>
      <w:r>
        <w:rPr>
          <w:rFonts w:ascii="宋体" w:eastAsia="宋体" w:hAnsi="宋体" w:cs="Times New Roman" w:hint="eastAsia"/>
          <w:b/>
          <w:sz w:val="24"/>
          <w:szCs w:val="24"/>
        </w:rPr>
        <w:t>身份</w:t>
      </w:r>
      <w:r>
        <w:rPr>
          <w:rFonts w:ascii="宋体" w:eastAsia="宋体" w:hAnsi="宋体" w:cs="Times New Roman"/>
          <w:b/>
          <w:sz w:val="24"/>
          <w:szCs w:val="24"/>
        </w:rPr>
        <w:t>认证要素（</w:t>
      </w:r>
      <w:r>
        <w:rPr>
          <w:rFonts w:ascii="宋体" w:eastAsia="宋体" w:hAnsi="宋体" w:cs="Times New Roman" w:hint="eastAsia"/>
          <w:b/>
          <w:sz w:val="24"/>
          <w:szCs w:val="24"/>
        </w:rPr>
        <w:t>包括</w:t>
      </w:r>
      <w:r>
        <w:rPr>
          <w:rFonts w:ascii="宋体" w:eastAsia="宋体" w:hAnsi="宋体" w:cs="Times New Roman"/>
          <w:b/>
          <w:sz w:val="24"/>
          <w:szCs w:val="24"/>
        </w:rPr>
        <w:t>但不限于账号、</w:t>
      </w:r>
      <w:r>
        <w:rPr>
          <w:rFonts w:ascii="宋体" w:eastAsia="宋体" w:hAnsi="宋体" w:cs="Times New Roman" w:hint="eastAsia"/>
          <w:b/>
          <w:sz w:val="24"/>
          <w:szCs w:val="24"/>
        </w:rPr>
        <w:t>网银</w:t>
      </w:r>
      <w:r>
        <w:rPr>
          <w:rFonts w:ascii="宋体" w:eastAsia="宋体" w:hAnsi="宋体" w:cs="Times New Roman"/>
          <w:b/>
          <w:sz w:val="24"/>
          <w:szCs w:val="24"/>
        </w:rPr>
        <w:t>登录</w:t>
      </w:r>
      <w:r>
        <w:rPr>
          <w:rFonts w:ascii="宋体" w:eastAsia="宋体" w:hAnsi="宋体" w:cs="Times New Roman"/>
          <w:b/>
          <w:sz w:val="24"/>
          <w:szCs w:val="24"/>
        </w:rPr>
        <w:t>名、证件号码、手机号码、密码、数字证书、</w:t>
      </w:r>
      <w:r>
        <w:rPr>
          <w:rFonts w:ascii="宋体" w:eastAsia="宋体" w:hAnsi="宋体" w:cs="Times New Roman" w:hint="eastAsia"/>
          <w:b/>
          <w:sz w:val="24"/>
          <w:szCs w:val="24"/>
        </w:rPr>
        <w:t>USBK</w:t>
      </w:r>
      <w:r>
        <w:rPr>
          <w:rFonts w:ascii="宋体" w:eastAsia="宋体" w:hAnsi="宋体" w:cs="Times New Roman"/>
          <w:b/>
          <w:sz w:val="24"/>
          <w:szCs w:val="24"/>
        </w:rPr>
        <w:t>ey</w:t>
      </w:r>
      <w:r>
        <w:rPr>
          <w:rFonts w:ascii="宋体" w:eastAsia="宋体" w:hAnsi="宋体" w:cs="Times New Roman"/>
          <w:b/>
          <w:sz w:val="24"/>
          <w:szCs w:val="24"/>
        </w:rPr>
        <w:t>、动态密码等）</w:t>
      </w:r>
      <w:r>
        <w:rPr>
          <w:rFonts w:ascii="宋体" w:eastAsia="宋体" w:hAnsi="宋体" w:cs="Times New Roman" w:hint="eastAsia"/>
          <w:b/>
          <w:sz w:val="24"/>
          <w:szCs w:val="24"/>
        </w:rPr>
        <w:t>或</w:t>
      </w:r>
      <w:r>
        <w:rPr>
          <w:rFonts w:ascii="宋体" w:eastAsia="宋体" w:hAnsi="宋体" w:cs="Times New Roman"/>
          <w:b/>
          <w:sz w:val="24"/>
          <w:szCs w:val="24"/>
        </w:rPr>
        <w:t>其他</w:t>
      </w:r>
      <w:r>
        <w:rPr>
          <w:rFonts w:ascii="宋体" w:eastAsia="宋体" w:hAnsi="宋体" w:cs="Times New Roman" w:hint="eastAsia"/>
          <w:b/>
          <w:sz w:val="24"/>
          <w:szCs w:val="24"/>
        </w:rPr>
        <w:t>交易</w:t>
      </w:r>
      <w:r>
        <w:rPr>
          <w:rFonts w:ascii="宋体" w:eastAsia="宋体" w:hAnsi="宋体" w:cs="Times New Roman"/>
          <w:b/>
          <w:sz w:val="24"/>
          <w:szCs w:val="24"/>
        </w:rPr>
        <w:t>安全措施所完成的一切交易操作均视为甲方所</w:t>
      </w:r>
      <w:r>
        <w:rPr>
          <w:rFonts w:ascii="宋体" w:eastAsia="宋体" w:hAnsi="宋体" w:cs="Times New Roman" w:hint="eastAsia"/>
          <w:b/>
          <w:sz w:val="24"/>
          <w:szCs w:val="24"/>
        </w:rPr>
        <w:t>为</w:t>
      </w:r>
      <w:r>
        <w:rPr>
          <w:rFonts w:ascii="宋体" w:eastAsia="宋体" w:hAnsi="宋体" w:cs="Times New Roman"/>
          <w:b/>
          <w:sz w:val="24"/>
          <w:szCs w:val="24"/>
        </w:rPr>
        <w:t>，上述操作所产生的业务指令均为处理业务的合法有效凭证，</w:t>
      </w:r>
      <w:r>
        <w:rPr>
          <w:rFonts w:ascii="宋体" w:eastAsia="宋体" w:hAnsi="宋体" w:cs="Times New Roman" w:hint="eastAsia"/>
          <w:b/>
          <w:sz w:val="24"/>
          <w:szCs w:val="24"/>
        </w:rPr>
        <w:t>与</w:t>
      </w:r>
      <w:r>
        <w:rPr>
          <w:rFonts w:ascii="宋体" w:eastAsia="宋体" w:hAnsi="宋体" w:cs="Times New Roman"/>
          <w:b/>
          <w:sz w:val="24"/>
          <w:szCs w:val="24"/>
        </w:rPr>
        <w:t>在纸质合同上手写签名或盖章具有同等法律效力，双方无需另行签署纸质合同，甲方应对此</w:t>
      </w:r>
      <w:r>
        <w:rPr>
          <w:rFonts w:ascii="宋体" w:eastAsia="宋体" w:hAnsi="宋体" w:cs="Times New Roman" w:hint="eastAsia"/>
          <w:b/>
          <w:sz w:val="24"/>
          <w:szCs w:val="24"/>
        </w:rPr>
        <w:t>产生</w:t>
      </w:r>
      <w:r>
        <w:rPr>
          <w:rFonts w:ascii="宋体" w:eastAsia="宋体" w:hAnsi="宋体" w:cs="Times New Roman"/>
          <w:b/>
          <w:sz w:val="24"/>
          <w:szCs w:val="24"/>
        </w:rPr>
        <w:t>的后果负责。</w:t>
      </w:r>
      <w:r>
        <w:rPr>
          <w:rFonts w:ascii="宋体" w:eastAsia="宋体" w:hAnsi="宋体" w:cs="Times New Roman" w:hint="eastAsia"/>
          <w:b/>
          <w:sz w:val="24"/>
          <w:szCs w:val="24"/>
        </w:rPr>
        <w:t>甲方同意不因</w:t>
      </w:r>
      <w:r>
        <w:rPr>
          <w:rFonts w:ascii="宋体" w:eastAsia="宋体" w:hAnsi="宋体" w:cs="Times New Roman"/>
          <w:b/>
          <w:sz w:val="24"/>
          <w:szCs w:val="24"/>
        </w:rPr>
        <w:t>电子合同单方保存在乙方系统而提出异议。</w:t>
      </w:r>
    </w:p>
    <w:p w:rsidR="0077147C" w14:paraId="0BEF8DF6" w14:textId="77777777">
      <w:pPr>
        <w:adjustRightInd w:val="0"/>
        <w:snapToGrid w:val="0"/>
        <w:spacing w:line="312" w:lineRule="auto"/>
        <w:ind w:firstLine="480" w:firstLineChars="200"/>
        <w:rPr>
          <w:rFonts w:ascii="宋体" w:eastAsia="宋体" w:hAnsi="宋体" w:cs="Times New Roman" w:hint="eastAsia"/>
          <w:b/>
          <w:sz w:val="24"/>
          <w:szCs w:val="24"/>
        </w:rPr>
      </w:pPr>
      <w:r>
        <w:rPr>
          <w:rFonts w:ascii="宋体" w:eastAsia="宋体" w:hAnsi="宋体" w:cs="Times New Roman" w:hint="eastAsia"/>
          <w:b/>
          <w:sz w:val="24"/>
          <w:szCs w:val="24"/>
        </w:rPr>
        <w:t>双方一致同意本协议履行地为</w:t>
      </w:r>
      <w:r>
        <w:rPr>
          <w:rFonts w:ascii="宋体" w:eastAsia="宋体" w:hAnsi="宋体" w:cs="Times New Roman" w:hint="eastAsia"/>
          <w:b/>
          <w:sz w:val="24"/>
          <w:szCs w:val="24"/>
          <w:u w:val="single"/>
        </w:rPr>
        <w:t xml:space="preserve">             </w:t>
      </w:r>
      <w:r>
        <w:rPr>
          <w:rFonts w:ascii="宋体" w:eastAsia="宋体" w:hAnsi="宋体" w:cs="Times New Roman" w:hint="eastAsia"/>
          <w:b/>
          <w:sz w:val="24"/>
          <w:szCs w:val="24"/>
        </w:rPr>
        <w:t>。</w:t>
      </w:r>
    </w:p>
    <w:p w:rsidR="0077147C" w14:paraId="5CFD6138"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b/>
          <w:bCs/>
          <w:sz w:val="24"/>
          <w:szCs w:val="24"/>
        </w:rPr>
        <w:t xml:space="preserve">第十九条 </w:t>
      </w:r>
      <w:r>
        <w:rPr>
          <w:rFonts w:ascii="宋体" w:eastAsia="宋体" w:hAnsi="宋体" w:cs="Times New Roman" w:hint="eastAsia"/>
          <w:b/>
          <w:sz w:val="24"/>
          <w:szCs w:val="24"/>
        </w:rPr>
        <w:t>本协议与本理财产品的《理财产品说明书》、《投资协议书》、《风险揭示书》、《投资者权益须知》等理财产品销售文件共同构成一份完整且不可分割的、关于甲方所投资本理财产品</w:t>
      </w:r>
      <w:r>
        <w:rPr>
          <w:rFonts w:ascii="宋体" w:eastAsia="宋体" w:hAnsi="宋体" w:cs="Times New Roman" w:hint="eastAsia"/>
          <w:b/>
          <w:sz w:val="24"/>
          <w:szCs w:val="24"/>
        </w:rPr>
        <w:t>的全部协议。本协议与《理财产品说明书》不一致的，以《理财产品说明书》为准。如果因任何原因使本协议项下的任何条款或内容无效或被依法撤销，本协议其他条款或内容的合法性、有效性和</w:t>
      </w:r>
      <w:r>
        <w:rPr>
          <w:rFonts w:ascii="宋体" w:eastAsia="宋体" w:hAnsi="宋体" w:cs="Times New Roman" w:hint="eastAsia"/>
          <w:b/>
          <w:sz w:val="24"/>
          <w:szCs w:val="24"/>
        </w:rPr>
        <w:t>可</w:t>
      </w:r>
      <w:r>
        <w:rPr>
          <w:rFonts w:ascii="宋体" w:eastAsia="宋体" w:hAnsi="宋体" w:cs="Times New Roman" w:hint="eastAsia"/>
          <w:b/>
          <w:sz w:val="24"/>
          <w:szCs w:val="24"/>
        </w:rPr>
        <w:t>执行性不受影响。</w:t>
      </w:r>
    </w:p>
    <w:p w:rsidR="0077147C" w14:paraId="7F877D5A" w14:textId="77777777">
      <w:pPr>
        <w:adjustRightInd w:val="0"/>
        <w:snapToGrid w:val="0"/>
        <w:spacing w:line="312" w:lineRule="auto"/>
        <w:rPr>
          <w:rFonts w:ascii="宋体" w:eastAsia="宋体" w:hAnsi="宋体" w:cs="Times New Roman" w:hint="eastAsia"/>
          <w:bCs/>
          <w:sz w:val="24"/>
          <w:szCs w:val="24"/>
        </w:rPr>
      </w:pPr>
    </w:p>
    <w:p w:rsidR="0077147C" w14:paraId="0BE0E800" w14:textId="77777777">
      <w:pPr>
        <w:adjustRightInd w:val="0"/>
        <w:snapToGrid w:val="0"/>
        <w:spacing w:line="312" w:lineRule="auto"/>
        <w:ind w:firstLine="480" w:firstLineChars="200"/>
        <w:rPr>
          <w:rFonts w:ascii="宋体" w:eastAsia="宋体" w:hAnsi="宋体" w:cs="Times New Roman" w:hint="eastAsia"/>
          <w:sz w:val="24"/>
          <w:szCs w:val="24"/>
        </w:rPr>
      </w:pPr>
      <w:r>
        <w:rPr>
          <w:rFonts w:ascii="宋体" w:eastAsia="宋体" w:hAnsi="宋体" w:cs="Times New Roman" w:hint="eastAsia"/>
          <w:b/>
          <w:sz w:val="24"/>
          <w:szCs w:val="24"/>
        </w:rPr>
        <w:t>声明：甲方承诺已经全面理解本协议与本理财产品的《理财产品说明书》、《风险揭示书》、《投资协议书》、《投资者权益须知》等理财产品销售文件的全部条款，充分认识到投资本产品需要承担的风险，并对认（申）</w:t>
      </w:r>
      <w:r>
        <w:rPr>
          <w:rFonts w:ascii="宋体" w:eastAsia="宋体" w:hAnsi="宋体" w:cs="Times New Roman" w:hint="eastAsia"/>
          <w:b/>
          <w:sz w:val="24"/>
          <w:szCs w:val="24"/>
        </w:rPr>
        <w:t>购金额</w:t>
      </w:r>
      <w:r>
        <w:rPr>
          <w:rFonts w:ascii="宋体" w:eastAsia="宋体" w:hAnsi="宋体" w:cs="Times New Roman" w:hint="eastAsia"/>
          <w:b/>
          <w:sz w:val="24"/>
          <w:szCs w:val="24"/>
        </w:rPr>
        <w:t>予以确认。甲方在此不可撤销地授权乙方按本协议与本理财产品的《理财产品说明书》约定进行划款，无需乙方在划款时另行以电话、传真或其它任何方式与甲方进行最后确认。甲方保证所提供的资料真实、有效，并自愿履行本协议的各项义务，自行承担投资风险，特此确认。</w:t>
      </w:r>
    </w:p>
    <w:p w:rsidR="0077147C" w14:paraId="4E30F6AE" w14:textId="77777777">
      <w:pPr>
        <w:spacing w:line="312" w:lineRule="auto"/>
        <w:ind w:left="63" w:leftChars="30"/>
        <w:jc w:val="left"/>
        <w:rPr>
          <w:rFonts w:ascii="宋体" w:eastAsia="宋体" w:hAnsi="宋体" w:cs="宋体" w:hint="eastAsia"/>
          <w:b/>
          <w:bCs/>
          <w:kern w:val="0"/>
          <w:sz w:val="24"/>
          <w:szCs w:val="24"/>
        </w:rPr>
      </w:pPr>
    </w:p>
    <w:p w:rsidR="0077147C" w14:paraId="34309E7E" w14:textId="77777777">
      <w:pPr>
        <w:spacing w:line="312" w:lineRule="auto"/>
        <w:ind w:left="63" w:leftChars="30"/>
        <w:jc w:val="left"/>
        <w:rPr>
          <w:rFonts w:ascii="宋体" w:eastAsia="宋体" w:hAnsi="宋体" w:cs="宋体" w:hint="eastAsia"/>
          <w:b/>
          <w:bCs/>
          <w:kern w:val="0"/>
          <w:sz w:val="24"/>
          <w:szCs w:val="24"/>
        </w:rPr>
      </w:pPr>
      <w:r>
        <w:rPr>
          <w:rFonts w:ascii="宋体" w:eastAsia="宋体" w:hAnsi="宋体" w:cs="宋体" w:hint="eastAsia"/>
          <w:b/>
          <w:bCs/>
          <w:kern w:val="0"/>
          <w:sz w:val="24"/>
          <w:szCs w:val="24"/>
        </w:rPr>
        <w:t>（自然人签署适用）</w:t>
      </w:r>
    </w:p>
    <w:p w:rsidR="0077147C" w14:paraId="47745145" w14:textId="77777777">
      <w:pPr>
        <w:spacing w:line="312" w:lineRule="auto"/>
        <w:ind w:left="63" w:leftChars="30"/>
        <w:jc w:val="left"/>
        <w:rPr>
          <w:rFonts w:ascii="宋体" w:eastAsia="宋体" w:hAnsi="宋体" w:cs="宋体" w:hint="eastAsia"/>
          <w:b/>
          <w:bCs/>
          <w:kern w:val="0"/>
          <w:sz w:val="24"/>
          <w:szCs w:val="24"/>
        </w:rPr>
      </w:pPr>
      <w:r>
        <w:rPr>
          <w:rFonts w:ascii="宋体" w:eastAsia="宋体" w:hAnsi="宋体" w:cs="宋体" w:hint="eastAsia"/>
          <w:b/>
          <w:bCs/>
          <w:kern w:val="0"/>
          <w:sz w:val="24"/>
          <w:szCs w:val="24"/>
        </w:rPr>
        <w:t>甲方签字   ____________</w:t>
      </w:r>
    </w:p>
    <w:p w:rsidR="0077147C" w14:paraId="545E98A9" w14:textId="77777777">
      <w:pPr>
        <w:spacing w:line="312" w:lineRule="auto"/>
        <w:ind w:left="63" w:leftChars="30"/>
        <w:jc w:val="left"/>
        <w:rPr>
          <w:rFonts w:ascii="宋体" w:eastAsia="宋体" w:hAnsi="宋体" w:cs="宋体" w:hint="eastAsia"/>
          <w:b/>
          <w:bCs/>
          <w:kern w:val="0"/>
          <w:sz w:val="24"/>
          <w:szCs w:val="24"/>
        </w:rPr>
      </w:pPr>
    </w:p>
    <w:p w:rsidR="0077147C" w14:paraId="4C136801" w14:textId="77777777">
      <w:pPr>
        <w:spacing w:line="312" w:lineRule="auto"/>
        <w:ind w:left="63" w:leftChars="30"/>
        <w:jc w:val="left"/>
        <w:rPr>
          <w:rFonts w:ascii="宋体" w:eastAsia="宋体" w:hAnsi="宋体" w:cs="宋体" w:hint="eastAsia"/>
          <w:b/>
          <w:bCs/>
          <w:kern w:val="0"/>
          <w:sz w:val="24"/>
          <w:szCs w:val="24"/>
        </w:rPr>
      </w:pPr>
      <w:r>
        <w:rPr>
          <w:rFonts w:ascii="宋体" w:eastAsia="宋体" w:hAnsi="宋体" w:cs="宋体" w:hint="eastAsia"/>
          <w:b/>
          <w:bCs/>
          <w:kern w:val="0"/>
          <w:sz w:val="24"/>
          <w:szCs w:val="24"/>
        </w:rPr>
        <w:t>（</w:t>
      </w:r>
      <w:r>
        <w:rPr>
          <w:rFonts w:ascii="宋体" w:eastAsia="宋体" w:hAnsi="宋体" w:cs="宋体"/>
          <w:b/>
          <w:bCs/>
          <w:kern w:val="0"/>
          <w:sz w:val="24"/>
          <w:szCs w:val="24"/>
        </w:rPr>
        <w:t>机构投资者</w:t>
      </w:r>
      <w:r>
        <w:rPr>
          <w:rFonts w:ascii="宋体" w:eastAsia="宋体" w:hAnsi="宋体" w:cs="宋体" w:hint="eastAsia"/>
          <w:b/>
          <w:bCs/>
          <w:kern w:val="0"/>
          <w:sz w:val="24"/>
          <w:szCs w:val="24"/>
        </w:rPr>
        <w:t>签署适用</w:t>
      </w:r>
      <w:r>
        <w:rPr>
          <w:rFonts w:ascii="宋体" w:eastAsia="宋体" w:hAnsi="宋体" w:cs="宋体"/>
          <w:b/>
          <w:bCs/>
          <w:kern w:val="0"/>
          <w:sz w:val="24"/>
          <w:szCs w:val="24"/>
        </w:rPr>
        <w:t>）</w:t>
      </w:r>
    </w:p>
    <w:p w:rsidR="0077147C" w14:paraId="0DB695E5" w14:textId="77777777">
      <w:pPr>
        <w:spacing w:line="360" w:lineRule="auto"/>
        <w:ind w:left="63" w:leftChars="30"/>
        <w:jc w:val="left"/>
        <w:rPr>
          <w:rFonts w:ascii="宋体" w:eastAsia="宋体" w:hAnsi="宋体" w:cs="宋体" w:hint="eastAsia"/>
          <w:b/>
          <w:bCs/>
          <w:kern w:val="0"/>
          <w:sz w:val="24"/>
          <w:szCs w:val="24"/>
        </w:rPr>
      </w:pPr>
      <w:r>
        <w:rPr>
          <w:rFonts w:ascii="宋体" w:eastAsia="宋体" w:hAnsi="宋体" w:cs="宋体" w:hint="eastAsia"/>
          <w:b/>
          <w:bCs/>
          <w:kern w:val="0"/>
          <w:sz w:val="24"/>
          <w:szCs w:val="24"/>
        </w:rPr>
        <w:t>公章（或经公章授权的其他有效印鉴）：</w:t>
      </w:r>
    </w:p>
    <w:p w:rsidR="0077147C" w14:paraId="18FB08AA" w14:textId="77777777">
      <w:pPr>
        <w:spacing w:line="360" w:lineRule="auto"/>
        <w:ind w:left="63" w:leftChars="30"/>
        <w:jc w:val="left"/>
        <w:rPr>
          <w:rFonts w:ascii="宋体" w:eastAsia="宋体" w:hAnsi="宋体" w:cs="宋体" w:hint="eastAsia"/>
          <w:b/>
          <w:bCs/>
          <w:kern w:val="0"/>
          <w:sz w:val="24"/>
          <w:szCs w:val="24"/>
        </w:rPr>
      </w:pPr>
      <w:r>
        <w:rPr>
          <w:rFonts w:ascii="宋体" w:eastAsia="宋体" w:hAnsi="宋体" w:cs="宋体" w:hint="eastAsia"/>
          <w:b/>
          <w:bCs/>
          <w:kern w:val="0"/>
          <w:sz w:val="24"/>
          <w:szCs w:val="24"/>
        </w:rPr>
        <w:t>法定代表人（负责人）或授权代理人签字/签章：</w:t>
      </w:r>
    </w:p>
    <w:p w:rsidR="0077147C" w14:paraId="1F89DBB0" w14:textId="77777777">
      <w:pPr>
        <w:spacing w:line="312" w:lineRule="auto"/>
        <w:ind w:left="63" w:leftChars="30"/>
        <w:jc w:val="left"/>
        <w:rPr>
          <w:rFonts w:ascii="宋体" w:eastAsia="宋体" w:hAnsi="宋体" w:cs="宋体" w:hint="eastAsia"/>
          <w:b/>
          <w:bCs/>
          <w:kern w:val="0"/>
          <w:sz w:val="24"/>
          <w:szCs w:val="24"/>
        </w:rPr>
      </w:pPr>
    </w:p>
    <w:p w:rsidR="0077147C" w14:paraId="06BDA2F1" w14:textId="77777777">
      <w:pPr>
        <w:spacing w:line="312" w:lineRule="auto"/>
        <w:ind w:left="63" w:leftChars="30"/>
        <w:jc w:val="left"/>
        <w:rPr>
          <w:rFonts w:ascii="宋体" w:eastAsia="宋体" w:hAnsi="宋体" w:cs="Times New Roman" w:hint="eastAsia"/>
          <w:sz w:val="24"/>
          <w:szCs w:val="24"/>
        </w:rPr>
      </w:pPr>
      <w:r>
        <w:rPr>
          <w:rFonts w:ascii="宋体" w:eastAsia="宋体" w:hAnsi="宋体" w:cs="宋体" w:hint="eastAsia"/>
          <w:b/>
          <w:bCs/>
          <w:kern w:val="0"/>
          <w:sz w:val="24"/>
          <w:szCs w:val="24"/>
        </w:rPr>
        <w:t>日期         ____________</w:t>
      </w:r>
    </w:p>
    <w:sectPr>
      <w:footerReference w:type="even" r:id="rId10"/>
      <w:footerReference w:type="default" r:id="rId11"/>
      <w:pgSz w:w="11906" w:h="16838"/>
      <w:pgMar w:top="1418" w:right="926" w:bottom="680" w:left="900" w:header="851" w:footer="1191"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仿宋_GB2312">
    <w:altName w:val="仿宋"/>
    <w:charset w:val="86"/>
    <w:family w:val="modern"/>
    <w:pitch w:val="fixed"/>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1"/>
    <w:family w:val="swiss"/>
    <w:pitch w:val="variable"/>
    <w:sig w:usb0="E0002AFF" w:usb1="C0007843" w:usb2="00000009" w:usb3="00000000" w:csb0="000001FF" w:csb1="00000000"/>
  </w:font>
  <w:font w:name="ËÎÌå">
    <w:altName w:val="Arial"/>
    <w:charset w:val="00"/>
    <w:family w:val="swiss"/>
    <w:pitch w:val="default"/>
    <w:sig w:usb0="00000000"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default"/>
    <w:sig w:usb0="00000000" w:usb1="00000000" w:usb2="00000000" w:usb3="00000000" w:csb0="80000000"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73390607"/>
      <w:richText/>
    </w:sdtPr>
    <w:sdtEndPr>
      <w:rPr>
        <w:rFonts w:ascii="Times New Roman" w:hAnsi="Times New Roman" w:cs="Times New Roman"/>
      </w:rPr>
    </w:sdtEndPr>
    <w:sdtContent>
      <w:p w:rsidR="00156F5C" w14:paraId="29A4E1F6" w14:textId="3E19B4D9">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Pr="00F244CE" w:rsidR="00F244CE">
          <w:rPr>
            <w:rFonts w:ascii="Times New Roman" w:hAnsi="Times New Roman" w:cs="Times New Roman"/>
            <w:noProof/>
            <w:lang w:val="zh-CN"/>
          </w:rPr>
          <w:t>-</w:t>
        </w:r>
        <w:r w:rsidR="00F244CE">
          <w:rPr>
            <w:rFonts w:ascii="Times New Roman" w:hAnsi="Times New Roman" w:cs="Times New Roman"/>
            <w:noProof/>
          </w:rPr>
          <w:t xml:space="preserve"> 10 -</w:t>
        </w:r>
        <w:r>
          <w:rPr>
            <w:rFonts w:ascii="Times New Roman" w:hAnsi="Times New Roman" w:cs="Times New Roman"/>
          </w:rPr>
          <w:fldChar w:fldCharType="end"/>
        </w:r>
      </w:p>
    </w:sdtContent>
  </w:sdt>
  <w:p w:rsidR="00156F5C" w14:paraId="357D70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67052479"/>
      <w:richText/>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27529895"/>
      <w:richText/>
    </w:sdtPr>
    <w:sdtContent>
      <w:p w:rsidR="00D41301" w14:paraId="21611ECD" w14:textId="646C6D8C">
        <w:pPr>
          <w:pStyle w:val="Footer"/>
          <w:jc w:val="center"/>
        </w:pPr>
        <w:r>
          <w:fldChar w:fldCharType="begin"/>
        </w:r>
        <w:r>
          <w:instrText>PAGE   \* MERGEFORMAT</w:instrText>
        </w:r>
        <w:r>
          <w:fldChar w:fldCharType="separate"/>
        </w:r>
        <w:r w:rsidRPr="00F75142" w:rsidR="00F75142">
          <w:rPr>
            <w:noProof/>
            <w:lang w:val="zh-CN"/>
          </w:rPr>
          <w:t>-</w:t>
        </w:r>
        <w:r w:rsidR="00F75142">
          <w:rPr>
            <w:noProof/>
          </w:rPr>
          <w:t xml:space="preserve"> 4 -</w:t>
        </w:r>
        <w:r>
          <w:fldChar w:fldCharType="end"/>
        </w:r>
      </w:p>
    </w:sdtContent>
  </w:sdt>
  <w:p w:rsidR="00D41301" w14:paraId="25E7729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47C" w14:paraId="0EE77426"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147C" w14:paraId="605F895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47C" w14:paraId="4C2FE84C" w14:textId="310320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D1ED4">
      <w:rPr>
        <w:rStyle w:val="PageNumber"/>
        <w:noProof/>
      </w:rPr>
      <w:t>1</w:t>
    </w:r>
    <w:r>
      <w:rPr>
        <w:rStyle w:val="PageNumber"/>
      </w:rPr>
      <w:fldChar w:fldCharType="end"/>
    </w:r>
  </w:p>
  <w:p w:rsidR="0077147C" w14:paraId="64EF7A35"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1C2256"/>
    <w:multiLevelType w:val="multilevel"/>
    <w:tmpl w:val="051C2256"/>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1E0725BE"/>
    <w:multiLevelType w:val="multilevel"/>
    <w:tmpl w:val="1E0725BE"/>
    <w:lvl w:ilvl="0">
      <w:start w:val="1"/>
      <w:numFmt w:val="japaneseCounting"/>
      <w:lvlText w:val="（%1）"/>
      <w:lvlJc w:val="left"/>
      <w:pPr>
        <w:ind w:left="1247" w:hanging="765"/>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nsid w:val="6AC5501D"/>
    <w:multiLevelType w:val="multilevel"/>
    <w:tmpl w:val="6AC5501D"/>
    <w:lvl w:ilvl="0">
      <w:start w:val="1"/>
      <w:numFmt w:val="japaneseCounting"/>
      <w:lvlText w:val="第%1条"/>
      <w:lvlJc w:val="left"/>
      <w:pPr>
        <w:ind w:left="1322" w:hanging="84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AC6"/>
    <w:rsid w:val="0000176B"/>
    <w:rsid w:val="000025FA"/>
    <w:rsid w:val="00003AA1"/>
    <w:rsid w:val="00003EBD"/>
    <w:rsid w:val="00003FA6"/>
    <w:rsid w:val="0000412A"/>
    <w:rsid w:val="0000451F"/>
    <w:rsid w:val="00011561"/>
    <w:rsid w:val="000121F6"/>
    <w:rsid w:val="000174F6"/>
    <w:rsid w:val="00017722"/>
    <w:rsid w:val="000215EB"/>
    <w:rsid w:val="00026DD6"/>
    <w:rsid w:val="0002749C"/>
    <w:rsid w:val="00031538"/>
    <w:rsid w:val="00033480"/>
    <w:rsid w:val="00034C41"/>
    <w:rsid w:val="000378C2"/>
    <w:rsid w:val="000409FC"/>
    <w:rsid w:val="0004156C"/>
    <w:rsid w:val="000416B9"/>
    <w:rsid w:val="000445A6"/>
    <w:rsid w:val="00044F8E"/>
    <w:rsid w:val="00047C5B"/>
    <w:rsid w:val="00050371"/>
    <w:rsid w:val="000507E2"/>
    <w:rsid w:val="00050ECB"/>
    <w:rsid w:val="00051840"/>
    <w:rsid w:val="0005319F"/>
    <w:rsid w:val="00056684"/>
    <w:rsid w:val="00057968"/>
    <w:rsid w:val="000601D9"/>
    <w:rsid w:val="00061BEB"/>
    <w:rsid w:val="0006305B"/>
    <w:rsid w:val="000636B1"/>
    <w:rsid w:val="0007085B"/>
    <w:rsid w:val="00070B54"/>
    <w:rsid w:val="00070DF8"/>
    <w:rsid w:val="00072129"/>
    <w:rsid w:val="0007385D"/>
    <w:rsid w:val="00075B5B"/>
    <w:rsid w:val="00080D59"/>
    <w:rsid w:val="0008234F"/>
    <w:rsid w:val="000853EA"/>
    <w:rsid w:val="00086A32"/>
    <w:rsid w:val="00087409"/>
    <w:rsid w:val="00087BAB"/>
    <w:rsid w:val="000901A3"/>
    <w:rsid w:val="00093CC7"/>
    <w:rsid w:val="0009473D"/>
    <w:rsid w:val="000948EC"/>
    <w:rsid w:val="00094FE4"/>
    <w:rsid w:val="000961B5"/>
    <w:rsid w:val="000A1317"/>
    <w:rsid w:val="000A18C0"/>
    <w:rsid w:val="000A2DFC"/>
    <w:rsid w:val="000A3EB5"/>
    <w:rsid w:val="000A5F27"/>
    <w:rsid w:val="000B02CD"/>
    <w:rsid w:val="000B1B55"/>
    <w:rsid w:val="000B5CDF"/>
    <w:rsid w:val="000B7DAC"/>
    <w:rsid w:val="000C1848"/>
    <w:rsid w:val="000C29FA"/>
    <w:rsid w:val="000C2E2D"/>
    <w:rsid w:val="000C3FB0"/>
    <w:rsid w:val="000C42C5"/>
    <w:rsid w:val="000C4701"/>
    <w:rsid w:val="000C4EC5"/>
    <w:rsid w:val="000C69AD"/>
    <w:rsid w:val="000D157F"/>
    <w:rsid w:val="000D3B50"/>
    <w:rsid w:val="000D45A4"/>
    <w:rsid w:val="000E1F92"/>
    <w:rsid w:val="000E7012"/>
    <w:rsid w:val="000E7390"/>
    <w:rsid w:val="000F00C2"/>
    <w:rsid w:val="000F0F60"/>
    <w:rsid w:val="000F6DB1"/>
    <w:rsid w:val="000F6E82"/>
    <w:rsid w:val="000F7233"/>
    <w:rsid w:val="0010028F"/>
    <w:rsid w:val="0010039D"/>
    <w:rsid w:val="00102FC0"/>
    <w:rsid w:val="0010696D"/>
    <w:rsid w:val="00113BE6"/>
    <w:rsid w:val="00113FE0"/>
    <w:rsid w:val="00115D70"/>
    <w:rsid w:val="00115F68"/>
    <w:rsid w:val="00116E6A"/>
    <w:rsid w:val="00116FC4"/>
    <w:rsid w:val="001170D3"/>
    <w:rsid w:val="00117548"/>
    <w:rsid w:val="00117F12"/>
    <w:rsid w:val="001237FC"/>
    <w:rsid w:val="0012480E"/>
    <w:rsid w:val="00125314"/>
    <w:rsid w:val="00126B55"/>
    <w:rsid w:val="001279B6"/>
    <w:rsid w:val="00130E4C"/>
    <w:rsid w:val="00131131"/>
    <w:rsid w:val="00131A48"/>
    <w:rsid w:val="00134602"/>
    <w:rsid w:val="001346E5"/>
    <w:rsid w:val="001369B6"/>
    <w:rsid w:val="0014048F"/>
    <w:rsid w:val="00141F64"/>
    <w:rsid w:val="00144026"/>
    <w:rsid w:val="00144EC5"/>
    <w:rsid w:val="00147CE2"/>
    <w:rsid w:val="00152567"/>
    <w:rsid w:val="00152867"/>
    <w:rsid w:val="00152F10"/>
    <w:rsid w:val="00155222"/>
    <w:rsid w:val="00155AA2"/>
    <w:rsid w:val="00156F5C"/>
    <w:rsid w:val="00161939"/>
    <w:rsid w:val="00171724"/>
    <w:rsid w:val="001754AB"/>
    <w:rsid w:val="0017557E"/>
    <w:rsid w:val="00175DE9"/>
    <w:rsid w:val="00183646"/>
    <w:rsid w:val="00184ACA"/>
    <w:rsid w:val="001873CF"/>
    <w:rsid w:val="00190D09"/>
    <w:rsid w:val="00191007"/>
    <w:rsid w:val="00192BC1"/>
    <w:rsid w:val="00195E32"/>
    <w:rsid w:val="001A122F"/>
    <w:rsid w:val="001A33B3"/>
    <w:rsid w:val="001A3784"/>
    <w:rsid w:val="001A4B84"/>
    <w:rsid w:val="001A7628"/>
    <w:rsid w:val="001B0BB4"/>
    <w:rsid w:val="001B2EFE"/>
    <w:rsid w:val="001B57A6"/>
    <w:rsid w:val="001B6116"/>
    <w:rsid w:val="001B6132"/>
    <w:rsid w:val="001B666C"/>
    <w:rsid w:val="001B684C"/>
    <w:rsid w:val="001C23A0"/>
    <w:rsid w:val="001C3804"/>
    <w:rsid w:val="001C4E46"/>
    <w:rsid w:val="001C5892"/>
    <w:rsid w:val="001D195C"/>
    <w:rsid w:val="001D1C54"/>
    <w:rsid w:val="001D24C2"/>
    <w:rsid w:val="001D30BF"/>
    <w:rsid w:val="001E057A"/>
    <w:rsid w:val="001E09D3"/>
    <w:rsid w:val="001E1673"/>
    <w:rsid w:val="001E3229"/>
    <w:rsid w:val="001E362F"/>
    <w:rsid w:val="001E7584"/>
    <w:rsid w:val="001F0B1B"/>
    <w:rsid w:val="001F101E"/>
    <w:rsid w:val="001F1357"/>
    <w:rsid w:val="001F221B"/>
    <w:rsid w:val="001F363E"/>
    <w:rsid w:val="001F3A8D"/>
    <w:rsid w:val="001F42EA"/>
    <w:rsid w:val="001F64AF"/>
    <w:rsid w:val="002004AC"/>
    <w:rsid w:val="002007C4"/>
    <w:rsid w:val="00203B98"/>
    <w:rsid w:val="00205407"/>
    <w:rsid w:val="00205A63"/>
    <w:rsid w:val="002068A7"/>
    <w:rsid w:val="00207B15"/>
    <w:rsid w:val="002126EC"/>
    <w:rsid w:val="0021403B"/>
    <w:rsid w:val="0021442E"/>
    <w:rsid w:val="0021585D"/>
    <w:rsid w:val="00216135"/>
    <w:rsid w:val="0021687B"/>
    <w:rsid w:val="002169BC"/>
    <w:rsid w:val="00217D7A"/>
    <w:rsid w:val="00221E77"/>
    <w:rsid w:val="00222528"/>
    <w:rsid w:val="002228A0"/>
    <w:rsid w:val="00223113"/>
    <w:rsid w:val="002240D2"/>
    <w:rsid w:val="0022538B"/>
    <w:rsid w:val="002262A4"/>
    <w:rsid w:val="00227432"/>
    <w:rsid w:val="00232B05"/>
    <w:rsid w:val="00235CCA"/>
    <w:rsid w:val="002369D6"/>
    <w:rsid w:val="00241E4E"/>
    <w:rsid w:val="00242126"/>
    <w:rsid w:val="0024342E"/>
    <w:rsid w:val="00250338"/>
    <w:rsid w:val="00250802"/>
    <w:rsid w:val="00250E9B"/>
    <w:rsid w:val="00251DC6"/>
    <w:rsid w:val="0025619E"/>
    <w:rsid w:val="00257213"/>
    <w:rsid w:val="002607BD"/>
    <w:rsid w:val="002616BB"/>
    <w:rsid w:val="002619BF"/>
    <w:rsid w:val="00262989"/>
    <w:rsid w:val="002643FE"/>
    <w:rsid w:val="00264630"/>
    <w:rsid w:val="00267000"/>
    <w:rsid w:val="002719F3"/>
    <w:rsid w:val="00271E95"/>
    <w:rsid w:val="00273D95"/>
    <w:rsid w:val="0027411E"/>
    <w:rsid w:val="002744D3"/>
    <w:rsid w:val="00276292"/>
    <w:rsid w:val="002764EE"/>
    <w:rsid w:val="00276930"/>
    <w:rsid w:val="00281DEF"/>
    <w:rsid w:val="00284493"/>
    <w:rsid w:val="002852E1"/>
    <w:rsid w:val="00285590"/>
    <w:rsid w:val="002864DE"/>
    <w:rsid w:val="002902D7"/>
    <w:rsid w:val="002905AF"/>
    <w:rsid w:val="00290B53"/>
    <w:rsid w:val="002926F4"/>
    <w:rsid w:val="00294E79"/>
    <w:rsid w:val="00297B86"/>
    <w:rsid w:val="002A1E8F"/>
    <w:rsid w:val="002A2BE3"/>
    <w:rsid w:val="002A2CDB"/>
    <w:rsid w:val="002A30FE"/>
    <w:rsid w:val="002A39E8"/>
    <w:rsid w:val="002A47B2"/>
    <w:rsid w:val="002A7438"/>
    <w:rsid w:val="002B1EDC"/>
    <w:rsid w:val="002B3764"/>
    <w:rsid w:val="002B38B2"/>
    <w:rsid w:val="002B400B"/>
    <w:rsid w:val="002B6A37"/>
    <w:rsid w:val="002B7D91"/>
    <w:rsid w:val="002C3825"/>
    <w:rsid w:val="002C3837"/>
    <w:rsid w:val="002C414B"/>
    <w:rsid w:val="002C4BD1"/>
    <w:rsid w:val="002C4EAE"/>
    <w:rsid w:val="002C55F0"/>
    <w:rsid w:val="002C6D29"/>
    <w:rsid w:val="002C7670"/>
    <w:rsid w:val="002C7DCC"/>
    <w:rsid w:val="002D31EE"/>
    <w:rsid w:val="002D31F7"/>
    <w:rsid w:val="002D3554"/>
    <w:rsid w:val="002D4315"/>
    <w:rsid w:val="002D61AC"/>
    <w:rsid w:val="002E2EBF"/>
    <w:rsid w:val="002E3C2E"/>
    <w:rsid w:val="002E3D53"/>
    <w:rsid w:val="002E49C3"/>
    <w:rsid w:val="002E5377"/>
    <w:rsid w:val="002E54FB"/>
    <w:rsid w:val="002E5C09"/>
    <w:rsid w:val="002E5FD5"/>
    <w:rsid w:val="002F299C"/>
    <w:rsid w:val="002F4B7F"/>
    <w:rsid w:val="002F54BB"/>
    <w:rsid w:val="002F7917"/>
    <w:rsid w:val="002F7F3D"/>
    <w:rsid w:val="00301699"/>
    <w:rsid w:val="003031F2"/>
    <w:rsid w:val="0030538E"/>
    <w:rsid w:val="003072A9"/>
    <w:rsid w:val="00310FD3"/>
    <w:rsid w:val="003127F8"/>
    <w:rsid w:val="00314CC3"/>
    <w:rsid w:val="00320E9C"/>
    <w:rsid w:val="00322831"/>
    <w:rsid w:val="0032321C"/>
    <w:rsid w:val="00325E46"/>
    <w:rsid w:val="00327BFF"/>
    <w:rsid w:val="00332AF0"/>
    <w:rsid w:val="00333043"/>
    <w:rsid w:val="0034794B"/>
    <w:rsid w:val="00350774"/>
    <w:rsid w:val="00351D8F"/>
    <w:rsid w:val="003560BA"/>
    <w:rsid w:val="00357B47"/>
    <w:rsid w:val="003605C1"/>
    <w:rsid w:val="003617E3"/>
    <w:rsid w:val="003630F9"/>
    <w:rsid w:val="00363B17"/>
    <w:rsid w:val="00363C68"/>
    <w:rsid w:val="00365A17"/>
    <w:rsid w:val="00366DBC"/>
    <w:rsid w:val="003674F9"/>
    <w:rsid w:val="00367C9A"/>
    <w:rsid w:val="00367EC6"/>
    <w:rsid w:val="00367EF9"/>
    <w:rsid w:val="00370F33"/>
    <w:rsid w:val="0037113C"/>
    <w:rsid w:val="003731A6"/>
    <w:rsid w:val="00374CB5"/>
    <w:rsid w:val="00376166"/>
    <w:rsid w:val="003776C6"/>
    <w:rsid w:val="0037778A"/>
    <w:rsid w:val="003778EB"/>
    <w:rsid w:val="00377DAA"/>
    <w:rsid w:val="003806D0"/>
    <w:rsid w:val="003833E2"/>
    <w:rsid w:val="003851BD"/>
    <w:rsid w:val="00390DC9"/>
    <w:rsid w:val="00391030"/>
    <w:rsid w:val="003914A2"/>
    <w:rsid w:val="00393852"/>
    <w:rsid w:val="003973ED"/>
    <w:rsid w:val="003A3BD8"/>
    <w:rsid w:val="003A49D9"/>
    <w:rsid w:val="003A517F"/>
    <w:rsid w:val="003A6557"/>
    <w:rsid w:val="003A68FF"/>
    <w:rsid w:val="003A7436"/>
    <w:rsid w:val="003A752B"/>
    <w:rsid w:val="003A79F4"/>
    <w:rsid w:val="003B5D51"/>
    <w:rsid w:val="003B66E8"/>
    <w:rsid w:val="003C45E6"/>
    <w:rsid w:val="003C73C4"/>
    <w:rsid w:val="003C7F21"/>
    <w:rsid w:val="003C7F31"/>
    <w:rsid w:val="003D111E"/>
    <w:rsid w:val="003D13B9"/>
    <w:rsid w:val="003D393A"/>
    <w:rsid w:val="003D48EF"/>
    <w:rsid w:val="003D56ED"/>
    <w:rsid w:val="003D5F07"/>
    <w:rsid w:val="003D7153"/>
    <w:rsid w:val="003E098D"/>
    <w:rsid w:val="003E10D6"/>
    <w:rsid w:val="003E3B34"/>
    <w:rsid w:val="003E40EC"/>
    <w:rsid w:val="003E43BB"/>
    <w:rsid w:val="003E4C64"/>
    <w:rsid w:val="003E5914"/>
    <w:rsid w:val="003F068A"/>
    <w:rsid w:val="003F2DC2"/>
    <w:rsid w:val="003F3A2D"/>
    <w:rsid w:val="003F4BC2"/>
    <w:rsid w:val="003F4C1A"/>
    <w:rsid w:val="003F5263"/>
    <w:rsid w:val="003F63B1"/>
    <w:rsid w:val="003F6C1B"/>
    <w:rsid w:val="003F7A4D"/>
    <w:rsid w:val="00400436"/>
    <w:rsid w:val="00401E83"/>
    <w:rsid w:val="004025AA"/>
    <w:rsid w:val="0040304D"/>
    <w:rsid w:val="004048AE"/>
    <w:rsid w:val="00405894"/>
    <w:rsid w:val="00406348"/>
    <w:rsid w:val="004068F7"/>
    <w:rsid w:val="00412E71"/>
    <w:rsid w:val="00417569"/>
    <w:rsid w:val="00417A1E"/>
    <w:rsid w:val="00430D95"/>
    <w:rsid w:val="00430E48"/>
    <w:rsid w:val="0043119F"/>
    <w:rsid w:val="00432809"/>
    <w:rsid w:val="004338B2"/>
    <w:rsid w:val="0043426C"/>
    <w:rsid w:val="004348D5"/>
    <w:rsid w:val="00437DEE"/>
    <w:rsid w:val="004403BB"/>
    <w:rsid w:val="00441A24"/>
    <w:rsid w:val="00442195"/>
    <w:rsid w:val="00442413"/>
    <w:rsid w:val="00442752"/>
    <w:rsid w:val="0044281A"/>
    <w:rsid w:val="00446248"/>
    <w:rsid w:val="0045179E"/>
    <w:rsid w:val="00451F82"/>
    <w:rsid w:val="004521F9"/>
    <w:rsid w:val="00454FCF"/>
    <w:rsid w:val="0045683D"/>
    <w:rsid w:val="0046246A"/>
    <w:rsid w:val="00462F3C"/>
    <w:rsid w:val="00465A2E"/>
    <w:rsid w:val="00467A29"/>
    <w:rsid w:val="00467C8F"/>
    <w:rsid w:val="00470D34"/>
    <w:rsid w:val="00470E38"/>
    <w:rsid w:val="00473D12"/>
    <w:rsid w:val="00474424"/>
    <w:rsid w:val="004776BA"/>
    <w:rsid w:val="00480066"/>
    <w:rsid w:val="004802C3"/>
    <w:rsid w:val="0048181C"/>
    <w:rsid w:val="0048676B"/>
    <w:rsid w:val="00487141"/>
    <w:rsid w:val="004908EA"/>
    <w:rsid w:val="00490AFE"/>
    <w:rsid w:val="00491BE5"/>
    <w:rsid w:val="00494FE7"/>
    <w:rsid w:val="004953C6"/>
    <w:rsid w:val="0049672E"/>
    <w:rsid w:val="00496909"/>
    <w:rsid w:val="004A1F60"/>
    <w:rsid w:val="004A22D5"/>
    <w:rsid w:val="004A2EE5"/>
    <w:rsid w:val="004A30A4"/>
    <w:rsid w:val="004A3460"/>
    <w:rsid w:val="004A3A2F"/>
    <w:rsid w:val="004A5F1C"/>
    <w:rsid w:val="004A65C8"/>
    <w:rsid w:val="004A6F12"/>
    <w:rsid w:val="004A7DD2"/>
    <w:rsid w:val="004B036A"/>
    <w:rsid w:val="004B04B2"/>
    <w:rsid w:val="004B2684"/>
    <w:rsid w:val="004B7E6F"/>
    <w:rsid w:val="004C07F4"/>
    <w:rsid w:val="004C097A"/>
    <w:rsid w:val="004C6FAF"/>
    <w:rsid w:val="004C7BE9"/>
    <w:rsid w:val="004C7E9E"/>
    <w:rsid w:val="004D08CD"/>
    <w:rsid w:val="004D2E0E"/>
    <w:rsid w:val="004D3AEC"/>
    <w:rsid w:val="004D4011"/>
    <w:rsid w:val="004D4A6E"/>
    <w:rsid w:val="004D4D4F"/>
    <w:rsid w:val="004E2578"/>
    <w:rsid w:val="004E393F"/>
    <w:rsid w:val="004E60A2"/>
    <w:rsid w:val="004E64DB"/>
    <w:rsid w:val="004E6E44"/>
    <w:rsid w:val="004E7E00"/>
    <w:rsid w:val="004F0329"/>
    <w:rsid w:val="004F2420"/>
    <w:rsid w:val="004F27D7"/>
    <w:rsid w:val="004F2F94"/>
    <w:rsid w:val="004F3469"/>
    <w:rsid w:val="004F6458"/>
    <w:rsid w:val="004F77F6"/>
    <w:rsid w:val="004F7C8C"/>
    <w:rsid w:val="005007EA"/>
    <w:rsid w:val="00501021"/>
    <w:rsid w:val="0050286A"/>
    <w:rsid w:val="00502B81"/>
    <w:rsid w:val="00506097"/>
    <w:rsid w:val="00506C34"/>
    <w:rsid w:val="00507B3B"/>
    <w:rsid w:val="005116B8"/>
    <w:rsid w:val="00511CE6"/>
    <w:rsid w:val="00511E31"/>
    <w:rsid w:val="00513F65"/>
    <w:rsid w:val="00514275"/>
    <w:rsid w:val="00514434"/>
    <w:rsid w:val="00514A92"/>
    <w:rsid w:val="00515ADE"/>
    <w:rsid w:val="00517850"/>
    <w:rsid w:val="0052226A"/>
    <w:rsid w:val="005242C0"/>
    <w:rsid w:val="00524657"/>
    <w:rsid w:val="00527CA9"/>
    <w:rsid w:val="00532B2A"/>
    <w:rsid w:val="005338D9"/>
    <w:rsid w:val="00535FDE"/>
    <w:rsid w:val="00536787"/>
    <w:rsid w:val="005374AF"/>
    <w:rsid w:val="00542B83"/>
    <w:rsid w:val="00543D78"/>
    <w:rsid w:val="00544897"/>
    <w:rsid w:val="00544B94"/>
    <w:rsid w:val="00551654"/>
    <w:rsid w:val="00551AF4"/>
    <w:rsid w:val="00551B1D"/>
    <w:rsid w:val="0055376C"/>
    <w:rsid w:val="005539B3"/>
    <w:rsid w:val="0055714F"/>
    <w:rsid w:val="00557E54"/>
    <w:rsid w:val="005601A7"/>
    <w:rsid w:val="00563E9B"/>
    <w:rsid w:val="005649E1"/>
    <w:rsid w:val="005657AD"/>
    <w:rsid w:val="00566C72"/>
    <w:rsid w:val="00572383"/>
    <w:rsid w:val="00572E74"/>
    <w:rsid w:val="00572F73"/>
    <w:rsid w:val="0057351E"/>
    <w:rsid w:val="005744B9"/>
    <w:rsid w:val="00576573"/>
    <w:rsid w:val="00580069"/>
    <w:rsid w:val="00580711"/>
    <w:rsid w:val="00580CBF"/>
    <w:rsid w:val="005810BE"/>
    <w:rsid w:val="00582B53"/>
    <w:rsid w:val="0058605A"/>
    <w:rsid w:val="00586BE6"/>
    <w:rsid w:val="00591FA7"/>
    <w:rsid w:val="0059574C"/>
    <w:rsid w:val="00596423"/>
    <w:rsid w:val="00597B25"/>
    <w:rsid w:val="005A0521"/>
    <w:rsid w:val="005A05B1"/>
    <w:rsid w:val="005A2313"/>
    <w:rsid w:val="005A49BD"/>
    <w:rsid w:val="005A4B6A"/>
    <w:rsid w:val="005A5595"/>
    <w:rsid w:val="005B0431"/>
    <w:rsid w:val="005B13AC"/>
    <w:rsid w:val="005B21B2"/>
    <w:rsid w:val="005B3342"/>
    <w:rsid w:val="005B58CA"/>
    <w:rsid w:val="005B6EC7"/>
    <w:rsid w:val="005B729D"/>
    <w:rsid w:val="005C1B6D"/>
    <w:rsid w:val="005C2282"/>
    <w:rsid w:val="005C2924"/>
    <w:rsid w:val="005C2C85"/>
    <w:rsid w:val="005C5F5F"/>
    <w:rsid w:val="005C6C46"/>
    <w:rsid w:val="005C7063"/>
    <w:rsid w:val="005C73CC"/>
    <w:rsid w:val="005C75D7"/>
    <w:rsid w:val="005D2180"/>
    <w:rsid w:val="005D6616"/>
    <w:rsid w:val="005E1052"/>
    <w:rsid w:val="005E1757"/>
    <w:rsid w:val="005E3073"/>
    <w:rsid w:val="005E380D"/>
    <w:rsid w:val="005E3E65"/>
    <w:rsid w:val="005E6293"/>
    <w:rsid w:val="005E64D0"/>
    <w:rsid w:val="005E6B5B"/>
    <w:rsid w:val="005E6FB1"/>
    <w:rsid w:val="005E78CA"/>
    <w:rsid w:val="005F03A9"/>
    <w:rsid w:val="005F08B9"/>
    <w:rsid w:val="005F4888"/>
    <w:rsid w:val="005F4CFC"/>
    <w:rsid w:val="005F513E"/>
    <w:rsid w:val="005F7688"/>
    <w:rsid w:val="005F7F66"/>
    <w:rsid w:val="00600134"/>
    <w:rsid w:val="0060086C"/>
    <w:rsid w:val="00601F1B"/>
    <w:rsid w:val="006032CB"/>
    <w:rsid w:val="006038D4"/>
    <w:rsid w:val="00604159"/>
    <w:rsid w:val="00607B20"/>
    <w:rsid w:val="00613DCB"/>
    <w:rsid w:val="00614F66"/>
    <w:rsid w:val="00616B32"/>
    <w:rsid w:val="00616F1D"/>
    <w:rsid w:val="0062023D"/>
    <w:rsid w:val="006202A2"/>
    <w:rsid w:val="00622C9F"/>
    <w:rsid w:val="00623C73"/>
    <w:rsid w:val="00626A3F"/>
    <w:rsid w:val="00630DC3"/>
    <w:rsid w:val="00631FCF"/>
    <w:rsid w:val="00632C12"/>
    <w:rsid w:val="00633A8B"/>
    <w:rsid w:val="00634885"/>
    <w:rsid w:val="006362EC"/>
    <w:rsid w:val="00640E97"/>
    <w:rsid w:val="00641EBA"/>
    <w:rsid w:val="00641FFD"/>
    <w:rsid w:val="00642BF6"/>
    <w:rsid w:val="00643FED"/>
    <w:rsid w:val="006450A7"/>
    <w:rsid w:val="006525E7"/>
    <w:rsid w:val="0065663D"/>
    <w:rsid w:val="00661096"/>
    <w:rsid w:val="00662662"/>
    <w:rsid w:val="00662A14"/>
    <w:rsid w:val="00663B22"/>
    <w:rsid w:val="00664AD8"/>
    <w:rsid w:val="0066564A"/>
    <w:rsid w:val="006666CB"/>
    <w:rsid w:val="00666C39"/>
    <w:rsid w:val="00667A98"/>
    <w:rsid w:val="006776C3"/>
    <w:rsid w:val="006818A3"/>
    <w:rsid w:val="006831E3"/>
    <w:rsid w:val="00683E70"/>
    <w:rsid w:val="00684022"/>
    <w:rsid w:val="00687A0B"/>
    <w:rsid w:val="00690119"/>
    <w:rsid w:val="00691172"/>
    <w:rsid w:val="0069122C"/>
    <w:rsid w:val="006915E9"/>
    <w:rsid w:val="00691920"/>
    <w:rsid w:val="006929ED"/>
    <w:rsid w:val="00692B79"/>
    <w:rsid w:val="00692D20"/>
    <w:rsid w:val="00692DB3"/>
    <w:rsid w:val="00694535"/>
    <w:rsid w:val="00696B4B"/>
    <w:rsid w:val="00697140"/>
    <w:rsid w:val="006A185E"/>
    <w:rsid w:val="006A3381"/>
    <w:rsid w:val="006A571E"/>
    <w:rsid w:val="006A5DB5"/>
    <w:rsid w:val="006A6664"/>
    <w:rsid w:val="006A672F"/>
    <w:rsid w:val="006A69EE"/>
    <w:rsid w:val="006A74F3"/>
    <w:rsid w:val="006A7707"/>
    <w:rsid w:val="006B4DA8"/>
    <w:rsid w:val="006C02BC"/>
    <w:rsid w:val="006C0E0B"/>
    <w:rsid w:val="006C1F64"/>
    <w:rsid w:val="006C3A7A"/>
    <w:rsid w:val="006C460A"/>
    <w:rsid w:val="006C7826"/>
    <w:rsid w:val="006D127E"/>
    <w:rsid w:val="006E1F91"/>
    <w:rsid w:val="006E3111"/>
    <w:rsid w:val="006E613A"/>
    <w:rsid w:val="006E7547"/>
    <w:rsid w:val="006F07ED"/>
    <w:rsid w:val="006F1810"/>
    <w:rsid w:val="006F589F"/>
    <w:rsid w:val="006F7499"/>
    <w:rsid w:val="007004AD"/>
    <w:rsid w:val="00701D71"/>
    <w:rsid w:val="00703700"/>
    <w:rsid w:val="00706DFF"/>
    <w:rsid w:val="007078EB"/>
    <w:rsid w:val="007108EA"/>
    <w:rsid w:val="00712681"/>
    <w:rsid w:val="00713811"/>
    <w:rsid w:val="00714058"/>
    <w:rsid w:val="00715950"/>
    <w:rsid w:val="00715FDD"/>
    <w:rsid w:val="00716006"/>
    <w:rsid w:val="00716323"/>
    <w:rsid w:val="00716AC6"/>
    <w:rsid w:val="007174DB"/>
    <w:rsid w:val="0072122E"/>
    <w:rsid w:val="00721CAC"/>
    <w:rsid w:val="00723063"/>
    <w:rsid w:val="007231B5"/>
    <w:rsid w:val="0072347F"/>
    <w:rsid w:val="00726D24"/>
    <w:rsid w:val="00730B77"/>
    <w:rsid w:val="00731559"/>
    <w:rsid w:val="0073175F"/>
    <w:rsid w:val="00732DA3"/>
    <w:rsid w:val="00734E18"/>
    <w:rsid w:val="00737E68"/>
    <w:rsid w:val="007408F5"/>
    <w:rsid w:val="007421D5"/>
    <w:rsid w:val="00742E81"/>
    <w:rsid w:val="0074362E"/>
    <w:rsid w:val="00745E89"/>
    <w:rsid w:val="00750C11"/>
    <w:rsid w:val="00751F3F"/>
    <w:rsid w:val="00751F4F"/>
    <w:rsid w:val="00753723"/>
    <w:rsid w:val="007540DB"/>
    <w:rsid w:val="00756987"/>
    <w:rsid w:val="00757D25"/>
    <w:rsid w:val="00757D54"/>
    <w:rsid w:val="007605A3"/>
    <w:rsid w:val="00761F4D"/>
    <w:rsid w:val="00764524"/>
    <w:rsid w:val="007645C4"/>
    <w:rsid w:val="00764723"/>
    <w:rsid w:val="007661D0"/>
    <w:rsid w:val="00766C65"/>
    <w:rsid w:val="0077147C"/>
    <w:rsid w:val="007734BE"/>
    <w:rsid w:val="0077368D"/>
    <w:rsid w:val="007746CD"/>
    <w:rsid w:val="00775665"/>
    <w:rsid w:val="00777537"/>
    <w:rsid w:val="00781615"/>
    <w:rsid w:val="00781626"/>
    <w:rsid w:val="0078165B"/>
    <w:rsid w:val="00784218"/>
    <w:rsid w:val="00785997"/>
    <w:rsid w:val="007873C1"/>
    <w:rsid w:val="007907B7"/>
    <w:rsid w:val="007939FD"/>
    <w:rsid w:val="007965AC"/>
    <w:rsid w:val="007A0E1C"/>
    <w:rsid w:val="007A1709"/>
    <w:rsid w:val="007A1A77"/>
    <w:rsid w:val="007A1D0E"/>
    <w:rsid w:val="007A2041"/>
    <w:rsid w:val="007A40C9"/>
    <w:rsid w:val="007A472D"/>
    <w:rsid w:val="007A4C81"/>
    <w:rsid w:val="007A5987"/>
    <w:rsid w:val="007A60D4"/>
    <w:rsid w:val="007A6EAC"/>
    <w:rsid w:val="007A729D"/>
    <w:rsid w:val="007A73F4"/>
    <w:rsid w:val="007B021F"/>
    <w:rsid w:val="007B0478"/>
    <w:rsid w:val="007B0C97"/>
    <w:rsid w:val="007B0CF0"/>
    <w:rsid w:val="007B24E0"/>
    <w:rsid w:val="007B351C"/>
    <w:rsid w:val="007B4886"/>
    <w:rsid w:val="007B6C06"/>
    <w:rsid w:val="007C1D4D"/>
    <w:rsid w:val="007C46B6"/>
    <w:rsid w:val="007C53A1"/>
    <w:rsid w:val="007C6A7E"/>
    <w:rsid w:val="007C7765"/>
    <w:rsid w:val="007C79D8"/>
    <w:rsid w:val="007C7B7A"/>
    <w:rsid w:val="007D1B61"/>
    <w:rsid w:val="007D2800"/>
    <w:rsid w:val="007D2B2B"/>
    <w:rsid w:val="007D51ED"/>
    <w:rsid w:val="007D536F"/>
    <w:rsid w:val="007D6D63"/>
    <w:rsid w:val="007E5F44"/>
    <w:rsid w:val="007F1283"/>
    <w:rsid w:val="007F1AFF"/>
    <w:rsid w:val="007F3C82"/>
    <w:rsid w:val="007F41C5"/>
    <w:rsid w:val="007F760C"/>
    <w:rsid w:val="00800490"/>
    <w:rsid w:val="008004BC"/>
    <w:rsid w:val="0080335F"/>
    <w:rsid w:val="008045AF"/>
    <w:rsid w:val="00810B49"/>
    <w:rsid w:val="00813255"/>
    <w:rsid w:val="008142FB"/>
    <w:rsid w:val="00814D26"/>
    <w:rsid w:val="008163C2"/>
    <w:rsid w:val="008169A5"/>
    <w:rsid w:val="0082015D"/>
    <w:rsid w:val="00823FCE"/>
    <w:rsid w:val="008253BF"/>
    <w:rsid w:val="0082694A"/>
    <w:rsid w:val="00827624"/>
    <w:rsid w:val="00827CE1"/>
    <w:rsid w:val="00831097"/>
    <w:rsid w:val="00831C84"/>
    <w:rsid w:val="0083451A"/>
    <w:rsid w:val="00835692"/>
    <w:rsid w:val="00835775"/>
    <w:rsid w:val="00840F09"/>
    <w:rsid w:val="00841362"/>
    <w:rsid w:val="00841BAD"/>
    <w:rsid w:val="0084205F"/>
    <w:rsid w:val="0084225C"/>
    <w:rsid w:val="00843232"/>
    <w:rsid w:val="00843899"/>
    <w:rsid w:val="00844CC8"/>
    <w:rsid w:val="008460B1"/>
    <w:rsid w:val="00846771"/>
    <w:rsid w:val="00854B7A"/>
    <w:rsid w:val="00855B0A"/>
    <w:rsid w:val="008564CA"/>
    <w:rsid w:val="0085663E"/>
    <w:rsid w:val="00856D00"/>
    <w:rsid w:val="00857448"/>
    <w:rsid w:val="00857CAB"/>
    <w:rsid w:val="00857D8D"/>
    <w:rsid w:val="00862FF7"/>
    <w:rsid w:val="008640F6"/>
    <w:rsid w:val="00872133"/>
    <w:rsid w:val="00873CE6"/>
    <w:rsid w:val="008745BC"/>
    <w:rsid w:val="00875A16"/>
    <w:rsid w:val="008762FD"/>
    <w:rsid w:val="00877F31"/>
    <w:rsid w:val="00880F50"/>
    <w:rsid w:val="00883E3B"/>
    <w:rsid w:val="0088479D"/>
    <w:rsid w:val="00884F7A"/>
    <w:rsid w:val="008958AE"/>
    <w:rsid w:val="008961EA"/>
    <w:rsid w:val="008A481A"/>
    <w:rsid w:val="008A61F3"/>
    <w:rsid w:val="008A716F"/>
    <w:rsid w:val="008B0A7D"/>
    <w:rsid w:val="008B1AC7"/>
    <w:rsid w:val="008B4049"/>
    <w:rsid w:val="008B62C2"/>
    <w:rsid w:val="008C19F7"/>
    <w:rsid w:val="008C3BDB"/>
    <w:rsid w:val="008D0FC5"/>
    <w:rsid w:val="008D1A4F"/>
    <w:rsid w:val="008D3A11"/>
    <w:rsid w:val="008D6C53"/>
    <w:rsid w:val="008E2C29"/>
    <w:rsid w:val="008E4904"/>
    <w:rsid w:val="008E4BD5"/>
    <w:rsid w:val="008E5973"/>
    <w:rsid w:val="008E691D"/>
    <w:rsid w:val="008F29DD"/>
    <w:rsid w:val="008F5580"/>
    <w:rsid w:val="008F5C60"/>
    <w:rsid w:val="008F6458"/>
    <w:rsid w:val="008F6C27"/>
    <w:rsid w:val="00900CFB"/>
    <w:rsid w:val="00900FF2"/>
    <w:rsid w:val="00902E70"/>
    <w:rsid w:val="0090388B"/>
    <w:rsid w:val="0090404C"/>
    <w:rsid w:val="0090613C"/>
    <w:rsid w:val="00911320"/>
    <w:rsid w:val="0091182A"/>
    <w:rsid w:val="00912514"/>
    <w:rsid w:val="00913BCC"/>
    <w:rsid w:val="00914C83"/>
    <w:rsid w:val="00916C46"/>
    <w:rsid w:val="00920423"/>
    <w:rsid w:val="009219A3"/>
    <w:rsid w:val="00925721"/>
    <w:rsid w:val="00926599"/>
    <w:rsid w:val="00926934"/>
    <w:rsid w:val="009309DA"/>
    <w:rsid w:val="00930ED6"/>
    <w:rsid w:val="00931F06"/>
    <w:rsid w:val="00933EC2"/>
    <w:rsid w:val="0093479E"/>
    <w:rsid w:val="0094257F"/>
    <w:rsid w:val="00943A82"/>
    <w:rsid w:val="00946A27"/>
    <w:rsid w:val="00946EDC"/>
    <w:rsid w:val="009522CD"/>
    <w:rsid w:val="00952C69"/>
    <w:rsid w:val="00954CC9"/>
    <w:rsid w:val="00955645"/>
    <w:rsid w:val="00956077"/>
    <w:rsid w:val="009565FB"/>
    <w:rsid w:val="00963E21"/>
    <w:rsid w:val="00964D03"/>
    <w:rsid w:val="00966A1F"/>
    <w:rsid w:val="009670C6"/>
    <w:rsid w:val="009725D5"/>
    <w:rsid w:val="009758F8"/>
    <w:rsid w:val="00976DFC"/>
    <w:rsid w:val="00977EF7"/>
    <w:rsid w:val="00981C55"/>
    <w:rsid w:val="00982031"/>
    <w:rsid w:val="0098436F"/>
    <w:rsid w:val="0099060E"/>
    <w:rsid w:val="009921A0"/>
    <w:rsid w:val="009953A4"/>
    <w:rsid w:val="009A2FD0"/>
    <w:rsid w:val="009A34F0"/>
    <w:rsid w:val="009A74DC"/>
    <w:rsid w:val="009A7B3C"/>
    <w:rsid w:val="009B0276"/>
    <w:rsid w:val="009B25E7"/>
    <w:rsid w:val="009B3DA4"/>
    <w:rsid w:val="009B43B3"/>
    <w:rsid w:val="009B5618"/>
    <w:rsid w:val="009B576C"/>
    <w:rsid w:val="009B577F"/>
    <w:rsid w:val="009B6014"/>
    <w:rsid w:val="009B664E"/>
    <w:rsid w:val="009B792C"/>
    <w:rsid w:val="009C5EF0"/>
    <w:rsid w:val="009C64F4"/>
    <w:rsid w:val="009C7B0B"/>
    <w:rsid w:val="009D2667"/>
    <w:rsid w:val="009D29C9"/>
    <w:rsid w:val="009D477B"/>
    <w:rsid w:val="009D7046"/>
    <w:rsid w:val="009D7552"/>
    <w:rsid w:val="009E06E2"/>
    <w:rsid w:val="009E1E14"/>
    <w:rsid w:val="009E3922"/>
    <w:rsid w:val="009E4D88"/>
    <w:rsid w:val="009E5270"/>
    <w:rsid w:val="009E5C19"/>
    <w:rsid w:val="009E6DCA"/>
    <w:rsid w:val="009F04C6"/>
    <w:rsid w:val="009F3A52"/>
    <w:rsid w:val="009F4B59"/>
    <w:rsid w:val="00A009EA"/>
    <w:rsid w:val="00A00E27"/>
    <w:rsid w:val="00A0130C"/>
    <w:rsid w:val="00A03CC8"/>
    <w:rsid w:val="00A0504B"/>
    <w:rsid w:val="00A07786"/>
    <w:rsid w:val="00A1002B"/>
    <w:rsid w:val="00A11E1B"/>
    <w:rsid w:val="00A12F7C"/>
    <w:rsid w:val="00A1346F"/>
    <w:rsid w:val="00A167A7"/>
    <w:rsid w:val="00A2155C"/>
    <w:rsid w:val="00A22198"/>
    <w:rsid w:val="00A23A29"/>
    <w:rsid w:val="00A23F6D"/>
    <w:rsid w:val="00A24FA1"/>
    <w:rsid w:val="00A25D83"/>
    <w:rsid w:val="00A30CA8"/>
    <w:rsid w:val="00A33886"/>
    <w:rsid w:val="00A340C8"/>
    <w:rsid w:val="00A3488C"/>
    <w:rsid w:val="00A35D0A"/>
    <w:rsid w:val="00A37194"/>
    <w:rsid w:val="00A375B2"/>
    <w:rsid w:val="00A4220D"/>
    <w:rsid w:val="00A427B5"/>
    <w:rsid w:val="00A4546A"/>
    <w:rsid w:val="00A4664C"/>
    <w:rsid w:val="00A479CF"/>
    <w:rsid w:val="00A50037"/>
    <w:rsid w:val="00A51221"/>
    <w:rsid w:val="00A52682"/>
    <w:rsid w:val="00A552B8"/>
    <w:rsid w:val="00A56110"/>
    <w:rsid w:val="00A56A8B"/>
    <w:rsid w:val="00A56F7B"/>
    <w:rsid w:val="00A572DC"/>
    <w:rsid w:val="00A603D2"/>
    <w:rsid w:val="00A60678"/>
    <w:rsid w:val="00A60B60"/>
    <w:rsid w:val="00A61C78"/>
    <w:rsid w:val="00A636A0"/>
    <w:rsid w:val="00A66902"/>
    <w:rsid w:val="00A66F39"/>
    <w:rsid w:val="00A67373"/>
    <w:rsid w:val="00A76BBB"/>
    <w:rsid w:val="00A77291"/>
    <w:rsid w:val="00A81C48"/>
    <w:rsid w:val="00A8297F"/>
    <w:rsid w:val="00A85114"/>
    <w:rsid w:val="00A85823"/>
    <w:rsid w:val="00A85A5A"/>
    <w:rsid w:val="00A867CE"/>
    <w:rsid w:val="00A8689F"/>
    <w:rsid w:val="00A87B82"/>
    <w:rsid w:val="00A87FB9"/>
    <w:rsid w:val="00A9055C"/>
    <w:rsid w:val="00A93C14"/>
    <w:rsid w:val="00A940AF"/>
    <w:rsid w:val="00A94109"/>
    <w:rsid w:val="00A941F7"/>
    <w:rsid w:val="00A94D8A"/>
    <w:rsid w:val="00A9684D"/>
    <w:rsid w:val="00A96F4B"/>
    <w:rsid w:val="00AA2C2A"/>
    <w:rsid w:val="00AA2EAD"/>
    <w:rsid w:val="00AA44AB"/>
    <w:rsid w:val="00AA5460"/>
    <w:rsid w:val="00AA61E3"/>
    <w:rsid w:val="00AA63A0"/>
    <w:rsid w:val="00AA67AA"/>
    <w:rsid w:val="00AB0115"/>
    <w:rsid w:val="00AB2920"/>
    <w:rsid w:val="00AB361B"/>
    <w:rsid w:val="00AB65B4"/>
    <w:rsid w:val="00AB73D2"/>
    <w:rsid w:val="00AC0907"/>
    <w:rsid w:val="00AC2E6C"/>
    <w:rsid w:val="00AC359A"/>
    <w:rsid w:val="00AC3BF7"/>
    <w:rsid w:val="00AC3E72"/>
    <w:rsid w:val="00AD1362"/>
    <w:rsid w:val="00AD1A75"/>
    <w:rsid w:val="00AD3C1F"/>
    <w:rsid w:val="00AD4276"/>
    <w:rsid w:val="00AE0D91"/>
    <w:rsid w:val="00AE107F"/>
    <w:rsid w:val="00AE1D30"/>
    <w:rsid w:val="00AE22C5"/>
    <w:rsid w:val="00AE3030"/>
    <w:rsid w:val="00AF013D"/>
    <w:rsid w:val="00AF110A"/>
    <w:rsid w:val="00AF1297"/>
    <w:rsid w:val="00AF18FC"/>
    <w:rsid w:val="00AF39EF"/>
    <w:rsid w:val="00AF4CF2"/>
    <w:rsid w:val="00AF7D8F"/>
    <w:rsid w:val="00B0077C"/>
    <w:rsid w:val="00B018FB"/>
    <w:rsid w:val="00B01C60"/>
    <w:rsid w:val="00B0275A"/>
    <w:rsid w:val="00B02E35"/>
    <w:rsid w:val="00B05235"/>
    <w:rsid w:val="00B10C28"/>
    <w:rsid w:val="00B11B78"/>
    <w:rsid w:val="00B11CE3"/>
    <w:rsid w:val="00B14A50"/>
    <w:rsid w:val="00B16178"/>
    <w:rsid w:val="00B17272"/>
    <w:rsid w:val="00B20E51"/>
    <w:rsid w:val="00B22362"/>
    <w:rsid w:val="00B232C7"/>
    <w:rsid w:val="00B23618"/>
    <w:rsid w:val="00B23B4C"/>
    <w:rsid w:val="00B23C1D"/>
    <w:rsid w:val="00B26B69"/>
    <w:rsid w:val="00B31540"/>
    <w:rsid w:val="00B318DA"/>
    <w:rsid w:val="00B3197A"/>
    <w:rsid w:val="00B363D9"/>
    <w:rsid w:val="00B372B9"/>
    <w:rsid w:val="00B37833"/>
    <w:rsid w:val="00B4022B"/>
    <w:rsid w:val="00B40B12"/>
    <w:rsid w:val="00B428D8"/>
    <w:rsid w:val="00B439B7"/>
    <w:rsid w:val="00B43BB5"/>
    <w:rsid w:val="00B43C4F"/>
    <w:rsid w:val="00B44770"/>
    <w:rsid w:val="00B46B4E"/>
    <w:rsid w:val="00B519C7"/>
    <w:rsid w:val="00B51C81"/>
    <w:rsid w:val="00B53298"/>
    <w:rsid w:val="00B5341B"/>
    <w:rsid w:val="00B53636"/>
    <w:rsid w:val="00B56521"/>
    <w:rsid w:val="00B62393"/>
    <w:rsid w:val="00B62CE2"/>
    <w:rsid w:val="00B63241"/>
    <w:rsid w:val="00B6354D"/>
    <w:rsid w:val="00B650F1"/>
    <w:rsid w:val="00B67FDC"/>
    <w:rsid w:val="00B70918"/>
    <w:rsid w:val="00B71309"/>
    <w:rsid w:val="00B71A7D"/>
    <w:rsid w:val="00B7320B"/>
    <w:rsid w:val="00B74E05"/>
    <w:rsid w:val="00B75F49"/>
    <w:rsid w:val="00B761E3"/>
    <w:rsid w:val="00B803AC"/>
    <w:rsid w:val="00B829C2"/>
    <w:rsid w:val="00B82A2B"/>
    <w:rsid w:val="00B832DD"/>
    <w:rsid w:val="00B83308"/>
    <w:rsid w:val="00B84AA1"/>
    <w:rsid w:val="00B85EFA"/>
    <w:rsid w:val="00B86E2A"/>
    <w:rsid w:val="00B93877"/>
    <w:rsid w:val="00B964FF"/>
    <w:rsid w:val="00B96FEB"/>
    <w:rsid w:val="00BA134A"/>
    <w:rsid w:val="00BA24C7"/>
    <w:rsid w:val="00BA2E95"/>
    <w:rsid w:val="00BA3C5F"/>
    <w:rsid w:val="00BA5CCC"/>
    <w:rsid w:val="00BA6929"/>
    <w:rsid w:val="00BA6D79"/>
    <w:rsid w:val="00BB0128"/>
    <w:rsid w:val="00BB0CFB"/>
    <w:rsid w:val="00BB183A"/>
    <w:rsid w:val="00BB2744"/>
    <w:rsid w:val="00BB3984"/>
    <w:rsid w:val="00BB3D66"/>
    <w:rsid w:val="00BB4EEC"/>
    <w:rsid w:val="00BB5FF0"/>
    <w:rsid w:val="00BB78DD"/>
    <w:rsid w:val="00BB7C35"/>
    <w:rsid w:val="00BC016C"/>
    <w:rsid w:val="00BC0D7F"/>
    <w:rsid w:val="00BC180F"/>
    <w:rsid w:val="00BC1D2C"/>
    <w:rsid w:val="00BC2231"/>
    <w:rsid w:val="00BC23A3"/>
    <w:rsid w:val="00BC3115"/>
    <w:rsid w:val="00BC4A89"/>
    <w:rsid w:val="00BC4FD8"/>
    <w:rsid w:val="00BC643A"/>
    <w:rsid w:val="00BC64FF"/>
    <w:rsid w:val="00BC6580"/>
    <w:rsid w:val="00BC674E"/>
    <w:rsid w:val="00BC6AF3"/>
    <w:rsid w:val="00BC6F9B"/>
    <w:rsid w:val="00BD068B"/>
    <w:rsid w:val="00BD1337"/>
    <w:rsid w:val="00BD25F7"/>
    <w:rsid w:val="00BF18CF"/>
    <w:rsid w:val="00BF2563"/>
    <w:rsid w:val="00BF32D5"/>
    <w:rsid w:val="00BF38EE"/>
    <w:rsid w:val="00BF52B9"/>
    <w:rsid w:val="00BF5493"/>
    <w:rsid w:val="00BF7867"/>
    <w:rsid w:val="00BF7AD5"/>
    <w:rsid w:val="00C01DA6"/>
    <w:rsid w:val="00C03D08"/>
    <w:rsid w:val="00C05282"/>
    <w:rsid w:val="00C10291"/>
    <w:rsid w:val="00C13A6A"/>
    <w:rsid w:val="00C14279"/>
    <w:rsid w:val="00C15F52"/>
    <w:rsid w:val="00C168BD"/>
    <w:rsid w:val="00C17761"/>
    <w:rsid w:val="00C202D9"/>
    <w:rsid w:val="00C21B43"/>
    <w:rsid w:val="00C21E00"/>
    <w:rsid w:val="00C2227F"/>
    <w:rsid w:val="00C23233"/>
    <w:rsid w:val="00C23727"/>
    <w:rsid w:val="00C23883"/>
    <w:rsid w:val="00C2481D"/>
    <w:rsid w:val="00C25EDE"/>
    <w:rsid w:val="00C26EBD"/>
    <w:rsid w:val="00C314EE"/>
    <w:rsid w:val="00C329E4"/>
    <w:rsid w:val="00C34C1C"/>
    <w:rsid w:val="00C4108D"/>
    <w:rsid w:val="00C41ED7"/>
    <w:rsid w:val="00C473FE"/>
    <w:rsid w:val="00C51239"/>
    <w:rsid w:val="00C51567"/>
    <w:rsid w:val="00C55528"/>
    <w:rsid w:val="00C55B65"/>
    <w:rsid w:val="00C57607"/>
    <w:rsid w:val="00C6052C"/>
    <w:rsid w:val="00C62059"/>
    <w:rsid w:val="00C622CF"/>
    <w:rsid w:val="00C62C8B"/>
    <w:rsid w:val="00C6549F"/>
    <w:rsid w:val="00C65EAD"/>
    <w:rsid w:val="00C66020"/>
    <w:rsid w:val="00C70909"/>
    <w:rsid w:val="00C72869"/>
    <w:rsid w:val="00C74836"/>
    <w:rsid w:val="00C74DEC"/>
    <w:rsid w:val="00C76CFD"/>
    <w:rsid w:val="00C81E52"/>
    <w:rsid w:val="00C8512D"/>
    <w:rsid w:val="00C87840"/>
    <w:rsid w:val="00C93ECD"/>
    <w:rsid w:val="00C95268"/>
    <w:rsid w:val="00C95C5C"/>
    <w:rsid w:val="00C95D11"/>
    <w:rsid w:val="00C962EA"/>
    <w:rsid w:val="00C96E4C"/>
    <w:rsid w:val="00C97927"/>
    <w:rsid w:val="00CA25F4"/>
    <w:rsid w:val="00CA717E"/>
    <w:rsid w:val="00CA73D5"/>
    <w:rsid w:val="00CA7764"/>
    <w:rsid w:val="00CA7BD7"/>
    <w:rsid w:val="00CA7BDC"/>
    <w:rsid w:val="00CB013A"/>
    <w:rsid w:val="00CB13F7"/>
    <w:rsid w:val="00CB14C3"/>
    <w:rsid w:val="00CB1596"/>
    <w:rsid w:val="00CB1D0A"/>
    <w:rsid w:val="00CB2180"/>
    <w:rsid w:val="00CB3C39"/>
    <w:rsid w:val="00CB682D"/>
    <w:rsid w:val="00CB72AB"/>
    <w:rsid w:val="00CB7DE2"/>
    <w:rsid w:val="00CB7EAD"/>
    <w:rsid w:val="00CC0094"/>
    <w:rsid w:val="00CC22D8"/>
    <w:rsid w:val="00CC2811"/>
    <w:rsid w:val="00CC475B"/>
    <w:rsid w:val="00CC5FA1"/>
    <w:rsid w:val="00CC6C07"/>
    <w:rsid w:val="00CD1508"/>
    <w:rsid w:val="00CD1939"/>
    <w:rsid w:val="00CD406F"/>
    <w:rsid w:val="00CD4FFF"/>
    <w:rsid w:val="00CE0B7A"/>
    <w:rsid w:val="00CE0F24"/>
    <w:rsid w:val="00CE1AC5"/>
    <w:rsid w:val="00CE24C9"/>
    <w:rsid w:val="00CE3E03"/>
    <w:rsid w:val="00CE4236"/>
    <w:rsid w:val="00CE4532"/>
    <w:rsid w:val="00CE4741"/>
    <w:rsid w:val="00CF013F"/>
    <w:rsid w:val="00CF1ACA"/>
    <w:rsid w:val="00CF1C8A"/>
    <w:rsid w:val="00CF22C7"/>
    <w:rsid w:val="00CF3046"/>
    <w:rsid w:val="00CF30E7"/>
    <w:rsid w:val="00CF42ED"/>
    <w:rsid w:val="00CF5272"/>
    <w:rsid w:val="00D003BE"/>
    <w:rsid w:val="00D023F8"/>
    <w:rsid w:val="00D02E26"/>
    <w:rsid w:val="00D04090"/>
    <w:rsid w:val="00D04D1C"/>
    <w:rsid w:val="00D050C5"/>
    <w:rsid w:val="00D068E9"/>
    <w:rsid w:val="00D06E83"/>
    <w:rsid w:val="00D072BC"/>
    <w:rsid w:val="00D107A8"/>
    <w:rsid w:val="00D118DB"/>
    <w:rsid w:val="00D21933"/>
    <w:rsid w:val="00D22A46"/>
    <w:rsid w:val="00D22BD8"/>
    <w:rsid w:val="00D22E89"/>
    <w:rsid w:val="00D2302A"/>
    <w:rsid w:val="00D26CDC"/>
    <w:rsid w:val="00D3148C"/>
    <w:rsid w:val="00D31A43"/>
    <w:rsid w:val="00D36E85"/>
    <w:rsid w:val="00D409B7"/>
    <w:rsid w:val="00D41301"/>
    <w:rsid w:val="00D41701"/>
    <w:rsid w:val="00D42294"/>
    <w:rsid w:val="00D4246C"/>
    <w:rsid w:val="00D4327E"/>
    <w:rsid w:val="00D44522"/>
    <w:rsid w:val="00D46173"/>
    <w:rsid w:val="00D51283"/>
    <w:rsid w:val="00D5161D"/>
    <w:rsid w:val="00D51F15"/>
    <w:rsid w:val="00D539D4"/>
    <w:rsid w:val="00D54D99"/>
    <w:rsid w:val="00D56FFC"/>
    <w:rsid w:val="00D605B5"/>
    <w:rsid w:val="00D624B0"/>
    <w:rsid w:val="00D637DB"/>
    <w:rsid w:val="00D637F4"/>
    <w:rsid w:val="00D67602"/>
    <w:rsid w:val="00D700B8"/>
    <w:rsid w:val="00D71297"/>
    <w:rsid w:val="00D750D3"/>
    <w:rsid w:val="00D7682B"/>
    <w:rsid w:val="00D81947"/>
    <w:rsid w:val="00D8394B"/>
    <w:rsid w:val="00D83E57"/>
    <w:rsid w:val="00D8605D"/>
    <w:rsid w:val="00D87947"/>
    <w:rsid w:val="00D90FB8"/>
    <w:rsid w:val="00D93014"/>
    <w:rsid w:val="00D96A86"/>
    <w:rsid w:val="00D97ACB"/>
    <w:rsid w:val="00D97F2F"/>
    <w:rsid w:val="00DA05C8"/>
    <w:rsid w:val="00DA09AD"/>
    <w:rsid w:val="00DA22A4"/>
    <w:rsid w:val="00DA3177"/>
    <w:rsid w:val="00DA3AFB"/>
    <w:rsid w:val="00DA4AD0"/>
    <w:rsid w:val="00DA588C"/>
    <w:rsid w:val="00DA6336"/>
    <w:rsid w:val="00DB0112"/>
    <w:rsid w:val="00DB0DA1"/>
    <w:rsid w:val="00DB154C"/>
    <w:rsid w:val="00DB25E5"/>
    <w:rsid w:val="00DB283C"/>
    <w:rsid w:val="00DB619A"/>
    <w:rsid w:val="00DC0630"/>
    <w:rsid w:val="00DC1255"/>
    <w:rsid w:val="00DC30DA"/>
    <w:rsid w:val="00DC6043"/>
    <w:rsid w:val="00DC695D"/>
    <w:rsid w:val="00DC7ECD"/>
    <w:rsid w:val="00DD1294"/>
    <w:rsid w:val="00DD1AA9"/>
    <w:rsid w:val="00DD1ED4"/>
    <w:rsid w:val="00DD2406"/>
    <w:rsid w:val="00DD2F65"/>
    <w:rsid w:val="00DD3109"/>
    <w:rsid w:val="00DD431A"/>
    <w:rsid w:val="00DD4A8A"/>
    <w:rsid w:val="00DD585A"/>
    <w:rsid w:val="00DE0491"/>
    <w:rsid w:val="00DE10C4"/>
    <w:rsid w:val="00DE1831"/>
    <w:rsid w:val="00DE1F2E"/>
    <w:rsid w:val="00DE283F"/>
    <w:rsid w:val="00DE443E"/>
    <w:rsid w:val="00DE651F"/>
    <w:rsid w:val="00DE658D"/>
    <w:rsid w:val="00DE7A96"/>
    <w:rsid w:val="00DE7E69"/>
    <w:rsid w:val="00DF078C"/>
    <w:rsid w:val="00DF21E3"/>
    <w:rsid w:val="00DF2318"/>
    <w:rsid w:val="00DF2AB1"/>
    <w:rsid w:val="00DF2CE6"/>
    <w:rsid w:val="00DF3B20"/>
    <w:rsid w:val="00DF4AB4"/>
    <w:rsid w:val="00DF67D6"/>
    <w:rsid w:val="00DF746E"/>
    <w:rsid w:val="00E02C43"/>
    <w:rsid w:val="00E02CF4"/>
    <w:rsid w:val="00E0718C"/>
    <w:rsid w:val="00E10513"/>
    <w:rsid w:val="00E105A3"/>
    <w:rsid w:val="00E14B25"/>
    <w:rsid w:val="00E152D9"/>
    <w:rsid w:val="00E16316"/>
    <w:rsid w:val="00E20A63"/>
    <w:rsid w:val="00E20E28"/>
    <w:rsid w:val="00E219E7"/>
    <w:rsid w:val="00E22DF1"/>
    <w:rsid w:val="00E23E2B"/>
    <w:rsid w:val="00E24766"/>
    <w:rsid w:val="00E24A27"/>
    <w:rsid w:val="00E26520"/>
    <w:rsid w:val="00E26636"/>
    <w:rsid w:val="00E26A6F"/>
    <w:rsid w:val="00E27123"/>
    <w:rsid w:val="00E3010B"/>
    <w:rsid w:val="00E33E94"/>
    <w:rsid w:val="00E35E07"/>
    <w:rsid w:val="00E40998"/>
    <w:rsid w:val="00E40B8C"/>
    <w:rsid w:val="00E40C94"/>
    <w:rsid w:val="00E4366F"/>
    <w:rsid w:val="00E52A21"/>
    <w:rsid w:val="00E556F6"/>
    <w:rsid w:val="00E562C3"/>
    <w:rsid w:val="00E56760"/>
    <w:rsid w:val="00E642AA"/>
    <w:rsid w:val="00E64A17"/>
    <w:rsid w:val="00E6598E"/>
    <w:rsid w:val="00E65C0B"/>
    <w:rsid w:val="00E66DB5"/>
    <w:rsid w:val="00E67F41"/>
    <w:rsid w:val="00E7387A"/>
    <w:rsid w:val="00E738C0"/>
    <w:rsid w:val="00E73F82"/>
    <w:rsid w:val="00E745F4"/>
    <w:rsid w:val="00E74FB6"/>
    <w:rsid w:val="00E76D2D"/>
    <w:rsid w:val="00E77A99"/>
    <w:rsid w:val="00E77F48"/>
    <w:rsid w:val="00E80D61"/>
    <w:rsid w:val="00E829F5"/>
    <w:rsid w:val="00E84418"/>
    <w:rsid w:val="00E87D07"/>
    <w:rsid w:val="00E906E9"/>
    <w:rsid w:val="00E92BD1"/>
    <w:rsid w:val="00E96EA8"/>
    <w:rsid w:val="00E97119"/>
    <w:rsid w:val="00EA061F"/>
    <w:rsid w:val="00EA1BDC"/>
    <w:rsid w:val="00EA2798"/>
    <w:rsid w:val="00EA3FC9"/>
    <w:rsid w:val="00EA6366"/>
    <w:rsid w:val="00EB13C3"/>
    <w:rsid w:val="00EB33DB"/>
    <w:rsid w:val="00EB61F5"/>
    <w:rsid w:val="00EB674E"/>
    <w:rsid w:val="00EB6C9D"/>
    <w:rsid w:val="00EC0B36"/>
    <w:rsid w:val="00EC111B"/>
    <w:rsid w:val="00EC1611"/>
    <w:rsid w:val="00EC17B8"/>
    <w:rsid w:val="00EC35A7"/>
    <w:rsid w:val="00EC57A1"/>
    <w:rsid w:val="00ED0054"/>
    <w:rsid w:val="00ED44AC"/>
    <w:rsid w:val="00ED4F4A"/>
    <w:rsid w:val="00ED63B2"/>
    <w:rsid w:val="00ED66E0"/>
    <w:rsid w:val="00ED68DB"/>
    <w:rsid w:val="00ED6A2B"/>
    <w:rsid w:val="00EE236D"/>
    <w:rsid w:val="00EE3992"/>
    <w:rsid w:val="00EF0CDC"/>
    <w:rsid w:val="00EF2184"/>
    <w:rsid w:val="00EF2ED3"/>
    <w:rsid w:val="00EF3DE0"/>
    <w:rsid w:val="00EF43D0"/>
    <w:rsid w:val="00EF5147"/>
    <w:rsid w:val="00EF5C73"/>
    <w:rsid w:val="00EF671D"/>
    <w:rsid w:val="00F0238F"/>
    <w:rsid w:val="00F030A6"/>
    <w:rsid w:val="00F0477B"/>
    <w:rsid w:val="00F057EC"/>
    <w:rsid w:val="00F05E71"/>
    <w:rsid w:val="00F116A4"/>
    <w:rsid w:val="00F15FFD"/>
    <w:rsid w:val="00F1708F"/>
    <w:rsid w:val="00F17551"/>
    <w:rsid w:val="00F2007E"/>
    <w:rsid w:val="00F219CF"/>
    <w:rsid w:val="00F244CE"/>
    <w:rsid w:val="00F25370"/>
    <w:rsid w:val="00F26B10"/>
    <w:rsid w:val="00F32A00"/>
    <w:rsid w:val="00F33A94"/>
    <w:rsid w:val="00F34F12"/>
    <w:rsid w:val="00F408CB"/>
    <w:rsid w:val="00F444C5"/>
    <w:rsid w:val="00F45D2E"/>
    <w:rsid w:val="00F4765B"/>
    <w:rsid w:val="00F546B0"/>
    <w:rsid w:val="00F56B4C"/>
    <w:rsid w:val="00F56BE5"/>
    <w:rsid w:val="00F573A3"/>
    <w:rsid w:val="00F60518"/>
    <w:rsid w:val="00F6279C"/>
    <w:rsid w:val="00F62AFA"/>
    <w:rsid w:val="00F62D92"/>
    <w:rsid w:val="00F65B53"/>
    <w:rsid w:val="00F66EB8"/>
    <w:rsid w:val="00F72FCA"/>
    <w:rsid w:val="00F75142"/>
    <w:rsid w:val="00F77943"/>
    <w:rsid w:val="00F821E6"/>
    <w:rsid w:val="00F82A31"/>
    <w:rsid w:val="00F838CA"/>
    <w:rsid w:val="00F860F6"/>
    <w:rsid w:val="00F90326"/>
    <w:rsid w:val="00F90601"/>
    <w:rsid w:val="00F90A86"/>
    <w:rsid w:val="00F918CB"/>
    <w:rsid w:val="00F91C0C"/>
    <w:rsid w:val="00F936A0"/>
    <w:rsid w:val="00F93914"/>
    <w:rsid w:val="00F9741D"/>
    <w:rsid w:val="00F978AA"/>
    <w:rsid w:val="00FA17E6"/>
    <w:rsid w:val="00FA4052"/>
    <w:rsid w:val="00FB05E2"/>
    <w:rsid w:val="00FB06A1"/>
    <w:rsid w:val="00FB28FB"/>
    <w:rsid w:val="00FB4CE3"/>
    <w:rsid w:val="00FB4E79"/>
    <w:rsid w:val="00FB64EA"/>
    <w:rsid w:val="00FB7D21"/>
    <w:rsid w:val="00FC27C1"/>
    <w:rsid w:val="00FC4B75"/>
    <w:rsid w:val="00FC681C"/>
    <w:rsid w:val="00FD0E24"/>
    <w:rsid w:val="00FD24E0"/>
    <w:rsid w:val="00FD35BB"/>
    <w:rsid w:val="00FD6A1F"/>
    <w:rsid w:val="00FE04B5"/>
    <w:rsid w:val="00FE193C"/>
    <w:rsid w:val="00FE26D7"/>
    <w:rsid w:val="00FE29A1"/>
    <w:rsid w:val="00FF01F2"/>
    <w:rsid w:val="00FF056C"/>
    <w:rsid w:val="00FF17D8"/>
    <w:rsid w:val="00FF3E32"/>
    <w:rsid w:val="00FF4F1A"/>
    <w:rsid w:val="00FF7630"/>
    <w:rsid w:val="00FF79B8"/>
    <w:rsid w:val="02CD33F7"/>
    <w:rsid w:val="0A7C2746"/>
    <w:rsid w:val="0AE277BF"/>
    <w:rsid w:val="0E6A4C34"/>
    <w:rsid w:val="12DD2576"/>
    <w:rsid w:val="27186567"/>
    <w:rsid w:val="2C4D75A1"/>
    <w:rsid w:val="301F1542"/>
    <w:rsid w:val="31D84D61"/>
    <w:rsid w:val="35AA111A"/>
    <w:rsid w:val="3703192C"/>
    <w:rsid w:val="3CE9788D"/>
    <w:rsid w:val="465B42AE"/>
    <w:rsid w:val="4E40420A"/>
    <w:rsid w:val="514D4100"/>
    <w:rsid w:val="601A731A"/>
    <w:rsid w:val="663D7AC6"/>
    <w:rsid w:val="707D3EDD"/>
    <w:rsid w:val="796F7AD7"/>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15:docId w15:val="{6CE73A92-3C23-4115-9567-C31911AB7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a0"/>
    <w:uiPriority w:val="99"/>
    <w:unhideWhenUsed/>
    <w:qFormat/>
    <w:pPr>
      <w:jc w:val="left"/>
    </w:pPr>
  </w:style>
  <w:style w:type="paragraph" w:styleId="BalloonText">
    <w:name w:val="Balloon Text"/>
    <w:basedOn w:val="Normal"/>
    <w:link w:val="a"/>
    <w:uiPriority w:val="99"/>
    <w:semiHidden/>
    <w:unhideWhenUsed/>
    <w:qFormat/>
    <w:rPr>
      <w:sz w:val="18"/>
      <w:szCs w:val="18"/>
    </w:rPr>
  </w:style>
  <w:style w:type="paragraph" w:styleId="Footer">
    <w:name w:val="footer"/>
    <w:basedOn w:val="Normal"/>
    <w:link w:val="a3"/>
    <w:uiPriority w:val="99"/>
    <w:unhideWhenUsed/>
    <w:qFormat/>
    <w:pPr>
      <w:tabs>
        <w:tab w:val="center" w:pos="4153"/>
        <w:tab w:val="right" w:pos="8306"/>
      </w:tabs>
      <w:snapToGrid w:val="0"/>
      <w:jc w:val="left"/>
    </w:pPr>
    <w:rPr>
      <w:sz w:val="18"/>
      <w:szCs w:val="18"/>
    </w:rPr>
  </w:style>
  <w:style w:type="paragraph" w:styleId="Header">
    <w:name w:val="header"/>
    <w:basedOn w:val="Normal"/>
    <w:link w:val="a2"/>
    <w:uiPriority w:val="99"/>
    <w:unhideWhenUsed/>
    <w:qFormat/>
    <w:pPr>
      <w:pBdr>
        <w:bottom w:val="single" w:sz="6" w:space="1" w:color="auto"/>
      </w:pBdr>
      <w:tabs>
        <w:tab w:val="center" w:pos="4153"/>
        <w:tab w:val="right" w:pos="8306"/>
      </w:tabs>
      <w:snapToGrid w:val="0"/>
      <w:jc w:val="center"/>
    </w:pPr>
    <w:rPr>
      <w:sz w:val="18"/>
      <w:szCs w:val="18"/>
    </w:rPr>
  </w:style>
  <w:style w:type="paragraph" w:styleId="CommentSubject">
    <w:name w:val="annotation subject"/>
    <w:basedOn w:val="CommentText"/>
    <w:next w:val="CommentText"/>
    <w:link w:val="a1"/>
    <w:uiPriority w:val="99"/>
    <w:semiHidden/>
    <w:unhideWhenUsed/>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a">
    <w:name w:val="批注框文本 字符"/>
    <w:basedOn w:val="DefaultParagraphFont"/>
    <w:link w:val="BalloonText"/>
    <w:uiPriority w:val="99"/>
    <w:semiHidden/>
    <w:qFormat/>
    <w:rPr>
      <w:sz w:val="18"/>
      <w:szCs w:val="18"/>
    </w:rPr>
  </w:style>
  <w:style w:type="character" w:customStyle="1" w:styleId="a0">
    <w:name w:val="批注文字 字符"/>
    <w:basedOn w:val="DefaultParagraphFont"/>
    <w:link w:val="CommentText"/>
    <w:uiPriority w:val="99"/>
    <w:qFormat/>
  </w:style>
  <w:style w:type="character" w:customStyle="1" w:styleId="a1">
    <w:name w:val="批注主题 字符"/>
    <w:basedOn w:val="a0"/>
    <w:link w:val="CommentSubject"/>
    <w:uiPriority w:val="99"/>
    <w:semiHidden/>
    <w:qFormat/>
    <w:rPr>
      <w:b/>
      <w:bCs/>
    </w:rPr>
  </w:style>
  <w:style w:type="character" w:customStyle="1" w:styleId="a2">
    <w:name w:val="页眉 字符"/>
    <w:basedOn w:val="DefaultParagraphFont"/>
    <w:link w:val="Header"/>
    <w:uiPriority w:val="99"/>
    <w:qFormat/>
    <w:rPr>
      <w:sz w:val="18"/>
      <w:szCs w:val="18"/>
    </w:rPr>
  </w:style>
  <w:style w:type="character" w:customStyle="1" w:styleId="a3">
    <w:name w:val="页脚 字符"/>
    <w:basedOn w:val="DefaultParagraphFont"/>
    <w:link w:val="Footer"/>
    <w:uiPriority w:val="99"/>
    <w:qFormat/>
    <w:rPr>
      <w:sz w:val="18"/>
      <w:szCs w:val="18"/>
    </w:rPr>
  </w:style>
  <w:style w:type="paragraph" w:styleId="ListParagraph">
    <w:name w:val="List Paragraph"/>
    <w:basedOn w:val="Normal"/>
    <w:uiPriority w:val="34"/>
    <w:qFormat/>
    <w:pPr>
      <w:ind w:firstLine="420" w:firstLineChars="200"/>
    </w:pPr>
  </w:style>
  <w:style w:type="paragraph" w:customStyle="1" w:styleId="YJH-nei">
    <w:name w:val="YJH-nei"/>
    <w:basedOn w:val="Normal"/>
    <w:qFormat/>
    <w:pPr>
      <w:spacing w:line="600" w:lineRule="exact"/>
      <w:ind w:firstLine="200" w:firstLineChars="200"/>
    </w:pPr>
    <w:rPr>
      <w:rFonts w:ascii="仿宋_GB2312" w:eastAsia="仿宋_GB2312" w:hAnsi="宋体" w:cs="宋体" w:hint="eastAsia"/>
      <w:kern w:val="0"/>
      <w:sz w:val="30"/>
      <w:szCs w:val="30"/>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character" w:customStyle="1" w:styleId="sect2title1">
    <w:name w:val="sect2title1"/>
    <w:qFormat/>
    <w:rPr>
      <w:rFonts w:ascii="微软雅黑" w:eastAsia="微软雅黑" w:hAnsi="微软雅黑" w:hint="eastAsia"/>
      <w:b/>
      <w:bCs/>
      <w:sz w:val="21"/>
      <w:szCs w:val="21"/>
    </w:rPr>
  </w:style>
  <w:style w:type="character" w:customStyle="1" w:styleId="title1">
    <w:name w:val="title1"/>
    <w:qFormat/>
    <w:rPr>
      <w:rFonts w:ascii="微软雅黑" w:eastAsia="微软雅黑" w:hAnsi="微软雅黑" w:hint="eastAsia"/>
      <w:sz w:val="21"/>
      <w:szCs w:val="21"/>
    </w:rPr>
  </w:style>
  <w:style w:type="table" w:customStyle="1" w:styleId="2">
    <w:name w:val="网格型2"/>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0">
    <w:name w:val="p0"/>
    <w:basedOn w:val="Normal"/>
    <w:qFormat/>
    <w:pPr>
      <w:widowControl/>
    </w:pPr>
    <w:rPr>
      <w:rFonts w:ascii="Times New Roman" w:eastAsia="宋体" w:hAnsi="Times New Roman" w:cs="Times New Roman"/>
      <w:kern w:val="0"/>
      <w:szCs w:val="21"/>
    </w:rPr>
  </w:style>
  <w:style w:type="character" w:customStyle="1" w:styleId="10">
    <w:name w:val="未处理的提及1"/>
    <w:basedOn w:val="DefaultParagraphFont"/>
    <w:uiPriority w:val="99"/>
    <w:semiHidden/>
    <w:unhideWhenUsed/>
    <w:qFormat/>
    <w:rPr>
      <w:color w:val="605E5C"/>
      <w:shd w:val="clear" w:color="auto" w:fill="E1DFDD"/>
    </w:rPr>
  </w:style>
  <w:style w:type="table" w:customStyle="1" w:styleId="TableGrid0">
    <w:name w:val="Table Grid_0"/>
    <w:basedOn w:val="TableNormal"/>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drcbank.com" TargetMode="Externa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yperlink" Target="http://www.wmbnb.com" TargetMode="Externa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2B096D-3ABE-40E6-A8BB-4B378325C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3372</Words>
  <Characters>19227</Characters>
  <Application>Microsoft Office Word</Application>
  <DocSecurity>0</DocSecurity>
  <Lines>160</Lines>
  <Paragraphs>45</Paragraphs>
  <ScaleCrop>false</ScaleCrop>
  <Company>nbcb</Company>
  <LinksUpToDate>false</LinksUpToDate>
  <CharactersWithSpaces>22554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吴威</dc:creator>
  <cp:lastModifiedBy>黄海伦</cp:lastModifiedBy>
  <cp:revision>196</cp:revision>
  <cp:lastPrinted>2020-06-01T05:48:00Z</cp:lastPrinted>
  <dcterms:created xsi:type="dcterms:W3CDTF">2022-11-29T06:46:00Z</dcterms:created>
  <dcterms:modified xsi:type="dcterms:W3CDTF">2026-04-07T01:32:00Z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F322FFB298D74609B61E27B8EDC9F7A0</vt:lpwstr>
  </property>
  <property fmtid="{D5CDD505-2E9C-101B-9397-08002B2CF9AE}" pid="3" name="KSOProductBuildVer">
    <vt:lpwstr>2052-11.8.2.11718</vt:lpwstr>
  </property>
</Properties>
</file>