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9238F">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50F7E886">
      <w:pPr>
        <w:widowControl/>
        <w:spacing w:line="360" w:lineRule="auto"/>
        <w:jc w:val="center"/>
        <w:rPr>
          <w:rFonts w:ascii="黑体" w:hAnsi="黑体" w:eastAsia="黑体"/>
          <w:b/>
          <w:sz w:val="44"/>
          <w:szCs w:val="44"/>
        </w:rPr>
      </w:pPr>
      <w:r>
        <w:rPr>
          <w:rFonts w:hint="eastAsia" w:ascii="黑体" w:hAnsi="黑体" w:eastAsia="黑体"/>
          <w:b/>
          <w:sz w:val="44"/>
          <w:szCs w:val="44"/>
        </w:rPr>
        <w:t>兴银理财【添利】理财产品</w:t>
      </w:r>
    </w:p>
    <w:p w14:paraId="1908732C">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29A4B2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7382BF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08EAE43E">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7E244802">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DE43E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B3B13ED">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7BAE04B7">
            <w:pPr>
              <w:widowControl/>
              <w:spacing w:line="360" w:lineRule="auto"/>
              <w:rPr>
                <w:rFonts w:ascii="宋体" w:hAnsi="宋体"/>
                <w:szCs w:val="21"/>
              </w:rPr>
            </w:pPr>
            <w:r>
              <w:rPr>
                <w:rFonts w:hint="eastAsia" w:ascii="宋体" w:hAnsi="宋体"/>
                <w:kern w:val="0"/>
                <w:sz w:val="20"/>
                <w:szCs w:val="21"/>
              </w:rPr>
              <w:t>兴银理财【添利】理财产品投资协议书</w:t>
            </w:r>
            <w:r>
              <w:rPr>
                <w:rFonts w:ascii="宋体" w:hAnsi="宋体"/>
                <w:kern w:val="0"/>
                <w:sz w:val="20"/>
                <w:szCs w:val="21"/>
              </w:rPr>
              <w:t xml:space="preserve"> </w:t>
            </w:r>
          </w:p>
        </w:tc>
        <w:tc>
          <w:tcPr>
            <w:tcW w:w="2107" w:type="dxa"/>
          </w:tcPr>
          <w:p w14:paraId="367E434B">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1D7466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4EF8B4F6">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67FC8F8C">
            <w:pPr>
              <w:widowControl/>
              <w:spacing w:line="360" w:lineRule="auto"/>
              <w:rPr>
                <w:rFonts w:ascii="宋体" w:hAnsi="宋体"/>
                <w:szCs w:val="21"/>
              </w:rPr>
            </w:pPr>
            <w:r>
              <w:rPr>
                <w:rFonts w:hint="eastAsia" w:ascii="宋体" w:hAnsi="宋体"/>
                <w:kern w:val="0"/>
                <w:sz w:val="20"/>
                <w:szCs w:val="21"/>
              </w:rPr>
              <w:t>兴银理财【添利】理财产品产品说明书</w:t>
            </w:r>
          </w:p>
        </w:tc>
        <w:tc>
          <w:tcPr>
            <w:tcW w:w="2107" w:type="dxa"/>
          </w:tcPr>
          <w:p w14:paraId="17FA311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93D49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CC42373">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14:paraId="658E6DD5">
            <w:pPr>
              <w:widowControl/>
              <w:spacing w:line="360" w:lineRule="auto"/>
              <w:rPr>
                <w:rFonts w:ascii="宋体" w:hAnsi="宋体"/>
                <w:kern w:val="0"/>
                <w:sz w:val="20"/>
                <w:szCs w:val="21"/>
              </w:rPr>
            </w:pPr>
            <w:r>
              <w:rPr>
                <w:rFonts w:hint="eastAsia" w:ascii="宋体" w:hAnsi="宋体"/>
                <w:kern w:val="0"/>
                <w:sz w:val="20"/>
                <w:szCs w:val="21"/>
              </w:rPr>
              <w:t>兴银理财【添利】理财产品（代理）销售协议书</w:t>
            </w:r>
          </w:p>
        </w:tc>
        <w:tc>
          <w:tcPr>
            <w:tcW w:w="2107" w:type="dxa"/>
          </w:tcPr>
          <w:p w14:paraId="28FBFAE5">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7E0182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06FF21B">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213ADEC7">
            <w:pPr>
              <w:widowControl/>
              <w:spacing w:line="360" w:lineRule="auto"/>
              <w:rPr>
                <w:rFonts w:ascii="宋体" w:hAnsi="宋体"/>
                <w:szCs w:val="21"/>
              </w:rPr>
            </w:pPr>
            <w:r>
              <w:rPr>
                <w:rFonts w:hint="eastAsia" w:ascii="宋体" w:hAnsi="宋体"/>
                <w:kern w:val="0"/>
                <w:sz w:val="20"/>
                <w:szCs w:val="21"/>
              </w:rPr>
              <w:t>兴银理财【添利】理财产品风险揭示书</w:t>
            </w:r>
          </w:p>
        </w:tc>
        <w:tc>
          <w:tcPr>
            <w:tcW w:w="2107" w:type="dxa"/>
          </w:tcPr>
          <w:p w14:paraId="0CB2C216">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153464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3CE3BBD7">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76782081">
            <w:pPr>
              <w:widowControl/>
              <w:spacing w:line="360" w:lineRule="auto"/>
              <w:rPr>
                <w:rFonts w:ascii="宋体" w:hAnsi="宋体"/>
                <w:kern w:val="0"/>
                <w:sz w:val="20"/>
                <w:szCs w:val="21"/>
              </w:rPr>
            </w:pPr>
            <w:r>
              <w:rPr>
                <w:rFonts w:hint="eastAsia" w:ascii="宋体" w:hAnsi="宋体"/>
                <w:kern w:val="0"/>
                <w:sz w:val="20"/>
                <w:szCs w:val="21"/>
              </w:rPr>
              <w:t>兴银理财【添利】理财产品投资者权益须知</w:t>
            </w:r>
          </w:p>
        </w:tc>
        <w:tc>
          <w:tcPr>
            <w:tcW w:w="2107" w:type="dxa"/>
          </w:tcPr>
          <w:p w14:paraId="50C2006A">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421E54B4">
      <w:pPr>
        <w:widowControl/>
        <w:spacing w:line="360" w:lineRule="auto"/>
        <w:jc w:val="left"/>
        <w:rPr>
          <w:rFonts w:ascii="黑体" w:hAnsi="黑体" w:eastAsia="黑体"/>
          <w:b/>
          <w:szCs w:val="21"/>
        </w:rPr>
      </w:pPr>
      <w:r>
        <w:rPr>
          <w:rFonts w:hint="eastAsia" w:ascii="黑体" w:hAnsi="黑体" w:eastAsia="黑体"/>
          <w:b/>
          <w:szCs w:val="21"/>
        </w:rPr>
        <w:t>郑重提示：</w:t>
      </w:r>
    </w:p>
    <w:p w14:paraId="2551FBF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14:paraId="4B6E7BA1">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49EA6F05">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810163D">
      <w:pPr>
        <w:pStyle w:val="12"/>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14:paraId="6708777E">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B1EC0B7">
      <w:pPr>
        <w:pStyle w:val="12"/>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14:paraId="713AA0C0">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2AC7C13F">
      <w:pPr>
        <w:tabs>
          <w:tab w:val="left" w:pos="6660"/>
        </w:tabs>
        <w:spacing w:line="360" w:lineRule="auto"/>
        <w:jc w:val="center"/>
        <w:rPr>
          <w:rFonts w:ascii="黑体" w:hAnsi="黑体" w:eastAsia="黑体"/>
          <w:kern w:val="0"/>
          <w:szCs w:val="21"/>
        </w:rPr>
      </w:pPr>
    </w:p>
    <w:p w14:paraId="1505C495">
      <w:pPr>
        <w:tabs>
          <w:tab w:val="left" w:pos="6660"/>
        </w:tabs>
        <w:spacing w:line="360" w:lineRule="auto"/>
        <w:jc w:val="center"/>
        <w:rPr>
          <w:bCs/>
          <w:sz w:val="44"/>
        </w:rPr>
      </w:pPr>
    </w:p>
    <w:p w14:paraId="217A9E4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3D64F4CD">
      <w:pPr>
        <w:tabs>
          <w:tab w:val="left" w:pos="6660"/>
        </w:tabs>
        <w:spacing w:line="360" w:lineRule="auto"/>
        <w:jc w:val="center"/>
        <w:rPr>
          <w:bCs/>
          <w:sz w:val="44"/>
        </w:rPr>
      </w:pPr>
    </w:p>
    <w:p w14:paraId="29DC5D91">
      <w:pPr>
        <w:spacing w:line="360" w:lineRule="auto"/>
        <w:jc w:val="center"/>
        <w:rPr>
          <w:b/>
          <w:sz w:val="52"/>
        </w:rPr>
      </w:pPr>
    </w:p>
    <w:p w14:paraId="45E2E5DD">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408DD6B1">
      <w:pPr>
        <w:spacing w:line="360" w:lineRule="auto"/>
        <w:jc w:val="center"/>
        <w:rPr>
          <w:b/>
          <w:sz w:val="52"/>
        </w:rPr>
      </w:pPr>
    </w:p>
    <w:p w14:paraId="6805D8D1">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兴银理财【添利】理财产品</w:t>
      </w:r>
    </w:p>
    <w:p w14:paraId="7A5658B2">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14823821">
      <w:pPr>
        <w:spacing w:line="360" w:lineRule="auto"/>
        <w:jc w:val="center"/>
        <w:rPr>
          <w:b/>
          <w:sz w:val="28"/>
          <w:szCs w:val="28"/>
        </w:rPr>
      </w:pPr>
    </w:p>
    <w:p w14:paraId="67297737">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1240DEF">
      <w:pPr>
        <w:spacing w:line="360" w:lineRule="auto"/>
        <w:jc w:val="center"/>
        <w:rPr>
          <w:b/>
          <w:sz w:val="28"/>
          <w:szCs w:val="28"/>
        </w:rPr>
      </w:pPr>
    </w:p>
    <w:p w14:paraId="6A20CEE7">
      <w:pPr>
        <w:spacing w:line="360" w:lineRule="auto"/>
        <w:jc w:val="center"/>
        <w:rPr>
          <w:b/>
          <w:sz w:val="28"/>
          <w:szCs w:val="28"/>
        </w:rPr>
      </w:pPr>
    </w:p>
    <w:p w14:paraId="50873524">
      <w:pPr>
        <w:adjustRightInd w:val="0"/>
        <w:spacing w:line="360" w:lineRule="auto"/>
        <w:jc w:val="center"/>
        <w:rPr>
          <w:rStyle w:val="10"/>
          <w:rFonts w:ascii="宋体" w:hAnsi="宋体"/>
          <w:sz w:val="28"/>
          <w:szCs w:val="28"/>
        </w:rPr>
      </w:pPr>
      <w:bookmarkStart w:id="0" w:name="_Toc123701383"/>
      <w:bookmarkStart w:id="1" w:name="_Toc139991726"/>
      <w:bookmarkStart w:id="2" w:name="_Toc139992301"/>
      <w:bookmarkStart w:id="3" w:name="_Toc123112224"/>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564B47E2">
      <w:pPr>
        <w:adjustRightInd w:val="0"/>
        <w:spacing w:line="360" w:lineRule="auto"/>
        <w:jc w:val="center"/>
        <w:rPr>
          <w:rStyle w:val="10"/>
          <w:rFonts w:ascii="黑体" w:hAnsi="黑体" w:eastAsia="黑体" w:cs="宋体"/>
          <w:sz w:val="28"/>
          <w:szCs w:val="28"/>
        </w:rPr>
      </w:pPr>
      <w:bookmarkStart w:id="5" w:name="_Toc123701384"/>
      <w:bookmarkStart w:id="6" w:name="_Toc123112264"/>
      <w:bookmarkStart w:id="7" w:name="_Toc123112225"/>
      <w:bookmarkStart w:id="8" w:name="_Toc139992302"/>
      <w:bookmarkStart w:id="9" w:name="_Toc139991727"/>
    </w:p>
    <w:bookmarkEnd w:id="5"/>
    <w:bookmarkEnd w:id="6"/>
    <w:bookmarkEnd w:id="7"/>
    <w:bookmarkEnd w:id="8"/>
    <w:bookmarkEnd w:id="9"/>
    <w:p w14:paraId="7E19F30B">
      <w:pPr>
        <w:adjustRightInd w:val="0"/>
        <w:spacing w:line="360" w:lineRule="auto"/>
        <w:jc w:val="center"/>
        <w:rPr>
          <w:rStyle w:val="10"/>
          <w:rFonts w:ascii="黑体" w:hAnsi="黑体" w:eastAsia="黑体" w:cs="宋体"/>
          <w:sz w:val="28"/>
          <w:szCs w:val="28"/>
        </w:rPr>
      </w:pPr>
    </w:p>
    <w:p w14:paraId="1530A05D">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7</w:t>
      </w:r>
      <w:r>
        <w:rPr>
          <w:rStyle w:val="10"/>
          <w:rFonts w:hint="eastAsia" w:ascii="宋体" w:hAnsi="宋体"/>
          <w:sz w:val="28"/>
          <w:szCs w:val="28"/>
        </w:rPr>
        <w:t>】月</w:t>
      </w:r>
    </w:p>
    <w:p w14:paraId="27E65720">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7556D68C">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63A519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c>
          <w:tcPr>
            <w:tcW w:w="8522" w:type="dxa"/>
          </w:tcPr>
          <w:p w14:paraId="2868A3C9">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7B7CC9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C86DC1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14:paraId="506E58A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14:paraId="24DAA5B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7E76CE4">
            <w:pPr>
              <w:pStyle w:val="6"/>
              <w:snapToGrid w:val="0"/>
              <w:spacing w:before="0" w:beforeAutospacing="0" w:after="0" w:afterAutospacing="0" w:line="360" w:lineRule="auto"/>
              <w:jc w:val="both"/>
              <w:rPr>
                <w:rFonts w:ascii="黑体" w:hAnsi="黑体" w:eastAsia="黑体"/>
                <w:bCs/>
                <w:sz w:val="18"/>
                <w:szCs w:val="18"/>
              </w:rPr>
            </w:pPr>
          </w:p>
          <w:p w14:paraId="3D1E7E1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1E83872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14:paraId="41C27C6E">
            <w:pPr>
              <w:pStyle w:val="6"/>
              <w:snapToGrid w:val="0"/>
              <w:spacing w:before="0" w:beforeAutospacing="0" w:after="0" w:afterAutospacing="0" w:line="360" w:lineRule="auto"/>
              <w:jc w:val="both"/>
              <w:rPr>
                <w:rFonts w:ascii="黑体" w:hAnsi="黑体" w:eastAsia="黑体"/>
                <w:bCs/>
                <w:sz w:val="18"/>
                <w:szCs w:val="18"/>
              </w:rPr>
            </w:pPr>
          </w:p>
          <w:p w14:paraId="0865481A">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429ACDE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5E761567">
            <w:pPr>
              <w:pStyle w:val="6"/>
              <w:snapToGrid w:val="0"/>
              <w:spacing w:before="0" w:beforeAutospacing="0" w:after="0" w:afterAutospacing="0" w:line="360" w:lineRule="auto"/>
              <w:jc w:val="both"/>
              <w:rPr>
                <w:rFonts w:ascii="黑体" w:hAnsi="黑体" w:eastAsia="黑体"/>
                <w:bCs/>
                <w:sz w:val="18"/>
                <w:szCs w:val="18"/>
              </w:rPr>
            </w:pPr>
          </w:p>
          <w:p w14:paraId="20AF80E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14:paraId="714479D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27A1B24A">
            <w:pPr>
              <w:pStyle w:val="6"/>
              <w:snapToGrid w:val="0"/>
              <w:spacing w:before="0" w:beforeAutospacing="0" w:after="0" w:afterAutospacing="0" w:line="360" w:lineRule="auto"/>
              <w:jc w:val="both"/>
              <w:rPr>
                <w:rFonts w:ascii="黑体" w:hAnsi="黑体" w:eastAsia="黑体"/>
                <w:bCs/>
                <w:sz w:val="18"/>
                <w:szCs w:val="18"/>
              </w:rPr>
            </w:pPr>
          </w:p>
          <w:p w14:paraId="6447F1E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14:paraId="4F2C9A5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14:paraId="712C292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2FEEEBE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14:paraId="62D3B47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14:paraId="447A1C7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14:paraId="6A50768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14:paraId="538250F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470A425">
            <w:pPr>
              <w:pStyle w:val="6"/>
              <w:snapToGrid w:val="0"/>
              <w:spacing w:before="0" w:beforeAutospacing="0" w:after="0" w:afterAutospacing="0" w:line="360" w:lineRule="auto"/>
              <w:jc w:val="both"/>
              <w:rPr>
                <w:rFonts w:ascii="黑体" w:hAnsi="黑体" w:eastAsia="黑体"/>
                <w:bCs/>
                <w:sz w:val="18"/>
                <w:szCs w:val="18"/>
              </w:rPr>
            </w:pPr>
          </w:p>
          <w:p w14:paraId="27AF132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14:paraId="47F230A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483D9D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14:paraId="4AADE27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14:paraId="7718C693">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5EF08686">
            <w:pPr>
              <w:pStyle w:val="6"/>
              <w:snapToGrid w:val="0"/>
              <w:spacing w:before="0" w:beforeAutospacing="0" w:after="0" w:afterAutospacing="0" w:line="360" w:lineRule="auto"/>
              <w:jc w:val="both"/>
              <w:rPr>
                <w:rFonts w:ascii="黑体" w:hAnsi="黑体" w:eastAsia="黑体"/>
                <w:bCs/>
                <w:sz w:val="18"/>
                <w:szCs w:val="18"/>
              </w:rPr>
            </w:pPr>
          </w:p>
          <w:p w14:paraId="542642F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14:paraId="660871D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14:paraId="33F1935D">
            <w:pPr>
              <w:pStyle w:val="6"/>
              <w:snapToGrid w:val="0"/>
              <w:spacing w:before="0" w:beforeAutospacing="0" w:after="0" w:afterAutospacing="0" w:line="360" w:lineRule="auto"/>
              <w:jc w:val="both"/>
              <w:rPr>
                <w:rFonts w:ascii="黑体" w:hAnsi="黑体" w:eastAsia="黑体"/>
                <w:bCs/>
                <w:sz w:val="18"/>
                <w:szCs w:val="18"/>
              </w:rPr>
            </w:pPr>
          </w:p>
          <w:p w14:paraId="5D58662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2FA68640">
            <w:pPr>
              <w:pStyle w:val="6"/>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14:paraId="2E1383ED">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66"/>
      <w:bookmarkStart w:id="12" w:name="_Toc123112227"/>
      <w:bookmarkStart w:id="13" w:name="_Toc123701386"/>
    </w:p>
    <w:p w14:paraId="2241485D">
      <w:pPr>
        <w:widowControl/>
        <w:jc w:val="left"/>
        <w:rPr>
          <w:rFonts w:ascii="宋体" w:hAnsi="宋体" w:cs="仿宋_GB2312"/>
          <w:b/>
          <w:kern w:val="0"/>
          <w:sz w:val="18"/>
          <w:szCs w:val="18"/>
        </w:rPr>
      </w:pPr>
      <w:r>
        <w:rPr>
          <w:rFonts w:ascii="宋体" w:hAnsi="宋体" w:cs="仿宋_GB2312"/>
          <w:b/>
          <w:kern w:val="0"/>
          <w:sz w:val="18"/>
          <w:szCs w:val="18"/>
        </w:rPr>
        <w:br w:type="page"/>
      </w:r>
    </w:p>
    <w:p w14:paraId="0D02859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73691FD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1E31211">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0689A20E">
            <w:pPr>
              <w:pStyle w:val="4"/>
              <w:spacing w:line="360" w:lineRule="auto"/>
              <w:rPr>
                <w:rFonts w:ascii="宋体" w:hAnsi="宋体"/>
                <w:b/>
                <w:bCs/>
                <w:sz w:val="28"/>
                <w:szCs w:val="28"/>
              </w:rPr>
            </w:pPr>
          </w:p>
        </w:tc>
      </w:tr>
      <w:tr w14:paraId="770A79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17993CA9">
            <w:pPr>
              <w:pStyle w:val="4"/>
              <w:spacing w:line="360" w:lineRule="auto"/>
              <w:rPr>
                <w:rFonts w:ascii="宋体" w:hAnsi="宋体"/>
                <w:b/>
                <w:bCs/>
                <w:sz w:val="28"/>
                <w:szCs w:val="28"/>
              </w:rPr>
            </w:pPr>
          </w:p>
        </w:tc>
      </w:tr>
      <w:tr w14:paraId="189899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0C351ACE">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071F2617">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43368993">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54532076">
            <w:pPr>
              <w:spacing w:line="360" w:lineRule="auto"/>
              <w:jc w:val="left"/>
              <w:rPr>
                <w:rFonts w:ascii="宋体" w:hAnsi="宋体"/>
                <w:bCs/>
                <w:sz w:val="18"/>
                <w:szCs w:val="18"/>
              </w:rPr>
            </w:pPr>
          </w:p>
        </w:tc>
      </w:tr>
      <w:tr w14:paraId="754E21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BC15186">
            <w:pPr>
              <w:spacing w:line="360" w:lineRule="auto"/>
              <w:jc w:val="left"/>
              <w:rPr>
                <w:rFonts w:ascii="宋体" w:hAnsi="宋体"/>
                <w:b/>
                <w:bCs/>
                <w:sz w:val="18"/>
                <w:szCs w:val="18"/>
              </w:rPr>
            </w:pPr>
          </w:p>
        </w:tc>
        <w:tc>
          <w:tcPr>
            <w:tcW w:w="708" w:type="dxa"/>
            <w:vMerge w:val="continue"/>
            <w:shd w:val="solid" w:color="FFFFFF" w:fill="FFFFFF"/>
            <w:vAlign w:val="center"/>
          </w:tcPr>
          <w:p w14:paraId="0F84C324">
            <w:pPr>
              <w:spacing w:line="360" w:lineRule="auto"/>
              <w:jc w:val="left"/>
              <w:rPr>
                <w:rFonts w:ascii="宋体" w:hAnsi="宋体"/>
                <w:bCs/>
                <w:sz w:val="18"/>
                <w:szCs w:val="18"/>
              </w:rPr>
            </w:pPr>
          </w:p>
        </w:tc>
        <w:tc>
          <w:tcPr>
            <w:tcW w:w="982" w:type="dxa"/>
            <w:shd w:val="solid" w:color="FFFFFF" w:fill="FFFFFF"/>
            <w:vAlign w:val="center"/>
          </w:tcPr>
          <w:p w14:paraId="675A112B">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025DF54C">
            <w:pPr>
              <w:spacing w:line="360" w:lineRule="auto"/>
              <w:jc w:val="left"/>
              <w:rPr>
                <w:rFonts w:ascii="宋体" w:hAnsi="宋体"/>
                <w:bCs/>
                <w:sz w:val="18"/>
                <w:szCs w:val="18"/>
              </w:rPr>
            </w:pPr>
          </w:p>
        </w:tc>
        <w:tc>
          <w:tcPr>
            <w:tcW w:w="1417" w:type="dxa"/>
            <w:shd w:val="solid" w:color="FFFFFF" w:fill="FFFFFF"/>
            <w:vAlign w:val="center"/>
          </w:tcPr>
          <w:p w14:paraId="48A3E2D3">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52167545">
            <w:pPr>
              <w:spacing w:line="360" w:lineRule="auto"/>
              <w:jc w:val="left"/>
              <w:rPr>
                <w:rFonts w:ascii="宋体" w:hAnsi="宋体"/>
                <w:bCs/>
                <w:sz w:val="18"/>
                <w:szCs w:val="18"/>
              </w:rPr>
            </w:pPr>
          </w:p>
        </w:tc>
      </w:tr>
      <w:tr w14:paraId="164D7F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7BEA752">
            <w:pPr>
              <w:spacing w:line="360" w:lineRule="auto"/>
              <w:jc w:val="left"/>
              <w:rPr>
                <w:rFonts w:ascii="宋体" w:hAnsi="宋体"/>
                <w:b/>
                <w:bCs/>
                <w:sz w:val="18"/>
                <w:szCs w:val="18"/>
              </w:rPr>
            </w:pPr>
          </w:p>
        </w:tc>
        <w:tc>
          <w:tcPr>
            <w:tcW w:w="708" w:type="dxa"/>
            <w:vMerge w:val="continue"/>
            <w:shd w:val="solid" w:color="FFFFFF" w:fill="FFFFFF"/>
            <w:vAlign w:val="center"/>
          </w:tcPr>
          <w:p w14:paraId="5774C12B">
            <w:pPr>
              <w:spacing w:line="360" w:lineRule="auto"/>
              <w:jc w:val="left"/>
              <w:rPr>
                <w:rFonts w:ascii="宋体" w:hAnsi="宋体"/>
                <w:bCs/>
                <w:sz w:val="18"/>
                <w:szCs w:val="18"/>
              </w:rPr>
            </w:pPr>
          </w:p>
        </w:tc>
        <w:tc>
          <w:tcPr>
            <w:tcW w:w="982" w:type="dxa"/>
            <w:shd w:val="solid" w:color="FFFFFF" w:fill="FFFFFF"/>
            <w:vAlign w:val="center"/>
          </w:tcPr>
          <w:p w14:paraId="328E78EE">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5DF74363">
            <w:pPr>
              <w:spacing w:line="360" w:lineRule="auto"/>
              <w:jc w:val="left"/>
              <w:rPr>
                <w:rFonts w:ascii="宋体" w:hAnsi="宋体"/>
                <w:bCs/>
                <w:sz w:val="18"/>
                <w:szCs w:val="18"/>
              </w:rPr>
            </w:pPr>
          </w:p>
        </w:tc>
        <w:tc>
          <w:tcPr>
            <w:tcW w:w="1417" w:type="dxa"/>
            <w:shd w:val="solid" w:color="FFFFFF" w:fill="FFFFFF"/>
            <w:vAlign w:val="center"/>
          </w:tcPr>
          <w:p w14:paraId="4C43778F">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043D7A26">
            <w:pPr>
              <w:spacing w:line="360" w:lineRule="auto"/>
              <w:jc w:val="left"/>
              <w:rPr>
                <w:rFonts w:ascii="宋体" w:hAnsi="宋体"/>
                <w:bCs/>
                <w:sz w:val="18"/>
                <w:szCs w:val="18"/>
              </w:rPr>
            </w:pPr>
          </w:p>
        </w:tc>
      </w:tr>
      <w:tr w14:paraId="7D38B9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20A54ED">
            <w:pPr>
              <w:spacing w:line="360" w:lineRule="auto"/>
              <w:jc w:val="left"/>
              <w:rPr>
                <w:rFonts w:ascii="宋体" w:hAnsi="宋体"/>
                <w:b/>
                <w:bCs/>
                <w:sz w:val="18"/>
                <w:szCs w:val="18"/>
              </w:rPr>
            </w:pPr>
          </w:p>
        </w:tc>
        <w:tc>
          <w:tcPr>
            <w:tcW w:w="708" w:type="dxa"/>
            <w:vMerge w:val="continue"/>
            <w:shd w:val="solid" w:color="FFFFFF" w:fill="FFFFFF"/>
            <w:vAlign w:val="center"/>
          </w:tcPr>
          <w:p w14:paraId="33BD53A8">
            <w:pPr>
              <w:spacing w:line="360" w:lineRule="auto"/>
              <w:jc w:val="left"/>
              <w:rPr>
                <w:rFonts w:ascii="宋体" w:hAnsi="宋体"/>
                <w:bCs/>
                <w:sz w:val="18"/>
                <w:szCs w:val="18"/>
              </w:rPr>
            </w:pPr>
          </w:p>
        </w:tc>
        <w:tc>
          <w:tcPr>
            <w:tcW w:w="982" w:type="dxa"/>
            <w:shd w:val="solid" w:color="FFFFFF" w:fill="FFFFFF"/>
            <w:vAlign w:val="center"/>
          </w:tcPr>
          <w:p w14:paraId="7C14B695">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46CF165E">
            <w:pPr>
              <w:spacing w:line="360" w:lineRule="auto"/>
              <w:jc w:val="left"/>
              <w:rPr>
                <w:rFonts w:ascii="宋体" w:hAnsi="宋体"/>
                <w:bCs/>
                <w:sz w:val="18"/>
                <w:szCs w:val="18"/>
              </w:rPr>
            </w:pPr>
          </w:p>
        </w:tc>
      </w:tr>
      <w:tr w14:paraId="5B1315D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071C390">
            <w:pPr>
              <w:spacing w:line="360" w:lineRule="auto"/>
              <w:jc w:val="left"/>
              <w:rPr>
                <w:rFonts w:ascii="宋体" w:hAnsi="宋体"/>
                <w:b/>
                <w:bCs/>
                <w:sz w:val="18"/>
                <w:szCs w:val="18"/>
              </w:rPr>
            </w:pPr>
          </w:p>
        </w:tc>
        <w:tc>
          <w:tcPr>
            <w:tcW w:w="708" w:type="dxa"/>
            <w:vMerge w:val="continue"/>
            <w:shd w:val="solid" w:color="FFFFFF" w:fill="FFFFFF"/>
            <w:vAlign w:val="center"/>
          </w:tcPr>
          <w:p w14:paraId="79A83CFB">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4866F12">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F536574">
            <w:pPr>
              <w:spacing w:line="360" w:lineRule="auto"/>
              <w:jc w:val="left"/>
              <w:rPr>
                <w:rFonts w:ascii="宋体" w:hAnsi="宋体"/>
                <w:bCs/>
                <w:sz w:val="18"/>
                <w:szCs w:val="18"/>
              </w:rPr>
            </w:pPr>
          </w:p>
        </w:tc>
      </w:tr>
      <w:tr w14:paraId="1AC13C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3665735">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6ECD385B">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028FCB5">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3897029">
            <w:pPr>
              <w:spacing w:line="360" w:lineRule="auto"/>
              <w:jc w:val="left"/>
              <w:rPr>
                <w:rFonts w:ascii="宋体" w:hAnsi="宋体"/>
                <w:bCs/>
                <w:sz w:val="18"/>
                <w:szCs w:val="18"/>
              </w:rPr>
            </w:pPr>
          </w:p>
        </w:tc>
      </w:tr>
      <w:tr w14:paraId="43449B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90937D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C51951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67B084">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FA8272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BFC28F">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16ABB2">
            <w:pPr>
              <w:spacing w:line="360" w:lineRule="auto"/>
              <w:jc w:val="left"/>
              <w:rPr>
                <w:rFonts w:ascii="宋体" w:hAnsi="宋体"/>
                <w:bCs/>
                <w:sz w:val="18"/>
                <w:szCs w:val="18"/>
              </w:rPr>
            </w:pPr>
          </w:p>
        </w:tc>
      </w:tr>
      <w:tr w14:paraId="538C55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9DA2DF3">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1EE916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A798834">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CE6225E">
            <w:pPr>
              <w:spacing w:line="360" w:lineRule="auto"/>
              <w:jc w:val="left"/>
              <w:rPr>
                <w:rFonts w:ascii="宋体" w:hAnsi="宋体"/>
                <w:bCs/>
                <w:sz w:val="18"/>
                <w:szCs w:val="18"/>
              </w:rPr>
            </w:pPr>
          </w:p>
        </w:tc>
      </w:tr>
      <w:tr w14:paraId="0C4806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C88578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6B8CED2">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6B8255E">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39B8145">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A4C7CC">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05EFE0">
            <w:pPr>
              <w:spacing w:line="360" w:lineRule="auto"/>
              <w:jc w:val="left"/>
              <w:rPr>
                <w:rFonts w:ascii="宋体" w:hAnsi="宋体"/>
                <w:bCs/>
                <w:sz w:val="18"/>
                <w:szCs w:val="18"/>
              </w:rPr>
            </w:pPr>
          </w:p>
        </w:tc>
      </w:tr>
      <w:tr w14:paraId="417C5C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262FB5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FA0A6F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8CA9E7">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ADE2847">
            <w:pPr>
              <w:spacing w:line="360" w:lineRule="auto"/>
              <w:jc w:val="left"/>
              <w:rPr>
                <w:rFonts w:ascii="宋体" w:hAnsi="宋体"/>
                <w:bCs/>
                <w:sz w:val="18"/>
                <w:szCs w:val="18"/>
              </w:rPr>
            </w:pPr>
          </w:p>
        </w:tc>
      </w:tr>
      <w:tr w14:paraId="6586DA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5139DE2F">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708947D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D9F712">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1E459FC">
            <w:pPr>
              <w:spacing w:line="360" w:lineRule="auto"/>
              <w:jc w:val="left"/>
              <w:rPr>
                <w:rFonts w:ascii="宋体" w:hAnsi="宋体"/>
                <w:bCs/>
                <w:sz w:val="18"/>
                <w:szCs w:val="18"/>
              </w:rPr>
            </w:pPr>
          </w:p>
        </w:tc>
      </w:tr>
      <w:tr w14:paraId="0FBE9C7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BA33BCF">
            <w:pPr>
              <w:pStyle w:val="4"/>
              <w:pBdr>
                <w:bottom w:val="none" w:color="auto" w:sz="0" w:space="0"/>
              </w:pBdr>
              <w:spacing w:line="360" w:lineRule="auto"/>
              <w:rPr>
                <w:rFonts w:ascii="宋体" w:hAnsi="宋体"/>
                <w:b/>
                <w:bCs/>
                <w:szCs w:val="18"/>
              </w:rPr>
            </w:pPr>
          </w:p>
        </w:tc>
      </w:tr>
      <w:tr w14:paraId="14095D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4806EE57">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4925BC8A">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046DF3DA">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2322F7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586D58C1">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64357C1E">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0140C0C3">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14:paraId="769229A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003EFC68">
            <w:pPr>
              <w:spacing w:line="360" w:lineRule="auto"/>
              <w:jc w:val="left"/>
              <w:rPr>
                <w:rFonts w:ascii="宋体" w:hAnsi="宋体"/>
                <w:bCs/>
                <w:sz w:val="18"/>
                <w:szCs w:val="18"/>
              </w:rPr>
            </w:pPr>
          </w:p>
        </w:tc>
      </w:tr>
      <w:tr w14:paraId="749DC2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579D1A55">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30A76131">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14:paraId="632408ED">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61</w:t>
            </w:r>
            <w:r>
              <w:rPr>
                <w:rFonts w:hint="eastAsia" w:asciiTheme="minorEastAsia" w:hAnsiTheme="minorEastAsia"/>
                <w:sz w:val="18"/>
                <w:szCs w:val="18"/>
              </w:rPr>
              <w:t>号现金管理</w:t>
            </w:r>
            <w:r>
              <w:rPr>
                <w:rFonts w:hint="eastAsia" w:asciiTheme="minorEastAsia" w:hAnsiTheme="minorEastAsia"/>
                <w:sz w:val="18"/>
                <w:szCs w:val="18"/>
                <w:lang w:val="en-US" w:eastAsia="zh-CN"/>
              </w:rPr>
              <w:t>类</w:t>
            </w:r>
            <w:r>
              <w:rPr>
                <w:rFonts w:hint="eastAsia" w:asciiTheme="minorEastAsia" w:hAnsiTheme="minorEastAsia"/>
                <w:sz w:val="18"/>
                <w:szCs w:val="18"/>
              </w:rPr>
              <w:t>理财产品</w:t>
            </w:r>
            <w:r>
              <w:rPr>
                <w:rFonts w:hint="eastAsia" w:ascii="宋体" w:hAnsi="宋体"/>
                <w:bCs/>
                <w:sz w:val="18"/>
                <w:szCs w:val="18"/>
              </w:rPr>
              <w:t>】</w:t>
            </w:r>
          </w:p>
        </w:tc>
      </w:tr>
      <w:tr w14:paraId="4672AF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56F55770">
            <w:pPr>
              <w:spacing w:line="360" w:lineRule="auto"/>
              <w:jc w:val="left"/>
              <w:rPr>
                <w:rFonts w:ascii="宋体" w:hAnsi="宋体"/>
                <w:b/>
                <w:bCs/>
                <w:sz w:val="18"/>
                <w:szCs w:val="18"/>
              </w:rPr>
            </w:pPr>
          </w:p>
        </w:tc>
        <w:tc>
          <w:tcPr>
            <w:tcW w:w="1690" w:type="dxa"/>
            <w:gridSpan w:val="2"/>
            <w:shd w:val="solid" w:color="FFFFFF" w:fill="FFFFFF"/>
            <w:vAlign w:val="center"/>
          </w:tcPr>
          <w:p w14:paraId="43E5B0CA">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6C881DA6">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兴银添利天天利</w:t>
            </w:r>
            <w:r>
              <w:rPr>
                <w:rFonts w:hint="eastAsia" w:asciiTheme="minorEastAsia" w:hAnsiTheme="minorEastAsia"/>
                <w:sz w:val="18"/>
                <w:szCs w:val="18"/>
                <w:lang w:val="en-US" w:eastAsia="zh-CN"/>
              </w:rPr>
              <w:t>61号E</w:t>
            </w:r>
            <w:r>
              <w:rPr>
                <w:rFonts w:hint="eastAsia" w:ascii="宋体" w:hAnsi="宋体"/>
                <w:bCs/>
                <w:sz w:val="18"/>
                <w:szCs w:val="18"/>
              </w:rPr>
              <w:t>】</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E</w:t>
            </w:r>
            <w:r>
              <w:rPr>
                <w:rFonts w:hint="eastAsia" w:ascii="宋体" w:hAnsi="宋体"/>
                <w:bCs/>
                <w:color w:val="000000" w:themeColor="text1"/>
                <w:sz w:val="18"/>
                <w:szCs w:val="18"/>
                <w14:textFill>
                  <w14:solidFill>
                    <w14:schemeClr w14:val="tx1"/>
                  </w14:solidFill>
                </w14:textFill>
              </w:rPr>
              <w:t>】类份额）</w:t>
            </w:r>
          </w:p>
        </w:tc>
      </w:tr>
      <w:tr w14:paraId="3C58E7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1E2D3852">
            <w:pPr>
              <w:spacing w:line="360" w:lineRule="auto"/>
              <w:jc w:val="left"/>
              <w:rPr>
                <w:rFonts w:ascii="宋体" w:hAnsi="宋体"/>
                <w:b/>
                <w:bCs/>
                <w:sz w:val="18"/>
                <w:szCs w:val="18"/>
              </w:rPr>
            </w:pPr>
          </w:p>
        </w:tc>
        <w:tc>
          <w:tcPr>
            <w:tcW w:w="1690" w:type="dxa"/>
            <w:gridSpan w:val="2"/>
            <w:shd w:val="solid" w:color="FFFFFF" w:fill="FFFFFF"/>
          </w:tcPr>
          <w:p w14:paraId="4C1BEA6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14:paraId="44DB7903">
            <w:pPr>
              <w:spacing w:line="360" w:lineRule="auto"/>
              <w:jc w:val="left"/>
              <w:rPr>
                <w:rFonts w:ascii="宋体" w:hAnsi="宋体"/>
                <w:bCs/>
                <w:sz w:val="18"/>
                <w:szCs w:val="18"/>
              </w:rPr>
            </w:pPr>
            <w:r>
              <w:rPr>
                <w:rFonts w:hint="eastAsia" w:ascii="宋体" w:hAnsi="宋体"/>
                <w:bCs/>
                <w:sz w:val="18"/>
                <w:szCs w:val="18"/>
              </w:rPr>
              <w:t>【Z7002025000652】注：投资者可依据理财产品登记编码在中国理财网查询产品信息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14:paraId="1D6E96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46235F3E">
            <w:pPr>
              <w:spacing w:line="360" w:lineRule="auto"/>
              <w:jc w:val="left"/>
              <w:rPr>
                <w:rFonts w:ascii="宋体" w:hAnsi="宋体"/>
                <w:b/>
                <w:bCs/>
                <w:sz w:val="18"/>
                <w:szCs w:val="18"/>
              </w:rPr>
            </w:pPr>
          </w:p>
        </w:tc>
        <w:tc>
          <w:tcPr>
            <w:tcW w:w="1690" w:type="dxa"/>
            <w:gridSpan w:val="2"/>
            <w:shd w:val="solid" w:color="FFFFFF" w:fill="FFFFFF"/>
            <w:vAlign w:val="center"/>
          </w:tcPr>
          <w:p w14:paraId="724EAC44">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53F1852C">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9TTL9610</w:t>
            </w:r>
            <w:r>
              <w:rPr>
                <w:rFonts w:ascii="宋体" w:hAnsi="宋体"/>
                <w:bCs/>
                <w:color w:val="000000" w:themeColor="text1"/>
                <w:sz w:val="18"/>
                <w:szCs w:val="18"/>
                <w14:textFill>
                  <w14:solidFill>
                    <w14:schemeClr w14:val="tx1"/>
                  </w14:solidFill>
                </w14:textFill>
              </w:rPr>
              <w:t>】</w:t>
            </w:r>
          </w:p>
        </w:tc>
      </w:tr>
      <w:tr w14:paraId="31300D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2CE49FB2">
            <w:pPr>
              <w:spacing w:line="360" w:lineRule="auto"/>
              <w:jc w:val="left"/>
              <w:rPr>
                <w:rFonts w:ascii="宋体" w:hAnsi="宋体"/>
                <w:b/>
                <w:bCs/>
                <w:sz w:val="18"/>
                <w:szCs w:val="18"/>
              </w:rPr>
            </w:pPr>
          </w:p>
        </w:tc>
        <w:tc>
          <w:tcPr>
            <w:tcW w:w="1690" w:type="dxa"/>
            <w:gridSpan w:val="2"/>
            <w:shd w:val="solid" w:color="FFFFFF" w:fill="FFFFFF"/>
            <w:vAlign w:val="center"/>
          </w:tcPr>
          <w:p w14:paraId="123047B7">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3836A292">
            <w:pPr>
              <w:spacing w:line="320" w:lineRule="exact"/>
              <w:jc w:val="left"/>
              <w:rPr>
                <w:rFonts w:ascii="宋体" w:hAnsi="宋体"/>
                <w:bCs/>
                <w:color w:val="000000" w:themeColor="text1"/>
                <w:sz w:val="18"/>
                <w:szCs w:val="18"/>
                <w14:textFill>
                  <w14:solidFill>
                    <w14:schemeClr w14:val="tx1"/>
                  </w14:solidFill>
                </w14:textFill>
              </w:rPr>
            </w:pPr>
            <w:r>
              <w:rPr>
                <w:rFonts w:hint="eastAsia" w:ascii="宋体" w:hAnsi="宋体"/>
                <w:bCs/>
                <w:color w:val="000000" w:themeColor="text1"/>
                <w:sz w:val="18"/>
                <w:szCs w:val="18"/>
                <w14:textFill>
                  <w14:solidFill>
                    <w14:schemeClr w14:val="tx1"/>
                  </w14:solidFill>
                </w14:textFill>
              </w:rPr>
              <w:t>【</w:t>
            </w:r>
            <w:r>
              <w:rPr>
                <w:rFonts w:hint="eastAsia" w:ascii="宋体" w:hAnsi="宋体"/>
                <w:bCs/>
                <w:sz w:val="18"/>
                <w:szCs w:val="18"/>
              </w:rPr>
              <w:t>9TTL961</w:t>
            </w:r>
            <w:r>
              <w:rPr>
                <w:rFonts w:hint="eastAsia" w:ascii="宋体" w:hAnsi="宋体"/>
                <w:bCs/>
                <w:sz w:val="18"/>
                <w:szCs w:val="18"/>
                <w:lang w:val="en-US" w:eastAsia="zh-CN"/>
              </w:rPr>
              <w:t>E</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E</w:t>
            </w:r>
            <w:r>
              <w:rPr>
                <w:rFonts w:hint="eastAsia" w:ascii="宋体" w:hAnsi="宋体"/>
                <w:bCs/>
                <w:color w:val="000000" w:themeColor="text1"/>
                <w:sz w:val="18"/>
                <w:szCs w:val="18"/>
                <w14:textFill>
                  <w14:solidFill>
                    <w14:schemeClr w14:val="tx1"/>
                  </w14:solidFill>
                </w14:textFill>
              </w:rPr>
              <w:t>】类份额）</w:t>
            </w:r>
          </w:p>
        </w:tc>
      </w:tr>
      <w:tr w14:paraId="13BF4B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7621E12">
            <w:pPr>
              <w:spacing w:line="360" w:lineRule="auto"/>
              <w:jc w:val="left"/>
              <w:rPr>
                <w:rFonts w:ascii="宋体" w:hAnsi="宋体"/>
                <w:b/>
                <w:bCs/>
                <w:sz w:val="18"/>
                <w:szCs w:val="18"/>
              </w:rPr>
            </w:pPr>
          </w:p>
        </w:tc>
      </w:tr>
      <w:tr w14:paraId="5ED623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686AC7F2">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37E7A810">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4DF03BEB">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158E7683">
          <w:pPr>
            <w:pStyle w:val="13"/>
            <w:spacing w:line="360" w:lineRule="auto"/>
            <w:jc w:val="center"/>
          </w:pPr>
          <w:r>
            <w:rPr>
              <w:lang w:val="zh-CN"/>
            </w:rPr>
            <w:t>目录</w:t>
          </w:r>
        </w:p>
        <w:p w14:paraId="7D89688B">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53D358AE">
          <w:pPr>
            <w:pStyle w:val="5"/>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14:paraId="4F046195">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14:paraId="7551104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534058D7">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14:paraId="7A7141F5">
          <w:pPr>
            <w:pStyle w:val="5"/>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14:paraId="6EEEA1AC">
          <w:pPr>
            <w:pStyle w:val="5"/>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53466B8B">
          <w:pPr>
            <w:spacing w:line="360" w:lineRule="auto"/>
          </w:pPr>
          <w:r>
            <w:rPr>
              <w:bCs/>
              <w:lang w:val="zh-CN"/>
            </w:rPr>
            <w:fldChar w:fldCharType="end"/>
          </w:r>
        </w:p>
      </w:sdtContent>
    </w:sdt>
    <w:p w14:paraId="63D4A41E">
      <w:pPr>
        <w:widowControl/>
        <w:jc w:val="left"/>
        <w:rPr>
          <w:rFonts w:ascii="宋体" w:hAnsi="宋体" w:cs="仿宋_GB2312"/>
          <w:b/>
          <w:kern w:val="0"/>
          <w:sz w:val="18"/>
          <w:szCs w:val="18"/>
        </w:rPr>
      </w:pPr>
      <w:r>
        <w:rPr>
          <w:rFonts w:ascii="宋体" w:hAnsi="宋体" w:cs="仿宋_GB2312"/>
          <w:b/>
          <w:kern w:val="0"/>
          <w:sz w:val="18"/>
          <w:szCs w:val="18"/>
        </w:rPr>
        <w:br w:type="page"/>
      </w:r>
    </w:p>
    <w:p w14:paraId="30ECD55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66EFF6F8">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3099548A">
      <w:pPr>
        <w:spacing w:line="360" w:lineRule="auto"/>
      </w:pPr>
    </w:p>
    <w:bookmarkEnd w:id="10"/>
    <w:bookmarkEnd w:id="11"/>
    <w:bookmarkEnd w:id="12"/>
    <w:bookmarkEnd w:id="13"/>
    <w:p w14:paraId="4EDF9499">
      <w:pPr>
        <w:pStyle w:val="2"/>
        <w:spacing w:before="0" w:after="0"/>
        <w:jc w:val="center"/>
        <w:rPr>
          <w:rFonts w:ascii="Times New Roman"/>
          <w:color w:val="auto"/>
          <w:sz w:val="30"/>
        </w:rPr>
      </w:pPr>
      <w:bookmarkStart w:id="14" w:name="_Toc6306"/>
      <w:bookmarkStart w:id="15" w:name="_Toc4966"/>
      <w:bookmarkStart w:id="16" w:name="_Toc15517"/>
      <w:bookmarkStart w:id="17" w:name="_Toc141703880"/>
      <w:bookmarkStart w:id="18" w:name="_Toc123112229"/>
      <w:bookmarkStart w:id="19" w:name="_Toc26897"/>
      <w:bookmarkStart w:id="20" w:name="_Toc8727"/>
      <w:bookmarkStart w:id="21" w:name="_Toc29629"/>
      <w:bookmarkStart w:id="22" w:name="_Toc4867"/>
      <w:bookmarkStart w:id="23" w:name="_Toc32639"/>
      <w:bookmarkStart w:id="24" w:name="_Toc123701389"/>
      <w:bookmarkStart w:id="25" w:name="_Toc23386"/>
      <w:bookmarkStart w:id="26" w:name="_Toc123112268"/>
      <w:bookmarkStart w:id="27" w:name="_Toc139991730"/>
      <w:bookmarkStart w:id="28" w:name="_Toc30935"/>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3224"/>
      <w:bookmarkStart w:id="34" w:name="_Toc6617"/>
      <w:bookmarkStart w:id="35" w:name="_Toc2465"/>
      <w:bookmarkStart w:id="36" w:name="_Toc22864"/>
      <w:bookmarkStart w:id="37" w:name="_Toc13020"/>
      <w:bookmarkStart w:id="38" w:name="_Toc819"/>
      <w:bookmarkStart w:id="39" w:name="_Toc19592"/>
      <w:bookmarkStart w:id="40" w:name="_Toc24860"/>
      <w:bookmarkStart w:id="41" w:name="_Toc21301"/>
      <w:bookmarkStart w:id="42" w:name="_Toc258829399"/>
      <w:r>
        <w:rPr>
          <w:rFonts w:hint="eastAsia" w:ascii="Times New Roman"/>
          <w:color w:val="auto"/>
          <w:sz w:val="30"/>
        </w:rPr>
        <w:t>前言</w:t>
      </w:r>
      <w:bookmarkEnd w:id="29"/>
    </w:p>
    <w:p w14:paraId="28D9EC3D">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5900C2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14:paraId="78230E0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14:paraId="3621695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14:paraId="3CCBF0A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5C0A09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772A5E5A">
      <w:pPr>
        <w:widowControl/>
        <w:spacing w:line="360" w:lineRule="auto"/>
        <w:jc w:val="left"/>
      </w:pPr>
      <w:r>
        <w:br w:type="page"/>
      </w:r>
    </w:p>
    <w:p w14:paraId="2D8F6AEE">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14:paraId="4099E600">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35E36B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7E263CA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1B4D3D4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5A8A42F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5E6D2B2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1DD909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2CDA8A5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53B9FE5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022B501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042563B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0CE71E4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45199B0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14:paraId="0BDB6D4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6CA26EE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74FD6957">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BF6750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37CE8BE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1CED059C">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14:paraId="4F08760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2A709EF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6774838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729B60C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DAF9BF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7D12AC0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3F295B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17A9FE0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14:paraId="0479926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D3558A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13D8C1E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120913C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41672B7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14:paraId="288B8F74">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87767A5">
      <w:pPr>
        <w:pStyle w:val="2"/>
        <w:spacing w:before="0" w:after="0"/>
        <w:jc w:val="center"/>
        <w:rPr>
          <w:rFonts w:ascii="Times New Roman"/>
          <w:sz w:val="30"/>
        </w:rPr>
      </w:pPr>
      <w:bookmarkStart w:id="46" w:name="_Toc706"/>
      <w:bookmarkStart w:id="47" w:name="_Toc20627"/>
      <w:bookmarkStart w:id="48" w:name="_Toc74065740"/>
      <w:bookmarkStart w:id="49" w:name="_Toc6149"/>
      <w:bookmarkStart w:id="50" w:name="_Toc6683"/>
      <w:bookmarkStart w:id="51" w:name="_Toc733"/>
      <w:bookmarkStart w:id="52" w:name="_Toc18631"/>
      <w:bookmarkStart w:id="53" w:name="_Toc24571"/>
      <w:bookmarkStart w:id="54" w:name="_Toc20318"/>
      <w:bookmarkStart w:id="55" w:name="_Toc22708"/>
      <w:bookmarkStart w:id="56" w:name="_Toc13288"/>
      <w:bookmarkStart w:id="57" w:name="_Toc545"/>
      <w:bookmarkStart w:id="58" w:name="_Toc258829400"/>
      <w:bookmarkStart w:id="59" w:name="_Toc233456272"/>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14:paraId="18DDAB2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244BD66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7E022D23">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05B38F55">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03DEE5F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7ED287B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F910E32">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1772DF3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14:paraId="0E171D0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0DE1A94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A1B1B71">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14:paraId="0549A71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932899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452027AF">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75A0E2C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002B864E">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7D42DEA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02CD2093">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25F93F2E">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14:paraId="271793D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66E524B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w:t>
      </w:r>
      <w:r>
        <w:rPr>
          <w:rFonts w:ascii="黑体" w:hAnsi="黑体" w:eastAsia="黑体"/>
          <w:sz w:val="18"/>
          <w:szCs w:val="18"/>
        </w:rPr>
        <w:t>/盖章后则为签署。</w:t>
      </w:r>
    </w:p>
    <w:p w14:paraId="039E0F5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416228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255CE7E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6CE0EA06">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740E23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5518343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68C2494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E10DAA3">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14:paraId="56769D2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2473AAA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4656C9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4D0EC6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14:paraId="3B6D8C8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7EC428D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14:paraId="6BCB285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14:paraId="5AA6305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56CE5C6">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519527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9C7649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208A9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680B7135">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67346E37">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5D5A17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E90934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523B9570">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0EE85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117B7BE">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D72D20B">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58B90428">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tr w14:paraId="1B61E0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0BC0C27">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39DEB2C">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668407CF">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tr w14:paraId="32DE35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52B9278">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0DB74B9">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333E3CE3">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份。</w:t>
            </w:r>
          </w:p>
        </w:tc>
      </w:tr>
      <w:tr w14:paraId="18E0B7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0515087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6C1D5BDC">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73D7B725">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
        </w:tc>
      </w:tr>
      <w:tr w14:paraId="6A98C4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251032C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685C5A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AAF3D4A">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2EC1EF4C">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64A2446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4832182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14:paraId="57A7919B">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9BF3E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02A0BDC2">
            <w:pPr>
              <w:spacing w:line="360" w:lineRule="auto"/>
              <w:jc w:val="center"/>
              <w:rPr>
                <w:b/>
                <w:sz w:val="18"/>
                <w:szCs w:val="18"/>
              </w:rPr>
            </w:pPr>
            <w:r>
              <w:rPr>
                <w:rFonts w:hint="eastAsia"/>
                <w:b/>
                <w:sz w:val="18"/>
                <w:szCs w:val="18"/>
              </w:rPr>
              <w:t>投资者签署栏</w:t>
            </w:r>
          </w:p>
        </w:tc>
        <w:tc>
          <w:tcPr>
            <w:tcW w:w="851" w:type="dxa"/>
            <w:gridSpan w:val="2"/>
          </w:tcPr>
          <w:p w14:paraId="6C55C9B8">
            <w:pPr>
              <w:spacing w:line="360" w:lineRule="auto"/>
              <w:rPr>
                <w:sz w:val="18"/>
                <w:szCs w:val="18"/>
              </w:rPr>
            </w:pPr>
            <w:r>
              <w:rPr>
                <w:rFonts w:hint="eastAsia"/>
                <w:sz w:val="18"/>
                <w:szCs w:val="18"/>
              </w:rPr>
              <w:t>个人投资者适用</w:t>
            </w:r>
          </w:p>
        </w:tc>
        <w:tc>
          <w:tcPr>
            <w:tcW w:w="6998" w:type="dxa"/>
            <w:gridSpan w:val="2"/>
          </w:tcPr>
          <w:p w14:paraId="3ECCF089">
            <w:pPr>
              <w:spacing w:line="360" w:lineRule="auto"/>
              <w:rPr>
                <w:sz w:val="18"/>
                <w:szCs w:val="18"/>
              </w:rPr>
            </w:pPr>
            <w:r>
              <w:rPr>
                <w:rFonts w:hint="eastAsia"/>
                <w:sz w:val="18"/>
                <w:szCs w:val="18"/>
              </w:rPr>
              <w:t>投资者（签名/线上确认）：</w:t>
            </w:r>
          </w:p>
          <w:p w14:paraId="4223BF2E">
            <w:pPr>
              <w:spacing w:line="360" w:lineRule="auto"/>
              <w:rPr>
                <w:b/>
                <w:sz w:val="18"/>
                <w:szCs w:val="18"/>
              </w:rPr>
            </w:pPr>
          </w:p>
          <w:p w14:paraId="2E0ABB00">
            <w:pPr>
              <w:spacing w:line="360" w:lineRule="auto"/>
              <w:rPr>
                <w:b/>
                <w:sz w:val="18"/>
                <w:szCs w:val="18"/>
              </w:rPr>
            </w:pPr>
            <w:r>
              <w:rPr>
                <w:rFonts w:hint="eastAsia"/>
                <w:sz w:val="18"/>
                <w:szCs w:val="18"/>
              </w:rPr>
              <w:t>日期：</w:t>
            </w:r>
          </w:p>
        </w:tc>
      </w:tr>
      <w:tr w14:paraId="72DEB1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51DB63DA">
            <w:pPr>
              <w:spacing w:line="360" w:lineRule="auto"/>
              <w:rPr>
                <w:b/>
                <w:sz w:val="18"/>
                <w:szCs w:val="18"/>
              </w:rPr>
            </w:pPr>
          </w:p>
        </w:tc>
        <w:tc>
          <w:tcPr>
            <w:tcW w:w="851" w:type="dxa"/>
            <w:gridSpan w:val="2"/>
          </w:tcPr>
          <w:p w14:paraId="0CE84552">
            <w:pPr>
              <w:spacing w:line="360" w:lineRule="auto"/>
              <w:rPr>
                <w:sz w:val="18"/>
                <w:szCs w:val="18"/>
              </w:rPr>
            </w:pPr>
            <w:r>
              <w:rPr>
                <w:rFonts w:hint="eastAsia"/>
                <w:sz w:val="18"/>
                <w:szCs w:val="18"/>
              </w:rPr>
              <w:t>机构投资者适用</w:t>
            </w:r>
          </w:p>
        </w:tc>
        <w:tc>
          <w:tcPr>
            <w:tcW w:w="6998" w:type="dxa"/>
            <w:gridSpan w:val="2"/>
          </w:tcPr>
          <w:p w14:paraId="62C31C83">
            <w:pPr>
              <w:spacing w:line="360" w:lineRule="auto"/>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27180738">
            <w:pPr>
              <w:spacing w:line="360" w:lineRule="auto"/>
              <w:rPr>
                <w:rFonts w:cs="Arial"/>
                <w:sz w:val="18"/>
                <w:szCs w:val="18"/>
              </w:rPr>
            </w:pPr>
          </w:p>
          <w:p w14:paraId="1BA666BB">
            <w:pPr>
              <w:spacing w:line="360" w:lineRule="auto"/>
              <w:rPr>
                <w:b/>
                <w:sz w:val="18"/>
                <w:szCs w:val="18"/>
              </w:rPr>
            </w:pPr>
            <w:r>
              <w:rPr>
                <w:rFonts w:hint="eastAsia" w:cs="Arial"/>
                <w:sz w:val="18"/>
                <w:szCs w:val="18"/>
              </w:rPr>
              <w:t>投资者法定代表人或授权代理人（签名/盖章</w:t>
            </w:r>
            <w:r>
              <w:rPr>
                <w:rFonts w:cs="Arial"/>
                <w:sz w:val="18"/>
                <w:szCs w:val="18"/>
              </w:rPr>
              <w:t>/</w:t>
            </w:r>
            <w:r>
              <w:rPr>
                <w:rFonts w:hint="eastAsia"/>
                <w:sz w:val="18"/>
                <w:szCs w:val="18"/>
              </w:rPr>
              <w:t>线上确认</w:t>
            </w:r>
            <w:r>
              <w:rPr>
                <w:rFonts w:hint="eastAsia" w:cs="Arial"/>
                <w:sz w:val="18"/>
                <w:szCs w:val="18"/>
              </w:rPr>
              <w:t>）：</w:t>
            </w:r>
          </w:p>
          <w:p w14:paraId="167593C9">
            <w:pPr>
              <w:spacing w:line="360" w:lineRule="auto"/>
              <w:rPr>
                <w:sz w:val="18"/>
                <w:szCs w:val="18"/>
              </w:rPr>
            </w:pPr>
            <w:r>
              <w:rPr>
                <w:rFonts w:hint="eastAsia"/>
                <w:sz w:val="18"/>
                <w:szCs w:val="18"/>
              </w:rPr>
              <w:t>日期：</w:t>
            </w:r>
          </w:p>
        </w:tc>
      </w:tr>
    </w:tbl>
    <w:p w14:paraId="51BB56C5">
      <w:pPr>
        <w:spacing w:line="360" w:lineRule="auto"/>
        <w:jc w:val="left"/>
        <w:rPr>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3FE693F8">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590F4727">
      <w:pPr>
        <w:pStyle w:val="14"/>
        <w:spacing w:line="360" w:lineRule="auto"/>
        <w:rPr>
          <w:rFonts w:hAnsi="宋体"/>
          <w:sz w:val="18"/>
          <w:szCs w:val="18"/>
        </w:rPr>
      </w:pPr>
    </w:p>
    <w:p w14:paraId="79246A1A">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70A2BAB8">
      <w:pPr>
        <w:adjustRightInd w:val="0"/>
        <w:spacing w:line="360" w:lineRule="auto"/>
        <w:jc w:val="center"/>
        <w:rPr>
          <w:rFonts w:ascii="宋体" w:hAnsi="宋体" w:cs="宋体"/>
          <w:sz w:val="32"/>
          <w:szCs w:val="32"/>
        </w:rPr>
      </w:pPr>
    </w:p>
    <w:p w14:paraId="7CC6484C">
      <w:pPr>
        <w:adjustRightInd w:val="0"/>
        <w:spacing w:line="360" w:lineRule="auto"/>
        <w:jc w:val="center"/>
        <w:rPr>
          <w:rFonts w:ascii="宋体" w:hAnsi="宋体" w:cs="宋体"/>
          <w:sz w:val="32"/>
          <w:szCs w:val="32"/>
        </w:rPr>
      </w:pPr>
    </w:p>
    <w:p w14:paraId="0A1D8165">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F3CFB31">
      <w:pPr>
        <w:adjustRightInd w:val="0"/>
        <w:spacing w:line="360" w:lineRule="auto"/>
        <w:jc w:val="center"/>
        <w:rPr>
          <w:rFonts w:ascii="宋体" w:hAnsi="宋体" w:cs="宋体"/>
          <w:sz w:val="32"/>
          <w:szCs w:val="32"/>
        </w:rPr>
      </w:pPr>
    </w:p>
    <w:p w14:paraId="5AE52FA8">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兴银理财【添利】理财产品</w:t>
      </w:r>
    </w:p>
    <w:p w14:paraId="0AA31E2C">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14:paraId="4B44DF6C">
      <w:pPr>
        <w:adjustRightInd w:val="0"/>
        <w:spacing w:line="360" w:lineRule="auto"/>
        <w:jc w:val="center"/>
        <w:rPr>
          <w:rFonts w:ascii="宋体" w:hAnsi="宋体" w:cs="宋体"/>
          <w:sz w:val="32"/>
          <w:szCs w:val="32"/>
        </w:rPr>
      </w:pPr>
    </w:p>
    <w:p w14:paraId="3A9D304F">
      <w:pPr>
        <w:adjustRightInd w:val="0"/>
        <w:spacing w:line="360" w:lineRule="auto"/>
        <w:jc w:val="center"/>
        <w:rPr>
          <w:rFonts w:ascii="黑体" w:hAnsi="黑体" w:eastAsia="黑体" w:cs="宋体"/>
          <w:bCs w:val="0"/>
          <w:sz w:val="28"/>
          <w:szCs w:val="28"/>
        </w:rPr>
      </w:pPr>
    </w:p>
    <w:p w14:paraId="3DFF6D84">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6B0DD504">
      <w:pPr>
        <w:adjustRightInd w:val="0"/>
        <w:spacing w:line="360" w:lineRule="auto"/>
        <w:jc w:val="center"/>
        <w:rPr>
          <w:rFonts w:ascii="宋体" w:hAnsi="宋体" w:cs="宋体"/>
          <w:sz w:val="32"/>
          <w:szCs w:val="32"/>
        </w:rPr>
      </w:pPr>
    </w:p>
    <w:p w14:paraId="67B87E94">
      <w:pPr>
        <w:adjustRightInd w:val="0"/>
        <w:spacing w:line="360" w:lineRule="auto"/>
        <w:jc w:val="center"/>
        <w:rPr>
          <w:rFonts w:ascii="宋体" w:hAnsi="宋体" w:cs="宋体"/>
          <w:sz w:val="32"/>
          <w:szCs w:val="32"/>
        </w:rPr>
      </w:pPr>
    </w:p>
    <w:p w14:paraId="083BBE3D">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7</w:t>
      </w:r>
      <w:r>
        <w:rPr>
          <w:rFonts w:hint="eastAsia" w:ascii="宋体" w:hAnsi="宋体" w:cs="Times New Roman"/>
          <w:b/>
          <w:bCs/>
          <w:sz w:val="32"/>
          <w:szCs w:val="32"/>
        </w:rPr>
        <w:t>】月</w:t>
      </w:r>
    </w:p>
    <w:p w14:paraId="64A153F6">
      <w:pPr>
        <w:adjustRightInd w:val="0"/>
        <w:spacing w:line="360" w:lineRule="auto"/>
        <w:jc w:val="center"/>
        <w:rPr>
          <w:rFonts w:ascii="宋体" w:hAnsi="宋体" w:cs="宋体"/>
          <w:sz w:val="32"/>
          <w:szCs w:val="32"/>
        </w:rPr>
      </w:pPr>
    </w:p>
    <w:p w14:paraId="55C565B8">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6C9482F8">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07A04EB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"_Toc176189278"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_Toc176189278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542A27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"_Toc176189279"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_Toc176189279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509BC2F">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62A2B1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FD41CB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884838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674660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2C0E26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6B0B6D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6874914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0AA5EDD">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A2F93B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"_Toc176189289"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_Toc176189289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0A1374F">
          <w:pPr>
            <w:spacing w:line="360" w:lineRule="auto"/>
            <w:rPr>
              <w:rFonts w:ascii="Calibri" w:hAnsi="Calibri" w:cs="宋体"/>
              <w:szCs w:val="22"/>
            </w:rPr>
          </w:pPr>
          <w:r>
            <w:rPr>
              <w:rFonts w:ascii="Calibri" w:hAnsi="Calibri" w:cs="宋体"/>
              <w:szCs w:val="22"/>
            </w:rPr>
            <w:fldChar w:fldCharType="end"/>
          </w:r>
        </w:p>
      </w:sdtContent>
    </w:sdt>
    <w:p w14:paraId="4473DD1A">
      <w:pPr>
        <w:rPr>
          <w:rFonts w:ascii="Times New Roman" w:hAnsi="Calibri" w:cs="宋体"/>
          <w:sz w:val="30"/>
          <w:szCs w:val="22"/>
        </w:rPr>
      </w:pPr>
      <w:r>
        <w:rPr>
          <w:rFonts w:ascii="Times New Roman" w:hAnsi="Calibri" w:cs="宋体"/>
          <w:sz w:val="30"/>
          <w:szCs w:val="22"/>
        </w:rPr>
        <w:br w:type="page"/>
      </w:r>
    </w:p>
    <w:p w14:paraId="7DEFB2F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6906"/>
      <w:bookmarkStart w:id="68" w:name="_Toc17618927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bookmarkEnd w:id="68"/>
    </w:p>
    <w:p w14:paraId="1C898A2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70CAAFA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256C5B6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5A0822E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5CDA55C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2C473B5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50F7294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5E744EC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5D7FDD8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3C21F09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44704CC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196142A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14:paraId="076AFD86">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1FC9BBE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：指产品管理人向投资者提供的，用于描述产品特征，约定权利义务的文件。具体指《兴银理财【添利】理财产品销售文件》，包括《投资协议书》《产品说明书》《（代理）销售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432DC01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《投资协议书》：指管理人统一编制的《兴银理财【添利】理财产品投资协议书》，以及对该文件的有效修改或补充。</w:t>
      </w:r>
    </w:p>
    <w:p w14:paraId="79EB0CB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）《产品说明书》：指管理人统一编制的《兴银理财【添利】理财产品产品说明书》，以及对该文件的有效修改或补充。</w:t>
      </w:r>
    </w:p>
    <w:p w14:paraId="62A4FC4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（4）《（代理）销售协议书》：指管理人统一编制的《兴银理财【添利】理财产品（代理）销售协议书》或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的《兴银理财【添利】理财产品（代理）销售协议书》（文件名称以代理销售机构实际编制为准），以及对该文件的有效修改或补充。</w:t>
      </w:r>
    </w:p>
    <w:p w14:paraId="2CBB9EA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）《风险揭示书》：指管理人统一编制的《兴银理财【添利】理财产品风险揭示书》或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的《兴银理财【添利】理财产品风险揭示书》（文件名称以代理销售机构实际编制为准），以及对该文件的有效修改或补充。</w:t>
      </w:r>
    </w:p>
    <w:p w14:paraId="3128F3F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）《投资者权益须知》：指管理人统一编制的《兴银理财【添利】理财产品投资者权益须知》或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《兴银理财【添利】理财产品投资者权益须知》（文件名称以代理销售机构实际编制为准），以及对该文件的有效修改或补充。</w:t>
      </w:r>
    </w:p>
    <w:p w14:paraId="7DC763D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2D9490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5251F4A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03CCF9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，为在理财产品销售管理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每</w:t>
      </w:r>
      <w:r>
        <w:rPr>
          <w:rFonts w:ascii="宋体" w:hAnsi="宋体" w:eastAsia="宋体" w:cs="宋体"/>
          <w:bCs/>
          <w:color w:val="auto"/>
          <w:sz w:val="18"/>
          <w:szCs w:val="18"/>
          <w:lang w:val="en-US" w:eastAsia="zh-CN" w:bidi="ar-SA"/>
        </w:rPr>
        <w:t>类份额类别设置的</w:t>
      </w:r>
      <w:r>
        <w:rPr>
          <w:rFonts w:hint="eastAsia" w:ascii="宋体" w:hAnsi="宋体" w:eastAsia="宋体" w:cs="宋体"/>
          <w:bCs/>
          <w:color w:val="auto"/>
          <w:sz w:val="18"/>
          <w:szCs w:val="18"/>
          <w:lang w:val="en-US" w:eastAsia="zh-CN" w:bidi="ar-SA"/>
        </w:rPr>
        <w:t>唯一性内部识别码。若本款理财产品不设置差异化产品份额类别，理财产品代码即为理财产品销售代码。</w:t>
      </w:r>
    </w:p>
    <w:p w14:paraId="56A3A6B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12ABA47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3EB1440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）适合投资者：指适合购买理财产品的投资者类型。</w:t>
      </w:r>
    </w:p>
    <w:p w14:paraId="1132390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6829CE9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609E992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5B9DBD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6193906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14:paraId="7CBBA7A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6EE9113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46928F9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3A7171B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40685FB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（10）理财产品估值：指计算评估理财产品资产和理财产品负债的价值，以确定理财产品份额净值、每万份理财产品收益和7日年化收益率的过程。</w:t>
      </w:r>
    </w:p>
    <w:p w14:paraId="27C99C2A">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宋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宋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宋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5A22F74F">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0A3429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3C5728A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45EC22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0CE87E5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25F8A80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2A33F42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8）申购：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39C1CBC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664279E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5AF4B11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（19）赎回：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75B293D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0）巨额赎回：单个开放日中，本产品的产品份额净赎回申请（赎回申请总份额扣除申购总份额后的余额</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下同）之和达到上一日产品总份额的</w:t>
      </w:r>
      <w:r>
        <w:rPr>
          <w:rFonts w:ascii="宋体" w:hAnsi="宋体" w:eastAsia="宋体" w:cs="宋体"/>
          <w:bCs/>
          <w:color w:val="auto"/>
          <w:sz w:val="18"/>
          <w:szCs w:val="18"/>
          <w:lang w:val="en-US" w:eastAsia="zh-CN" w:bidi="ar-SA"/>
        </w:rPr>
        <w:t>约定百分比</w:t>
      </w:r>
      <w:r>
        <w:rPr>
          <w:rFonts w:hint="eastAsia" w:ascii="宋体" w:hAnsi="宋体" w:eastAsia="宋体" w:cs="宋体"/>
          <w:bCs/>
          <w:color w:val="auto"/>
          <w:sz w:val="18"/>
          <w:szCs w:val="18"/>
          <w:lang w:val="en-US" w:eastAsia="zh-CN" w:bidi="ar-SA"/>
        </w:rPr>
        <w:t>，为巨额赎回。</w:t>
      </w:r>
    </w:p>
    <w:p w14:paraId="05FA747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21）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14:paraId="592EF30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14:paraId="0913DC3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35F46B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75A3EEC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00FD5B5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14:paraId="42F0279A">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）成立日：指理财产品开始运作的日期。</w:t>
      </w:r>
    </w:p>
    <w:p w14:paraId="4002E075">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）终止日：指理财产品终止的日期。</w:t>
      </w:r>
    </w:p>
    <w:p w14:paraId="3E79C2B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233579B1">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w:t>
      </w:r>
      <w:r>
        <w:rPr>
          <w:rFonts w:hint="eastAsia" w:ascii="宋体" w:hAnsi="宋体" w:eastAsia="宋体" w:cs="宋体"/>
          <w:color w:val="auto"/>
          <w:sz w:val="18"/>
          <w:szCs w:val="18"/>
          <w:lang w:val="en-US" w:eastAsia="zh-CN" w:bidi="ar-SA"/>
        </w:rPr>
        <w:t>利益的日期。</w:t>
      </w:r>
    </w:p>
    <w:p w14:paraId="62F1340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6A16AD6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47FC665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5253BE0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1）产品存续期：指自理财产品成立日起，至理财产品终止日的期间。</w:t>
      </w:r>
    </w:p>
    <w:p w14:paraId="6F1141C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（12）申购申请日：指投资者做出申购申请的当日。</w:t>
      </w:r>
    </w:p>
    <w:p w14:paraId="0E41D0F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（13）赎回申请日：指投资者做出赎回申请的当日。</w:t>
      </w:r>
    </w:p>
    <w:p w14:paraId="0D6D5B6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（14）申购日：指产品管理人接受投资者申购申请的当日。</w:t>
      </w:r>
    </w:p>
    <w:p w14:paraId="2125D9B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（15）赎回日：指产品管理人接受投资者赎回申请的当日。</w:t>
      </w:r>
    </w:p>
    <w:p w14:paraId="5AC12E8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（16）申购确认日：指产品管理人确认投资者申购申请有效性的当日。</w:t>
      </w:r>
    </w:p>
    <w:p w14:paraId="775A961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（17）赎回确认日：指产品管理人确认投资者赎回申请有效性的当日。</w:t>
      </w:r>
    </w:p>
    <w:p w14:paraId="0183CEC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8）清算期：指自本理财产品终止日至投资者理财利益到账日之间的期间。</w:t>
      </w:r>
    </w:p>
    <w:p w14:paraId="08E4EEB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053C5F6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229436C6">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（2）</w:t>
      </w:r>
      <w:r>
        <w:rPr>
          <w:rFonts w:hint="eastAsia" w:ascii="黑体" w:hAnsi="黑体" w:eastAsia="黑体" w:cs="仿宋_GB2312"/>
          <w:bCs/>
          <w:sz w:val="18"/>
          <w:szCs w:val="18"/>
        </w:rPr>
        <w:t>★</w:t>
      </w:r>
      <w:r>
        <w:rPr>
          <w:rFonts w:ascii="宋体" w:hAnsi="宋体" w:cs="宋体"/>
          <w:kern w:val="0"/>
          <w:sz w:val="18"/>
          <w:szCs w:val="18"/>
        </w:rPr>
        <w:t>申购费：</w:t>
      </w:r>
      <w:r>
        <w:rPr>
          <w:rFonts w:hint="eastAsia" w:ascii="宋体" w:hAnsi="宋体" w:cs="宋体"/>
          <w:kern w:val="0"/>
          <w:sz w:val="18"/>
          <w:szCs w:val="18"/>
        </w:rPr>
        <w:t>指</w:t>
      </w:r>
      <w:r>
        <w:rPr>
          <w:rFonts w:ascii="宋体" w:hAnsi="宋体" w:cs="宋体"/>
          <w:kern w:val="0"/>
          <w:sz w:val="18"/>
          <w:szCs w:val="18"/>
        </w:rPr>
        <w:t>投资者申购产品时</w:t>
      </w:r>
      <w:r>
        <w:rPr>
          <w:rFonts w:hint="eastAsia" w:ascii="宋体" w:hAnsi="宋体" w:cs="宋体"/>
          <w:kern w:val="0"/>
          <w:sz w:val="18"/>
          <w:szCs w:val="18"/>
        </w:rPr>
        <w:t>需缴纳的费用。</w:t>
      </w:r>
    </w:p>
    <w:p w14:paraId="1017FBE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赎回费：指投资者赎回产品时需缴纳的费用。</w:t>
      </w:r>
    </w:p>
    <w:p w14:paraId="145C1E2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211E27E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70696C7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（6）</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4E6D9EE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（7）</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7F0B905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2D08D08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08DD86F1">
      <w:pPr>
        <w:spacing w:line="360" w:lineRule="auto"/>
        <w:ind w:firstLine="360" w:firstLineChars="200"/>
        <w:rPr>
          <w:rFonts w:ascii="Calibri" w:hAnsi="Calibri" w:cs="宋体"/>
          <w:szCs w:val="22"/>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sz w:val="18"/>
          <w:szCs w:val="18"/>
        </w:rPr>
        <w:t>理财登记托管中心、</w:t>
      </w:r>
      <w:r>
        <w:rPr>
          <w:rFonts w:hint="eastAsia" w:ascii="宋体" w:hAnsi="宋体" w:eastAsia="宋体" w:cs="宋体"/>
          <w:bCs/>
          <w:sz w:val="18"/>
          <w:szCs w:val="18"/>
        </w:rPr>
        <w:t>银行间交易商协会、证券交易所、证券登记结算机构、相关</w:t>
      </w:r>
      <w:r>
        <w:rPr>
          <w:rFonts w:ascii="宋体" w:hAnsi="宋体" w:eastAsia="宋体" w:cs="宋体"/>
          <w:bCs/>
          <w:sz w:val="18"/>
          <w:szCs w:val="18"/>
        </w:rPr>
        <w:t>行</w:t>
      </w:r>
      <w:r>
        <w:rPr>
          <w:rFonts w:hint="eastAsia" w:ascii="宋体" w:hAnsi="宋体" w:eastAsia="宋体" w:cs="宋体"/>
          <w:bCs/>
          <w:sz w:val="18"/>
          <w:szCs w:val="18"/>
        </w:rPr>
        <w:t>业协会依法颁布的，适用于本理财产品相关事宜的法律、行政法规、地方法规、部委规章、地方政府规章、规范性文件、规则、通知、须知、业务指南、指引或操作规程，及其有效的修改、更新或补充。</w:t>
      </w:r>
    </w:p>
    <w:p w14:paraId="4089552D">
      <w:pPr>
        <w:widowControl/>
        <w:spacing w:line="360" w:lineRule="auto"/>
        <w:jc w:val="left"/>
        <w:rPr>
          <w:rFonts w:ascii="宋体" w:hAnsi="宋体" w:cs="宋体"/>
          <w:color w:val="000000"/>
          <w:kern w:val="0"/>
          <w:sz w:val="28"/>
          <w:szCs w:val="28"/>
        </w:rPr>
      </w:pPr>
      <w:r>
        <w:rPr>
          <w:rFonts w:ascii="Calibri" w:hAnsi="宋体" w:cs="宋体"/>
          <w:sz w:val="28"/>
          <w:szCs w:val="28"/>
        </w:rPr>
        <w:br w:type="page"/>
      </w:r>
    </w:p>
    <w:p w14:paraId="363A8526">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9" w:name="_Toc79154665"/>
      <w:bookmarkStart w:id="70" w:name="_Toc29961"/>
      <w:bookmarkStart w:id="71" w:name="_Toc176189279"/>
      <w:r>
        <w:rPr>
          <w:rFonts w:hint="eastAsia" w:ascii="Calibri" w:hAnsi="宋体" w:eastAsia="宋体" w:cs="宋体"/>
          <w:b/>
          <w:bCs/>
          <w:kern w:val="44"/>
          <w:sz w:val="28"/>
          <w:szCs w:val="28"/>
          <w:lang w:val="en-US" w:eastAsia="zh-CN" w:bidi="ar-SA"/>
        </w:rPr>
        <w:t>第二条  理财产品基本情况</w:t>
      </w:r>
      <w:bookmarkEnd w:id="69"/>
      <w:bookmarkEnd w:id="70"/>
      <w:bookmarkEnd w:id="71"/>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699"/>
      </w:tblGrid>
      <w:tr w14:paraId="169BDE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14:paraId="7F04EE7B">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99" w:type="dxa"/>
            <w:shd w:val="solid" w:color="FFFFFF" w:fill="FFFFFF"/>
          </w:tcPr>
          <w:p w14:paraId="292A438A">
            <w:pPr>
              <w:spacing w:line="360" w:lineRule="auto"/>
              <w:jc w:val="left"/>
              <w:rPr>
                <w:rFonts w:ascii="宋体" w:hAnsi="宋体" w:cs="宋体"/>
                <w:bCs/>
                <w:sz w:val="18"/>
                <w:szCs w:val="18"/>
              </w:rPr>
            </w:pPr>
            <w:r>
              <w:rPr>
                <w:rFonts w:hint="eastAsia" w:ascii="宋体" w:hAnsi="宋体" w:eastAsia="宋体" w:cs="宋体"/>
                <w:bCs/>
                <w:sz w:val="18"/>
                <w:szCs w:val="18"/>
              </w:rPr>
              <w:t>【</w:t>
            </w:r>
            <w:r>
              <w:rPr>
                <w:rFonts w:hint="eastAsia" w:ascii="宋体" w:hAnsi="宋体" w:cs="宋体"/>
                <w:sz w:val="18"/>
                <w:szCs w:val="18"/>
              </w:rPr>
              <w:t>兴银理财添利天天利</w:t>
            </w:r>
            <w:r>
              <w:rPr>
                <w:rFonts w:hint="eastAsia" w:ascii="宋体" w:hAnsi="宋体" w:cs="宋体"/>
                <w:sz w:val="18"/>
                <w:szCs w:val="18"/>
                <w:lang w:val="en-US" w:eastAsia="zh-CN"/>
              </w:rPr>
              <w:t>61</w:t>
            </w:r>
            <w:r>
              <w:rPr>
                <w:rFonts w:hint="eastAsia" w:ascii="宋体" w:hAnsi="宋体" w:cs="宋体"/>
                <w:sz w:val="18"/>
                <w:szCs w:val="18"/>
              </w:rPr>
              <w:t>号现金管理</w:t>
            </w:r>
            <w:r>
              <w:rPr>
                <w:rFonts w:hint="eastAsia" w:ascii="宋体" w:hAnsi="宋体" w:cs="宋体"/>
                <w:sz w:val="18"/>
                <w:szCs w:val="18"/>
                <w:lang w:val="en-US" w:eastAsia="zh-CN"/>
              </w:rPr>
              <w:t>类</w:t>
            </w:r>
            <w:r>
              <w:rPr>
                <w:rFonts w:hint="eastAsia" w:ascii="宋体" w:hAnsi="宋体" w:cs="宋体"/>
                <w:sz w:val="18"/>
                <w:szCs w:val="18"/>
              </w:rPr>
              <w:t>理财产品</w:t>
            </w:r>
            <w:r>
              <w:rPr>
                <w:rFonts w:hint="eastAsia" w:ascii="宋体" w:hAnsi="宋体" w:eastAsia="宋体" w:cs="宋体"/>
                <w:bCs/>
                <w:sz w:val="18"/>
                <w:szCs w:val="18"/>
              </w:rPr>
              <w:t>】</w:t>
            </w:r>
          </w:p>
        </w:tc>
      </w:tr>
      <w:tr w14:paraId="4EA02A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45" w:type="dxa"/>
            <w:shd w:val="solid" w:color="FFFFFF" w:fill="FFFFFF"/>
          </w:tcPr>
          <w:p w14:paraId="28B504D9">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99" w:type="dxa"/>
            <w:shd w:val="solid" w:color="FFFFFF" w:fill="FFFFFF"/>
          </w:tcPr>
          <w:p w14:paraId="431CC54D">
            <w:pPr>
              <w:widowControl/>
              <w:spacing w:line="360" w:lineRule="auto"/>
              <w:jc w:val="left"/>
              <w:rPr>
                <w:rFonts w:hint="eastAsia" w:ascii="宋体" w:hAnsi="宋体" w:eastAsia="宋体" w:cs="宋体"/>
                <w:kern w:val="0"/>
                <w:sz w:val="22"/>
                <w:szCs w:val="22"/>
                <w:lang w:eastAsia="zh-CN"/>
              </w:rPr>
            </w:pPr>
            <w:r>
              <w:rPr>
                <w:rFonts w:hint="eastAsia" w:ascii="宋体" w:hAnsi="宋体" w:eastAsia="宋体" w:cs="宋体"/>
                <w:bCs/>
                <w:kern w:val="0"/>
                <w:sz w:val="18"/>
                <w:szCs w:val="18"/>
              </w:rPr>
              <w:t>【</w:t>
            </w:r>
            <w:r>
              <w:rPr>
                <w:rFonts w:hint="eastAsia" w:ascii="宋体" w:hAnsi="宋体" w:cs="宋体"/>
                <w:sz w:val="18"/>
                <w:szCs w:val="18"/>
              </w:rPr>
              <w:t>兴银添利天天利</w:t>
            </w:r>
            <w:r>
              <w:rPr>
                <w:rFonts w:hint="eastAsia" w:ascii="宋体" w:hAnsi="宋体" w:cs="宋体"/>
                <w:sz w:val="18"/>
                <w:szCs w:val="18"/>
                <w:lang w:val="en-US" w:eastAsia="zh-CN"/>
              </w:rPr>
              <w:t>61号E</w:t>
            </w:r>
            <w:r>
              <w:rPr>
                <w:rFonts w:hint="eastAsia" w:ascii="宋体" w:hAnsi="宋体" w:eastAsia="宋体" w:cs="宋体"/>
                <w:bCs/>
                <w:kern w:val="0"/>
                <w:sz w:val="18"/>
                <w:szCs w:val="18"/>
              </w:rPr>
              <w:t>】</w:t>
            </w:r>
            <w:r>
              <w:rPr>
                <w:rFonts w:hint="eastAsia" w:ascii="Calibri" w:hAnsi="宋体" w:eastAsia="宋体" w:cs="宋体"/>
                <w:sz w:val="18"/>
                <w:szCs w:val="18"/>
                <w:lang w:eastAsia="zh-CN"/>
              </w:rPr>
              <w:t>（适用【E】类份额）</w:t>
            </w:r>
          </w:p>
        </w:tc>
      </w:tr>
      <w:tr w14:paraId="79EAA0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14:paraId="0DA2953F">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99" w:type="dxa"/>
            <w:shd w:val="solid" w:color="FFFFFF" w:fill="FFFFFF"/>
          </w:tcPr>
          <w:p w14:paraId="26864638">
            <w:pPr>
              <w:spacing w:line="360" w:lineRule="auto"/>
              <w:jc w:val="left"/>
              <w:rPr>
                <w:rFonts w:ascii="宋体" w:hAnsi="宋体" w:cs="宋体"/>
                <w:b/>
                <w:sz w:val="18"/>
                <w:szCs w:val="18"/>
              </w:rPr>
            </w:pPr>
            <w:r>
              <w:rPr>
                <w:rFonts w:hint="eastAsia" w:ascii="宋体" w:hAnsi="宋体" w:cs="宋体"/>
                <w:sz w:val="18"/>
                <w:szCs w:val="18"/>
              </w:rPr>
              <w:t>【</w:t>
            </w:r>
            <w:r>
              <w:rPr>
                <w:rFonts w:hint="eastAsia" w:ascii="宋体" w:hAnsi="宋体" w:cs="宋体"/>
                <w:bCs/>
                <w:sz w:val="18"/>
                <w:szCs w:val="18"/>
              </w:rPr>
              <w:t>Z7002025000652</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5CF384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vAlign w:val="center"/>
          </w:tcPr>
          <w:p w14:paraId="46915490">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99" w:type="dxa"/>
            <w:shd w:val="solid" w:color="FFFFFF" w:fill="FFFFFF"/>
            <w:vAlign w:val="center"/>
          </w:tcPr>
          <w:p w14:paraId="7BCE21C1">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color w:val="000000"/>
                <w:sz w:val="18"/>
                <w:szCs w:val="18"/>
              </w:rPr>
              <w:t>9TTL9610</w:t>
            </w:r>
            <w:r>
              <w:rPr>
                <w:rFonts w:hint="eastAsia" w:ascii="宋体" w:hAnsi="宋体" w:cs="宋体"/>
                <w:bCs/>
                <w:sz w:val="18"/>
                <w:szCs w:val="18"/>
              </w:rPr>
              <w:t>】</w:t>
            </w:r>
          </w:p>
        </w:tc>
      </w:tr>
      <w:tr w14:paraId="65B5A3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14:paraId="1937228B">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99" w:type="dxa"/>
            <w:shd w:val="solid" w:color="FFFFFF" w:fill="FFFFFF"/>
          </w:tcPr>
          <w:p w14:paraId="0CA23BFA">
            <w:pPr>
              <w:spacing w:line="360" w:lineRule="auto"/>
              <w:jc w:val="left"/>
              <w:rPr>
                <w:rFonts w:hint="eastAsia" w:ascii="Calibri" w:hAnsi="宋体" w:eastAsia="宋体" w:cs="宋体"/>
                <w:sz w:val="18"/>
                <w:szCs w:val="18"/>
                <w:lang w:eastAsia="zh-CN"/>
              </w:rPr>
            </w:pPr>
            <w:r>
              <w:rPr>
                <w:rFonts w:hint="eastAsia" w:ascii="Calibri" w:hAnsi="宋体" w:cs="宋体"/>
                <w:sz w:val="18"/>
                <w:szCs w:val="18"/>
              </w:rPr>
              <w:t>【</w:t>
            </w:r>
            <w:r>
              <w:rPr>
                <w:rFonts w:hint="eastAsia" w:ascii="宋体" w:hAnsi="宋体" w:cs="宋体"/>
                <w:bCs/>
                <w:sz w:val="18"/>
                <w:szCs w:val="18"/>
              </w:rPr>
              <w:t>9TTL961</w:t>
            </w:r>
            <w:r>
              <w:rPr>
                <w:rFonts w:hint="eastAsia" w:ascii="宋体" w:hAnsi="宋体" w:cs="宋体"/>
                <w:bCs/>
                <w:sz w:val="18"/>
                <w:szCs w:val="18"/>
                <w:lang w:val="en-US" w:eastAsia="zh-CN"/>
              </w:rPr>
              <w:t>E</w:t>
            </w:r>
            <w:r>
              <w:rPr>
                <w:rFonts w:hint="eastAsia" w:ascii="Calibri" w:hAnsi="宋体" w:cs="宋体"/>
                <w:sz w:val="18"/>
                <w:szCs w:val="18"/>
              </w:rPr>
              <w:t>】</w:t>
            </w:r>
            <w:r>
              <w:rPr>
                <w:rFonts w:hint="eastAsia" w:ascii="Calibri" w:hAnsi="宋体" w:cs="宋体"/>
                <w:sz w:val="18"/>
                <w:szCs w:val="18"/>
                <w:lang w:eastAsia="zh-CN"/>
              </w:rPr>
              <w:t>（适用【E】类份额）</w:t>
            </w:r>
          </w:p>
        </w:tc>
      </w:tr>
      <w:tr w14:paraId="4200D1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14:paraId="275CF112">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99" w:type="dxa"/>
            <w:shd w:val="solid" w:color="FFFFFF" w:fill="FFFFFF"/>
            <w:vAlign w:val="center"/>
          </w:tcPr>
          <w:p w14:paraId="7E09BD95">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720D3A35">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.本产品设置不同的理财产品份额，每类理财产品份额以下内容可能单独设置：</w:t>
            </w:r>
          </w:p>
          <w:p w14:paraId="67B2C6D7">
            <w:pPr>
              <w:spacing w:line="360" w:lineRule="auto"/>
              <w:rPr>
                <w:rFonts w:ascii="宋体" w:hAnsi="宋体" w:cs="宋体"/>
                <w:bCs/>
                <w:sz w:val="18"/>
                <w:szCs w:val="18"/>
              </w:rPr>
            </w:pPr>
            <w:r>
              <w:rPr>
                <w:rFonts w:hint="eastAsia" w:ascii="宋体" w:hAnsi="宋体" w:cs="宋体"/>
                <w:bCs/>
                <w:sz w:val="18"/>
                <w:szCs w:val="18"/>
              </w:rPr>
              <w:t>（1）销售名称</w:t>
            </w:r>
          </w:p>
          <w:p w14:paraId="5E15FB4C">
            <w:pPr>
              <w:spacing w:line="360" w:lineRule="auto"/>
              <w:rPr>
                <w:rFonts w:ascii="宋体" w:hAnsi="宋体" w:cs="宋体"/>
                <w:bCs/>
                <w:sz w:val="18"/>
                <w:szCs w:val="18"/>
              </w:rPr>
            </w:pPr>
            <w:r>
              <w:rPr>
                <w:rFonts w:hint="eastAsia" w:ascii="宋体" w:hAnsi="宋体" w:cs="宋体"/>
                <w:bCs/>
                <w:sz w:val="18"/>
                <w:szCs w:val="18"/>
              </w:rPr>
              <w:t>（2）收费方式</w:t>
            </w:r>
          </w:p>
          <w:p w14:paraId="67EC3D22">
            <w:pPr>
              <w:spacing w:line="360" w:lineRule="auto"/>
              <w:rPr>
                <w:rFonts w:ascii="宋体" w:hAnsi="宋体" w:cs="宋体"/>
                <w:bCs/>
                <w:sz w:val="18"/>
                <w:szCs w:val="18"/>
              </w:rPr>
            </w:pPr>
            <w:r>
              <w:rPr>
                <w:rFonts w:hint="eastAsia" w:ascii="宋体" w:hAnsi="宋体" w:cs="宋体"/>
                <w:bCs/>
                <w:sz w:val="18"/>
                <w:szCs w:val="18"/>
              </w:rPr>
              <w:t>（3）销售服务费</w:t>
            </w:r>
          </w:p>
          <w:p w14:paraId="5BE27E79">
            <w:pPr>
              <w:spacing w:line="360" w:lineRule="auto"/>
              <w:rPr>
                <w:rFonts w:ascii="宋体" w:hAnsi="宋体" w:cs="宋体"/>
                <w:bCs/>
                <w:sz w:val="18"/>
                <w:szCs w:val="18"/>
              </w:rPr>
            </w:pPr>
            <w:r>
              <w:rPr>
                <w:rFonts w:hint="eastAsia" w:ascii="宋体" w:hAnsi="宋体" w:cs="宋体"/>
                <w:bCs/>
                <w:sz w:val="18"/>
                <w:szCs w:val="18"/>
              </w:rPr>
              <w:t>（4）销售代码</w:t>
            </w:r>
          </w:p>
          <w:p w14:paraId="125FA5EE">
            <w:pPr>
              <w:spacing w:line="360" w:lineRule="auto"/>
              <w:rPr>
                <w:rFonts w:ascii="宋体" w:hAnsi="宋体" w:cs="宋体"/>
                <w:bCs/>
                <w:sz w:val="18"/>
                <w:szCs w:val="18"/>
              </w:rPr>
            </w:pPr>
            <w:r>
              <w:rPr>
                <w:rFonts w:hint="eastAsia" w:ascii="宋体" w:hAnsi="宋体" w:cs="宋体"/>
                <w:bCs/>
                <w:sz w:val="18"/>
                <w:szCs w:val="18"/>
              </w:rPr>
              <w:t>（5）销售对象</w:t>
            </w:r>
          </w:p>
          <w:p w14:paraId="143BF6CC">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1AEFB594">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37080E0F">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7C0F2CDC">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73665B02">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6BE3C178">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717F889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DFBDFA5">
            <w:pPr>
              <w:spacing w:line="360" w:lineRule="auto"/>
              <w:jc w:val="left"/>
              <w:rPr>
                <w:rFonts w:ascii="Calibri"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99" w:type="dxa"/>
            <w:shd w:val="solid" w:color="FFFFFF" w:fill="FFFFFF"/>
            <w:vAlign w:val="center"/>
          </w:tcPr>
          <w:p w14:paraId="762D482B">
            <w:pPr>
              <w:spacing w:line="360" w:lineRule="auto"/>
              <w:rPr>
                <w:rFonts w:ascii="黑体" w:hAnsi="黑体" w:eastAsia="黑体" w:cs="宋体"/>
                <w:b/>
                <w:bCs/>
                <w:sz w:val="18"/>
                <w:szCs w:val="18"/>
              </w:rPr>
            </w:pPr>
            <w:r>
              <w:rPr>
                <w:rFonts w:hint="eastAsia" w:ascii="黑体" w:hAnsi="黑体" w:eastAsia="黑体" w:cs="宋体"/>
                <w:sz w:val="18"/>
                <w:szCs w:val="18"/>
              </w:rPr>
              <w:t>公募</w:t>
            </w:r>
            <w:r>
              <w:rPr>
                <w:rFonts w:hint="eastAsia" w:ascii="黑体" w:hAnsi="黑体" w:eastAsia="黑体" w:cs="宋体"/>
                <w:bCs/>
                <w:sz w:val="18"/>
                <w:szCs w:val="18"/>
              </w:rPr>
              <w:t>、开放式、固定</w:t>
            </w:r>
            <w:r>
              <w:rPr>
                <w:rFonts w:ascii="黑体" w:hAnsi="黑体" w:eastAsia="黑体" w:cs="宋体"/>
                <w:bCs/>
                <w:sz w:val="18"/>
                <w:szCs w:val="18"/>
              </w:rPr>
              <w:t>收益</w:t>
            </w:r>
            <w:r>
              <w:rPr>
                <w:rFonts w:hint="eastAsia" w:ascii="黑体" w:hAnsi="黑体" w:eastAsia="黑体" w:cs="宋体"/>
                <w:bCs/>
                <w:sz w:val="18"/>
                <w:szCs w:val="18"/>
              </w:rPr>
              <w:t>类、非保本浮动</w:t>
            </w:r>
            <w:r>
              <w:rPr>
                <w:rFonts w:ascii="黑体" w:hAnsi="黑体" w:eastAsia="黑体" w:cs="宋体"/>
                <w:bCs/>
                <w:sz w:val="18"/>
                <w:szCs w:val="18"/>
              </w:rPr>
              <w:t>收益</w:t>
            </w:r>
            <w:r>
              <w:rPr>
                <w:rFonts w:hint="eastAsia" w:ascii="黑体" w:hAnsi="黑体" w:eastAsia="黑体" w:cs="宋体"/>
                <w:bCs/>
                <w:sz w:val="18"/>
                <w:szCs w:val="18"/>
              </w:rPr>
              <w:t>、净值型</w:t>
            </w:r>
          </w:p>
        </w:tc>
      </w:tr>
      <w:tr w14:paraId="553EA2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D1B7657">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99" w:type="dxa"/>
            <w:shd w:val="solid" w:color="FFFFFF" w:fill="FFFFFF"/>
            <w:vAlign w:val="center"/>
          </w:tcPr>
          <w:p w14:paraId="5C08827D">
            <w:pPr>
              <w:spacing w:line="360" w:lineRule="auto"/>
              <w:rPr>
                <w:rFonts w:ascii="宋体" w:hAnsi="宋体" w:cs="宋体"/>
                <w:b/>
                <w:bCs/>
                <w:sz w:val="18"/>
                <w:szCs w:val="18"/>
              </w:rPr>
            </w:pPr>
            <w:r>
              <w:rPr>
                <w:rFonts w:hint="eastAsia" w:ascii="宋体" w:hAnsi="宋体" w:eastAsia="宋体" w:cs="宋体"/>
                <w:sz w:val="18"/>
                <w:szCs w:val="18"/>
              </w:rPr>
              <w:t>公募</w:t>
            </w:r>
          </w:p>
        </w:tc>
      </w:tr>
      <w:tr w14:paraId="6A24F2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7C21150D">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99" w:type="dxa"/>
            <w:shd w:val="solid" w:color="FFFFFF" w:fill="FFFFFF"/>
            <w:vAlign w:val="center"/>
          </w:tcPr>
          <w:p w14:paraId="1E6FDEEF">
            <w:pPr>
              <w:spacing w:line="360" w:lineRule="auto"/>
              <w:rPr>
                <w:rFonts w:ascii="宋体" w:hAnsi="宋体" w:cs="宋体"/>
                <w:b/>
                <w:bCs/>
                <w:sz w:val="18"/>
                <w:szCs w:val="18"/>
              </w:rPr>
            </w:pPr>
            <w:r>
              <w:rPr>
                <w:rFonts w:hint="eastAsia" w:ascii="宋体" w:hAnsi="宋体" w:cs="宋体"/>
                <w:bCs/>
                <w:sz w:val="18"/>
                <w:szCs w:val="18"/>
              </w:rPr>
              <w:t>开放式</w:t>
            </w:r>
          </w:p>
        </w:tc>
      </w:tr>
      <w:tr w14:paraId="71445C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00B9E5B">
            <w:pPr>
              <w:spacing w:line="360" w:lineRule="auto"/>
              <w:jc w:val="left"/>
              <w:rPr>
                <w:rFonts w:ascii="宋体" w:hAnsi="宋体" w:cs="宋体"/>
                <w:b/>
                <w:bCs/>
                <w:sz w:val="18"/>
                <w:szCs w:val="18"/>
              </w:rPr>
            </w:pPr>
            <w:r>
              <w:rPr>
                <w:rFonts w:hint="eastAsia" w:ascii="黑体" w:hAnsi="黑体" w:eastAsia="黑体" w:cs="宋体"/>
                <w:sz w:val="18"/>
                <w:szCs w:val="18"/>
              </w:rPr>
              <w:t>★</w:t>
            </w:r>
            <w:r>
              <w:rPr>
                <w:rFonts w:hint="eastAsia" w:ascii="宋体" w:hAnsi="宋体" w:eastAsia="宋体" w:cs="宋体"/>
                <w:b/>
                <w:sz w:val="18"/>
                <w:szCs w:val="18"/>
              </w:rPr>
              <w:t>产品投资性质</w:t>
            </w:r>
          </w:p>
        </w:tc>
        <w:tc>
          <w:tcPr>
            <w:tcW w:w="7699" w:type="dxa"/>
            <w:shd w:val="solid" w:color="FFFFFF" w:fill="FFFFFF"/>
            <w:vAlign w:val="center"/>
          </w:tcPr>
          <w:p w14:paraId="799D60AF">
            <w:pPr>
              <w:adjustRightInd w:val="0"/>
              <w:snapToGrid w:val="0"/>
              <w:spacing w:line="360" w:lineRule="auto"/>
              <w:rPr>
                <w:rFonts w:ascii="黑体" w:hAnsi="黑体" w:eastAsia="黑体" w:cs="宋体"/>
                <w:bCs/>
                <w:sz w:val="18"/>
                <w:szCs w:val="18"/>
              </w:rPr>
            </w:pPr>
            <w:r>
              <w:rPr>
                <w:rFonts w:hint="eastAsia" w:ascii="黑体" w:hAnsi="黑体" w:eastAsia="黑体" w:cs="宋体"/>
                <w:bCs/>
                <w:sz w:val="18"/>
                <w:szCs w:val="18"/>
              </w:rPr>
              <w:t>固定收益类</w:t>
            </w:r>
          </w:p>
          <w:p w14:paraId="056207F8">
            <w:pPr>
              <w:adjustRightInd w:val="0"/>
              <w:snapToGrid w:val="0"/>
              <w:spacing w:line="360" w:lineRule="auto"/>
              <w:rPr>
                <w:rFonts w:ascii="黑体" w:hAnsi="黑体" w:eastAsia="黑体" w:cs="宋体"/>
                <w:bCs/>
                <w:sz w:val="18"/>
                <w:szCs w:val="18"/>
              </w:rPr>
            </w:pPr>
            <w:r>
              <w:rPr>
                <w:rFonts w:hint="eastAsia" w:ascii="黑体" w:hAnsi="黑体" w:eastAsia="黑体" w:cs="宋体"/>
                <w:bCs/>
                <w:sz w:val="18"/>
                <w:szCs w:val="18"/>
              </w:rPr>
              <w:t>固定</w:t>
            </w:r>
            <w:r>
              <w:rPr>
                <w:rFonts w:ascii="黑体" w:hAnsi="黑体" w:eastAsia="黑体" w:cs="宋体"/>
                <w:bCs/>
                <w:sz w:val="18"/>
                <w:szCs w:val="18"/>
              </w:rPr>
              <w:t>收益</w:t>
            </w:r>
            <w:r>
              <w:rPr>
                <w:rFonts w:hint="eastAsia" w:ascii="黑体" w:hAnsi="黑体" w:eastAsia="黑体" w:cs="宋体"/>
                <w:bCs/>
                <w:sz w:val="18"/>
                <w:szCs w:val="18"/>
              </w:rPr>
              <w:t>类</w:t>
            </w:r>
            <w:r>
              <w:rPr>
                <w:rFonts w:ascii="黑体" w:hAnsi="黑体" w:eastAsia="黑体" w:cs="宋体"/>
                <w:bCs/>
                <w:sz w:val="18"/>
                <w:szCs w:val="18"/>
              </w:rPr>
              <w:t>产品是指根据监管</w:t>
            </w:r>
            <w:r>
              <w:rPr>
                <w:rFonts w:hint="eastAsia" w:ascii="黑体" w:hAnsi="黑体" w:eastAsia="黑体" w:cs="宋体"/>
                <w:bCs/>
                <w:sz w:val="18"/>
                <w:szCs w:val="18"/>
              </w:rPr>
              <w:t>相关规定</w:t>
            </w:r>
            <w:r>
              <w:rPr>
                <w:rFonts w:ascii="黑体" w:hAnsi="黑体" w:eastAsia="黑体" w:cs="宋体"/>
                <w:bCs/>
                <w:sz w:val="18"/>
                <w:szCs w:val="18"/>
              </w:rPr>
              <w:t>，投资于债权类资产的</w:t>
            </w:r>
            <w:r>
              <w:rPr>
                <w:rFonts w:hint="eastAsia" w:ascii="黑体" w:hAnsi="黑体" w:eastAsia="黑体" w:cs="宋体"/>
                <w:bCs/>
                <w:sz w:val="18"/>
                <w:szCs w:val="18"/>
              </w:rPr>
              <w:t>比例</w:t>
            </w:r>
            <w:r>
              <w:rPr>
                <w:rFonts w:ascii="黑体" w:hAnsi="黑体" w:eastAsia="黑体" w:cs="宋体"/>
                <w:bCs/>
                <w:sz w:val="18"/>
                <w:szCs w:val="18"/>
              </w:rPr>
              <w:t>不低于80%的产品</w:t>
            </w:r>
            <w:r>
              <w:rPr>
                <w:rFonts w:hint="eastAsia" w:ascii="黑体" w:hAnsi="黑体" w:eastAsia="黑体" w:cs="宋体"/>
                <w:bCs/>
                <w:sz w:val="18"/>
                <w:szCs w:val="18"/>
              </w:rPr>
              <w:t>。</w:t>
            </w:r>
          </w:p>
        </w:tc>
      </w:tr>
      <w:tr w14:paraId="050149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D981536">
            <w:pPr>
              <w:spacing w:line="360" w:lineRule="auto"/>
              <w:jc w:val="left"/>
              <w:rPr>
                <w:rFonts w:ascii="宋体" w:hAnsi="宋体" w:eastAsia="宋体" w:cs="宋体"/>
                <w:b/>
                <w:sz w:val="18"/>
                <w:szCs w:val="18"/>
              </w:rPr>
            </w:pPr>
            <w:r>
              <w:rPr>
                <w:rFonts w:hint="eastAsia" w:ascii="黑体" w:hAnsi="黑体" w:eastAsia="黑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99" w:type="dxa"/>
            <w:shd w:val="solid" w:color="FFFFFF" w:fill="FFFFFF"/>
            <w:vAlign w:val="center"/>
          </w:tcPr>
          <w:p w14:paraId="6AF9605B">
            <w:pPr>
              <w:adjustRightInd w:val="0"/>
              <w:snapToGrid w:val="0"/>
              <w:spacing w:line="360" w:lineRule="auto"/>
              <w:rPr>
                <w:rFonts w:ascii="黑体" w:hAnsi="黑体" w:eastAsia="黑体" w:cs="宋体"/>
                <w:b/>
                <w:sz w:val="18"/>
                <w:szCs w:val="18"/>
              </w:rPr>
            </w:pPr>
            <w:r>
              <w:rPr>
                <w:rFonts w:hint="eastAsia" w:ascii="黑体" w:hAnsi="黑体" w:eastAsia="黑体" w:cs="宋体"/>
                <w:sz w:val="18"/>
                <w:szCs w:val="18"/>
              </w:rPr>
              <w:t>非保本浮动收益</w:t>
            </w:r>
          </w:p>
          <w:p w14:paraId="12D8DF8B">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6837D348">
            <w:pPr>
              <w:adjustRightInd w:val="0"/>
              <w:snapToGrid w:val="0"/>
              <w:spacing w:line="360" w:lineRule="auto"/>
              <w:rPr>
                <w:rFonts w:ascii="黑体" w:hAnsi="黑体" w:eastAsia="黑体" w:cs="宋体"/>
                <w:b/>
                <w:color w:val="000000"/>
                <w:sz w:val="18"/>
                <w:szCs w:val="18"/>
              </w:rPr>
            </w:pPr>
            <w:r>
              <w:rPr>
                <w:rFonts w:hint="eastAsia" w:ascii="黑体" w:hAnsi="黑体" w:eastAsia="黑体" w:cs="宋体"/>
                <w:bCs/>
                <w:sz w:val="18"/>
                <w:szCs w:val="18"/>
              </w:rPr>
              <w:t>产品管理人对本产品的本金并不提供保证，也不承诺任何固定收益。</w:t>
            </w:r>
          </w:p>
        </w:tc>
      </w:tr>
      <w:tr w14:paraId="772C53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986BEA4">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99" w:type="dxa"/>
            <w:shd w:val="solid" w:color="FFFFFF" w:fill="FFFFFF"/>
            <w:vAlign w:val="center"/>
          </w:tcPr>
          <w:p w14:paraId="7D1EE91D">
            <w:pPr>
              <w:spacing w:line="360" w:lineRule="auto"/>
              <w:rPr>
                <w:rFonts w:ascii="宋体" w:hAnsi="宋体" w:cs="宋体"/>
                <w:bCs/>
                <w:sz w:val="18"/>
                <w:szCs w:val="18"/>
              </w:rPr>
            </w:pPr>
            <w:r>
              <w:rPr>
                <w:rFonts w:hint="eastAsia" w:ascii="宋体" w:hAnsi="宋体" w:eastAsia="宋体" w:cs="宋体"/>
                <w:sz w:val="18"/>
                <w:szCs w:val="18"/>
              </w:rPr>
              <w:t>人民币</w:t>
            </w:r>
          </w:p>
        </w:tc>
      </w:tr>
      <w:tr w14:paraId="530B0A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9DEF81A">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99" w:type="dxa"/>
            <w:shd w:val="solid" w:color="FFFFFF" w:fill="FFFFFF"/>
          </w:tcPr>
          <w:p w14:paraId="72E143A7">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14:paraId="123D5931">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2920F20C">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14:paraId="1A5A22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3441F1C8">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99" w:type="dxa"/>
            <w:shd w:val="solid" w:color="FFFFFF" w:fill="FFFFFF"/>
            <w:vAlign w:val="bottom"/>
          </w:tcPr>
          <w:p w14:paraId="3FAD1744">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14:paraId="671D184E">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14:paraId="7DA9A742">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r>
              <w:rPr>
                <w:rFonts w:ascii="宋体" w:hAnsi="宋体" w:eastAsia="宋体" w:cs="宋体"/>
                <w:bCs/>
                <w:sz w:val="18"/>
                <w:szCs w:val="18"/>
              </w:rPr>
              <w:t xml:space="preserve"> </w:t>
            </w:r>
            <w:r>
              <w:rPr>
                <w:rFonts w:hint="eastAsia" w:ascii="宋体" w:hAnsi="宋体" w:eastAsia="宋体" w:cs="宋体"/>
                <w:bCs/>
                <w:sz w:val="18"/>
                <w:szCs w:val="18"/>
              </w:rPr>
              <w:t>■</w:t>
            </w:r>
            <w:r>
              <w:rPr>
                <w:rFonts w:hint="eastAsia" w:ascii="宋体" w:hAnsi="宋体" w:eastAsia="宋体" w:cs="宋体"/>
                <w:bCs/>
                <w:color w:val="000000"/>
                <w:sz w:val="18"/>
                <w:szCs w:val="18"/>
              </w:rPr>
              <w:t>一般</w:t>
            </w:r>
            <w:r>
              <w:rPr>
                <w:rFonts w:ascii="宋体" w:hAnsi="宋体" w:eastAsia="宋体" w:cs="宋体"/>
                <w:bCs/>
                <w:color w:val="000000"/>
                <w:sz w:val="18"/>
                <w:szCs w:val="18"/>
              </w:rPr>
              <w:t>机构</w:t>
            </w:r>
            <w:r>
              <w:rPr>
                <w:rFonts w:hint="eastAsia" w:ascii="宋体" w:hAnsi="宋体" w:eastAsia="宋体" w:cs="宋体"/>
                <w:bCs/>
                <w:color w:val="000000"/>
                <w:sz w:val="18"/>
                <w:szCs w:val="18"/>
              </w:rPr>
              <w:t xml:space="preserve">客户 </w:t>
            </w:r>
            <w:r>
              <w:rPr>
                <w:rFonts w:ascii="宋体" w:hAnsi="宋体" w:eastAsia="宋体" w:cs="宋体"/>
                <w:bCs/>
                <w:color w:val="000000"/>
                <w:sz w:val="18"/>
                <w:szCs w:val="18"/>
              </w:rPr>
              <w:t xml:space="preserve"> </w:t>
            </w:r>
            <w:r>
              <w:rPr>
                <w:rFonts w:hint="eastAsia" w:ascii="宋体" w:hAnsi="宋体" w:eastAsia="宋体" w:cs="宋体"/>
                <w:bCs/>
                <w:sz w:val="18"/>
                <w:szCs w:val="18"/>
              </w:rPr>
              <w:t>□</w:t>
            </w:r>
            <w:r>
              <w:rPr>
                <w:rFonts w:hint="eastAsia" w:ascii="宋体" w:hAnsi="宋体" w:eastAsia="宋体" w:cs="宋体"/>
                <w:bCs/>
                <w:color w:val="000000"/>
                <w:sz w:val="18"/>
                <w:szCs w:val="18"/>
              </w:rPr>
              <w:t>金融同业客户</w:t>
            </w:r>
          </w:p>
        </w:tc>
      </w:tr>
      <w:tr w14:paraId="1E887DB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03120AA">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99" w:type="dxa"/>
            <w:shd w:val="solid" w:color="FFFFFF" w:fill="FFFFFF"/>
            <w:vAlign w:val="center"/>
          </w:tcPr>
          <w:p w14:paraId="69469EE1">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0E4FB6AD">
            <w:pPr>
              <w:spacing w:line="360" w:lineRule="auto"/>
              <w:rPr>
                <w:rFonts w:ascii="宋体" w:hAnsi="宋体" w:eastAsia="宋体" w:cs="宋体"/>
                <w:b/>
                <w:bCs/>
                <w:color w:val="000000"/>
                <w:sz w:val="18"/>
                <w:szCs w:val="18"/>
              </w:rPr>
            </w:pPr>
            <w:r>
              <w:rPr>
                <w:rFonts w:hint="eastAsia" w:ascii="黑体" w:hAnsi="黑体" w:eastAsia="黑体" w:cs="宋体"/>
                <w:sz w:val="18"/>
                <w:szCs w:val="18"/>
              </w:rPr>
              <w:t>注：当销售机构销售产品风险评级为</w:t>
            </w:r>
            <w:r>
              <w:rPr>
                <w:rFonts w:ascii="黑体" w:hAnsi="黑体" w:eastAsia="黑体" w:cs="宋体"/>
                <w:sz w:val="18"/>
                <w:szCs w:val="18"/>
              </w:rPr>
              <w:t>R4</w:t>
            </w:r>
            <w:r>
              <w:rPr>
                <w:rFonts w:hint="eastAsia" w:ascii="黑体" w:hAnsi="黑体" w:eastAsia="黑体" w:cs="宋体"/>
                <w:sz w:val="18"/>
                <w:szCs w:val="18"/>
              </w:rPr>
              <w:t>及</w:t>
            </w:r>
            <w:r>
              <w:rPr>
                <w:rFonts w:ascii="黑体" w:hAnsi="黑体" w:eastAsia="黑体" w:cs="宋体"/>
                <w:sz w:val="18"/>
                <w:szCs w:val="18"/>
              </w:rPr>
              <w:t>以上</w:t>
            </w:r>
            <w:r>
              <w:rPr>
                <w:rFonts w:hint="eastAsia" w:ascii="黑体" w:hAnsi="黑体" w:eastAsia="黑体" w:cs="宋体"/>
                <w:sz w:val="18"/>
                <w:szCs w:val="18"/>
              </w:rPr>
              <w:t>的理财产品时，可在销售机构的营业网点进行，也可依据销售机构的政策在营业网点之外的其他场景进行（具体政策以销售机构公布执行的为准）。</w:t>
            </w:r>
          </w:p>
        </w:tc>
      </w:tr>
      <w:tr w14:paraId="70A0D3E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B5ADE7F">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99" w:type="dxa"/>
            <w:shd w:val="solid" w:color="FFFFFF" w:fill="FFFFFF"/>
            <w:vAlign w:val="center"/>
          </w:tcPr>
          <w:p w14:paraId="7ABEC2ED">
            <w:pPr>
              <w:spacing w:line="360" w:lineRule="auto"/>
              <w:jc w:val="left"/>
              <w:rPr>
                <w:rFonts w:ascii="宋体" w:hAnsi="宋体" w:cs="宋体"/>
                <w:sz w:val="18"/>
                <w:szCs w:val="18"/>
              </w:rPr>
            </w:pPr>
            <w:r>
              <w:rPr>
                <w:rFonts w:hint="eastAsia" w:ascii="宋体" w:hAnsi="宋体" w:cs="宋体"/>
                <w:sz w:val="18"/>
                <w:szCs w:val="18"/>
              </w:rPr>
              <w:t>□ 直销适用</w:t>
            </w:r>
          </w:p>
          <w:p w14:paraId="6BE90667">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6594D5CC">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cs="宋体"/>
                <w:sz w:val="18"/>
                <w:szCs w:val="18"/>
              </w:rPr>
              <w:t xml:space="preserve"> 代销适用</w:t>
            </w:r>
          </w:p>
          <w:p w14:paraId="5155A297">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3173D7CA">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571CD7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E4692FF">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99" w:type="dxa"/>
            <w:shd w:val="solid" w:color="FFFFFF" w:fill="FFFFFF"/>
            <w:vAlign w:val="center"/>
          </w:tcPr>
          <w:p w14:paraId="0AEF8C41">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14:paraId="658F14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F3441D2">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99" w:type="dxa"/>
            <w:shd w:val="solid" w:color="FFFFFF" w:fill="FFFFFF"/>
            <w:vAlign w:val="center"/>
          </w:tcPr>
          <w:p w14:paraId="31A6F98D">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14:paraId="2466F8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2AB37CBA">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99" w:type="dxa"/>
            <w:shd w:val="solid" w:color="FFFFFF" w:fill="FFFFFF"/>
            <w:vAlign w:val="center"/>
          </w:tcPr>
          <w:p w14:paraId="756D63F6">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100</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14:paraId="55968643">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7C00EC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2751AE27">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99" w:type="dxa"/>
            <w:shd w:val="solid" w:color="FFFFFF" w:fill="FFFFFF"/>
            <w:vAlign w:val="center"/>
          </w:tcPr>
          <w:p w14:paraId="58AF7F8B">
            <w:pPr>
              <w:spacing w:line="360" w:lineRule="auto"/>
              <w:rPr>
                <w:rFonts w:ascii="宋体" w:hAnsi="宋体" w:eastAsia="宋体" w:cs="宋体"/>
                <w:bCs/>
                <w:sz w:val="18"/>
                <w:szCs w:val="18"/>
              </w:rPr>
            </w:pPr>
            <w:r>
              <w:rPr>
                <w:rFonts w:hint="eastAsia" w:ascii="宋体" w:hAnsi="宋体" w:eastAsia="宋体" w:cs="宋体"/>
                <w:bCs/>
                <w:sz w:val="18"/>
                <w:szCs w:val="18"/>
              </w:rPr>
              <w:t>□有固定期限：【】</w:t>
            </w:r>
          </w:p>
          <w:p w14:paraId="7D1BBF76">
            <w:pPr>
              <w:spacing w:line="360" w:lineRule="auto"/>
              <w:rPr>
                <w:rFonts w:ascii="宋体" w:hAnsi="宋体" w:eastAsia="宋体" w:cs="仿宋_GB2312"/>
                <w:kern w:val="0"/>
                <w:sz w:val="18"/>
                <w:szCs w:val="18"/>
              </w:rPr>
            </w:pPr>
            <w:r>
              <w:rPr>
                <w:rFonts w:hint="eastAsia" w:ascii="宋体" w:hAnsi="宋体" w:eastAsia="宋体" w:cs="宋体"/>
                <w:bCs/>
                <w:sz w:val="18"/>
                <w:szCs w:val="18"/>
              </w:rPr>
              <w:t>■</w:t>
            </w:r>
            <w:r>
              <w:rPr>
                <w:rFonts w:hint="eastAsia" w:ascii="宋体" w:hAnsi="宋体" w:eastAsia="宋体" w:cs="仿宋_GB2312"/>
                <w:kern w:val="0"/>
                <w:sz w:val="18"/>
                <w:szCs w:val="18"/>
              </w:rPr>
              <w:t>无固定期限</w:t>
            </w:r>
          </w:p>
          <w:p w14:paraId="0F20BF4E">
            <w:pPr>
              <w:spacing w:line="360" w:lineRule="auto"/>
              <w:rPr>
                <w:rFonts w:ascii="宋体" w:hAnsi="宋体" w:eastAsia="宋体" w:cs="仿宋_GB2312"/>
                <w:kern w:val="0"/>
                <w:sz w:val="18"/>
                <w:szCs w:val="18"/>
              </w:rPr>
            </w:pPr>
            <w:r>
              <w:rPr>
                <w:rFonts w:hint="eastAsia" w:ascii="黑体" w:hAnsi="黑体" w:eastAsia="黑体" w:cs="宋体"/>
                <w:bCs/>
                <w:sz w:val="18"/>
                <w:szCs w:val="18"/>
              </w:rPr>
              <w:t>注：本产品的实际期限受制于本理财产品销售文件“提前终止”及“延期终止”情形。</w:t>
            </w:r>
          </w:p>
        </w:tc>
      </w:tr>
      <w:tr w14:paraId="71C287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34421AA">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99" w:type="dxa"/>
            <w:shd w:val="solid" w:color="FFFFFF" w:fill="FFFFFF"/>
            <w:vAlign w:val="center"/>
          </w:tcPr>
          <w:p w14:paraId="043A4EA0">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05</w:t>
            </w:r>
            <w:r>
              <w:rPr>
                <w:rFonts w:hint="eastAsia" w:ascii="宋体" w:hAnsi="宋体" w:cs="Times New Roman"/>
                <w:sz w:val="18"/>
                <w:szCs w:val="18"/>
              </w:rPr>
              <w:t>】月【</w:t>
            </w:r>
            <w:r>
              <w:rPr>
                <w:rFonts w:hint="eastAsia" w:ascii="宋体" w:hAnsi="宋体" w:cs="Times New Roman"/>
                <w:sz w:val="18"/>
                <w:szCs w:val="18"/>
                <w:lang w:val="en-US" w:eastAsia="zh-CN"/>
              </w:rPr>
              <w:t>14</w:t>
            </w:r>
            <w:r>
              <w:rPr>
                <w:rFonts w:hint="eastAsia" w:ascii="宋体" w:hAnsi="宋体" w:cs="Times New Roman"/>
                <w:sz w:val="18"/>
                <w:szCs w:val="18"/>
              </w:rPr>
              <w:t>】日【</w:t>
            </w:r>
            <w:r>
              <w:rPr>
                <w:rFonts w:hint="eastAsia" w:ascii="宋体" w:hAnsi="宋体" w:cs="Times New Roman"/>
                <w:sz w:val="18"/>
                <w:szCs w:val="18"/>
                <w:lang w:val="en-US" w:eastAsia="zh-CN"/>
              </w:rPr>
              <w:t>0：00</w:t>
            </w:r>
            <w:r>
              <w:rPr>
                <w:rFonts w:hint="eastAsia" w:ascii="宋体" w:hAnsi="宋体" w:cs="Times New Roman"/>
                <w:sz w:val="18"/>
                <w:szCs w:val="18"/>
              </w:rPr>
              <w:t>】</w:t>
            </w:r>
            <w:r>
              <w:rPr>
                <w:rFonts w:hint="eastAsia" w:ascii="宋体" w:hAnsi="宋体" w:cs="仿宋_GB2312"/>
                <w:sz w:val="18"/>
                <w:szCs w:val="18"/>
              </w:rPr>
              <w:t>至</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05</w:t>
            </w:r>
            <w:r>
              <w:rPr>
                <w:rFonts w:hint="eastAsia" w:ascii="宋体" w:hAnsi="宋体" w:cs="Times New Roman"/>
                <w:sz w:val="18"/>
                <w:szCs w:val="18"/>
              </w:rPr>
              <w:t>】月【</w:t>
            </w:r>
            <w:r>
              <w:rPr>
                <w:rFonts w:hint="eastAsia" w:ascii="宋体" w:hAnsi="宋体" w:cs="Times New Roman"/>
                <w:sz w:val="18"/>
                <w:szCs w:val="18"/>
                <w:lang w:val="en-US" w:eastAsia="zh-CN"/>
              </w:rPr>
              <w:t>14</w:t>
            </w:r>
            <w:r>
              <w:rPr>
                <w:rFonts w:hint="eastAsia" w:ascii="宋体" w:hAnsi="宋体" w:cs="Times New Roman"/>
                <w:sz w:val="18"/>
                <w:szCs w:val="18"/>
              </w:rPr>
              <w:t>】日</w:t>
            </w:r>
            <w:r>
              <w:rPr>
                <w:rFonts w:hint="eastAsia" w:ascii="宋体" w:hAnsi="宋体" w:eastAsia="宋体" w:cs="宋体"/>
                <w:sz w:val="18"/>
                <w:szCs w:val="18"/>
              </w:rPr>
              <w:t>【</w:t>
            </w:r>
            <w:r>
              <w:rPr>
                <w:rFonts w:hint="eastAsia" w:ascii="宋体" w:hAnsi="宋体" w:eastAsia="宋体" w:cs="宋体"/>
                <w:sz w:val="18"/>
                <w:szCs w:val="18"/>
                <w:lang w:val="en-US" w:eastAsia="zh-CN"/>
              </w:rPr>
              <w:t>24：00</w:t>
            </w:r>
            <w:r>
              <w:rPr>
                <w:rFonts w:hint="eastAsia" w:ascii="宋体" w:hAnsi="宋体" w:eastAsia="宋体" w:cs="宋体"/>
                <w:sz w:val="18"/>
                <w:szCs w:val="18"/>
              </w:rPr>
              <w:t>】</w:t>
            </w:r>
            <w:r>
              <w:rPr>
                <w:rFonts w:ascii="宋体" w:hAnsi="宋体" w:eastAsia="宋体" w:cs="宋体"/>
                <w:sz w:val="18"/>
                <w:szCs w:val="18"/>
              </w:rPr>
              <w:t>。</w:t>
            </w:r>
          </w:p>
          <w:p w14:paraId="5B1E036C">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3BBFCAEF">
            <w:pPr>
              <w:spacing w:line="360" w:lineRule="auto"/>
              <w:rPr>
                <w:rFonts w:ascii="宋体" w:hAnsi="宋体" w:eastAsia="宋体" w:cs="宋体"/>
                <w:bCs/>
                <w:sz w:val="18"/>
                <w:szCs w:val="18"/>
              </w:rPr>
            </w:pPr>
            <w:r>
              <w:rPr>
                <w:rFonts w:ascii="宋体" w:hAnsi="宋体" w:cs="宋体"/>
                <w:bCs/>
                <w:sz w:val="18"/>
                <w:szCs w:val="18"/>
              </w:rPr>
              <w:t>3</w:t>
            </w:r>
            <w:r>
              <w:rPr>
                <w:rFonts w:hint="eastAsia" w:ascii="宋体" w:hAnsi="宋体" w:cs="宋体"/>
                <w:bCs/>
                <w:sz w:val="18"/>
                <w:szCs w:val="18"/>
              </w:rPr>
              <w:t>.认购期/募集期内资金产生的利息不计入认购资金</w:t>
            </w:r>
            <w:r>
              <w:rPr>
                <w:rFonts w:hint="eastAsia" w:ascii="宋体" w:hAnsi="宋体" w:cs="宋体"/>
                <w:sz w:val="18"/>
                <w:szCs w:val="22"/>
              </w:rPr>
              <w:t>。</w:t>
            </w:r>
          </w:p>
        </w:tc>
      </w:tr>
      <w:tr w14:paraId="62AEB7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F2A32E4">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99" w:type="dxa"/>
            <w:shd w:val="solid" w:color="FFFFFF" w:fill="FFFFFF"/>
            <w:vAlign w:val="center"/>
          </w:tcPr>
          <w:p w14:paraId="591CA6B9">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10F51B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CFE1809">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99" w:type="dxa"/>
            <w:shd w:val="solid" w:color="FFFFFF" w:fill="FFFFFF"/>
            <w:vAlign w:val="center"/>
          </w:tcPr>
          <w:p w14:paraId="2C47D65E">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2025</w:t>
            </w:r>
            <w:r>
              <w:rPr>
                <w:rFonts w:ascii="宋体" w:hAnsi="宋体" w:cs="Times New Roman"/>
                <w:sz w:val="18"/>
                <w:szCs w:val="18"/>
              </w:rPr>
              <w:t>】年【</w:t>
            </w:r>
            <w:r>
              <w:rPr>
                <w:rFonts w:hint="eastAsia" w:ascii="宋体" w:hAnsi="宋体" w:cs="Times New Roman"/>
                <w:sz w:val="18"/>
                <w:szCs w:val="18"/>
                <w:lang w:val="en-US" w:eastAsia="zh-CN"/>
              </w:rPr>
              <w:t>05</w:t>
            </w:r>
            <w:r>
              <w:rPr>
                <w:rFonts w:hint="eastAsia" w:ascii="宋体" w:hAnsi="宋体" w:cs="Times New Roman"/>
                <w:sz w:val="18"/>
                <w:szCs w:val="18"/>
              </w:rPr>
              <w:t>】月【</w:t>
            </w:r>
            <w:r>
              <w:rPr>
                <w:rFonts w:hint="eastAsia" w:ascii="宋体" w:hAnsi="宋体" w:cs="Times New Roman"/>
                <w:sz w:val="18"/>
                <w:szCs w:val="18"/>
                <w:lang w:val="en-US" w:eastAsia="zh-CN"/>
              </w:rPr>
              <w:t>15</w:t>
            </w:r>
            <w:r>
              <w:rPr>
                <w:rFonts w:hint="eastAsia" w:ascii="宋体" w:hAnsi="宋体" w:cs="Times New Roman"/>
                <w:sz w:val="18"/>
                <w:szCs w:val="18"/>
              </w:rPr>
              <w:t>】日（遇节假日顺延）</w:t>
            </w:r>
            <w:r>
              <w:rPr>
                <w:rFonts w:hint="eastAsia" w:ascii="宋体" w:hAnsi="宋体" w:cs="宋体"/>
                <w:bCs/>
                <w:sz w:val="18"/>
                <w:szCs w:val="18"/>
              </w:rPr>
              <w:t>。</w:t>
            </w:r>
          </w:p>
          <w:p w14:paraId="7B1C9AB5">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046A62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A6119AA">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99" w:type="dxa"/>
            <w:shd w:val="solid" w:color="FFFFFF" w:fill="FFFFFF"/>
            <w:vAlign w:val="center"/>
          </w:tcPr>
          <w:p w14:paraId="692D247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w:t>
            </w:r>
            <w:r>
              <w:rPr>
                <w:rFonts w:hint="eastAsia" w:ascii="宋体" w:hAnsi="宋体" w:cs="Times New Roman"/>
                <w:sz w:val="18"/>
                <w:szCs w:val="18"/>
                <w:lang w:val="en-US" w:eastAsia="zh-CN"/>
              </w:rPr>
              <w:t>/</w:t>
            </w:r>
            <w:r>
              <w:rPr>
                <w:rFonts w:ascii="宋体" w:hAnsi="宋体" w:cs="Times New Roman"/>
                <w:sz w:val="18"/>
                <w:szCs w:val="18"/>
              </w:rPr>
              <w:t>】年【</w:t>
            </w:r>
            <w:r>
              <w:rPr>
                <w:rFonts w:hint="eastAsia" w:ascii="宋体" w:hAnsi="宋体" w:cs="Times New Roman"/>
                <w:sz w:val="18"/>
                <w:szCs w:val="18"/>
                <w:lang w:val="en-US" w:eastAsia="zh-CN"/>
              </w:rPr>
              <w:t>/</w:t>
            </w:r>
            <w:r>
              <w:rPr>
                <w:rFonts w:hint="eastAsia" w:ascii="宋体" w:hAnsi="宋体" w:cs="Times New Roman"/>
                <w:sz w:val="18"/>
                <w:szCs w:val="18"/>
              </w:rPr>
              <w:t>】月【</w:t>
            </w:r>
            <w:r>
              <w:rPr>
                <w:rFonts w:hint="eastAsia" w:ascii="宋体" w:hAnsi="宋体" w:cs="Times New Roman"/>
                <w:sz w:val="18"/>
                <w:szCs w:val="18"/>
                <w:lang w:val="en-US" w:eastAsia="zh-CN"/>
              </w:rPr>
              <w:t>/</w:t>
            </w:r>
            <w:r>
              <w:rPr>
                <w:rFonts w:hint="eastAsia" w:ascii="宋体" w:hAnsi="宋体" w:cs="Times New Roman"/>
                <w:sz w:val="18"/>
                <w:szCs w:val="18"/>
              </w:rPr>
              <w:t>】日（遇节假日顺延）</w:t>
            </w:r>
            <w:r>
              <w:rPr>
                <w:rFonts w:hint="eastAsia" w:ascii="宋体" w:hAnsi="宋体" w:cs="宋体"/>
                <w:bCs/>
                <w:sz w:val="18"/>
                <w:szCs w:val="18"/>
              </w:rPr>
              <w:t>。</w:t>
            </w:r>
          </w:p>
          <w:p w14:paraId="03827EE4">
            <w:pPr>
              <w:spacing w:line="360" w:lineRule="auto"/>
              <w:rPr>
                <w:rFonts w:ascii="宋体" w:hAnsi="宋体" w:cs="宋体"/>
                <w:bCs/>
                <w:sz w:val="18"/>
                <w:szCs w:val="18"/>
              </w:rPr>
            </w:pPr>
            <w:r>
              <w:rPr>
                <w:rFonts w:hint="eastAsia" w:ascii="宋体" w:hAnsi="宋体" w:cs="宋体"/>
                <w:bCs/>
                <w:sz w:val="18"/>
                <w:szCs w:val="18"/>
              </w:rPr>
              <w:t>2.本产品的实际终止日受制于本理财产品销售文件“提前终止”及“延期终止”情形。</w:t>
            </w:r>
          </w:p>
        </w:tc>
      </w:tr>
      <w:tr w14:paraId="0F4AEE2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14:paraId="0E017D06">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sz w:val="18"/>
                <w:szCs w:val="18"/>
              </w:rPr>
              <w:t>封闭期</w:t>
            </w:r>
          </w:p>
        </w:tc>
        <w:tc>
          <w:tcPr>
            <w:tcW w:w="7699" w:type="dxa"/>
            <w:shd w:val="solid" w:color="FFFFFF" w:fill="FFFFFF"/>
          </w:tcPr>
          <w:p w14:paraId="1616A12D">
            <w:pPr>
              <w:spacing w:line="360" w:lineRule="auto"/>
              <w:rPr>
                <w:rFonts w:ascii="宋体" w:hAnsi="宋体" w:eastAsia="宋体" w:cs="Times New Roman"/>
                <w:b/>
                <w:bCs/>
                <w:sz w:val="18"/>
                <w:szCs w:val="18"/>
              </w:rPr>
            </w:pPr>
            <w:r>
              <w:rPr>
                <w:rFonts w:ascii="宋体" w:hAnsi="宋体" w:cs="Times New Roman"/>
                <w:sz w:val="18"/>
                <w:szCs w:val="18"/>
              </w:rPr>
              <w:t>1.</w:t>
            </w:r>
            <w:r>
              <w:rPr>
                <w:rFonts w:hint="eastAsia" w:ascii="宋体" w:hAnsi="宋体" w:cs="宋体"/>
                <w:bCs/>
                <w:sz w:val="18"/>
                <w:szCs w:val="18"/>
              </w:rPr>
              <w:t>本产品封闭期为：</w:t>
            </w:r>
            <w:r>
              <w:rPr>
                <w:rFonts w:hint="eastAsia" w:ascii="宋体" w:hAnsi="宋体" w:cs="Times New Roman"/>
                <w:sz w:val="18"/>
                <w:szCs w:val="18"/>
              </w:rPr>
              <w:t>【</w:t>
            </w:r>
            <w:r>
              <w:rPr>
                <w:rFonts w:hint="eastAsia" w:ascii="宋体" w:hAnsi="宋体" w:cs="Times New Roman"/>
                <w:sz w:val="18"/>
                <w:szCs w:val="18"/>
                <w:lang w:val="en-US" w:eastAsia="zh-CN"/>
              </w:rPr>
              <w:t>/</w:t>
            </w:r>
            <w:r>
              <w:rPr>
                <w:rFonts w:ascii="宋体" w:hAnsi="宋体" w:cs="Times New Roman"/>
                <w:sz w:val="18"/>
                <w:szCs w:val="18"/>
              </w:rPr>
              <w:t>】年【</w:t>
            </w:r>
            <w:r>
              <w:rPr>
                <w:rFonts w:hint="eastAsia" w:ascii="宋体" w:hAnsi="宋体" w:cs="Times New Roman"/>
                <w:sz w:val="18"/>
                <w:szCs w:val="18"/>
                <w:lang w:val="en-US" w:eastAsia="zh-CN"/>
              </w:rPr>
              <w:t>/</w:t>
            </w:r>
            <w:r>
              <w:rPr>
                <w:rFonts w:hint="eastAsia" w:ascii="宋体" w:hAnsi="宋体" w:cs="Times New Roman"/>
                <w:sz w:val="18"/>
                <w:szCs w:val="18"/>
              </w:rPr>
              <w:t>】月【</w:t>
            </w:r>
            <w:r>
              <w:rPr>
                <w:rFonts w:hint="eastAsia" w:ascii="宋体" w:hAnsi="宋体" w:cs="Times New Roman"/>
                <w:sz w:val="18"/>
                <w:szCs w:val="18"/>
                <w:lang w:val="en-US" w:eastAsia="zh-CN"/>
              </w:rPr>
              <w:t>/</w:t>
            </w:r>
            <w:r>
              <w:rPr>
                <w:rFonts w:hint="eastAsia" w:ascii="宋体" w:hAnsi="宋体" w:cs="Times New Roman"/>
                <w:sz w:val="18"/>
                <w:szCs w:val="18"/>
              </w:rPr>
              <w:t>】日</w:t>
            </w:r>
            <w:r>
              <w:rPr>
                <w:rFonts w:hint="eastAsia" w:ascii="宋体" w:hAnsi="宋体" w:cs="仿宋_GB2312"/>
                <w:sz w:val="18"/>
                <w:szCs w:val="18"/>
              </w:rPr>
              <w:t>至</w:t>
            </w:r>
            <w:r>
              <w:rPr>
                <w:rFonts w:hint="eastAsia" w:ascii="宋体" w:hAnsi="宋体" w:cs="Times New Roman"/>
                <w:sz w:val="18"/>
                <w:szCs w:val="18"/>
              </w:rPr>
              <w:t>【</w:t>
            </w:r>
            <w:r>
              <w:rPr>
                <w:rFonts w:hint="eastAsia" w:ascii="宋体" w:hAnsi="宋体" w:cs="Times New Roman"/>
                <w:sz w:val="18"/>
                <w:szCs w:val="18"/>
                <w:lang w:val="en-US" w:eastAsia="zh-CN"/>
              </w:rPr>
              <w:t>/</w:t>
            </w:r>
            <w:r>
              <w:rPr>
                <w:rFonts w:ascii="宋体" w:hAnsi="宋体" w:cs="Times New Roman"/>
                <w:sz w:val="18"/>
                <w:szCs w:val="18"/>
              </w:rPr>
              <w:t>】年【</w:t>
            </w:r>
            <w:r>
              <w:rPr>
                <w:rFonts w:hint="eastAsia" w:ascii="宋体" w:hAnsi="宋体" w:cs="Times New Roman"/>
                <w:sz w:val="18"/>
                <w:szCs w:val="18"/>
                <w:lang w:val="en-US" w:eastAsia="zh-CN"/>
              </w:rPr>
              <w:t>/</w:t>
            </w:r>
            <w:r>
              <w:rPr>
                <w:rFonts w:hint="eastAsia" w:ascii="宋体" w:hAnsi="宋体" w:cs="Times New Roman"/>
                <w:sz w:val="18"/>
                <w:szCs w:val="18"/>
              </w:rPr>
              <w:t>】月【</w:t>
            </w:r>
            <w:r>
              <w:rPr>
                <w:rFonts w:hint="eastAsia" w:ascii="宋体" w:hAnsi="宋体" w:cs="Times New Roman"/>
                <w:sz w:val="18"/>
                <w:szCs w:val="18"/>
                <w:lang w:val="en-US" w:eastAsia="zh-CN"/>
              </w:rPr>
              <w:t>/</w:t>
            </w:r>
            <w:r>
              <w:rPr>
                <w:rFonts w:hint="eastAsia" w:ascii="宋体" w:hAnsi="宋体" w:cs="Times New Roman"/>
                <w:sz w:val="18"/>
                <w:szCs w:val="18"/>
              </w:rPr>
              <w:t>】日</w:t>
            </w:r>
            <w:r>
              <w:rPr>
                <w:rFonts w:hint="eastAsia" w:ascii="宋体" w:hAnsi="宋体" w:eastAsia="宋体" w:cs="宋体"/>
                <w:sz w:val="18"/>
                <w:szCs w:val="18"/>
              </w:rPr>
              <w:t>。</w:t>
            </w:r>
          </w:p>
          <w:p w14:paraId="44469642">
            <w:pPr>
              <w:spacing w:line="360" w:lineRule="auto"/>
              <w:rPr>
                <w:rFonts w:ascii="宋体" w:hAnsi="宋体" w:cs="宋体"/>
                <w:bCs/>
                <w:sz w:val="18"/>
                <w:szCs w:val="18"/>
              </w:rPr>
            </w:pPr>
            <w:r>
              <w:rPr>
                <w:rFonts w:ascii="宋体" w:hAnsi="宋体" w:cs="宋体"/>
                <w:sz w:val="18"/>
                <w:szCs w:val="18"/>
              </w:rPr>
              <w:t>2.</w:t>
            </w:r>
            <w:r>
              <w:rPr>
                <w:rFonts w:hint="eastAsia" w:ascii="宋体" w:hAnsi="宋体" w:cs="宋体"/>
                <w:sz w:val="18"/>
                <w:szCs w:val="18"/>
              </w:rPr>
              <w:t>封闭期内不接受申购或赎回申请。</w:t>
            </w:r>
          </w:p>
        </w:tc>
      </w:tr>
      <w:tr w14:paraId="04C86A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14:paraId="58CA2A7B">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申购/赎回安排</w:t>
            </w:r>
          </w:p>
        </w:tc>
        <w:tc>
          <w:tcPr>
            <w:tcW w:w="7699" w:type="dxa"/>
            <w:shd w:val="solid" w:color="FFFFFF" w:fill="FFFFFF"/>
          </w:tcPr>
          <w:p w14:paraId="46DEC9A4">
            <w:pPr>
              <w:spacing w:line="360" w:lineRule="auto"/>
              <w:rPr>
                <w:rFonts w:ascii="宋体" w:hAnsi="宋体" w:cs="宋体"/>
                <w:sz w:val="18"/>
                <w:szCs w:val="18"/>
              </w:rPr>
            </w:pPr>
            <w:r>
              <w:rPr>
                <w:rFonts w:hint="eastAsia" w:ascii="宋体" w:hAnsi="宋体" w:cs="宋体"/>
                <w:sz w:val="18"/>
                <w:szCs w:val="18"/>
              </w:rPr>
              <w:t>1</w:t>
            </w:r>
            <w:r>
              <w:rPr>
                <w:rFonts w:ascii="宋体" w:hAnsi="宋体" w:cs="宋体"/>
                <w:sz w:val="18"/>
                <w:szCs w:val="18"/>
              </w:rPr>
              <w:t>.</w:t>
            </w:r>
            <w:r>
              <w:rPr>
                <w:rFonts w:hint="eastAsia" w:ascii="宋体" w:hAnsi="宋体" w:cs="宋体"/>
                <w:sz w:val="18"/>
                <w:szCs w:val="18"/>
              </w:rPr>
              <w:t>本产品在封闭期后，产品按以下规则设置开放期：</w:t>
            </w:r>
          </w:p>
          <w:p w14:paraId="7443D52D">
            <w:pPr>
              <w:spacing w:line="360" w:lineRule="auto"/>
              <w:rPr>
                <w:rFonts w:ascii="宋体" w:hAnsi="宋体" w:cs="宋体"/>
                <w:sz w:val="18"/>
                <w:szCs w:val="18"/>
              </w:rPr>
            </w:pPr>
            <w:r>
              <w:rPr>
                <w:rFonts w:hint="eastAsia" w:ascii="宋体" w:hAnsi="宋体" w:cs="宋体"/>
                <w:sz w:val="18"/>
                <w:szCs w:val="18"/>
              </w:rPr>
              <w:t>（1）本</w:t>
            </w:r>
            <w:r>
              <w:rPr>
                <w:rFonts w:ascii="宋体" w:hAnsi="宋体" w:cs="宋体"/>
                <w:sz w:val="18"/>
                <w:szCs w:val="18"/>
              </w:rPr>
              <w:t>产品成立后</w:t>
            </w:r>
            <w:r>
              <w:rPr>
                <w:rFonts w:hint="eastAsia" w:ascii="宋体" w:hAnsi="宋体" w:cs="宋体"/>
                <w:sz w:val="18"/>
                <w:szCs w:val="18"/>
              </w:rPr>
              <w:t>，</w:t>
            </w:r>
            <w:r>
              <w:rPr>
                <w:rFonts w:ascii="宋体" w:hAnsi="宋体" w:cs="宋体"/>
                <w:sz w:val="18"/>
                <w:szCs w:val="18"/>
              </w:rPr>
              <w:t>在封闭期之</w:t>
            </w:r>
            <w:r>
              <w:rPr>
                <w:rFonts w:hint="eastAsia" w:ascii="宋体" w:hAnsi="宋体" w:cs="宋体"/>
                <w:sz w:val="18"/>
                <w:szCs w:val="18"/>
              </w:rPr>
              <w:t>后的每个【</w:t>
            </w:r>
            <w:r>
              <w:rPr>
                <w:rFonts w:hint="eastAsia" w:ascii="宋体" w:hAnsi="宋体" w:cs="宋体"/>
                <w:sz w:val="18"/>
                <w:szCs w:val="18"/>
                <w:lang w:val="en-US" w:eastAsia="zh-CN"/>
              </w:rPr>
              <w:t>工作日</w:t>
            </w:r>
            <w:r>
              <w:rPr>
                <w:rFonts w:hint="eastAsia" w:ascii="宋体" w:hAnsi="宋体" w:cs="宋体"/>
                <w:sz w:val="18"/>
                <w:szCs w:val="18"/>
              </w:rPr>
              <w:t>】为开放日，开放日开放投资者的申购与赎回；</w:t>
            </w:r>
          </w:p>
          <w:p w14:paraId="521A557A">
            <w:pPr>
              <w:spacing w:line="360" w:lineRule="auto"/>
              <w:rPr>
                <w:rFonts w:ascii="宋体" w:hAnsi="宋体" w:cs="宋体"/>
                <w:sz w:val="18"/>
                <w:szCs w:val="18"/>
              </w:rPr>
            </w:pPr>
            <w:r>
              <w:rPr>
                <w:rFonts w:hint="eastAsia" w:ascii="宋体" w:hAnsi="宋体" w:cs="宋体"/>
                <w:sz w:val="18"/>
                <w:szCs w:val="18"/>
              </w:rPr>
              <w:t>（2）产品管理人公告暂停开放的日期除外。</w:t>
            </w:r>
          </w:p>
          <w:p w14:paraId="3F5B872E">
            <w:pPr>
              <w:spacing w:line="360" w:lineRule="auto"/>
              <w:rPr>
                <w:rFonts w:ascii="宋体" w:hAnsi="宋体" w:eastAsia="黑体" w:cs="宋体"/>
                <w:b/>
                <w:sz w:val="18"/>
                <w:szCs w:val="18"/>
              </w:rPr>
            </w:pPr>
            <w:r>
              <w:rPr>
                <w:rFonts w:hint="eastAsia" w:ascii="宋体" w:hAnsi="宋体" w:cs="宋体"/>
                <w:sz w:val="18"/>
                <w:szCs w:val="18"/>
              </w:rPr>
              <w:t>2</w:t>
            </w:r>
            <w:r>
              <w:rPr>
                <w:rFonts w:ascii="宋体" w:hAnsi="宋体" w:cs="宋体"/>
                <w:sz w:val="18"/>
                <w:szCs w:val="18"/>
              </w:rPr>
              <w:t>.</w:t>
            </w:r>
            <w:r>
              <w:rPr>
                <w:rFonts w:hint="eastAsia" w:ascii="宋体" w:hAnsi="宋体" w:cs="宋体"/>
                <w:sz w:val="18"/>
                <w:szCs w:val="18"/>
              </w:rPr>
              <w:t>申购安排</w:t>
            </w:r>
          </w:p>
          <w:p w14:paraId="13989B2E">
            <w:pPr>
              <w:spacing w:line="360" w:lineRule="auto"/>
              <w:rPr>
                <w:rFonts w:ascii="宋体" w:hAnsi="宋体" w:eastAsia="黑体" w:cs="宋体"/>
                <w:b/>
                <w:sz w:val="18"/>
                <w:szCs w:val="18"/>
              </w:rPr>
            </w:pPr>
            <w:r>
              <w:rPr>
                <w:rFonts w:hint="eastAsia" w:ascii="宋体" w:hAnsi="宋体" w:cs="宋体"/>
                <w:sz w:val="18"/>
                <w:szCs w:val="18"/>
              </w:rPr>
              <w:t>（1）申购的时间</w:t>
            </w:r>
          </w:p>
          <w:p w14:paraId="2B33E0D5">
            <w:pPr>
              <w:spacing w:line="360" w:lineRule="auto"/>
              <w:rPr>
                <w:rFonts w:ascii="宋体" w:hAnsi="宋体" w:eastAsia="黑体" w:cs="宋体"/>
                <w:b/>
                <w:sz w:val="18"/>
                <w:szCs w:val="18"/>
              </w:rPr>
            </w:pPr>
            <w:r>
              <w:rPr>
                <w:rFonts w:hint="eastAsia" w:ascii="宋体" w:hAnsi="宋体" w:cs="宋体"/>
                <w:sz w:val="18"/>
                <w:szCs w:val="18"/>
              </w:rPr>
              <w:t>本产品封闭期后的每个开放日开放申购。投资者可于开放日内提交申购申请，产品管理人公告暂停开放的日期除外。</w:t>
            </w:r>
          </w:p>
          <w:p w14:paraId="51198076">
            <w:pPr>
              <w:spacing w:line="360" w:lineRule="auto"/>
              <w:rPr>
                <w:rFonts w:ascii="宋体" w:hAnsi="宋体" w:eastAsia="黑体" w:cs="宋体"/>
                <w:b/>
                <w:sz w:val="18"/>
                <w:szCs w:val="18"/>
              </w:rPr>
            </w:pPr>
            <w:r>
              <w:rPr>
                <w:rFonts w:hint="eastAsia" w:ascii="宋体" w:hAnsi="宋体" w:cs="宋体"/>
                <w:sz w:val="18"/>
                <w:szCs w:val="18"/>
              </w:rPr>
              <w:t>（2）申购的确认</w:t>
            </w:r>
          </w:p>
          <w:tbl>
            <w:tblPr>
              <w:tblStyle w:val="8"/>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7"/>
              <w:gridCol w:w="1701"/>
              <w:gridCol w:w="1984"/>
              <w:gridCol w:w="1985"/>
            </w:tblGrid>
            <w:tr w14:paraId="6EEAE7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837" w:type="dxa"/>
                  <w:vAlign w:val="center"/>
                </w:tcPr>
                <w:p w14:paraId="0D4C020A">
                  <w:pPr>
                    <w:widowControl w:val="0"/>
                    <w:autoSpaceDE w:val="0"/>
                    <w:autoSpaceDN w:val="0"/>
                    <w:adjustRightInd w:val="0"/>
                    <w:spacing w:line="360" w:lineRule="auto"/>
                    <w:jc w:val="center"/>
                    <w:rPr>
                      <w:rFonts w:ascii="宋体" w:hAnsi="宋体" w:eastAsia="宋体" w:cs="宋体"/>
                      <w:b/>
                      <w:bCs/>
                      <w:color w:val="000000"/>
                      <w:kern w:val="2"/>
                      <w:sz w:val="18"/>
                      <w:szCs w:val="18"/>
                      <w:lang w:val="en-US" w:eastAsia="zh-CN" w:bidi="ar-SA"/>
                    </w:rPr>
                  </w:pPr>
                  <w:r>
                    <w:rPr>
                      <w:rFonts w:hint="eastAsia" w:ascii="宋体" w:hAnsi="宋体" w:eastAsia="宋体" w:cs="宋体"/>
                      <w:b/>
                      <w:bCs/>
                      <w:color w:val="auto"/>
                      <w:sz w:val="18"/>
                      <w:szCs w:val="18"/>
                      <w:lang w:val="en-US" w:eastAsia="zh-CN" w:bidi="ar-SA"/>
                    </w:rPr>
                    <w:t>申购申请日</w:t>
                  </w:r>
                </w:p>
              </w:tc>
              <w:tc>
                <w:tcPr>
                  <w:tcW w:w="1701" w:type="dxa"/>
                  <w:vAlign w:val="center"/>
                </w:tcPr>
                <w:p w14:paraId="291E1312">
                  <w:pPr>
                    <w:widowControl w:val="0"/>
                    <w:autoSpaceDE w:val="0"/>
                    <w:autoSpaceDN w:val="0"/>
                    <w:adjustRightInd w:val="0"/>
                    <w:spacing w:line="360" w:lineRule="auto"/>
                    <w:jc w:val="center"/>
                    <w:rPr>
                      <w:rFonts w:ascii="宋体" w:hAnsi="宋体" w:eastAsia="宋体" w:cs="Times New Roman"/>
                      <w:b/>
                      <w:bCs/>
                      <w:color w:val="auto"/>
                      <w:kern w:val="2"/>
                      <w:sz w:val="18"/>
                      <w:szCs w:val="18"/>
                      <w:lang w:val="en-US" w:eastAsia="zh-CN" w:bidi="ar-SA"/>
                    </w:rPr>
                  </w:pPr>
                  <w:r>
                    <w:rPr>
                      <w:rFonts w:hint="eastAsia" w:ascii="宋体" w:hAnsi="宋体" w:eastAsia="宋体" w:cs="Times New Roman"/>
                      <w:b/>
                      <w:bCs/>
                      <w:color w:val="auto"/>
                      <w:sz w:val="18"/>
                      <w:szCs w:val="18"/>
                      <w:lang w:val="en-US" w:eastAsia="zh-CN" w:bidi="ar-SA"/>
                    </w:rPr>
                    <w:t>申购日</w:t>
                  </w:r>
                </w:p>
              </w:tc>
              <w:tc>
                <w:tcPr>
                  <w:tcW w:w="1984" w:type="dxa"/>
                  <w:vAlign w:val="center"/>
                </w:tcPr>
                <w:p w14:paraId="74B02A0C">
                  <w:pPr>
                    <w:widowControl w:val="0"/>
                    <w:autoSpaceDE w:val="0"/>
                    <w:autoSpaceDN w:val="0"/>
                    <w:adjustRightInd w:val="0"/>
                    <w:spacing w:line="360" w:lineRule="auto"/>
                    <w:jc w:val="center"/>
                    <w:rPr>
                      <w:rFonts w:ascii="宋体" w:hAnsi="宋体" w:eastAsia="宋体" w:cs="宋体"/>
                      <w:b/>
                      <w:bCs/>
                      <w:color w:val="000000"/>
                      <w:kern w:val="2"/>
                      <w:sz w:val="18"/>
                      <w:szCs w:val="18"/>
                      <w:lang w:val="en-US" w:eastAsia="zh-CN" w:bidi="ar-SA"/>
                    </w:rPr>
                  </w:pPr>
                  <w:r>
                    <w:rPr>
                      <w:rFonts w:hint="eastAsia" w:ascii="宋体" w:hAnsi="宋体" w:eastAsia="宋体" w:cs="Times New Roman"/>
                      <w:b/>
                      <w:bCs/>
                      <w:color w:val="auto"/>
                      <w:sz w:val="18"/>
                      <w:szCs w:val="18"/>
                      <w:lang w:val="en-US" w:eastAsia="zh-CN" w:bidi="ar-SA"/>
                    </w:rPr>
                    <w:t>申购确认日</w:t>
                  </w:r>
                </w:p>
              </w:tc>
              <w:tc>
                <w:tcPr>
                  <w:tcW w:w="1985" w:type="dxa"/>
                  <w:vAlign w:val="center"/>
                </w:tcPr>
                <w:p w14:paraId="4F84E445">
                  <w:pPr>
                    <w:widowControl w:val="0"/>
                    <w:autoSpaceDE w:val="0"/>
                    <w:autoSpaceDN w:val="0"/>
                    <w:adjustRightInd w:val="0"/>
                    <w:spacing w:line="360" w:lineRule="auto"/>
                    <w:jc w:val="center"/>
                    <w:rPr>
                      <w:rFonts w:ascii="宋体" w:hAnsi="宋体" w:eastAsia="宋体" w:cs="Times New Roman"/>
                      <w:b/>
                      <w:bCs/>
                      <w:color w:val="auto"/>
                      <w:sz w:val="18"/>
                      <w:szCs w:val="18"/>
                      <w:lang w:val="en-US" w:eastAsia="zh-CN" w:bidi="ar-SA"/>
                    </w:rPr>
                  </w:pPr>
                  <w:r>
                    <w:rPr>
                      <w:rFonts w:hint="eastAsia" w:ascii="宋体" w:hAnsi="宋体" w:eastAsia="宋体" w:cs="Times New Roman"/>
                      <w:b/>
                      <w:bCs/>
                      <w:color w:val="auto"/>
                      <w:sz w:val="18"/>
                      <w:szCs w:val="18"/>
                      <w:lang w:val="en-US" w:eastAsia="zh-CN" w:bidi="ar-SA"/>
                    </w:rPr>
                    <w:t>申购确认方式</w:t>
                  </w:r>
                </w:p>
              </w:tc>
            </w:tr>
            <w:tr w14:paraId="6422BE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1F398690">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开放日内交易时间：</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0：00</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 xml:space="preserve">-【17：00】 </w:t>
                  </w:r>
                </w:p>
              </w:tc>
              <w:tc>
                <w:tcPr>
                  <w:tcW w:w="1701" w:type="dxa"/>
                  <w:vAlign w:val="center"/>
                </w:tcPr>
                <w:p w14:paraId="4081626B">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申购申请日当日</w:t>
                  </w:r>
                </w:p>
              </w:tc>
              <w:tc>
                <w:tcPr>
                  <w:tcW w:w="1984" w:type="dxa"/>
                  <w:vAlign w:val="center"/>
                </w:tcPr>
                <w:p w14:paraId="1651B6DE">
                  <w:pPr>
                    <w:widowControl w:val="0"/>
                    <w:autoSpaceDE w:val="0"/>
                    <w:autoSpaceDN w:val="0"/>
                    <w:adjustRightInd w:val="0"/>
                    <w:spacing w:line="360" w:lineRule="auto"/>
                    <w:jc w:val="left"/>
                    <w:rPr>
                      <w:rFonts w:ascii="宋体" w:hAnsi="宋体" w:eastAsia="宋体" w:cs="宋体"/>
                      <w:bCs/>
                      <w:color w:val="auto"/>
                      <w:kern w:val="2"/>
                      <w:sz w:val="18"/>
                      <w:szCs w:val="18"/>
                      <w:lang w:val="en-US" w:eastAsia="zh-CN" w:bidi="ar-SA"/>
                    </w:rPr>
                  </w:pPr>
                  <w:r>
                    <w:rPr>
                      <w:rFonts w:hint="eastAsia" w:ascii="宋体" w:hAnsi="宋体" w:eastAsia="宋体" w:cs="宋体"/>
                      <w:bCs/>
                      <w:color w:val="auto"/>
                      <w:sz w:val="18"/>
                      <w:szCs w:val="18"/>
                      <w:lang w:val="en-US" w:eastAsia="zh-CN" w:bidi="ar-SA"/>
                    </w:rPr>
                    <w:t>申购日后的下一个开放日</w:t>
                  </w:r>
                </w:p>
              </w:tc>
              <w:tc>
                <w:tcPr>
                  <w:tcW w:w="1985" w:type="dxa"/>
                  <w:vMerge w:val="restart"/>
                </w:tcPr>
                <w:p w14:paraId="045EDD5F">
                  <w:pPr>
                    <w:widowControl w:val="0"/>
                    <w:autoSpaceDE w:val="0"/>
                    <w:autoSpaceDN w:val="0"/>
                    <w:adjustRightInd w:val="0"/>
                    <w:spacing w:line="360" w:lineRule="auto"/>
                    <w:jc w:val="left"/>
                    <w:rPr>
                      <w:rFonts w:ascii="宋体" w:hAnsi="宋体" w:eastAsia="宋体" w:cs="宋体"/>
                      <w:bCs/>
                      <w:color w:val="auto"/>
                      <w:kern w:val="2"/>
                      <w:sz w:val="18"/>
                      <w:szCs w:val="18"/>
                      <w:lang w:val="en-US" w:eastAsia="zh-CN" w:bidi="ar-SA"/>
                    </w:rPr>
                  </w:pPr>
                  <w:r>
                    <w:rPr>
                      <w:rFonts w:hint="eastAsia" w:ascii="宋体" w:hAnsi="宋体" w:eastAsia="宋体" w:cs="宋体"/>
                      <w:bCs/>
                      <w:color w:val="auto"/>
                      <w:sz w:val="18"/>
                      <w:szCs w:val="18"/>
                      <w:lang w:val="en-US" w:eastAsia="zh-CN" w:bidi="ar-SA"/>
                    </w:rPr>
                    <w:t>产品管理人在申购确认日对投资者的申购申请的有效性进行确认，并登记理财份额。</w:t>
                  </w:r>
                </w:p>
              </w:tc>
            </w:tr>
            <w:tr w14:paraId="75FAF7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3252CE25">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开放日内非交易时间：</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17：00</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-【24：00】</w:t>
                  </w:r>
                </w:p>
              </w:tc>
              <w:tc>
                <w:tcPr>
                  <w:tcW w:w="1701" w:type="dxa"/>
                  <w:vAlign w:val="center"/>
                </w:tcPr>
                <w:p w14:paraId="069B928E">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申购申请日后的下一个开放日</w:t>
                  </w:r>
                </w:p>
              </w:tc>
              <w:tc>
                <w:tcPr>
                  <w:tcW w:w="1984" w:type="dxa"/>
                  <w:vAlign w:val="center"/>
                </w:tcPr>
                <w:p w14:paraId="4F1D3606">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申购日后的下一个开放日</w:t>
                  </w:r>
                </w:p>
              </w:tc>
              <w:tc>
                <w:tcPr>
                  <w:tcW w:w="1985" w:type="dxa"/>
                  <w:vMerge w:val="continue"/>
                </w:tcPr>
                <w:p w14:paraId="4CF91AD2">
                  <w:pPr>
                    <w:widowControl w:val="0"/>
                    <w:autoSpaceDE w:val="0"/>
                    <w:autoSpaceDN w:val="0"/>
                    <w:adjustRightInd w:val="0"/>
                    <w:spacing w:line="360" w:lineRule="auto"/>
                    <w:jc w:val="left"/>
                    <w:rPr>
                      <w:rFonts w:ascii="宋体" w:hAnsi="宋体" w:eastAsia="宋体" w:cs="宋体"/>
                      <w:bCs/>
                      <w:color w:val="auto"/>
                      <w:kern w:val="2"/>
                      <w:sz w:val="18"/>
                      <w:szCs w:val="18"/>
                      <w:lang w:val="en-US" w:eastAsia="zh-CN" w:bidi="ar-SA"/>
                    </w:rPr>
                  </w:pPr>
                </w:p>
              </w:tc>
            </w:tr>
            <w:tr w14:paraId="2EE4B3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837" w:type="dxa"/>
                  <w:vAlign w:val="center"/>
                </w:tcPr>
                <w:p w14:paraId="486E4B04">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 xml:space="preserve">非开放日 </w:t>
                  </w:r>
                </w:p>
              </w:tc>
              <w:tc>
                <w:tcPr>
                  <w:tcW w:w="1701" w:type="dxa"/>
                  <w:vAlign w:val="center"/>
                </w:tcPr>
                <w:p w14:paraId="0ACE31C2">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申购申请日后的下一个开放日</w:t>
                  </w:r>
                </w:p>
              </w:tc>
              <w:tc>
                <w:tcPr>
                  <w:tcW w:w="1984" w:type="dxa"/>
                  <w:vAlign w:val="center"/>
                </w:tcPr>
                <w:p w14:paraId="736A5C69">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申购日后的下一个开放日</w:t>
                  </w:r>
                </w:p>
              </w:tc>
              <w:tc>
                <w:tcPr>
                  <w:tcW w:w="1985" w:type="dxa"/>
                  <w:vMerge w:val="continue"/>
                </w:tcPr>
                <w:p w14:paraId="3F584BEE">
                  <w:pPr>
                    <w:widowControl w:val="0"/>
                    <w:autoSpaceDE w:val="0"/>
                    <w:autoSpaceDN w:val="0"/>
                    <w:adjustRightInd w:val="0"/>
                    <w:spacing w:line="360" w:lineRule="auto"/>
                    <w:jc w:val="left"/>
                    <w:rPr>
                      <w:rFonts w:ascii="宋体" w:hAnsi="宋体" w:eastAsia="宋体" w:cs="宋体"/>
                      <w:bCs/>
                      <w:color w:val="auto"/>
                      <w:kern w:val="2"/>
                      <w:sz w:val="18"/>
                      <w:szCs w:val="18"/>
                      <w:lang w:val="en-US" w:eastAsia="zh-CN" w:bidi="ar-SA"/>
                    </w:rPr>
                  </w:pPr>
                </w:p>
              </w:tc>
            </w:tr>
          </w:tbl>
          <w:p w14:paraId="656753FC">
            <w:pPr>
              <w:spacing w:line="360" w:lineRule="auto"/>
              <w:rPr>
                <w:rFonts w:ascii="宋体" w:hAnsi="宋体" w:cs="宋体"/>
                <w:sz w:val="18"/>
                <w:szCs w:val="18"/>
              </w:rPr>
            </w:pPr>
            <w:r>
              <w:rPr>
                <w:rFonts w:ascii="宋体" w:hAnsi="宋体" w:cs="宋体"/>
                <w:sz w:val="18"/>
                <w:szCs w:val="18"/>
              </w:rPr>
              <w:t>3.赎回</w:t>
            </w:r>
            <w:r>
              <w:rPr>
                <w:rFonts w:hint="eastAsia" w:ascii="宋体" w:hAnsi="宋体" w:cs="宋体"/>
                <w:sz w:val="18"/>
                <w:szCs w:val="18"/>
              </w:rPr>
              <w:t>安排</w:t>
            </w:r>
          </w:p>
          <w:p w14:paraId="36C78232">
            <w:pPr>
              <w:spacing w:line="360" w:lineRule="auto"/>
              <w:rPr>
                <w:rFonts w:ascii="宋体" w:hAnsi="宋体" w:cs="宋体"/>
                <w:sz w:val="18"/>
                <w:szCs w:val="18"/>
              </w:rPr>
            </w:pPr>
            <w:r>
              <w:rPr>
                <w:rFonts w:hint="eastAsia" w:ascii="宋体" w:hAnsi="宋体" w:cs="宋体"/>
                <w:sz w:val="18"/>
                <w:szCs w:val="18"/>
              </w:rPr>
              <w:t>（1）赎回的时间</w:t>
            </w:r>
          </w:p>
          <w:p w14:paraId="1AB3E920">
            <w:pPr>
              <w:spacing w:line="360" w:lineRule="auto"/>
              <w:rPr>
                <w:rFonts w:ascii="宋体" w:hAnsi="宋体" w:cs="宋体"/>
                <w:sz w:val="18"/>
                <w:szCs w:val="18"/>
              </w:rPr>
            </w:pPr>
            <w:r>
              <w:rPr>
                <w:rFonts w:hint="eastAsia" w:ascii="宋体" w:hAnsi="宋体" w:cs="宋体"/>
                <w:sz w:val="18"/>
                <w:szCs w:val="18"/>
              </w:rPr>
              <w:t>本产品</w:t>
            </w:r>
            <w:r>
              <w:rPr>
                <w:rFonts w:ascii="宋体" w:hAnsi="宋体" w:cs="宋体"/>
                <w:sz w:val="18"/>
                <w:szCs w:val="18"/>
              </w:rPr>
              <w:t>封闭期</w:t>
            </w:r>
            <w:r>
              <w:rPr>
                <w:rFonts w:hint="eastAsia" w:ascii="宋体" w:hAnsi="宋体" w:cs="宋体"/>
                <w:sz w:val="18"/>
                <w:szCs w:val="18"/>
              </w:rPr>
              <w:t>后</w:t>
            </w:r>
            <w:r>
              <w:rPr>
                <w:rFonts w:hint="eastAsia" w:ascii="宋体" w:hAnsi="宋体" w:cs="Times New Roman"/>
                <w:sz w:val="18"/>
                <w:szCs w:val="18"/>
              </w:rPr>
              <w:t>的</w:t>
            </w:r>
            <w:r>
              <w:rPr>
                <w:rFonts w:hint="eastAsia" w:ascii="宋体" w:hAnsi="宋体" w:cs="宋体"/>
                <w:sz w:val="18"/>
                <w:szCs w:val="18"/>
              </w:rPr>
              <w:t>每个开放日开放</w:t>
            </w:r>
            <w:r>
              <w:rPr>
                <w:rFonts w:hint="eastAsia" w:ascii="宋体" w:hAnsi="宋体" w:cs="宋体"/>
                <w:bCs/>
                <w:sz w:val="18"/>
                <w:szCs w:val="18"/>
              </w:rPr>
              <w:t>赎回</w:t>
            </w:r>
            <w:r>
              <w:rPr>
                <w:rFonts w:ascii="宋体" w:hAnsi="宋体" w:cs="宋体"/>
                <w:sz w:val="18"/>
                <w:szCs w:val="18"/>
              </w:rPr>
              <w:t>。</w:t>
            </w:r>
            <w:r>
              <w:rPr>
                <w:rFonts w:hint="eastAsia" w:ascii="宋体" w:hAnsi="宋体" w:cs="宋体"/>
                <w:sz w:val="18"/>
                <w:szCs w:val="18"/>
              </w:rPr>
              <w:t>投资者可于开放日内提交赎回申请，产品管理人公告暂停开放的日期除外</w:t>
            </w:r>
            <w:r>
              <w:rPr>
                <w:rFonts w:hint="eastAsia" w:ascii="宋体" w:hAnsi="宋体" w:eastAsia="宋体" w:cs="宋体"/>
                <w:bCs/>
                <w:sz w:val="18"/>
                <w:szCs w:val="18"/>
              </w:rPr>
              <w:t>。</w:t>
            </w:r>
          </w:p>
          <w:p w14:paraId="404A9CBD">
            <w:pPr>
              <w:spacing w:line="360" w:lineRule="auto"/>
              <w:rPr>
                <w:rFonts w:ascii="宋体" w:hAnsi="宋体" w:cs="宋体"/>
                <w:sz w:val="18"/>
                <w:szCs w:val="18"/>
              </w:rPr>
            </w:pPr>
            <w:r>
              <w:rPr>
                <w:rFonts w:hint="eastAsia" w:ascii="宋体" w:hAnsi="宋体" w:cs="宋体"/>
                <w:sz w:val="18"/>
                <w:szCs w:val="18"/>
              </w:rPr>
              <w:t>（2）赎回的确认</w:t>
            </w:r>
          </w:p>
          <w:tbl>
            <w:tblPr>
              <w:tblStyle w:val="8"/>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14:paraId="544638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1833" w:type="dxa"/>
                  <w:vAlign w:val="center"/>
                </w:tcPr>
                <w:p w14:paraId="4F655639">
                  <w:pPr>
                    <w:spacing w:line="360" w:lineRule="auto"/>
                    <w:jc w:val="center"/>
                    <w:rPr>
                      <w:rFonts w:ascii="宋体" w:hAnsi="宋体" w:eastAsia="宋体" w:cs="宋体"/>
                      <w:b/>
                      <w:bCs/>
                      <w:sz w:val="18"/>
                      <w:szCs w:val="18"/>
                    </w:rPr>
                  </w:pPr>
                  <w:r>
                    <w:rPr>
                      <w:rFonts w:hint="eastAsia" w:ascii="宋体" w:hAnsi="宋体" w:eastAsia="宋体" w:cs="Times New Roman"/>
                      <w:b/>
                      <w:bCs/>
                      <w:kern w:val="0"/>
                      <w:sz w:val="18"/>
                      <w:szCs w:val="18"/>
                    </w:rPr>
                    <w:t>赎回申请日</w:t>
                  </w:r>
                </w:p>
              </w:tc>
              <w:tc>
                <w:tcPr>
                  <w:tcW w:w="1701" w:type="dxa"/>
                </w:tcPr>
                <w:p w14:paraId="0ED2A92C">
                  <w:pPr>
                    <w:spacing w:line="360" w:lineRule="auto"/>
                    <w:jc w:val="center"/>
                    <w:rPr>
                      <w:rFonts w:ascii="宋体" w:hAnsi="宋体" w:eastAsia="宋体" w:cs="Times New Roman"/>
                      <w:b/>
                      <w:bCs/>
                      <w:kern w:val="0"/>
                      <w:sz w:val="18"/>
                      <w:szCs w:val="18"/>
                    </w:rPr>
                  </w:pPr>
                  <w:r>
                    <w:rPr>
                      <w:rFonts w:hint="eastAsia" w:ascii="宋体" w:hAnsi="宋体" w:eastAsia="宋体" w:cs="Times New Roman"/>
                      <w:b/>
                      <w:bCs/>
                      <w:kern w:val="0"/>
                      <w:sz w:val="18"/>
                      <w:szCs w:val="18"/>
                    </w:rPr>
                    <w:t>赎回</w:t>
                  </w:r>
                  <w:r>
                    <w:rPr>
                      <w:rFonts w:ascii="宋体" w:hAnsi="宋体" w:eastAsia="宋体" w:cs="Times New Roman"/>
                      <w:b/>
                      <w:bCs/>
                      <w:kern w:val="0"/>
                      <w:sz w:val="18"/>
                      <w:szCs w:val="18"/>
                    </w:rPr>
                    <w:t>日</w:t>
                  </w:r>
                </w:p>
              </w:tc>
              <w:tc>
                <w:tcPr>
                  <w:tcW w:w="1984" w:type="dxa"/>
                  <w:vAlign w:val="center"/>
                </w:tcPr>
                <w:p w14:paraId="37D4DD8D">
                  <w:pPr>
                    <w:spacing w:line="360" w:lineRule="auto"/>
                    <w:jc w:val="center"/>
                    <w:rPr>
                      <w:rFonts w:ascii="宋体" w:hAnsi="宋体" w:eastAsia="宋体" w:cs="宋体"/>
                      <w:b/>
                      <w:bCs/>
                      <w:sz w:val="18"/>
                      <w:szCs w:val="18"/>
                    </w:rPr>
                  </w:pPr>
                  <w:r>
                    <w:rPr>
                      <w:rFonts w:hint="eastAsia" w:ascii="宋体" w:hAnsi="宋体" w:eastAsia="宋体" w:cs="Times New Roman"/>
                      <w:b/>
                      <w:bCs/>
                      <w:kern w:val="0"/>
                      <w:sz w:val="18"/>
                      <w:szCs w:val="18"/>
                    </w:rPr>
                    <w:t>赎回确认日</w:t>
                  </w:r>
                </w:p>
              </w:tc>
              <w:tc>
                <w:tcPr>
                  <w:tcW w:w="2043" w:type="dxa"/>
                  <w:vAlign w:val="center"/>
                </w:tcPr>
                <w:p w14:paraId="3FF50688">
                  <w:pPr>
                    <w:spacing w:line="360" w:lineRule="auto"/>
                    <w:jc w:val="center"/>
                    <w:rPr>
                      <w:rFonts w:ascii="宋体" w:hAnsi="宋体" w:eastAsia="宋体" w:cs="宋体"/>
                      <w:b/>
                      <w:bCs/>
                      <w:sz w:val="18"/>
                      <w:szCs w:val="18"/>
                    </w:rPr>
                  </w:pPr>
                  <w:r>
                    <w:rPr>
                      <w:rFonts w:hint="eastAsia" w:ascii="宋体" w:hAnsi="宋体" w:eastAsia="宋体" w:cs="Times New Roman"/>
                      <w:b/>
                      <w:bCs/>
                      <w:kern w:val="0"/>
                      <w:sz w:val="18"/>
                      <w:szCs w:val="18"/>
                    </w:rPr>
                    <w:t>赎回确认方式</w:t>
                  </w:r>
                </w:p>
              </w:tc>
            </w:tr>
            <w:tr w14:paraId="4056F3D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14:paraId="03DAD7E0">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开放日内交易时间：</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0：00</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 xml:space="preserve">-【17：00】 </w:t>
                  </w:r>
                </w:p>
              </w:tc>
              <w:tc>
                <w:tcPr>
                  <w:tcW w:w="1701" w:type="dxa"/>
                  <w:tcBorders>
                    <w:bottom w:val="single" w:color="auto" w:sz="12" w:space="0"/>
                  </w:tcBorders>
                  <w:vAlign w:val="center"/>
                </w:tcPr>
                <w:p w14:paraId="0D462892">
                  <w:pPr>
                    <w:spacing w:line="360" w:lineRule="auto"/>
                    <w:rPr>
                      <w:rFonts w:ascii="宋体" w:hAnsi="宋体" w:eastAsia="宋体" w:cs="Times New Roman"/>
                      <w:bCs/>
                      <w:kern w:val="0"/>
                      <w:sz w:val="18"/>
                      <w:szCs w:val="18"/>
                    </w:rPr>
                  </w:pPr>
                  <w:r>
                    <w:rPr>
                      <w:rFonts w:hint="eastAsia" w:ascii="宋体" w:hAnsi="宋体" w:eastAsia="宋体" w:cs="宋体"/>
                      <w:bCs/>
                      <w:sz w:val="18"/>
                      <w:szCs w:val="18"/>
                    </w:rPr>
                    <w:t>赎回申请日当日</w:t>
                  </w:r>
                </w:p>
              </w:tc>
              <w:tc>
                <w:tcPr>
                  <w:tcW w:w="1984" w:type="dxa"/>
                  <w:tcBorders>
                    <w:bottom w:val="single" w:color="auto" w:sz="12" w:space="0"/>
                  </w:tcBorders>
                  <w:vAlign w:val="center"/>
                </w:tcPr>
                <w:p w14:paraId="6AFF2728">
                  <w:pPr>
                    <w:spacing w:line="360" w:lineRule="auto"/>
                    <w:rPr>
                      <w:rFonts w:ascii="宋体" w:hAnsi="宋体" w:eastAsia="宋体" w:cs="宋体"/>
                      <w:bCs/>
                      <w:sz w:val="18"/>
                      <w:szCs w:val="18"/>
                    </w:rPr>
                  </w:pPr>
                  <w:r>
                    <w:rPr>
                      <w:rFonts w:hint="eastAsia" w:ascii="宋体" w:hAnsi="宋体" w:eastAsia="宋体" w:cs="Times New Roman"/>
                      <w:bCs/>
                      <w:kern w:val="0"/>
                      <w:sz w:val="18"/>
                      <w:szCs w:val="18"/>
                    </w:rPr>
                    <w:t>赎回日</w:t>
                  </w:r>
                  <w:r>
                    <w:rPr>
                      <w:rFonts w:hint="eastAsia" w:ascii="宋体" w:hAnsi="宋体" w:eastAsia="宋体" w:cs="宋体"/>
                      <w:bCs/>
                      <w:sz w:val="18"/>
                      <w:szCs w:val="18"/>
                    </w:rPr>
                    <w:t>后的下一个开放日</w:t>
                  </w:r>
                </w:p>
              </w:tc>
              <w:tc>
                <w:tcPr>
                  <w:tcW w:w="2043" w:type="dxa"/>
                  <w:vMerge w:val="restart"/>
                  <w:vAlign w:val="center"/>
                </w:tcPr>
                <w:p w14:paraId="674F86E5">
                  <w:pPr>
                    <w:spacing w:line="360" w:lineRule="auto"/>
                    <w:rPr>
                      <w:rFonts w:ascii="宋体" w:hAnsi="宋体" w:eastAsia="宋体" w:cs="宋体"/>
                      <w:bCs/>
                      <w:sz w:val="18"/>
                      <w:szCs w:val="18"/>
                    </w:rPr>
                  </w:pPr>
                  <w:r>
                    <w:rPr>
                      <w:rFonts w:hint="eastAsia" w:ascii="宋体" w:hAnsi="宋体" w:eastAsia="宋体" w:cs="Times New Roman"/>
                      <w:bCs/>
                      <w:kern w:val="0"/>
                      <w:sz w:val="18"/>
                      <w:szCs w:val="18"/>
                    </w:rPr>
                    <w:t>产品管理人在赎回</w:t>
                  </w:r>
                  <w:r>
                    <w:rPr>
                      <w:rFonts w:ascii="宋体" w:hAnsi="宋体" w:eastAsia="宋体" w:cs="Times New Roman"/>
                      <w:bCs/>
                      <w:kern w:val="0"/>
                      <w:sz w:val="18"/>
                      <w:szCs w:val="18"/>
                    </w:rPr>
                    <w:t>确认日</w:t>
                  </w:r>
                  <w:r>
                    <w:rPr>
                      <w:rFonts w:hint="eastAsia" w:ascii="宋体" w:hAnsi="宋体" w:eastAsia="宋体" w:cs="Times New Roman"/>
                      <w:bCs/>
                      <w:kern w:val="0"/>
                      <w:sz w:val="18"/>
                      <w:szCs w:val="18"/>
                    </w:rPr>
                    <w:t>对赎回申请的有效性进行确认，并注销理财份额。</w:t>
                  </w:r>
                </w:p>
              </w:tc>
            </w:tr>
            <w:tr w14:paraId="5A8930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14:paraId="4335FF43">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开放日内非交易时间：</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17：00</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-【24：00】</w:t>
                  </w:r>
                </w:p>
              </w:tc>
              <w:tc>
                <w:tcPr>
                  <w:tcW w:w="1701" w:type="dxa"/>
                  <w:tcBorders>
                    <w:top w:val="single" w:color="auto" w:sz="12" w:space="0"/>
                    <w:bottom w:val="single" w:color="auto" w:sz="12" w:space="0"/>
                  </w:tcBorders>
                  <w:vAlign w:val="center"/>
                </w:tcPr>
                <w:p w14:paraId="1771C136">
                  <w:pPr>
                    <w:spacing w:line="360" w:lineRule="auto"/>
                    <w:rPr>
                      <w:rFonts w:ascii="宋体" w:hAnsi="宋体" w:eastAsia="宋体" w:cs="Times New Roman"/>
                      <w:bCs/>
                      <w:kern w:val="0"/>
                      <w:sz w:val="18"/>
                      <w:szCs w:val="18"/>
                    </w:rPr>
                  </w:pPr>
                  <w:r>
                    <w:rPr>
                      <w:rFonts w:hint="eastAsia" w:ascii="宋体" w:hAnsi="宋体" w:eastAsia="宋体" w:cs="宋体"/>
                      <w:bCs/>
                      <w:sz w:val="18"/>
                      <w:szCs w:val="18"/>
                    </w:rPr>
                    <w:t>赎回申请日后的下一个开放日</w:t>
                  </w:r>
                </w:p>
              </w:tc>
              <w:tc>
                <w:tcPr>
                  <w:tcW w:w="1984" w:type="dxa"/>
                  <w:tcBorders>
                    <w:top w:val="single" w:color="auto" w:sz="12" w:space="0"/>
                    <w:bottom w:val="single" w:color="auto" w:sz="12" w:space="0"/>
                  </w:tcBorders>
                  <w:vAlign w:val="center"/>
                </w:tcPr>
                <w:p w14:paraId="7854A8D0">
                  <w:pPr>
                    <w:spacing w:line="360" w:lineRule="auto"/>
                    <w:rPr>
                      <w:rFonts w:ascii="宋体" w:hAnsi="宋体" w:eastAsia="宋体" w:cs="Times New Roman"/>
                      <w:bCs/>
                      <w:kern w:val="0"/>
                      <w:sz w:val="18"/>
                      <w:szCs w:val="18"/>
                    </w:rPr>
                  </w:pPr>
                  <w:r>
                    <w:rPr>
                      <w:rFonts w:ascii="宋体" w:hAnsi="宋体" w:eastAsia="宋体" w:cs="Times New Roman"/>
                      <w:bCs/>
                      <w:kern w:val="0"/>
                      <w:sz w:val="18"/>
                      <w:szCs w:val="18"/>
                    </w:rPr>
                    <w:t>赎回日</w:t>
                  </w:r>
                  <w:r>
                    <w:rPr>
                      <w:rFonts w:hint="eastAsia" w:ascii="宋体" w:hAnsi="宋体" w:eastAsia="宋体" w:cs="宋体"/>
                      <w:bCs/>
                      <w:sz w:val="18"/>
                      <w:szCs w:val="18"/>
                    </w:rPr>
                    <w:t>后的下一个开放日</w:t>
                  </w:r>
                </w:p>
              </w:tc>
              <w:tc>
                <w:tcPr>
                  <w:tcW w:w="2043" w:type="dxa"/>
                  <w:vMerge w:val="continue"/>
                  <w:vAlign w:val="center"/>
                </w:tcPr>
                <w:p w14:paraId="481577FB">
                  <w:pPr>
                    <w:spacing w:line="360" w:lineRule="auto"/>
                    <w:rPr>
                      <w:rFonts w:ascii="宋体" w:hAnsi="宋体" w:eastAsia="宋体" w:cs="Times New Roman"/>
                      <w:bCs/>
                      <w:kern w:val="0"/>
                      <w:sz w:val="18"/>
                      <w:szCs w:val="18"/>
                    </w:rPr>
                  </w:pPr>
                </w:p>
              </w:tc>
            </w:tr>
            <w:tr w14:paraId="026475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14:paraId="6CD87470">
                  <w:pPr>
                    <w:widowControl w:val="0"/>
                    <w:autoSpaceDE w:val="0"/>
                    <w:autoSpaceDN w:val="0"/>
                    <w:adjustRightInd w:val="0"/>
                    <w:spacing w:line="360" w:lineRule="auto"/>
                    <w:jc w:val="left"/>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非</w:t>
                  </w:r>
                  <w:r>
                    <w:rPr>
                      <w:rFonts w:ascii="宋体" w:hAnsi="宋体" w:eastAsia="宋体" w:cs="宋体"/>
                      <w:bCs/>
                      <w:color w:val="auto"/>
                      <w:sz w:val="18"/>
                      <w:szCs w:val="18"/>
                      <w:lang w:val="en-US" w:eastAsia="zh-CN" w:bidi="ar-SA"/>
                    </w:rPr>
                    <w:t>开放</w:t>
                  </w:r>
                  <w:r>
                    <w:rPr>
                      <w:rFonts w:hint="eastAsia" w:ascii="宋体" w:hAnsi="宋体" w:eastAsia="宋体" w:cs="宋体"/>
                      <w:bCs/>
                      <w:color w:val="auto"/>
                      <w:sz w:val="18"/>
                      <w:szCs w:val="18"/>
                      <w:lang w:val="en-US" w:eastAsia="zh-CN" w:bidi="ar-SA"/>
                    </w:rPr>
                    <w:t>日</w:t>
                  </w:r>
                </w:p>
              </w:tc>
              <w:tc>
                <w:tcPr>
                  <w:tcW w:w="1701" w:type="dxa"/>
                  <w:tcBorders>
                    <w:top w:val="single" w:color="auto" w:sz="12" w:space="0"/>
                  </w:tcBorders>
                  <w:vAlign w:val="center"/>
                </w:tcPr>
                <w:p w14:paraId="64F214E1">
                  <w:pPr>
                    <w:spacing w:line="360" w:lineRule="auto"/>
                    <w:rPr>
                      <w:rFonts w:ascii="宋体" w:hAnsi="宋体" w:eastAsia="宋体" w:cs="Times New Roman"/>
                      <w:bCs/>
                      <w:kern w:val="0"/>
                      <w:sz w:val="18"/>
                      <w:szCs w:val="18"/>
                    </w:rPr>
                  </w:pPr>
                  <w:r>
                    <w:rPr>
                      <w:rFonts w:hint="eastAsia" w:ascii="宋体" w:hAnsi="宋体" w:eastAsia="宋体" w:cs="宋体"/>
                      <w:bCs/>
                      <w:sz w:val="18"/>
                      <w:szCs w:val="18"/>
                    </w:rPr>
                    <w:t>赎回申请日后的下一个开放日</w:t>
                  </w:r>
                </w:p>
              </w:tc>
              <w:tc>
                <w:tcPr>
                  <w:tcW w:w="1984" w:type="dxa"/>
                  <w:tcBorders>
                    <w:top w:val="single" w:color="auto" w:sz="12" w:space="0"/>
                  </w:tcBorders>
                </w:tcPr>
                <w:p w14:paraId="1B8A09D0">
                  <w:pPr>
                    <w:spacing w:line="360" w:lineRule="auto"/>
                    <w:rPr>
                      <w:rFonts w:ascii="宋体" w:hAnsi="宋体" w:eastAsia="宋体" w:cs="Times New Roman"/>
                      <w:bCs/>
                      <w:kern w:val="0"/>
                      <w:sz w:val="18"/>
                      <w:szCs w:val="18"/>
                    </w:rPr>
                  </w:pPr>
                  <w:r>
                    <w:rPr>
                      <w:rFonts w:ascii="宋体" w:hAnsi="宋体" w:eastAsia="宋体" w:cs="Times New Roman"/>
                      <w:bCs/>
                      <w:kern w:val="0"/>
                      <w:sz w:val="18"/>
                      <w:szCs w:val="18"/>
                    </w:rPr>
                    <w:t>赎回日</w:t>
                  </w:r>
                  <w:r>
                    <w:rPr>
                      <w:rFonts w:hint="eastAsia" w:ascii="宋体" w:hAnsi="宋体" w:eastAsia="宋体" w:cs="宋体"/>
                      <w:bCs/>
                      <w:sz w:val="18"/>
                      <w:szCs w:val="18"/>
                    </w:rPr>
                    <w:t>后的下一个开放日</w:t>
                  </w:r>
                </w:p>
              </w:tc>
              <w:tc>
                <w:tcPr>
                  <w:tcW w:w="2043" w:type="dxa"/>
                  <w:vMerge w:val="continue"/>
                </w:tcPr>
                <w:p w14:paraId="6580904E">
                  <w:pPr>
                    <w:spacing w:line="360" w:lineRule="auto"/>
                    <w:rPr>
                      <w:rFonts w:ascii="宋体" w:hAnsi="宋体" w:eastAsia="宋体" w:cs="Times New Roman"/>
                      <w:bCs/>
                      <w:kern w:val="0"/>
                      <w:sz w:val="18"/>
                      <w:szCs w:val="18"/>
                    </w:rPr>
                  </w:pPr>
                </w:p>
              </w:tc>
            </w:tr>
          </w:tbl>
          <w:p w14:paraId="752A9F25">
            <w:pPr>
              <w:spacing w:line="360" w:lineRule="auto"/>
              <w:rPr>
                <w:rFonts w:ascii="黑体" w:hAnsi="黑体" w:eastAsia="黑体" w:cs="黑体"/>
                <w:color w:val="000000"/>
                <w:sz w:val="18"/>
                <w:szCs w:val="18"/>
              </w:rPr>
            </w:pPr>
            <w:r>
              <w:rPr>
                <w:rFonts w:hint="eastAsia" w:ascii="黑体" w:hAnsi="黑体" w:eastAsia="黑体" w:cs="黑体"/>
                <w:color w:val="000000"/>
                <w:sz w:val="18"/>
                <w:szCs w:val="18"/>
              </w:rPr>
              <w:t>注：</w:t>
            </w:r>
            <w:r>
              <w:rPr>
                <w:rFonts w:hint="eastAsia" w:ascii="黑体" w:hAnsi="黑体" w:eastAsia="黑体" w:cs="黑体"/>
                <w:color w:val="000000"/>
                <w:sz w:val="18"/>
                <w:szCs w:val="22"/>
              </w:rPr>
              <w:t>赎回</w:t>
            </w:r>
            <w:r>
              <w:rPr>
                <w:rFonts w:hint="eastAsia" w:ascii="黑体" w:hAnsi="黑体" w:eastAsia="黑体" w:cs="黑体"/>
                <w:color w:val="000000"/>
                <w:sz w:val="18"/>
                <w:szCs w:val="18"/>
              </w:rPr>
              <w:t>款项于</w:t>
            </w:r>
            <w:r>
              <w:rPr>
                <w:rFonts w:hint="eastAsia" w:ascii="黑体" w:hAnsi="黑体" w:eastAsia="黑体" w:cs="黑体"/>
                <w:kern w:val="0"/>
                <w:sz w:val="18"/>
                <w:szCs w:val="18"/>
              </w:rPr>
              <w:t>赎回</w:t>
            </w:r>
            <w:r>
              <w:rPr>
                <w:rFonts w:hint="eastAsia" w:ascii="黑体" w:hAnsi="黑体" w:eastAsia="黑体" w:cs="黑体"/>
                <w:kern w:val="0"/>
                <w:sz w:val="18"/>
                <w:szCs w:val="22"/>
              </w:rPr>
              <w:t>日后【</w:t>
            </w:r>
            <w:r>
              <w:rPr>
                <w:rFonts w:hint="eastAsia" w:ascii="黑体" w:hAnsi="黑体" w:eastAsia="黑体" w:cs="黑体"/>
                <w:kern w:val="0"/>
                <w:sz w:val="18"/>
                <w:szCs w:val="22"/>
                <w:lang w:val="en-US" w:eastAsia="zh-CN"/>
              </w:rPr>
              <w:t>1</w:t>
            </w:r>
            <w:r>
              <w:rPr>
                <w:rFonts w:hint="eastAsia" w:ascii="黑体" w:hAnsi="黑体" w:eastAsia="黑体" w:cs="黑体"/>
                <w:kern w:val="0"/>
                <w:sz w:val="18"/>
                <w:szCs w:val="22"/>
              </w:rPr>
              <w:t>】个开放日</w:t>
            </w:r>
            <w:r>
              <w:rPr>
                <w:rFonts w:hint="eastAsia" w:ascii="黑体" w:hAnsi="黑体" w:eastAsia="黑体" w:cs="黑体"/>
                <w:kern w:val="0"/>
                <w:sz w:val="18"/>
                <w:szCs w:val="18"/>
              </w:rPr>
              <w:t>内支付给</w:t>
            </w:r>
            <w:r>
              <w:rPr>
                <w:rFonts w:hint="eastAsia" w:ascii="黑体" w:hAnsi="黑体" w:eastAsia="黑体" w:cs="黑体"/>
                <w:kern w:val="0"/>
                <w:sz w:val="18"/>
                <w:szCs w:val="22"/>
              </w:rPr>
              <w:t>投资者</w:t>
            </w:r>
            <w:r>
              <w:rPr>
                <w:rFonts w:hint="eastAsia" w:ascii="黑体" w:hAnsi="黑体" w:eastAsia="黑体" w:cs="黑体"/>
                <w:kern w:val="0"/>
                <w:sz w:val="18"/>
                <w:szCs w:val="18"/>
              </w:rPr>
              <w:t>。</w:t>
            </w:r>
          </w:p>
          <w:p w14:paraId="4C2772C3">
            <w:pPr>
              <w:spacing w:line="360" w:lineRule="auto"/>
              <w:rPr>
                <w:rFonts w:ascii="宋体" w:hAnsi="宋体" w:cs="宋体"/>
                <w:sz w:val="18"/>
                <w:szCs w:val="18"/>
              </w:rPr>
            </w:pPr>
            <w:r>
              <w:rPr>
                <w:rFonts w:ascii="宋体" w:hAnsi="宋体" w:eastAsia="宋体" w:cs="宋体"/>
                <w:bCs/>
                <w:color w:val="000000"/>
                <w:sz w:val="18"/>
                <w:szCs w:val="18"/>
              </w:rPr>
              <w:t>4.申购/</w:t>
            </w:r>
            <w:r>
              <w:rPr>
                <w:rFonts w:hint="eastAsia" w:ascii="宋体" w:hAnsi="宋体" w:eastAsia="宋体" w:cs="宋体"/>
                <w:bCs/>
                <w:color w:val="000000"/>
                <w:sz w:val="18"/>
                <w:szCs w:val="18"/>
              </w:rPr>
              <w:t>赎回申请时间如遇非工作日，则产品管理人做相应调整。</w:t>
            </w:r>
          </w:p>
          <w:p w14:paraId="4D82B011">
            <w:pPr>
              <w:spacing w:line="360" w:lineRule="auto"/>
              <w:rPr>
                <w:rFonts w:ascii="黑体" w:hAnsi="黑体" w:eastAsia="黑体" w:cs="宋体"/>
                <w:bCs/>
                <w:sz w:val="18"/>
                <w:szCs w:val="18"/>
              </w:rPr>
            </w:pPr>
            <w:r>
              <w:rPr>
                <w:rFonts w:hint="eastAsia" w:ascii="黑体" w:hAnsi="黑体" w:eastAsia="黑体" w:cs="宋体"/>
                <w:bCs/>
                <w:sz w:val="18"/>
                <w:szCs w:val="18"/>
              </w:rPr>
              <w:t>注：关于代理销售机构的实际工作服务时段的提示</w:t>
            </w:r>
          </w:p>
          <w:p w14:paraId="01C5335F">
            <w:pPr>
              <w:spacing w:line="360" w:lineRule="auto"/>
              <w:rPr>
                <w:rFonts w:ascii="黑体" w:hAnsi="黑体" w:eastAsia="黑体" w:cs="宋体"/>
                <w:bCs/>
                <w:sz w:val="18"/>
                <w:szCs w:val="18"/>
              </w:rPr>
            </w:pPr>
            <w:r>
              <w:rPr>
                <w:rFonts w:hint="eastAsia" w:ascii="黑体" w:hAnsi="黑体" w:eastAsia="黑体" w:cs="宋体"/>
                <w:bCs/>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298CEFEA">
            <w:pPr>
              <w:spacing w:line="360" w:lineRule="auto"/>
              <w:rPr>
                <w:rFonts w:ascii="宋体" w:hAnsi="宋体" w:eastAsia="宋体" w:cs="仿宋_GB2312"/>
                <w:color w:val="000000"/>
                <w:kern w:val="0"/>
                <w:sz w:val="18"/>
                <w:szCs w:val="18"/>
              </w:rPr>
            </w:pPr>
            <w:r>
              <w:rPr>
                <w:rFonts w:hint="eastAsia" w:ascii="黑体" w:hAnsi="黑体" w:eastAsia="黑体" w:cs="宋体"/>
                <w:bCs/>
                <w:sz w:val="18"/>
                <w:szCs w:val="18"/>
              </w:rPr>
              <w:t>②代理销售机构的实际工作服务时段，最早不得早于销售文件约定的起始时点、最晚不得晚于销售文件约定的终止时点。</w:t>
            </w:r>
          </w:p>
        </w:tc>
      </w:tr>
      <w:tr w14:paraId="2FC599F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0EAE899F">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99" w:type="dxa"/>
            <w:shd w:val="solid" w:color="FFFFFF" w:fill="FFFFFF"/>
            <w:vAlign w:val="center"/>
          </w:tcPr>
          <w:p w14:paraId="5BA110A6">
            <w:pPr>
              <w:spacing w:line="360" w:lineRule="auto"/>
              <w:rPr>
                <w:rFonts w:hint="eastAsia" w:ascii="宋体" w:hAnsi="宋体" w:eastAsia="宋体" w:cs="宋体"/>
                <w:bCs/>
                <w:sz w:val="18"/>
                <w:szCs w:val="18"/>
                <w:lang w:eastAsia="zh-CN"/>
              </w:rPr>
            </w:pPr>
            <w:r>
              <w:rPr>
                <w:rFonts w:hint="eastAsia" w:ascii="宋体" w:hAnsi="宋体" w:eastAsia="宋体" w:cs="宋体"/>
                <w:sz w:val="18"/>
                <w:szCs w:val="18"/>
              </w:rPr>
              <w:t>每笔</w:t>
            </w:r>
            <w:r>
              <w:rPr>
                <w:rFonts w:hint="eastAsia" w:ascii="宋体" w:hAnsi="宋体" w:eastAsia="宋体" w:cs="宋体"/>
                <w:bCs/>
                <w:sz w:val="18"/>
                <w:szCs w:val="18"/>
              </w:rPr>
              <w:t>购买起点金额为【</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】元；超出起点金额的部分以【</w:t>
            </w:r>
            <w:r>
              <w:rPr>
                <w:rFonts w:hint="eastAsia" w:ascii="宋体" w:hAnsi="宋体" w:eastAsia="宋体" w:cs="宋体"/>
                <w:bCs/>
                <w:sz w:val="18"/>
                <w:szCs w:val="18"/>
                <w:lang w:val="en-US" w:eastAsia="zh-CN"/>
              </w:rPr>
              <w:t>0.01</w:t>
            </w:r>
            <w:r>
              <w:rPr>
                <w:rFonts w:hint="eastAsia" w:ascii="宋体" w:hAnsi="宋体" w:eastAsia="宋体" w:cs="宋体"/>
                <w:bCs/>
                <w:sz w:val="18"/>
                <w:szCs w:val="18"/>
              </w:rPr>
              <w:t>】元的整数倍递增。</w:t>
            </w:r>
            <w:r>
              <w:rPr>
                <w:rFonts w:hint="eastAsia" w:ascii="宋体" w:hAnsi="宋体" w:eastAsia="宋体" w:cs="宋体"/>
                <w:bCs/>
                <w:color w:val="000000"/>
                <w:sz w:val="18"/>
                <w:szCs w:val="18"/>
                <w:lang w:eastAsia="zh-CN"/>
              </w:rPr>
              <w:t>（适用【E】类份额）</w:t>
            </w:r>
          </w:p>
          <w:p w14:paraId="5A06C31A">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注</w:t>
            </w:r>
            <w:r>
              <w:rPr>
                <w:rFonts w:ascii="黑体" w:hAnsi="黑体" w:eastAsia="黑体" w:cs="宋体"/>
                <w:bCs/>
                <w:color w:val="000000"/>
                <w:sz w:val="18"/>
                <w:szCs w:val="18"/>
              </w:rPr>
              <w:t>：</w:t>
            </w:r>
            <w:r>
              <w:rPr>
                <w:rFonts w:hint="eastAsia" w:ascii="黑体" w:hAnsi="黑体" w:eastAsia="黑体" w:cs="宋体"/>
                <w:bCs/>
                <w:color w:val="000000"/>
                <w:sz w:val="18"/>
                <w:szCs w:val="18"/>
              </w:rPr>
              <w:t>关于代理销售机构的实际销售</w:t>
            </w:r>
            <w:r>
              <w:rPr>
                <w:rFonts w:ascii="黑体" w:hAnsi="黑体" w:eastAsia="黑体" w:cs="宋体"/>
                <w:bCs/>
                <w:color w:val="000000"/>
                <w:sz w:val="18"/>
                <w:szCs w:val="18"/>
              </w:rPr>
              <w:t>起点金额</w:t>
            </w:r>
            <w:r>
              <w:rPr>
                <w:rFonts w:hint="eastAsia" w:ascii="黑体" w:hAnsi="黑体" w:eastAsia="黑体" w:cs="宋体"/>
                <w:bCs/>
                <w:color w:val="000000"/>
                <w:sz w:val="18"/>
                <w:szCs w:val="18"/>
              </w:rPr>
              <w:t>的提示</w:t>
            </w:r>
          </w:p>
          <w:p w14:paraId="60E16105">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bCs/>
                <w:color w:val="000000"/>
                <w:sz w:val="18"/>
                <w:szCs w:val="18"/>
              </w:rPr>
              <w:t>以</w:t>
            </w:r>
            <w:r>
              <w:rPr>
                <w:rFonts w:hint="eastAsia" w:ascii="黑体" w:hAnsi="黑体" w:eastAsia="黑体" w:cs="宋体"/>
                <w:bCs/>
                <w:color w:val="000000"/>
                <w:sz w:val="18"/>
                <w:szCs w:val="18"/>
              </w:rPr>
              <w:t>代理销售机构展示</w:t>
            </w:r>
            <w:r>
              <w:rPr>
                <w:rFonts w:ascii="黑体" w:hAnsi="黑体" w:eastAsia="黑体" w:cs="宋体"/>
                <w:bCs/>
                <w:color w:val="000000"/>
                <w:sz w:val="18"/>
                <w:szCs w:val="18"/>
              </w:rPr>
              <w:t>为准</w:t>
            </w:r>
            <w:r>
              <w:rPr>
                <w:rFonts w:hint="eastAsia" w:ascii="黑体" w:hAnsi="黑体" w:eastAsia="黑体" w:cs="宋体"/>
                <w:bCs/>
                <w:color w:val="000000"/>
                <w:sz w:val="18"/>
                <w:szCs w:val="18"/>
              </w:rPr>
              <w:t>。</w:t>
            </w:r>
          </w:p>
          <w:p w14:paraId="161A9ABA">
            <w:pPr>
              <w:spacing w:line="360" w:lineRule="auto"/>
              <w:jc w:val="left"/>
              <w:rPr>
                <w:rFonts w:ascii="宋体" w:hAnsi="宋体" w:cs="Times New Roman"/>
                <w:sz w:val="18"/>
                <w:szCs w:val="18"/>
              </w:rPr>
            </w:pPr>
            <w:r>
              <w:rPr>
                <w:rFonts w:hint="eastAsia" w:ascii="黑体" w:hAnsi="黑体" w:eastAsia="黑体" w:cs="宋体"/>
                <w:bCs/>
                <w:color w:val="000000"/>
                <w:sz w:val="18"/>
                <w:szCs w:val="18"/>
              </w:rPr>
              <w:t>②代理销售机构的实际销售起点金额，</w:t>
            </w:r>
            <w:r>
              <w:rPr>
                <w:rFonts w:ascii="黑体" w:hAnsi="黑体" w:eastAsia="黑体" w:cs="宋体"/>
                <w:bCs/>
                <w:color w:val="000000"/>
                <w:sz w:val="18"/>
                <w:szCs w:val="18"/>
              </w:rPr>
              <w:t>不得低于</w:t>
            </w:r>
            <w:r>
              <w:rPr>
                <w:rFonts w:hint="eastAsia" w:ascii="黑体" w:hAnsi="黑体" w:eastAsia="黑体" w:cs="宋体"/>
                <w:bCs/>
                <w:color w:val="000000"/>
                <w:sz w:val="18"/>
                <w:szCs w:val="18"/>
              </w:rPr>
              <w:t>销售</w:t>
            </w:r>
            <w:r>
              <w:rPr>
                <w:rFonts w:ascii="黑体" w:hAnsi="黑体" w:eastAsia="黑体" w:cs="宋体"/>
                <w:bCs/>
                <w:color w:val="000000"/>
                <w:sz w:val="18"/>
                <w:szCs w:val="18"/>
              </w:rPr>
              <w:t>文件约定的</w:t>
            </w:r>
            <w:r>
              <w:rPr>
                <w:rFonts w:hint="eastAsia" w:ascii="黑体" w:hAnsi="黑体" w:eastAsia="黑体" w:cs="宋体"/>
                <w:bCs/>
                <w:color w:val="000000"/>
                <w:sz w:val="18"/>
                <w:szCs w:val="18"/>
              </w:rPr>
              <w:t>销售</w:t>
            </w:r>
            <w:r>
              <w:rPr>
                <w:rFonts w:ascii="黑体" w:hAnsi="黑体" w:eastAsia="黑体" w:cs="宋体"/>
                <w:bCs/>
                <w:color w:val="000000"/>
                <w:sz w:val="18"/>
                <w:szCs w:val="18"/>
              </w:rPr>
              <w:t>起点金额</w:t>
            </w:r>
            <w:r>
              <w:rPr>
                <w:rFonts w:hint="eastAsia" w:ascii="黑体" w:hAnsi="黑体" w:eastAsia="黑体" w:cs="宋体"/>
                <w:bCs/>
                <w:color w:val="000000"/>
                <w:sz w:val="18"/>
                <w:szCs w:val="18"/>
              </w:rPr>
              <w:t>。</w:t>
            </w:r>
          </w:p>
        </w:tc>
      </w:tr>
      <w:tr w14:paraId="50499E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814214B">
            <w:pPr>
              <w:spacing w:line="360" w:lineRule="auto"/>
              <w:jc w:val="left"/>
              <w:rPr>
                <w:rFonts w:ascii="Calibri" w:hAnsi="宋体" w:cs="宋体"/>
                <w:sz w:val="18"/>
                <w:szCs w:val="18"/>
              </w:rPr>
            </w:pPr>
            <w:r>
              <w:rPr>
                <w:rFonts w:hint="eastAsia" w:ascii="Calibri" w:hAnsi="宋体" w:cs="宋体"/>
                <w:b/>
                <w:sz w:val="18"/>
                <w:szCs w:val="18"/>
              </w:rPr>
              <w:t>★认购、申购与赎回的数量限制</w:t>
            </w:r>
          </w:p>
        </w:tc>
        <w:tc>
          <w:tcPr>
            <w:tcW w:w="7699" w:type="dxa"/>
            <w:shd w:val="solid" w:color="FFFFFF" w:fill="FFFFFF"/>
            <w:vAlign w:val="center"/>
          </w:tcPr>
          <w:p w14:paraId="3431E984">
            <w:pPr>
              <w:widowControl w:val="0"/>
              <w:autoSpaceDE w:val="0"/>
              <w:autoSpaceDN w:val="0"/>
              <w:adjustRightInd w:val="0"/>
              <w:spacing w:line="360" w:lineRule="auto"/>
              <w:rPr>
                <w:rFonts w:hint="eastAsia"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（适用【E】类份额）</w:t>
            </w:r>
          </w:p>
          <w:p w14:paraId="09F50F79">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1.认购的数量限制</w:t>
            </w:r>
          </w:p>
          <w:p w14:paraId="45960B7C">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color w:val="auto"/>
                <w:sz w:val="18"/>
                <w:szCs w:val="18"/>
                <w:lang w:val="en-US" w:eastAsia="zh-CN" w:bidi="ar-SA"/>
              </w:rPr>
              <w:t>单一投资者认购上限为【/】。如需突破上限，请与产品管理人或销售机构客户经理联系。</w:t>
            </w:r>
          </w:p>
          <w:p w14:paraId="49EC2E66">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bCs/>
                <w:color w:val="000000"/>
                <w:sz w:val="18"/>
                <w:szCs w:val="18"/>
                <w:lang w:val="en-US" w:eastAsia="zh-CN" w:bidi="ar-SA"/>
              </w:rPr>
              <w:t>2.</w:t>
            </w:r>
            <w:r>
              <w:rPr>
                <w:rFonts w:hint="eastAsia" w:ascii="宋体" w:hAnsi="宋体" w:eastAsia="宋体" w:cs="宋体"/>
                <w:color w:val="auto"/>
                <w:sz w:val="18"/>
                <w:szCs w:val="18"/>
                <w:lang w:val="en-US" w:eastAsia="zh-CN" w:bidi="ar-SA"/>
              </w:rPr>
              <w:t>申购的数量限制</w:t>
            </w:r>
          </w:p>
          <w:p w14:paraId="6B267DA5">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（1）单一投资者申购上限为【/】。</w:t>
            </w:r>
          </w:p>
          <w:p w14:paraId="709795DF">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【/】份，符合产品管理人流动性管理的稳定资金除外。</w:t>
            </w:r>
          </w:p>
          <w:p w14:paraId="51AC41B8">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76894B02">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3.赎回的数量限制</w:t>
            </w:r>
          </w:p>
          <w:p w14:paraId="0FB1B98C">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（1）单一投资者赎回上限为【/】。</w:t>
            </w:r>
          </w:p>
          <w:p w14:paraId="1DC7D83E">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14:paraId="0B3178CF">
            <w:pPr>
              <w:widowControl w:val="0"/>
              <w:autoSpaceDE w:val="0"/>
              <w:autoSpaceDN w:val="0"/>
              <w:adjustRightInd w:val="0"/>
              <w:spacing w:line="360" w:lineRule="auto"/>
              <w:rPr>
                <w:rFonts w:ascii="黑体" w:hAnsi="黑体" w:eastAsia="黑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注</w:t>
            </w:r>
            <w:r>
              <w:rPr>
                <w:rFonts w:ascii="黑体" w:hAnsi="黑体" w:eastAsia="黑体" w:cs="宋体"/>
                <w:bCs/>
                <w:color w:val="000000"/>
                <w:sz w:val="18"/>
                <w:szCs w:val="18"/>
                <w:lang w:val="en-US" w:eastAsia="zh-CN" w:bidi="ar-SA"/>
              </w:rPr>
              <w:t>：</w:t>
            </w:r>
            <w:r>
              <w:rPr>
                <w:rFonts w:hint="eastAsia" w:ascii="黑体" w:hAnsi="黑体" w:eastAsia="黑体" w:cs="宋体"/>
                <w:bCs/>
                <w:color w:val="000000"/>
                <w:sz w:val="18"/>
                <w:szCs w:val="18"/>
                <w:lang w:val="en-US" w:eastAsia="zh-CN" w:bidi="ar-SA"/>
              </w:rPr>
              <w:t>本产品单一投资者持有份额不得超过产品总份额</w:t>
            </w:r>
            <w:r>
              <w:rPr>
                <w:rFonts w:ascii="黑体" w:hAnsi="黑体" w:eastAsia="黑体" w:cs="宋体"/>
                <w:bCs/>
                <w:color w:val="000000"/>
                <w:sz w:val="18"/>
                <w:szCs w:val="18"/>
                <w:lang w:val="en-US" w:eastAsia="zh-CN" w:bidi="ar-SA"/>
              </w:rPr>
              <w:t>50%。</w:t>
            </w:r>
          </w:p>
          <w:p w14:paraId="3F602048">
            <w:pPr>
              <w:widowControl w:val="0"/>
              <w:autoSpaceDE w:val="0"/>
              <w:autoSpaceDN w:val="0"/>
              <w:adjustRightInd w:val="0"/>
              <w:spacing w:line="360" w:lineRule="auto"/>
              <w:rPr>
                <w:rFonts w:ascii="黑体" w:hAnsi="黑体" w:eastAsia="黑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1）投资者认购或申购确认后可能导致其持有份额超过产品总份额50%的，管理人有权拒绝或暂停认购、申购。</w:t>
            </w:r>
          </w:p>
          <w:p w14:paraId="1144AAB4">
            <w:pPr>
              <w:spacing w:line="360" w:lineRule="auto"/>
              <w:rPr>
                <w:rFonts w:ascii="宋体" w:hAnsi="宋体" w:eastAsia="宋体" w:cs="宋体"/>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2）非因管理人主观因素导致突破该比例限制的，在单一投资者持有比例降至50%以下之前，管理人不再接受该投资者对本产品的认购、申购申请。</w:t>
            </w:r>
          </w:p>
        </w:tc>
      </w:tr>
      <w:tr w14:paraId="486842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14:paraId="4943F728">
            <w:pPr>
              <w:spacing w:line="360" w:lineRule="auto"/>
              <w:jc w:val="left"/>
              <w:rPr>
                <w:rFonts w:ascii="Calibri" w:hAnsi="宋体" w:cs="宋体"/>
                <w:b/>
                <w:sz w:val="18"/>
                <w:szCs w:val="18"/>
              </w:rPr>
            </w:pPr>
            <w:r>
              <w:rPr>
                <w:rFonts w:hint="eastAsia" w:ascii="Calibri" w:hAnsi="Calibri" w:cs="宋体"/>
                <w:sz w:val="18"/>
                <w:szCs w:val="18"/>
              </w:rPr>
              <w:t>★</w:t>
            </w:r>
            <w:r>
              <w:rPr>
                <w:rFonts w:hint="eastAsia" w:ascii="Calibri" w:hAnsi="宋体" w:cs="宋体"/>
                <w:b/>
                <w:sz w:val="18"/>
                <w:szCs w:val="18"/>
              </w:rPr>
              <w:t>巨额赎回的认定</w:t>
            </w:r>
          </w:p>
        </w:tc>
        <w:tc>
          <w:tcPr>
            <w:tcW w:w="7699" w:type="dxa"/>
            <w:shd w:val="solid" w:color="FFFFFF" w:fill="FFFFFF"/>
          </w:tcPr>
          <w:p w14:paraId="3DBC8C77">
            <w:pPr>
              <w:widowControl w:val="0"/>
              <w:autoSpaceDE w:val="0"/>
              <w:autoSpaceDN w:val="0"/>
              <w:adjustRightInd w:val="0"/>
              <w:spacing w:line="360" w:lineRule="auto"/>
              <w:rPr>
                <w:rFonts w:ascii="宋体" w:hAnsi="宋体" w:eastAsia="宋体" w:cs="宋体"/>
                <w:color w:val="auto"/>
                <w:kern w:val="2"/>
                <w:sz w:val="18"/>
                <w:szCs w:val="18"/>
                <w:lang w:val="en-US" w:eastAsia="zh-CN" w:bidi="ar-SA"/>
              </w:rPr>
            </w:pPr>
            <w:r>
              <w:rPr>
                <w:rFonts w:hint="eastAsia" w:ascii="宋体" w:hAnsi="宋体" w:eastAsia="宋体" w:cs="宋体"/>
                <w:bCs/>
                <w:color w:val="000000"/>
                <w:sz w:val="18"/>
                <w:szCs w:val="18"/>
                <w:lang w:val="en-US" w:eastAsia="zh-CN" w:bidi="ar-SA"/>
              </w:rPr>
              <w:t>单个开放日中，本产品的累计产品份额净赎回申请（赎回申请总份额扣除申购总份额后的余额</w:t>
            </w:r>
            <w:r>
              <w:rPr>
                <w:rFonts w:ascii="宋体" w:hAnsi="宋体" w:eastAsia="宋体" w:cs="宋体"/>
                <w:bCs/>
                <w:color w:val="000000"/>
                <w:sz w:val="18"/>
                <w:szCs w:val="18"/>
                <w:lang w:val="en-US" w:eastAsia="zh-CN" w:bidi="ar-SA"/>
              </w:rPr>
              <w:t>,</w:t>
            </w:r>
            <w:r>
              <w:rPr>
                <w:rFonts w:hint="eastAsia" w:ascii="宋体" w:hAnsi="宋体" w:eastAsia="宋体" w:cs="宋体"/>
                <w:bCs/>
                <w:color w:val="000000"/>
                <w:sz w:val="18"/>
                <w:szCs w:val="18"/>
                <w:lang w:val="en-US" w:eastAsia="zh-CN" w:bidi="ar-SA"/>
              </w:rPr>
              <w:t>下同）之和达到上一日产品总份额的1</w:t>
            </w:r>
            <w:r>
              <w:rPr>
                <w:rFonts w:ascii="宋体" w:hAnsi="宋体" w:eastAsia="宋体" w:cs="宋体"/>
                <w:bCs/>
                <w:color w:val="000000"/>
                <w:sz w:val="18"/>
                <w:szCs w:val="18"/>
                <w:lang w:val="en-US" w:eastAsia="zh-CN" w:bidi="ar-SA"/>
              </w:rPr>
              <w:t>0%</w:t>
            </w:r>
            <w:r>
              <w:rPr>
                <w:rFonts w:hint="eastAsia" w:ascii="宋体" w:hAnsi="宋体" w:eastAsia="宋体" w:cs="宋体"/>
                <w:bCs/>
                <w:color w:val="000000"/>
                <w:sz w:val="18"/>
                <w:szCs w:val="18"/>
                <w:lang w:val="en-US" w:eastAsia="zh-CN" w:bidi="ar-SA"/>
              </w:rPr>
              <w:t>，为巨额赎回。</w:t>
            </w:r>
          </w:p>
        </w:tc>
      </w:tr>
      <w:tr w14:paraId="686A32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4612A969">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99" w:type="dxa"/>
            <w:shd w:val="solid" w:color="FFFFFF" w:fill="FFFFFF"/>
            <w:vAlign w:val="center"/>
          </w:tcPr>
          <w:p w14:paraId="1B931A38">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265494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3C75A296">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99" w:type="dxa"/>
            <w:shd w:val="solid" w:color="FFFFFF" w:fill="FFFFFF"/>
            <w:vAlign w:val="center"/>
          </w:tcPr>
          <w:p w14:paraId="610D108C">
            <w:pPr>
              <w:spacing w:line="360" w:lineRule="auto"/>
              <w:rPr>
                <w:rFonts w:ascii="宋体" w:hAnsi="宋体" w:cs="宋体"/>
                <w:bCs/>
                <w:sz w:val="18"/>
                <w:szCs w:val="18"/>
              </w:rPr>
            </w:pPr>
            <w:r>
              <w:rPr>
                <w:rFonts w:ascii="宋体" w:hAnsi="宋体" w:cs="宋体"/>
                <w:bCs/>
                <w:sz w:val="18"/>
                <w:szCs w:val="18"/>
              </w:rPr>
              <w:t>1</w:t>
            </w:r>
            <w:r>
              <w:rPr>
                <w:rFonts w:ascii="宋体" w:hAnsi="宋体" w:cs="宋体"/>
                <w:sz w:val="18"/>
                <w:szCs w:val="18"/>
              </w:rPr>
              <w:t>.</w:t>
            </w:r>
            <w:r>
              <w:rPr>
                <w:rFonts w:hint="eastAsia" w:ascii="宋体" w:hAnsi="宋体" w:cs="宋体"/>
                <w:bCs/>
                <w:sz w:val="18"/>
                <w:szCs w:val="18"/>
              </w:rPr>
              <w:t>理财产品份额净值</w:t>
            </w:r>
            <w:r>
              <w:rPr>
                <w:rFonts w:ascii="宋体" w:hAnsi="宋体" w:cs="宋体"/>
                <w:bCs/>
                <w:sz w:val="18"/>
                <w:szCs w:val="18"/>
              </w:rPr>
              <w:t>为提取</w:t>
            </w:r>
            <w:r>
              <w:rPr>
                <w:rFonts w:hint="eastAsia" w:ascii="宋体" w:hAnsi="宋体" w:cs="宋体"/>
                <w:bCs/>
                <w:sz w:val="18"/>
                <w:szCs w:val="18"/>
              </w:rPr>
              <w:t>理财产品</w:t>
            </w:r>
            <w:r>
              <w:rPr>
                <w:rFonts w:ascii="宋体" w:hAnsi="宋体" w:cs="宋体"/>
                <w:bCs/>
                <w:sz w:val="18"/>
                <w:szCs w:val="18"/>
              </w:rPr>
              <w:t>费用后的理财产品份额净值，</w:t>
            </w:r>
            <w:r>
              <w:rPr>
                <w:rFonts w:hint="eastAsia" w:ascii="宋体" w:hAnsi="宋体" w:cs="宋体"/>
                <w:bCs/>
                <w:sz w:val="18"/>
                <w:szCs w:val="18"/>
              </w:rPr>
              <w:t>投资者</w:t>
            </w:r>
            <w:r>
              <w:rPr>
                <w:rFonts w:ascii="宋体" w:hAnsi="宋体" w:cs="宋体"/>
                <w:bCs/>
                <w:sz w:val="18"/>
                <w:szCs w:val="18"/>
              </w:rPr>
              <w:t>按该</w:t>
            </w:r>
            <w:r>
              <w:rPr>
                <w:rFonts w:hint="eastAsia" w:ascii="宋体" w:hAnsi="宋体" w:cs="宋体"/>
                <w:bCs/>
                <w:sz w:val="18"/>
                <w:szCs w:val="18"/>
              </w:rPr>
              <w:t>理财产品份额净值</w:t>
            </w:r>
            <w:r>
              <w:rPr>
                <w:rFonts w:ascii="宋体" w:hAnsi="宋体" w:cs="宋体"/>
                <w:bCs/>
                <w:sz w:val="18"/>
                <w:szCs w:val="18"/>
              </w:rPr>
              <w:t>进行赎回和提前终止分配。</w:t>
            </w:r>
          </w:p>
          <w:p w14:paraId="43140839">
            <w:pPr>
              <w:spacing w:line="360" w:lineRule="auto"/>
              <w:jc w:val="left"/>
              <w:rPr>
                <w:rFonts w:ascii="宋体" w:hAnsi="宋体" w:cs="Times New Roman"/>
                <w:sz w:val="18"/>
                <w:szCs w:val="18"/>
              </w:rPr>
            </w:pPr>
            <w:r>
              <w:rPr>
                <w:rFonts w:ascii="宋体" w:hAnsi="宋体" w:cs="宋体"/>
                <w:bCs/>
                <w:sz w:val="18"/>
                <w:szCs w:val="18"/>
              </w:rPr>
              <w:t>2</w:t>
            </w:r>
            <w:r>
              <w:rPr>
                <w:rFonts w:ascii="宋体" w:hAnsi="宋体" w:cs="宋体"/>
                <w:sz w:val="18"/>
                <w:szCs w:val="18"/>
              </w:rPr>
              <w:t>.</w:t>
            </w:r>
            <w:r>
              <w:rPr>
                <w:rFonts w:ascii="宋体" w:hAnsi="宋体" w:cs="宋体"/>
                <w:bCs/>
                <w:sz w:val="18"/>
                <w:szCs w:val="18"/>
              </w:rPr>
              <w:t>本产品采用1.00</w:t>
            </w:r>
            <w:r>
              <w:rPr>
                <w:rFonts w:hint="eastAsia" w:ascii="宋体" w:hAnsi="宋体" w:cs="宋体"/>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品收益分配，使理财产品份额净值始终保持</w:t>
            </w:r>
            <w:r>
              <w:rPr>
                <w:rFonts w:ascii="宋体" w:hAnsi="宋体" w:cs="宋体"/>
                <w:bCs/>
                <w:sz w:val="18"/>
                <w:szCs w:val="18"/>
              </w:rPr>
              <w:t>1.00</w:t>
            </w:r>
            <w:r>
              <w:rPr>
                <w:rFonts w:hint="eastAsia" w:ascii="宋体" w:hAnsi="宋体" w:cs="宋体"/>
                <w:bCs/>
                <w:sz w:val="18"/>
                <w:szCs w:val="18"/>
              </w:rPr>
              <w:t>元。</w:t>
            </w:r>
          </w:p>
        </w:tc>
      </w:tr>
      <w:tr w14:paraId="722F91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14:paraId="2FC2D5D2">
            <w:pPr>
              <w:spacing w:line="360" w:lineRule="auto"/>
              <w:jc w:val="left"/>
              <w:rPr>
                <w:rFonts w:ascii="宋体" w:hAnsi="宋体" w:cs="宋体"/>
                <w:b/>
                <w:bCs/>
                <w:kern w:val="0"/>
                <w:sz w:val="18"/>
                <w:szCs w:val="18"/>
              </w:rPr>
            </w:pPr>
            <w:r>
              <w:rPr>
                <w:rFonts w:hint="eastAsia" w:ascii="Calibri" w:hAnsi="宋体" w:cs="宋体"/>
                <w:sz w:val="18"/>
                <w:szCs w:val="18"/>
              </w:rPr>
              <w:t>★</w:t>
            </w:r>
            <w:r>
              <w:rPr>
                <w:rFonts w:hint="eastAsia" w:ascii="宋体" w:hAnsi="宋体" w:cs="宋体"/>
                <w:b/>
                <w:sz w:val="18"/>
                <w:szCs w:val="18"/>
              </w:rPr>
              <w:t>每万份理财产品收益</w:t>
            </w:r>
          </w:p>
        </w:tc>
        <w:tc>
          <w:tcPr>
            <w:tcW w:w="7699" w:type="dxa"/>
            <w:shd w:val="solid" w:color="FFFFFF" w:fill="FFFFFF"/>
          </w:tcPr>
          <w:p w14:paraId="24E5980E">
            <w:pPr>
              <w:autoSpaceDE w:val="0"/>
              <w:autoSpaceDN w:val="0"/>
              <w:adjustRightInd w:val="0"/>
              <w:spacing w:line="360" w:lineRule="auto"/>
              <w:jc w:val="left"/>
              <w:rPr>
                <w:rFonts w:ascii="宋体" w:hAnsi="宋体" w:cs="宋体"/>
                <w:sz w:val="18"/>
                <w:szCs w:val="18"/>
              </w:rPr>
            </w:pPr>
            <w:r>
              <w:rPr>
                <w:rFonts w:ascii="宋体" w:hAnsi="宋体" w:cs="宋体"/>
                <w:sz w:val="18"/>
                <w:szCs w:val="18"/>
              </w:rPr>
              <w:t>1.每万份理财产品收益</w:t>
            </w:r>
            <w:r>
              <w:rPr>
                <w:rFonts w:hint="eastAsia" w:ascii="宋体" w:hAnsi="宋体" w:cs="宋体"/>
                <w:bCs/>
                <w:sz w:val="18"/>
                <w:szCs w:val="18"/>
              </w:rPr>
              <w:t>＝</w:t>
            </w:r>
            <w:r>
              <w:rPr>
                <w:rFonts w:hint="eastAsia" w:ascii="宋体" w:hAnsi="宋体" w:cs="宋体"/>
                <w:sz w:val="18"/>
                <w:szCs w:val="18"/>
              </w:rPr>
              <w:t>当日理财产品收益÷当日理财产品份额×</w:t>
            </w:r>
            <w:r>
              <w:rPr>
                <w:rFonts w:ascii="宋体" w:hAnsi="宋体" w:cs="宋体"/>
                <w:sz w:val="18"/>
                <w:szCs w:val="18"/>
              </w:rPr>
              <w:t>10000</w:t>
            </w:r>
            <w:r>
              <w:rPr>
                <w:rFonts w:hint="eastAsia" w:ascii="宋体" w:hAnsi="宋体" w:cs="宋体"/>
                <w:sz w:val="18"/>
                <w:szCs w:val="18"/>
              </w:rPr>
              <w:t>。</w:t>
            </w:r>
          </w:p>
          <w:p w14:paraId="4DC8A6DF">
            <w:pPr>
              <w:spacing w:line="360" w:lineRule="auto"/>
              <w:jc w:val="left"/>
              <w:rPr>
                <w:rFonts w:ascii="宋体" w:hAnsi="宋体" w:eastAsia="宋体" w:cs="宋体"/>
                <w:bCs/>
                <w:sz w:val="18"/>
                <w:szCs w:val="18"/>
              </w:rPr>
            </w:pPr>
            <w:r>
              <w:rPr>
                <w:rFonts w:ascii="宋体" w:hAnsi="宋体" w:cs="宋体"/>
                <w:sz w:val="18"/>
                <w:szCs w:val="18"/>
              </w:rPr>
              <w:t>2.</w:t>
            </w:r>
            <w:r>
              <w:rPr>
                <w:rFonts w:hint="eastAsia" w:ascii="宋体" w:hAnsi="宋体" w:cs="宋体"/>
                <w:kern w:val="0"/>
                <w:sz w:val="18"/>
                <w:szCs w:val="18"/>
              </w:rPr>
              <w:t>每万份理财产品收益是</w:t>
            </w:r>
            <w:r>
              <w:rPr>
                <w:rFonts w:hint="eastAsia" w:ascii="宋体" w:hAnsi="宋体" w:cs="宋体"/>
                <w:sz w:val="18"/>
                <w:szCs w:val="18"/>
              </w:rPr>
              <w:t>每万份理财份额的日</w:t>
            </w:r>
            <w:r>
              <w:rPr>
                <w:rFonts w:ascii="宋体" w:hAnsi="宋体" w:cs="宋体"/>
                <w:sz w:val="18"/>
                <w:szCs w:val="18"/>
              </w:rPr>
              <w:t>净收益</w:t>
            </w:r>
            <w:r>
              <w:rPr>
                <w:rFonts w:hint="eastAsia" w:ascii="宋体" w:hAnsi="宋体" w:cs="宋体"/>
                <w:sz w:val="18"/>
                <w:szCs w:val="18"/>
              </w:rPr>
              <w:t>，精确至小数点后第</w:t>
            </w:r>
            <w:r>
              <w:rPr>
                <w:rFonts w:ascii="宋体" w:hAnsi="宋体" w:cs="宋体"/>
                <w:sz w:val="18"/>
                <w:szCs w:val="18"/>
              </w:rPr>
              <w:t>4位，小数点后第5</w:t>
            </w:r>
            <w:r>
              <w:rPr>
                <w:rFonts w:hint="eastAsia" w:ascii="宋体" w:hAnsi="宋体" w:cs="宋体"/>
                <w:sz w:val="18"/>
                <w:szCs w:val="18"/>
              </w:rPr>
              <w:t>位按去尾原则处理。</w:t>
            </w:r>
          </w:p>
        </w:tc>
      </w:tr>
      <w:tr w14:paraId="6D2B2F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tcPr>
          <w:p w14:paraId="5721BB87">
            <w:pPr>
              <w:spacing w:line="360" w:lineRule="auto"/>
              <w:jc w:val="left"/>
              <w:rPr>
                <w:rFonts w:ascii="宋体" w:hAnsi="宋体" w:cs="宋体"/>
                <w:b/>
                <w:bCs/>
                <w:kern w:val="0"/>
                <w:sz w:val="18"/>
                <w:szCs w:val="18"/>
              </w:rPr>
            </w:pPr>
            <w:r>
              <w:rPr>
                <w:rFonts w:hint="eastAsia" w:ascii="Calibri" w:hAnsi="宋体" w:cs="宋体"/>
                <w:sz w:val="18"/>
                <w:szCs w:val="18"/>
              </w:rPr>
              <w:t>★</w:t>
            </w:r>
            <w:r>
              <w:rPr>
                <w:rFonts w:ascii="宋体" w:hAnsi="宋体" w:cs="宋体"/>
                <w:b/>
                <w:bCs/>
                <w:sz w:val="18"/>
                <w:szCs w:val="18"/>
              </w:rPr>
              <w:t>7日</w:t>
            </w:r>
            <w:r>
              <w:rPr>
                <w:rFonts w:hint="eastAsia" w:ascii="宋体" w:hAnsi="宋体" w:cs="宋体"/>
                <w:b/>
                <w:bCs/>
                <w:sz w:val="18"/>
                <w:szCs w:val="18"/>
              </w:rPr>
              <w:t>年化收益率</w:t>
            </w:r>
          </w:p>
        </w:tc>
        <w:tc>
          <w:tcPr>
            <w:tcW w:w="7699" w:type="dxa"/>
            <w:shd w:val="solid" w:color="FFFFFF" w:fill="FFFFFF"/>
          </w:tcPr>
          <w:p w14:paraId="292DD89A">
            <w:pPr>
              <w:autoSpaceDE w:val="0"/>
              <w:autoSpaceDN w:val="0"/>
              <w:adjustRightInd w:val="0"/>
              <w:spacing w:line="360" w:lineRule="auto"/>
              <w:jc w:val="left"/>
              <w:rPr>
                <w:rFonts w:ascii="宋体" w:hAnsi="宋体" w:cs="宋体"/>
                <w:sz w:val="18"/>
                <w:szCs w:val="18"/>
              </w:rPr>
            </w:pPr>
            <w:r>
              <w:rPr>
                <w:rFonts w:hint="eastAsia" w:ascii="宋体" w:hAnsi="宋体" w:cs="宋体"/>
                <w:sz w:val="18"/>
                <w:szCs w:val="18"/>
              </w:rPr>
              <w:t>指以本产品最近七日（含节假日）收益率所折算的产品年化收益率。产品成立不满七日时以实际日收益率折算年收益率。</w:t>
            </w:r>
          </w:p>
          <w:p w14:paraId="7C16653B">
            <w:pPr>
              <w:adjustRightInd w:val="0"/>
              <w:snapToGrid w:val="0"/>
              <w:spacing w:line="360" w:lineRule="auto"/>
              <w:rPr>
                <w:rFonts w:ascii="宋体" w:hAnsi="宋体" w:cs="宋体"/>
                <w:sz w:val="18"/>
                <w:szCs w:val="18"/>
              </w:rPr>
            </w:pPr>
            <w:r>
              <w:rPr>
                <w:rFonts w:ascii="宋体" w:hAnsi="宋体" w:cs="宋体"/>
                <w:sz w:val="18"/>
                <w:szCs w:val="18"/>
              </w:rPr>
              <w:t>7日年化收益率</w:t>
            </w:r>
            <w:r>
              <w:rPr>
                <w:rFonts w:hint="eastAsia" w:ascii="宋体" w:hAnsi="宋体" w:cs="宋体"/>
                <w:sz w:val="18"/>
                <w:szCs w:val="18"/>
              </w:rPr>
              <w:t>（</w:t>
            </w:r>
            <w:r>
              <w:rPr>
                <w:rFonts w:ascii="宋体" w:hAnsi="宋体" w:cs="宋体"/>
                <w:sz w:val="18"/>
                <w:szCs w:val="18"/>
              </w:rPr>
              <w:t>%）</w:t>
            </w:r>
            <w:r>
              <w:rPr>
                <w:rFonts w:hint="eastAsia" w:ascii="宋体" w:hAnsi="宋体" w:cs="宋体"/>
                <w:bCs/>
                <w:sz w:val="18"/>
                <w:szCs w:val="18"/>
              </w:rPr>
              <w:t>＝</w:t>
            </w:r>
            <w:r>
              <w:rPr>
                <w:rFonts w:ascii="宋体" w:hAnsi="宋体" w:cs="宋体"/>
                <w:sz w:val="18"/>
                <w:szCs w:val="18"/>
              </w:rPr>
              <w:object>
                <v:shape id="_x0000_i1025" o:spt="75" type="#_x0000_t75" style="height:28.7pt;width:122.95pt;" o:ole="t" filled="f" o:preferrelative="t" stroked="f" coordsize="21600,21600">
                  <v:path/>
                  <v:fill on="f" focussize="0,0"/>
                  <v:stroke on="f" joinstyle="miter"/>
                  <v:imagedata r:id="rId16" o:title=""/>
                  <o:lock v:ext="edit" aspectratio="t"/>
                  <w10:wrap type="none"/>
                  <w10:anchorlock/>
                </v:shape>
                <o:OLEObject Type="Embed" ProgID="Equation.DSMT4" ShapeID="_x0000_i1025" DrawAspect="Content" ObjectID="_1468075725" r:id="rId15">
                  <o:LockedField>false</o:LockedField>
                </o:OLEObject>
              </w:object>
            </w:r>
          </w:p>
          <w:p w14:paraId="2B160BA0">
            <w:pPr>
              <w:adjustRightInd w:val="0"/>
              <w:snapToGrid w:val="0"/>
              <w:spacing w:line="360" w:lineRule="auto"/>
              <w:rPr>
                <w:rFonts w:ascii="宋体" w:hAnsi="宋体" w:cs="宋体"/>
                <w:sz w:val="18"/>
                <w:szCs w:val="18"/>
              </w:rPr>
            </w:pPr>
            <w:r>
              <w:rPr>
                <w:rFonts w:hint="eastAsia" w:ascii="宋体" w:hAnsi="宋体" w:cs="宋体"/>
                <w:sz w:val="18"/>
                <w:szCs w:val="18"/>
              </w:rPr>
              <w:t>其中，</w:t>
            </w:r>
            <w:r>
              <w:rPr>
                <w:rFonts w:ascii="宋体" w:hAnsi="宋体" w:cs="宋体"/>
                <w:sz w:val="18"/>
                <w:szCs w:val="18"/>
              </w:rPr>
              <w:t>Ri</w:t>
            </w:r>
            <w:r>
              <w:rPr>
                <w:rFonts w:hint="eastAsia" w:ascii="宋体" w:hAnsi="宋体" w:cs="宋体"/>
                <w:sz w:val="18"/>
                <w:szCs w:val="18"/>
              </w:rPr>
              <w:t>为最近第</w:t>
            </w:r>
            <w:r>
              <w:rPr>
                <w:rFonts w:ascii="宋体" w:hAnsi="宋体" w:cs="宋体"/>
                <w:sz w:val="18"/>
                <w:szCs w:val="18"/>
              </w:rPr>
              <w:t>i</w:t>
            </w:r>
            <w:r>
              <w:rPr>
                <w:rFonts w:hint="eastAsia" w:ascii="宋体" w:hAnsi="宋体" w:cs="宋体"/>
                <w:sz w:val="18"/>
                <w:szCs w:val="18"/>
              </w:rPr>
              <w:t>个自然日</w:t>
            </w:r>
            <w:r>
              <w:rPr>
                <w:rFonts w:ascii="宋体" w:hAnsi="宋体" w:cs="宋体"/>
                <w:sz w:val="18"/>
                <w:szCs w:val="18"/>
              </w:rPr>
              <w:t>(</w:t>
            </w:r>
            <w:r>
              <w:rPr>
                <w:rFonts w:hint="eastAsia" w:ascii="宋体" w:hAnsi="宋体" w:cs="宋体"/>
                <w:sz w:val="18"/>
                <w:szCs w:val="18"/>
              </w:rPr>
              <w:t>包括计算当日</w:t>
            </w:r>
            <w:r>
              <w:rPr>
                <w:rFonts w:ascii="宋体" w:hAnsi="宋体" w:cs="宋体"/>
                <w:sz w:val="18"/>
                <w:szCs w:val="18"/>
              </w:rPr>
              <w:t>)</w:t>
            </w:r>
            <w:r>
              <w:rPr>
                <w:rFonts w:hint="eastAsia" w:ascii="宋体" w:hAnsi="宋体" w:cs="宋体"/>
                <w:sz w:val="18"/>
                <w:szCs w:val="18"/>
              </w:rPr>
              <w:t>的每万份理财产品收益。</w:t>
            </w:r>
          </w:p>
          <w:p w14:paraId="7AF1683B">
            <w:pPr>
              <w:spacing w:line="360" w:lineRule="auto"/>
              <w:jc w:val="left"/>
              <w:rPr>
                <w:rFonts w:ascii="宋体" w:hAnsi="宋体" w:eastAsia="宋体" w:cs="宋体"/>
                <w:bCs/>
                <w:sz w:val="18"/>
                <w:szCs w:val="18"/>
              </w:rPr>
            </w:pPr>
            <w:r>
              <w:rPr>
                <w:rFonts w:ascii="宋体" w:hAnsi="宋体" w:cs="宋体"/>
                <w:sz w:val="18"/>
                <w:szCs w:val="18"/>
              </w:rPr>
              <w:t>7日年化收益率</w:t>
            </w:r>
            <w:r>
              <w:rPr>
                <w:rFonts w:hint="eastAsia" w:ascii="宋体" w:hAnsi="宋体" w:cs="宋体"/>
                <w:sz w:val="18"/>
                <w:szCs w:val="18"/>
              </w:rPr>
              <w:t>采用四舍五入保留至百分号内小数点后第</w:t>
            </w:r>
            <w:r>
              <w:rPr>
                <w:rFonts w:ascii="宋体" w:hAnsi="宋体" w:cs="宋体"/>
                <w:sz w:val="18"/>
                <w:szCs w:val="18"/>
              </w:rPr>
              <w:t>3位。</w:t>
            </w:r>
          </w:p>
        </w:tc>
      </w:tr>
      <w:tr w14:paraId="60414C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14:paraId="480B1EF9">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99" w:type="dxa"/>
            <w:shd w:val="solid" w:color="FFFFFF" w:fill="FFFFFF"/>
            <w:vAlign w:val="center"/>
          </w:tcPr>
          <w:p w14:paraId="37FF83B6">
            <w:pPr>
              <w:spacing w:line="360" w:lineRule="auto"/>
              <w:jc w:val="left"/>
              <w:rPr>
                <w:rFonts w:hint="eastAsia" w:ascii="宋体" w:hAnsi="宋体" w:eastAsia="宋体" w:cs="宋体"/>
                <w:bCs/>
                <w:sz w:val="18"/>
                <w:szCs w:val="18"/>
                <w:lang w:eastAsia="zh-CN"/>
              </w:rPr>
            </w:pPr>
            <w:r>
              <w:rPr>
                <w:rFonts w:hint="eastAsia" w:ascii="宋体" w:hAnsi="宋体" w:cs="宋体"/>
                <w:bCs/>
                <w:sz w:val="18"/>
                <w:szCs w:val="18"/>
                <w:lang w:eastAsia="zh-CN"/>
              </w:rPr>
              <w:t>（适用【E】类份额）</w:t>
            </w:r>
          </w:p>
          <w:p w14:paraId="14BD5A18">
            <w:pPr>
              <w:spacing w:line="360" w:lineRule="auto"/>
              <w:jc w:val="left"/>
              <w:rPr>
                <w:rFonts w:ascii="宋体" w:hAnsi="宋体" w:cs="宋体"/>
                <w:bCs/>
                <w:sz w:val="18"/>
                <w:szCs w:val="18"/>
              </w:rPr>
            </w:pPr>
            <w:r>
              <w:rPr>
                <w:rFonts w:hint="eastAsia" w:ascii="宋体" w:hAnsi="宋体" w:cs="宋体"/>
                <w:bCs/>
                <w:sz w:val="18"/>
                <w:szCs w:val="18"/>
              </w:rPr>
              <w:t>1.业绩比较基准的设置</w:t>
            </w:r>
          </w:p>
          <w:p w14:paraId="69144845">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14:paraId="1E0AB977">
            <w:pPr>
              <w:spacing w:line="360" w:lineRule="auto"/>
              <w:jc w:val="left"/>
              <w:rPr>
                <w:rFonts w:ascii="宋体" w:hAnsi="宋体" w:cs="宋体"/>
                <w:bCs/>
                <w:sz w:val="18"/>
                <w:szCs w:val="18"/>
              </w:rPr>
            </w:pPr>
            <w:r>
              <w:rPr>
                <w:rFonts w:hint="eastAsia" w:ascii="宋体" w:hAnsi="宋体" w:cs="宋体"/>
                <w:bCs/>
                <w:sz w:val="18"/>
                <w:szCs w:val="18"/>
              </w:rPr>
              <w:t>（1）业绩比较基准的说明：【本产品主要投资于货币市场工具，根据货币市场工具当前以及未来一段时期的收益率水平预测，设定业绩比较基准</w:t>
            </w:r>
            <w:r>
              <w:rPr>
                <w:rFonts w:ascii="宋体" w:hAnsi="宋体" w:cs="宋体"/>
                <w:bCs/>
                <w:sz w:val="18"/>
                <w:szCs w:val="18"/>
              </w:rPr>
              <w:t>】</w:t>
            </w:r>
            <w:r>
              <w:rPr>
                <w:rFonts w:hint="eastAsia" w:ascii="宋体" w:hAnsi="宋体" w:cs="宋体"/>
                <w:bCs/>
                <w:sz w:val="18"/>
                <w:szCs w:val="18"/>
              </w:rPr>
              <w:t>。</w:t>
            </w:r>
          </w:p>
          <w:p w14:paraId="3C4F0E00">
            <w:pPr>
              <w:spacing w:line="360" w:lineRule="auto"/>
              <w:jc w:val="left"/>
              <w:rPr>
                <w:rFonts w:ascii="宋体" w:hAnsi="宋体" w:eastAsia="宋体" w:cs="宋体"/>
                <w:bCs/>
                <w:sz w:val="18"/>
                <w:szCs w:val="18"/>
              </w:rPr>
            </w:pPr>
            <w:r>
              <w:rPr>
                <w:rFonts w:hint="eastAsia" w:ascii="宋体" w:hAnsi="宋体" w:eastAsia="宋体" w:cs="宋体"/>
                <w:bCs/>
                <w:sz w:val="18"/>
                <w:szCs w:val="18"/>
              </w:rPr>
              <w:t>（2）</w:t>
            </w:r>
            <w:r>
              <w:rPr>
                <w:rFonts w:ascii="宋体" w:hAnsi="宋体" w:eastAsia="宋体" w:cs="宋体"/>
                <w:bCs/>
                <w:sz w:val="18"/>
                <w:szCs w:val="18"/>
              </w:rPr>
              <w:t>业绩比较基准的设定</w:t>
            </w:r>
            <w:r>
              <w:rPr>
                <w:rFonts w:hint="eastAsia" w:ascii="宋体" w:hAnsi="宋体" w:eastAsia="宋体" w:cs="宋体"/>
                <w:bCs/>
                <w:sz w:val="18"/>
                <w:szCs w:val="18"/>
              </w:rPr>
              <w:t>：</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r>
              <w:rPr>
                <w:rFonts w:hint="eastAsia" w:ascii="宋体" w:hAnsi="宋体" w:cs="宋体"/>
                <w:bCs/>
                <w:sz w:val="18"/>
                <w:szCs w:val="18"/>
              </w:rPr>
              <w:t>【</w:t>
            </w:r>
            <w:r>
              <w:rPr>
                <w:rFonts w:hint="eastAsia" w:ascii="宋体" w:hAnsi="宋体" w:cs="宋体"/>
                <w:sz w:val="18"/>
                <w:szCs w:val="18"/>
              </w:rPr>
              <w:t>人民银行</w:t>
            </w:r>
            <w:r>
              <w:rPr>
                <w:rFonts w:ascii="宋体" w:hAnsi="宋体" w:cs="宋体"/>
                <w:sz w:val="18"/>
                <w:szCs w:val="18"/>
              </w:rPr>
              <w:t>7天通知存款利率</w:t>
            </w:r>
            <w:r>
              <w:rPr>
                <w:rFonts w:ascii="宋体" w:hAnsi="宋体" w:cs="宋体"/>
                <w:bCs/>
                <w:sz w:val="18"/>
                <w:szCs w:val="18"/>
              </w:rPr>
              <w:t>】</w:t>
            </w:r>
            <w:r>
              <w:rPr>
                <w:rFonts w:hint="eastAsia" w:ascii="宋体" w:hAnsi="宋体" w:cs="宋体"/>
                <w:bCs/>
                <w:sz w:val="18"/>
                <w:szCs w:val="18"/>
              </w:rPr>
              <w:t>。</w:t>
            </w:r>
          </w:p>
          <w:p w14:paraId="6D85CA57">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14:paraId="5A484651">
            <w:pPr>
              <w:spacing w:line="360" w:lineRule="auto"/>
              <w:jc w:val="left"/>
              <w:rPr>
                <w:rFonts w:ascii="宋体" w:hAnsi="宋体" w:eastAsia="宋体" w:cs="宋体"/>
                <w:bCs/>
                <w:sz w:val="18"/>
                <w:szCs w:val="18"/>
              </w:rPr>
            </w:pPr>
            <w:r>
              <w:rPr>
                <w:rFonts w:hint="eastAsia" w:ascii="宋体" w:hAnsi="宋体" w:eastAsia="宋体" w:cs="宋体"/>
                <w:bCs/>
                <w:sz w:val="18"/>
                <w:szCs w:val="18"/>
              </w:rPr>
              <w:t>2.业绩</w:t>
            </w:r>
            <w:r>
              <w:rPr>
                <w:rFonts w:ascii="宋体" w:hAnsi="宋体" w:eastAsia="宋体" w:cs="宋体"/>
                <w:bCs/>
                <w:sz w:val="18"/>
                <w:szCs w:val="18"/>
              </w:rPr>
              <w:t>比较基准的提示：</w:t>
            </w:r>
          </w:p>
          <w:p w14:paraId="7257F701">
            <w:pPr>
              <w:spacing w:line="360" w:lineRule="auto"/>
              <w:jc w:val="left"/>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11B4AE8F">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14:paraId="33AAAC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14:paraId="0AB370C4">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业绩报酬计提基准</w:t>
            </w:r>
          </w:p>
        </w:tc>
        <w:tc>
          <w:tcPr>
            <w:tcW w:w="7699" w:type="dxa"/>
            <w:shd w:val="solid" w:color="FFFFFF" w:fill="FFFFFF"/>
            <w:vAlign w:val="center"/>
          </w:tcPr>
          <w:p w14:paraId="73EE55C9">
            <w:pPr>
              <w:spacing w:line="360" w:lineRule="auto"/>
              <w:jc w:val="left"/>
              <w:rPr>
                <w:rFonts w:ascii="宋体" w:hAnsi="宋体" w:cs="宋体"/>
                <w:bCs/>
                <w:sz w:val="18"/>
                <w:szCs w:val="18"/>
              </w:rPr>
            </w:pPr>
            <w:r>
              <w:rPr>
                <w:rFonts w:hint="eastAsia" w:ascii="宋体" w:hAnsi="宋体" w:cs="宋体"/>
                <w:bCs/>
                <w:sz w:val="18"/>
                <w:szCs w:val="18"/>
              </w:rPr>
              <w:t>（适用【】类份额）</w:t>
            </w:r>
          </w:p>
          <w:p w14:paraId="172C84A4">
            <w:pPr>
              <w:spacing w:line="360" w:lineRule="auto"/>
              <w:jc w:val="left"/>
              <w:rPr>
                <w:rFonts w:ascii="宋体" w:hAnsi="宋体" w:cs="宋体"/>
                <w:bCs/>
                <w:sz w:val="18"/>
                <w:szCs w:val="18"/>
              </w:rPr>
            </w:pPr>
            <w:r>
              <w:rPr>
                <w:rFonts w:ascii="宋体" w:hAnsi="宋体" w:cs="宋体"/>
                <w:bCs/>
                <w:sz w:val="18"/>
                <w:szCs w:val="18"/>
              </w:rPr>
              <w:t>1.业绩报酬计提基准的设置</w:t>
            </w:r>
          </w:p>
          <w:p w14:paraId="5B4C3A5E">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产品管理人设置业绩报酬计提基准。</w:t>
            </w:r>
          </w:p>
          <w:p w14:paraId="49EA551A">
            <w:pPr>
              <w:spacing w:line="360" w:lineRule="auto"/>
              <w:jc w:val="left"/>
              <w:rPr>
                <w:rFonts w:ascii="宋体" w:hAnsi="宋体" w:cs="宋体"/>
                <w:sz w:val="18"/>
                <w:szCs w:val="22"/>
              </w:rPr>
            </w:pPr>
            <w:r>
              <w:rPr>
                <w:rFonts w:ascii="宋体" w:hAnsi="宋体" w:cs="宋体"/>
                <w:bCs/>
                <w:sz w:val="18"/>
                <w:szCs w:val="18"/>
              </w:rPr>
              <w:t>业绩报酬计提基准的</w:t>
            </w:r>
            <w:r>
              <w:rPr>
                <w:rFonts w:ascii="宋体" w:hAnsi="宋体" w:cs="宋体"/>
                <w:sz w:val="18"/>
                <w:szCs w:val="22"/>
              </w:rPr>
              <w:t>设定</w:t>
            </w:r>
            <w:r>
              <w:rPr>
                <w:rFonts w:hint="eastAsia" w:ascii="宋体" w:hAnsi="宋体" w:cs="宋体"/>
                <w:sz w:val="18"/>
                <w:szCs w:val="22"/>
              </w:rPr>
              <w:t>：管理人</w:t>
            </w:r>
            <w:r>
              <w:rPr>
                <w:rFonts w:ascii="宋体" w:hAnsi="宋体" w:cs="宋体"/>
                <w:sz w:val="18"/>
                <w:szCs w:val="22"/>
              </w:rPr>
              <w:t>对本产品设定</w:t>
            </w:r>
            <w:r>
              <w:rPr>
                <w:rFonts w:hint="eastAsia" w:ascii="宋体" w:hAnsi="宋体" w:cs="宋体"/>
                <w:sz w:val="18"/>
                <w:szCs w:val="22"/>
              </w:rPr>
              <w:t>业绩报酬计提基准：【】。</w:t>
            </w:r>
          </w:p>
          <w:p w14:paraId="3C6FFC62">
            <w:pPr>
              <w:spacing w:line="360" w:lineRule="auto"/>
              <w:jc w:val="left"/>
              <w:rPr>
                <w:rFonts w:ascii="宋体" w:hAnsi="宋体" w:cs="宋体"/>
                <w:bCs/>
                <w:sz w:val="18"/>
                <w:szCs w:val="18"/>
              </w:rPr>
            </w:pPr>
            <w:r>
              <w:rPr>
                <w:rFonts w:hint="eastAsia" w:ascii="宋体" w:hAnsi="宋体" w:eastAsia="宋体" w:cs="宋体"/>
                <w:bCs/>
                <w:sz w:val="18"/>
                <w:szCs w:val="18"/>
              </w:rPr>
              <w:t>■</w:t>
            </w:r>
            <w:r>
              <w:rPr>
                <w:rFonts w:hint="eastAsia" w:ascii="宋体" w:hAnsi="宋体" w:eastAsia="宋体" w:cs="宋体"/>
                <w:kern w:val="0"/>
                <w:sz w:val="18"/>
                <w:szCs w:val="18"/>
              </w:rPr>
              <w:t xml:space="preserve"> 产品管理人不设置业绩报酬计提基准。</w:t>
            </w:r>
          </w:p>
          <w:p w14:paraId="30889CD4">
            <w:pPr>
              <w:spacing w:line="360" w:lineRule="auto"/>
              <w:jc w:val="left"/>
              <w:rPr>
                <w:rFonts w:ascii="宋体" w:hAnsi="宋体" w:cs="宋体"/>
                <w:bCs/>
                <w:sz w:val="18"/>
                <w:szCs w:val="18"/>
              </w:rPr>
            </w:pPr>
            <w:r>
              <w:rPr>
                <w:rFonts w:hint="eastAsia" w:ascii="宋体" w:hAnsi="宋体" w:cs="宋体"/>
                <w:bCs/>
                <w:sz w:val="18"/>
                <w:szCs w:val="18"/>
              </w:rPr>
              <w:t>2</w:t>
            </w:r>
            <w:r>
              <w:rPr>
                <w:rFonts w:ascii="宋体" w:hAnsi="宋体" w:cs="宋体"/>
                <w:bCs/>
                <w:sz w:val="18"/>
                <w:szCs w:val="18"/>
              </w:rPr>
              <w:t>.业绩报酬计提基准的提示</w:t>
            </w:r>
            <w:r>
              <w:rPr>
                <w:rFonts w:hint="eastAsia" w:ascii="宋体" w:hAnsi="宋体" w:cs="宋体"/>
                <w:bCs/>
                <w:sz w:val="18"/>
                <w:szCs w:val="18"/>
              </w:rPr>
              <w:t>：</w:t>
            </w:r>
          </w:p>
          <w:p w14:paraId="76C32E94">
            <w:pPr>
              <w:autoSpaceDE w:val="0"/>
              <w:autoSpaceDN w:val="0"/>
              <w:adjustRightInd w:val="0"/>
              <w:spacing w:line="360" w:lineRule="auto"/>
              <w:jc w:val="left"/>
              <w:rPr>
                <w:rFonts w:ascii="宋体" w:hAnsi="宋体" w:cs="宋体"/>
                <w:b/>
                <w:bCs/>
                <w:sz w:val="18"/>
                <w:szCs w:val="18"/>
              </w:rPr>
            </w:pPr>
            <w:r>
              <w:rPr>
                <w:rFonts w:hint="eastAsia" w:ascii="宋体" w:hAnsi="宋体" w:cs="宋体"/>
                <w:bCs/>
                <w:sz w:val="18"/>
                <w:szCs w:val="18"/>
              </w:rPr>
              <w:t>（1）</w:t>
            </w:r>
            <w:r>
              <w:rPr>
                <w:rFonts w:hint="eastAsia" w:ascii="Calibri" w:hAnsi="Calibri" w:cs="宋体"/>
                <w:sz w:val="18"/>
                <w:szCs w:val="18"/>
              </w:rPr>
              <w:t>★</w:t>
            </w:r>
            <w:r>
              <w:rPr>
                <w:rFonts w:hint="eastAsia" w:ascii="黑体" w:hAnsi="黑体" w:eastAsia="黑体" w:cs="宋体"/>
                <w:bCs/>
                <w:sz w:val="18"/>
                <w:szCs w:val="18"/>
              </w:rPr>
              <w:t>业绩报酬计提基准仅作为管理人计算超额业绩报酬的参照标准。业绩报酬计提基准不是预期收益率，不代表产品的未来表现和实际收益，不构成对产品收益的承诺，投资须谨慎。</w:t>
            </w:r>
          </w:p>
          <w:p w14:paraId="79B20384">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14:paraId="5CDD4AF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14:paraId="518C1A71">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99" w:type="dxa"/>
            <w:shd w:val="solid" w:color="FFFFFF" w:fill="FFFFFF"/>
            <w:vAlign w:val="center"/>
          </w:tcPr>
          <w:p w14:paraId="4B4D8F52">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本产品</w:t>
            </w:r>
            <w:r>
              <w:rPr>
                <w:rFonts w:hint="eastAsia" w:ascii="宋体" w:hAnsi="宋体" w:eastAsia="宋体" w:cs="宋体"/>
                <w:sz w:val="18"/>
                <w:szCs w:val="18"/>
              </w:rPr>
              <w:t>每日进行收益分配，</w:t>
            </w:r>
            <w:r>
              <w:rPr>
                <w:rFonts w:hint="eastAsia" w:ascii="Calibri" w:hAnsi="宋体" w:cs="宋体"/>
                <w:bCs/>
                <w:sz w:val="18"/>
                <w:szCs w:val="18"/>
              </w:rPr>
              <w:t>收益分配方式为红利再投资，免收再投资的费用。</w:t>
            </w:r>
          </w:p>
          <w:p w14:paraId="74BFD3ED">
            <w:pPr>
              <w:spacing w:line="360" w:lineRule="auto"/>
              <w:jc w:val="left"/>
              <w:rPr>
                <w:rFonts w:ascii="Calibri" w:hAnsi="宋体" w:cs="宋体"/>
                <w:bCs/>
                <w:sz w:val="18"/>
                <w:szCs w:val="18"/>
              </w:rPr>
            </w:pPr>
            <w:r>
              <w:rPr>
                <w:rFonts w:ascii="Calibri" w:hAnsi="宋体" w:cs="宋体"/>
                <w:bCs/>
                <w:sz w:val="18"/>
                <w:szCs w:val="18"/>
              </w:rPr>
              <w:t>2.</w:t>
            </w:r>
            <w:r>
              <w:rPr>
                <w:rFonts w:hint="eastAsia" w:ascii="Calibri" w:hAnsi="宋体" w:cs="宋体"/>
                <w:bCs/>
                <w:sz w:val="18"/>
                <w:szCs w:val="18"/>
              </w:rPr>
              <w:t>理财产品存续期间，产品管理人有权视理财产品收益情况进行主动分配，相应分配基准日、分配方案由管理人及时披露。</w:t>
            </w:r>
          </w:p>
          <w:p w14:paraId="0F786514">
            <w:pPr>
              <w:spacing w:line="360" w:lineRule="auto"/>
              <w:jc w:val="left"/>
              <w:rPr>
                <w:rFonts w:ascii="宋体" w:hAnsi="宋体" w:cs="宋体"/>
                <w:bCs/>
                <w:sz w:val="18"/>
                <w:szCs w:val="18"/>
              </w:rPr>
            </w:pPr>
            <w:r>
              <w:rPr>
                <w:rFonts w:ascii="Calibri" w:hAnsi="宋体" w:cs="宋体"/>
                <w:bCs/>
                <w:sz w:val="18"/>
                <w:szCs w:val="18"/>
              </w:rPr>
              <w:t>3.具体理财产品利益分配</w:t>
            </w:r>
            <w:r>
              <w:rPr>
                <w:rFonts w:hint="eastAsia" w:ascii="Calibri" w:hAnsi="宋体" w:cs="宋体"/>
                <w:bCs/>
                <w:sz w:val="18"/>
                <w:szCs w:val="18"/>
              </w:rPr>
              <w:t>详见《产品说明书》“第八条 理财产品的利益分配”。</w:t>
            </w:r>
          </w:p>
        </w:tc>
      </w:tr>
      <w:tr w14:paraId="386C57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5E4BE8AA">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99" w:type="dxa"/>
            <w:shd w:val="solid" w:color="FFFFFF" w:fill="FFFFFF"/>
            <w:vAlign w:val="center"/>
          </w:tcPr>
          <w:p w14:paraId="4D387441">
            <w:pPr>
              <w:spacing w:line="360" w:lineRule="auto"/>
              <w:rPr>
                <w:rFonts w:hint="eastAsia" w:ascii="宋体" w:hAnsi="宋体" w:eastAsia="宋体" w:cs="宋体"/>
                <w:bCs/>
                <w:color w:val="000000"/>
                <w:sz w:val="18"/>
                <w:szCs w:val="18"/>
                <w:lang w:eastAsia="zh-CN"/>
              </w:rPr>
            </w:pPr>
            <w:r>
              <w:rPr>
                <w:rFonts w:hint="eastAsia" w:ascii="宋体" w:hAnsi="宋体" w:eastAsia="宋体" w:cs="宋体"/>
                <w:bCs/>
                <w:color w:val="000000"/>
                <w:sz w:val="18"/>
                <w:szCs w:val="18"/>
                <w:lang w:eastAsia="zh-CN"/>
              </w:rPr>
              <w:t>（适用【E】类份额）</w:t>
            </w:r>
          </w:p>
          <w:p w14:paraId="3FB88DFF">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w:t>
            </w:r>
            <w:r>
              <w:rPr>
                <w:rFonts w:hint="eastAsia" w:ascii="黑体" w:hAnsi="黑体" w:eastAsia="黑体" w:cs="宋体"/>
                <w:bCs/>
                <w:color w:val="000000"/>
                <w:sz w:val="18"/>
                <w:szCs w:val="18"/>
              </w:rPr>
              <w:t>理财产品的费率标准</w:t>
            </w:r>
          </w:p>
          <w:p w14:paraId="56D03ADF">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（1）认购费：【</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14:paraId="1BB99077">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（2）</w:t>
            </w:r>
            <w:r>
              <w:rPr>
                <w:rFonts w:ascii="黑体" w:hAnsi="黑体" w:eastAsia="黑体" w:cs="宋体"/>
                <w:bCs/>
                <w:color w:val="000000"/>
                <w:sz w:val="18"/>
                <w:szCs w:val="18"/>
              </w:rPr>
              <w:t>申购费：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r>
              <w:rPr>
                <w:rFonts w:ascii="黑体" w:hAnsi="黑体" w:eastAsia="黑体" w:cs="宋体"/>
                <w:bCs/>
                <w:color w:val="000000"/>
                <w:sz w:val="18"/>
                <w:szCs w:val="18"/>
              </w:rPr>
              <w:t>。</w:t>
            </w:r>
          </w:p>
          <w:p w14:paraId="22846F0F">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（3）赎回费：【</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14:paraId="4914967E">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w:t>
            </w:r>
            <w:r>
              <w:rPr>
                <w:rFonts w:hint="eastAsia" w:ascii="黑体" w:hAnsi="黑体" w:eastAsia="黑体" w:cs="宋体"/>
                <w:sz w:val="18"/>
                <w:szCs w:val="18"/>
              </w:rPr>
              <w:t>★</w:t>
            </w:r>
            <w:r>
              <w:rPr>
                <w:rFonts w:ascii="黑体" w:hAnsi="黑体" w:eastAsia="黑体" w:cs="宋体"/>
                <w:bCs/>
                <w:color w:val="000000"/>
                <w:sz w:val="18"/>
                <w:szCs w:val="18"/>
              </w:rPr>
              <w:t>强制赎回费</w:t>
            </w:r>
            <w:r>
              <w:rPr>
                <w:rFonts w:hint="eastAsia" w:ascii="黑体" w:hAnsi="黑体" w:eastAsia="黑体" w:cs="宋体"/>
                <w:bCs/>
                <w:color w:val="000000"/>
                <w:sz w:val="18"/>
                <w:szCs w:val="18"/>
              </w:rPr>
              <w:t>：</w:t>
            </w:r>
          </w:p>
          <w:p w14:paraId="77F8A29D">
            <w:pPr>
              <w:widowControl/>
              <w:spacing w:line="360" w:lineRule="auto"/>
              <w:jc w:val="left"/>
              <w:rPr>
                <w:rFonts w:ascii="黑体" w:hAnsi="黑体" w:eastAsia="黑体" w:cs="宋体"/>
                <w:kern w:val="0"/>
                <w:sz w:val="18"/>
                <w:szCs w:val="18"/>
              </w:rPr>
            </w:pPr>
            <w:r>
              <w:rPr>
                <w:rFonts w:ascii="黑体" w:hAnsi="黑体" w:eastAsia="黑体" w:cs="宋体"/>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14:paraId="773BB1F2">
            <w:pPr>
              <w:widowControl/>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）产品前</w:t>
            </w:r>
            <w:r>
              <w:rPr>
                <w:rFonts w:ascii="黑体" w:hAnsi="黑体" w:eastAsia="黑体" w:cs="宋体"/>
                <w:kern w:val="0"/>
                <w:sz w:val="18"/>
                <w:szCs w:val="18"/>
              </w:rPr>
              <w:t>10</w:t>
            </w:r>
            <w:r>
              <w:rPr>
                <w:rFonts w:hint="eastAsia" w:ascii="黑体" w:hAnsi="黑体" w:eastAsia="黑体" w:cs="宋体"/>
                <w:kern w:val="0"/>
                <w:sz w:val="18"/>
                <w:szCs w:val="18"/>
              </w:rPr>
              <w:t>名投资者的持有份额合计超过产品总份额</w:t>
            </w:r>
            <w:r>
              <w:rPr>
                <w:rFonts w:ascii="黑体" w:hAnsi="黑体" w:eastAsia="黑体" w:cs="宋体"/>
                <w:kern w:val="0"/>
                <w:sz w:val="18"/>
                <w:szCs w:val="18"/>
              </w:rPr>
              <w:t>50%</w:t>
            </w:r>
            <w:r>
              <w:rPr>
                <w:rFonts w:hint="eastAsia" w:ascii="黑体" w:hAnsi="黑体" w:eastAsia="黑体" w:cs="宋体"/>
                <w:kern w:val="0"/>
                <w:sz w:val="18"/>
                <w:szCs w:val="18"/>
              </w:rPr>
              <w:t>的，当投资组合中现金、国债、中央银行票据、政策性金融债券以及</w:t>
            </w:r>
            <w:r>
              <w:rPr>
                <w:rFonts w:ascii="黑体" w:hAnsi="黑体" w:eastAsia="黑体" w:cs="宋体"/>
                <w:kern w:val="0"/>
                <w:sz w:val="18"/>
                <w:szCs w:val="18"/>
              </w:rPr>
              <w:t>5</w:t>
            </w:r>
            <w:r>
              <w:rPr>
                <w:rFonts w:hint="eastAsia" w:ascii="黑体" w:hAnsi="黑体" w:eastAsia="黑体" w:cs="宋体"/>
                <w:kern w:val="0"/>
                <w:sz w:val="18"/>
                <w:szCs w:val="18"/>
              </w:rPr>
              <w:t>个交易日内到期的其他金融工具占该产品资产净值的比例合计低于</w:t>
            </w:r>
            <w:r>
              <w:rPr>
                <w:rFonts w:ascii="黑体" w:hAnsi="黑体" w:eastAsia="黑体" w:cs="宋体"/>
                <w:kern w:val="0"/>
                <w:sz w:val="18"/>
                <w:szCs w:val="18"/>
              </w:rPr>
              <w:t>10%</w:t>
            </w:r>
            <w:r>
              <w:rPr>
                <w:rFonts w:hint="eastAsia" w:ascii="黑体" w:hAnsi="黑体" w:eastAsia="黑体" w:cs="宋体"/>
                <w:kern w:val="0"/>
                <w:sz w:val="18"/>
                <w:szCs w:val="18"/>
              </w:rPr>
              <w:t>且偏离度为负时，产品管理人有权对投资者超过产品总份额</w:t>
            </w:r>
            <w:r>
              <w:rPr>
                <w:rFonts w:ascii="黑体" w:hAnsi="黑体" w:eastAsia="黑体" w:cs="宋体"/>
                <w:kern w:val="0"/>
                <w:sz w:val="18"/>
                <w:szCs w:val="18"/>
              </w:rPr>
              <w:t>1%</w:t>
            </w:r>
            <w:r>
              <w:rPr>
                <w:rFonts w:hint="eastAsia" w:ascii="黑体" w:hAnsi="黑体" w:eastAsia="黑体" w:cs="宋体"/>
                <w:kern w:val="0"/>
                <w:sz w:val="18"/>
                <w:szCs w:val="18"/>
              </w:rPr>
              <w:t>以上的赎回申请征收</w:t>
            </w:r>
            <w:r>
              <w:rPr>
                <w:rFonts w:ascii="黑体" w:hAnsi="黑体" w:eastAsia="黑体" w:cs="宋体"/>
                <w:kern w:val="0"/>
                <w:sz w:val="18"/>
                <w:szCs w:val="18"/>
              </w:rPr>
              <w:t>1%</w:t>
            </w:r>
            <w:r>
              <w:rPr>
                <w:rFonts w:hint="eastAsia" w:ascii="黑体" w:hAnsi="黑体" w:eastAsia="黑体" w:cs="宋体"/>
                <w:kern w:val="0"/>
                <w:sz w:val="18"/>
                <w:szCs w:val="18"/>
              </w:rPr>
              <w:t>的强制赎回费用。</w:t>
            </w:r>
          </w:p>
          <w:p w14:paraId="5CD2403F">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（5）</w:t>
            </w:r>
            <w:r>
              <w:rPr>
                <w:rFonts w:ascii="黑体" w:hAnsi="黑体" w:eastAsia="黑体" w:cs="宋体"/>
                <w:bCs/>
                <w:color w:val="000000"/>
                <w:sz w:val="18"/>
                <w:szCs w:val="18"/>
              </w:rPr>
              <w:t>销售服</w:t>
            </w:r>
            <w:r>
              <w:rPr>
                <w:rFonts w:hint="eastAsia" w:ascii="黑体" w:hAnsi="黑体" w:eastAsia="黑体" w:cs="宋体"/>
                <w:bCs/>
                <w:color w:val="000000"/>
                <w:sz w:val="18"/>
                <w:szCs w:val="18"/>
              </w:rPr>
              <w:t>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0.35%</w:t>
            </w:r>
            <w:r>
              <w:rPr>
                <w:rFonts w:hint="eastAsia" w:ascii="黑体" w:hAnsi="黑体" w:eastAsia="黑体" w:cs="宋体"/>
                <w:sz w:val="18"/>
                <w:szCs w:val="18"/>
              </w:rPr>
              <w:t>】</w:t>
            </w:r>
            <w:r>
              <w:rPr>
                <w:rFonts w:hint="eastAsia" w:ascii="黑体" w:hAnsi="黑体" w:eastAsia="黑体" w:cs="宋体"/>
                <w:bCs/>
                <w:color w:val="000000"/>
                <w:sz w:val="18"/>
                <w:szCs w:val="18"/>
              </w:rPr>
              <w:t>。</w:t>
            </w:r>
          </w:p>
          <w:p w14:paraId="59D71AA2">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（6）投资管理费：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0.30%</w:t>
            </w:r>
            <w:r>
              <w:rPr>
                <w:rFonts w:ascii="黑体" w:hAnsi="黑体" w:eastAsia="黑体" w:cs="宋体"/>
                <w:sz w:val="18"/>
                <w:szCs w:val="18"/>
              </w:rPr>
              <w:t>】</w:t>
            </w:r>
            <w:r>
              <w:rPr>
                <w:rFonts w:hint="eastAsia" w:ascii="黑体" w:hAnsi="黑体" w:eastAsia="黑体" w:cs="宋体"/>
                <w:bCs/>
                <w:color w:val="000000"/>
                <w:sz w:val="18"/>
                <w:szCs w:val="18"/>
              </w:rPr>
              <w:t>。</w:t>
            </w:r>
          </w:p>
          <w:p w14:paraId="0E3C2BE3">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（7）产品托管费：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0.03%</w:t>
            </w:r>
            <w:r>
              <w:rPr>
                <w:rFonts w:ascii="黑体" w:hAnsi="黑体" w:eastAsia="黑体" w:cs="宋体"/>
                <w:sz w:val="18"/>
                <w:szCs w:val="18"/>
              </w:rPr>
              <w:t>】</w:t>
            </w:r>
            <w:r>
              <w:rPr>
                <w:rFonts w:hint="eastAsia" w:ascii="黑体" w:hAnsi="黑体" w:eastAsia="黑体" w:cs="宋体"/>
                <w:bCs/>
                <w:color w:val="000000"/>
                <w:sz w:val="18"/>
                <w:szCs w:val="18"/>
              </w:rPr>
              <w:t>。</w:t>
            </w:r>
          </w:p>
          <w:p w14:paraId="51FF9E36">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（8）超额业绩报酬：</w:t>
            </w:r>
          </w:p>
          <w:p w14:paraId="20BC403E">
            <w:pPr>
              <w:widowControl/>
              <w:spacing w:line="360" w:lineRule="auto"/>
              <w:jc w:val="left"/>
              <w:rPr>
                <w:rFonts w:ascii="宋体" w:hAnsi="宋体" w:cs="宋体"/>
                <w:kern w:val="0"/>
                <w:sz w:val="18"/>
                <w:szCs w:val="18"/>
              </w:rPr>
            </w:pPr>
            <w:r>
              <w:rPr>
                <w:rFonts w:ascii="宋体" w:hAnsi="宋体" w:cs="宋体"/>
                <w:sz w:val="18"/>
                <w:szCs w:val="18"/>
              </w:rPr>
              <w:t>本产品不收取超额业绩报酬</w:t>
            </w:r>
            <w:r>
              <w:rPr>
                <w:rFonts w:hint="eastAsia" w:ascii="宋体" w:hAnsi="宋体" w:cs="宋体"/>
                <w:sz w:val="18"/>
                <w:szCs w:val="18"/>
              </w:rPr>
              <w:t>。</w:t>
            </w:r>
          </w:p>
          <w:p w14:paraId="109A408F">
            <w:pPr>
              <w:spacing w:line="360" w:lineRule="auto"/>
              <w:rPr>
                <w:rFonts w:ascii="黑体" w:hAnsi="黑体" w:eastAsia="黑体" w:cs="宋体"/>
                <w:bCs/>
                <w:sz w:val="18"/>
                <w:szCs w:val="18"/>
              </w:rPr>
            </w:pPr>
            <w:r>
              <w:rPr>
                <w:rFonts w:hint="eastAsia" w:ascii="宋体" w:hAnsi="宋体" w:cs="宋体"/>
                <w:bCs/>
                <w:sz w:val="18"/>
                <w:szCs w:val="18"/>
              </w:rPr>
              <w:t>2</w:t>
            </w:r>
            <w:r>
              <w:rPr>
                <w:rFonts w:hint="eastAsia" w:ascii="宋体" w:hAnsi="宋体" w:eastAsia="宋体" w:cs="宋体"/>
                <w:bCs/>
                <w:sz w:val="18"/>
                <w:szCs w:val="18"/>
              </w:rPr>
              <w:t>.</w:t>
            </w:r>
            <w:r>
              <w:rPr>
                <w:rFonts w:hint="eastAsia" w:ascii="Calibri" w:hAnsi="Calibri" w:cs="宋体"/>
                <w:sz w:val="18"/>
                <w:szCs w:val="18"/>
              </w:rPr>
              <w:t xml:space="preserve"> </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14:paraId="44C6DC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09E5A7D">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99" w:type="dxa"/>
            <w:shd w:val="solid" w:color="FFFFFF" w:fill="FFFFFF"/>
            <w:vAlign w:val="center"/>
          </w:tcPr>
          <w:p w14:paraId="3940435E">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11D78E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1441A368">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99" w:type="dxa"/>
            <w:shd w:val="solid" w:color="FFFFFF" w:fill="FFFFFF"/>
            <w:vAlign w:val="center"/>
          </w:tcPr>
          <w:p w14:paraId="2E5AACF7">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7C68A8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14:paraId="69FD67D6">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99" w:type="dxa"/>
            <w:shd w:val="solid" w:color="FFFFFF" w:fill="FFFFFF"/>
            <w:vAlign w:val="center"/>
          </w:tcPr>
          <w:p w14:paraId="54F6D483">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1ABAFB9E">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383FA72F">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4E42B2B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2" w:name="_Toc3800"/>
      <w:bookmarkStart w:id="73" w:name="_Toc176189280"/>
      <w:bookmarkStart w:id="74"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5" w:name="_Toc79392573"/>
      <w:r>
        <w:rPr>
          <w:rFonts w:hint="eastAsia" w:ascii="Times New Roman" w:hAnsi="Calibri" w:eastAsia="宋体" w:cs="宋体"/>
          <w:b/>
          <w:bCs/>
          <w:kern w:val="44"/>
          <w:sz w:val="30"/>
          <w:szCs w:val="44"/>
          <w:lang w:val="en-US" w:eastAsia="zh-CN" w:bidi="ar-SA"/>
        </w:rPr>
        <w:t>理财产品的认购</w:t>
      </w:r>
      <w:bookmarkEnd w:id="72"/>
      <w:bookmarkEnd w:id="73"/>
      <w:bookmarkEnd w:id="74"/>
    </w:p>
    <w:p w14:paraId="5617387A">
      <w:pPr>
        <w:spacing w:line="360" w:lineRule="auto"/>
        <w:ind w:firstLine="361" w:firstLineChars="200"/>
        <w:rPr>
          <w:rFonts w:ascii="宋体" w:hAnsi="宋体" w:cs="宋体"/>
          <w:b/>
          <w:bCs/>
          <w:sz w:val="18"/>
          <w:szCs w:val="18"/>
        </w:rPr>
      </w:pPr>
      <w:bookmarkStart w:id="76" w:name="_Hlt88031774"/>
      <w:bookmarkEnd w:id="76"/>
      <w:bookmarkStart w:id="77" w:name="_Hlt88031741"/>
      <w:r>
        <w:rPr>
          <w:rFonts w:hint="eastAsia" w:ascii="宋体" w:hAnsi="宋体" w:cs="宋体"/>
          <w:b/>
          <w:bCs/>
          <w:sz w:val="18"/>
          <w:szCs w:val="18"/>
        </w:rPr>
        <w:t>（一）理财产品的认购</w:t>
      </w:r>
    </w:p>
    <w:p w14:paraId="03165BA1">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7E785CA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31BACE85">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5A5608D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704BA42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4E786F3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05387BB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351C8D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5638B8BF">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69927317">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67025BC0">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760497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A2DF82C">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0CDA35FE">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57D44515">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19AED6F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认购期/募集期内投资者可提交认购申请。</w:t>
      </w:r>
      <w:r>
        <w:rPr>
          <w:rFonts w:hint="eastAsia" w:ascii="宋体" w:hAnsi="宋体" w:eastAsia="宋体" w:cs="宋体"/>
          <w:color w:val="000000"/>
          <w:sz w:val="18"/>
          <w:szCs w:val="18"/>
          <w:lang w:val="en-US" w:eastAsia="zh-CN" w:bidi="ar-SA"/>
        </w:rPr>
        <w:t>提交</w:t>
      </w:r>
      <w:r>
        <w:rPr>
          <w:rFonts w:ascii="宋体" w:hAnsi="宋体" w:eastAsia="宋体" w:cs="宋体"/>
          <w:color w:val="000000"/>
          <w:sz w:val="18"/>
          <w:szCs w:val="18"/>
          <w:lang w:val="en-US" w:eastAsia="zh-CN" w:bidi="ar-SA"/>
        </w:rPr>
        <w:t>认购</w:t>
      </w:r>
      <w:r>
        <w:rPr>
          <w:rFonts w:hint="eastAsia" w:ascii="宋体" w:hAnsi="宋体" w:eastAsia="宋体" w:cs="宋体"/>
          <w:color w:val="000000"/>
          <w:sz w:val="18"/>
          <w:szCs w:val="18"/>
          <w:lang w:val="en-US" w:eastAsia="zh-CN" w:bidi="ar-SA"/>
        </w:rPr>
        <w:t>申请并不代表认购成功，产品管理人将在认购确认日确认投资者是否认购成功，是否成功以管理人的确认结果为准。</w:t>
      </w:r>
    </w:p>
    <w:p w14:paraId="4E3EB1A0">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1EBBDC8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729D1AE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462EE69C">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49306D73">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5B5D26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1AA070F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579527B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221F35B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=净认购金额/1.00</w:t>
      </w:r>
    </w:p>
    <w:p w14:paraId="597D90B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18BF1A6F">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6A9EBCD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2952189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234D6791">
      <w:pPr>
        <w:spacing w:line="360" w:lineRule="auto"/>
        <w:ind w:firstLine="360" w:firstLineChars="200"/>
        <w:rPr>
          <w:rFonts w:ascii="宋体" w:hAnsi="宋体" w:eastAsia="宋体" w:cs="宋体"/>
          <w:sz w:val="18"/>
          <w:szCs w:val="18"/>
        </w:rPr>
      </w:pPr>
      <w:r>
        <w:rPr>
          <w:rFonts w:hint="eastAsia" w:ascii="宋体" w:hAnsi="宋体" w:eastAsia="宋体" w:cs="宋体"/>
          <w:sz w:val="18"/>
          <w:szCs w:val="18"/>
        </w:rPr>
        <w:t>详见《产品说明书》“第二条 理财产品基本情况”。</w:t>
      </w:r>
    </w:p>
    <w:p w14:paraId="2E2DCD38">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726A059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14:paraId="7B09725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3319D7C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54EAE02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0B431174">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3B5AF9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4DC137F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761F93E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4251684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5AEA10F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6CA05A09">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3E7B6C4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464BBC2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4AF8D20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70FCF699">
      <w:pPr>
        <w:spacing w:line="360" w:lineRule="auto"/>
        <w:ind w:firstLine="360" w:firstLineChars="200"/>
        <w:rPr>
          <w:rFonts w:ascii="宋体" w:hAnsi="宋体" w:cs="宋体"/>
          <w:bCs/>
          <w:sz w:val="18"/>
          <w:szCs w:val="18"/>
        </w:rPr>
      </w:pPr>
    </w:p>
    <w:p w14:paraId="15F13340">
      <w:pPr>
        <w:widowControl/>
        <w:spacing w:line="360" w:lineRule="auto"/>
        <w:jc w:val="left"/>
        <w:rPr>
          <w:rFonts w:ascii="宋体" w:hAnsi="宋体" w:cs="宋体"/>
          <w:bCs/>
          <w:sz w:val="18"/>
          <w:szCs w:val="18"/>
        </w:rPr>
      </w:pPr>
      <w:r>
        <w:rPr>
          <w:rFonts w:ascii="宋体" w:hAnsi="宋体" w:cs="宋体"/>
          <w:bCs/>
          <w:sz w:val="18"/>
          <w:szCs w:val="18"/>
        </w:rPr>
        <w:br w:type="page"/>
      </w:r>
    </w:p>
    <w:p w14:paraId="5286C84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8" w:name="_Toc176189281"/>
      <w:bookmarkStart w:id="79" w:name="_Toc28773"/>
      <w:bookmarkStart w:id="80" w:name="_Toc79154667"/>
      <w:r>
        <w:rPr>
          <w:rFonts w:hint="eastAsia" w:ascii="Times New Roman" w:hAnsi="Calibri" w:eastAsia="宋体" w:cs="宋体"/>
          <w:b/>
          <w:bCs/>
          <w:kern w:val="44"/>
          <w:sz w:val="30"/>
          <w:szCs w:val="44"/>
          <w:lang w:val="en-US" w:eastAsia="zh-CN" w:bidi="ar-SA"/>
        </w:rPr>
        <w:t xml:space="preserve">第四条 </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8"/>
      <w:bookmarkEnd w:id="79"/>
      <w:bookmarkEnd w:id="80"/>
    </w:p>
    <w:bookmarkEnd w:id="77"/>
    <w:p w14:paraId="3E1B29B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（一）理财产品的申购</w:t>
      </w:r>
    </w:p>
    <w:p w14:paraId="6E17195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申购的时间</w:t>
      </w:r>
    </w:p>
    <w:p w14:paraId="746AF0BC">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hint="eastAsia" w:ascii="宋体" w:hAnsi="宋体" w:eastAsia="宋体" w:cs="宋体"/>
          <w:color w:val="auto"/>
          <w:sz w:val="18"/>
          <w:szCs w:val="24"/>
          <w:lang w:val="en-US" w:eastAsia="zh-CN" w:bidi="ar-SA"/>
        </w:rPr>
        <w:t>本产品设置开放期，</w:t>
      </w:r>
      <w:r>
        <w:rPr>
          <w:rFonts w:hint="eastAsia" w:ascii="宋体" w:hAnsi="宋体" w:eastAsia="宋体" w:cs="宋体"/>
          <w:bCs/>
          <w:color w:val="auto"/>
          <w:sz w:val="18"/>
          <w:szCs w:val="18"/>
          <w:lang w:val="en-US" w:eastAsia="zh-CN" w:bidi="ar-SA"/>
        </w:rPr>
        <w:t>具体的申购时间以</w:t>
      </w:r>
      <w:r>
        <w:rPr>
          <w:rFonts w:hint="eastAsia" w:ascii="宋体" w:hAnsi="宋体" w:eastAsia="宋体" w:cs="宋体"/>
          <w:color w:val="auto"/>
          <w:sz w:val="18"/>
          <w:szCs w:val="18"/>
          <w:lang w:val="en-US" w:eastAsia="zh-CN" w:bidi="ar-SA"/>
        </w:rPr>
        <w:t>《产品说明书》“第二条 理财产品基本情况”</w:t>
      </w:r>
      <w:r>
        <w:rPr>
          <w:rFonts w:hint="eastAsia" w:ascii="宋体" w:hAnsi="宋体" w:eastAsia="宋体" w:cs="宋体"/>
          <w:bCs/>
          <w:color w:val="auto"/>
          <w:sz w:val="18"/>
          <w:szCs w:val="18"/>
          <w:lang w:val="en-US" w:eastAsia="zh-CN" w:bidi="ar-SA"/>
        </w:rPr>
        <w:t>为准。</w:t>
      </w:r>
      <w:r>
        <w:rPr>
          <w:rFonts w:hint="eastAsia" w:ascii="宋体" w:hAnsi="宋体" w:eastAsia="宋体" w:cs="宋体"/>
          <w:color w:val="000000"/>
          <w:sz w:val="18"/>
          <w:szCs w:val="18"/>
          <w:lang w:val="en-US" w:eastAsia="zh-CN" w:bidi="ar-SA"/>
        </w:rPr>
        <w:t>投资者可于开放日内申购，产品管理人公告暂停开放的日期除外</w:t>
      </w:r>
      <w:r>
        <w:rPr>
          <w:rFonts w:hint="eastAsia" w:ascii="宋体" w:hAnsi="宋体" w:eastAsia="宋体" w:cs="宋体"/>
          <w:bCs/>
          <w:color w:val="000000"/>
          <w:sz w:val="18"/>
          <w:szCs w:val="18"/>
          <w:lang w:val="en-US" w:eastAsia="zh-CN" w:bidi="ar-SA"/>
        </w:rPr>
        <w:t>。</w:t>
      </w:r>
    </w:p>
    <w:p w14:paraId="7B4FAB4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2.申购的方式</w:t>
      </w:r>
    </w:p>
    <w:p w14:paraId="45E2C7A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投资者可通过</w:t>
      </w:r>
      <w:r>
        <w:rPr>
          <w:rFonts w:hint="eastAsia" w:ascii="宋体" w:hAnsi="宋体" w:eastAsia="宋体" w:cs="宋体"/>
          <w:bCs/>
          <w:color w:val="auto"/>
          <w:sz w:val="18"/>
          <w:szCs w:val="18"/>
          <w:lang w:val="en-US" w:eastAsia="zh-CN" w:bidi="ar-SA"/>
        </w:rPr>
        <w:t>销售机构的销售</w:t>
      </w:r>
      <w:r>
        <w:rPr>
          <w:rFonts w:ascii="宋体" w:hAnsi="宋体" w:eastAsia="宋体" w:cs="宋体"/>
          <w:bCs/>
          <w:color w:val="auto"/>
          <w:sz w:val="18"/>
          <w:szCs w:val="18"/>
          <w:lang w:val="en-US" w:eastAsia="zh-CN" w:bidi="ar-SA"/>
        </w:rPr>
        <w:t>渠道</w:t>
      </w:r>
      <w:r>
        <w:rPr>
          <w:rFonts w:hint="eastAsia" w:ascii="宋体" w:hAnsi="宋体" w:eastAsia="宋体" w:cs="宋体"/>
          <w:bCs/>
          <w:color w:val="auto"/>
          <w:sz w:val="18"/>
          <w:szCs w:val="18"/>
          <w:lang w:val="en-US" w:eastAsia="zh-CN" w:bidi="ar-SA"/>
        </w:rPr>
        <w:t>申购。不同销售机构</w:t>
      </w:r>
      <w:r>
        <w:rPr>
          <w:rFonts w:ascii="宋体" w:hAnsi="宋体" w:eastAsia="宋体" w:cs="宋体"/>
          <w:bCs/>
          <w:color w:val="auto"/>
          <w:sz w:val="18"/>
          <w:szCs w:val="18"/>
          <w:lang w:val="en-US" w:eastAsia="zh-CN" w:bidi="ar-SA"/>
        </w:rPr>
        <w:t>的销售</w:t>
      </w:r>
      <w:r>
        <w:rPr>
          <w:rFonts w:hint="eastAsia" w:ascii="宋体" w:hAnsi="宋体" w:eastAsia="宋体" w:cs="宋体"/>
          <w:bCs/>
          <w:color w:val="auto"/>
          <w:sz w:val="18"/>
          <w:szCs w:val="18"/>
          <w:lang w:val="en-US" w:eastAsia="zh-CN" w:bidi="ar-SA"/>
        </w:rPr>
        <w:t>渠道，申购确认时效可能存在</w:t>
      </w:r>
      <w:r>
        <w:rPr>
          <w:rFonts w:ascii="宋体" w:hAnsi="宋体" w:eastAsia="宋体" w:cs="宋体"/>
          <w:bCs/>
          <w:color w:val="auto"/>
          <w:sz w:val="18"/>
          <w:szCs w:val="18"/>
          <w:lang w:val="en-US" w:eastAsia="zh-CN" w:bidi="ar-SA"/>
        </w:rPr>
        <w:t>差异</w:t>
      </w:r>
      <w:r>
        <w:rPr>
          <w:rFonts w:hint="eastAsia" w:ascii="宋体" w:hAnsi="宋体" w:eastAsia="宋体" w:cs="宋体"/>
          <w:bCs/>
          <w:color w:val="auto"/>
          <w:sz w:val="18"/>
          <w:szCs w:val="18"/>
          <w:lang w:val="en-US" w:eastAsia="zh-CN" w:bidi="ar-SA"/>
        </w:rPr>
        <w:t>。</w:t>
      </w:r>
    </w:p>
    <w:p w14:paraId="7B92AF1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投资者通过</w:t>
      </w:r>
      <w:r>
        <w:rPr>
          <w:rFonts w:hint="eastAsia" w:ascii="宋体" w:hAnsi="宋体" w:eastAsia="宋体" w:cs="宋体"/>
          <w:bCs/>
          <w:color w:val="auto"/>
          <w:sz w:val="18"/>
          <w:szCs w:val="18"/>
          <w:lang w:val="en-US" w:eastAsia="zh-CN" w:bidi="ar-SA"/>
        </w:rPr>
        <w:t>销售机构线下</w:t>
      </w:r>
      <w:r>
        <w:rPr>
          <w:rFonts w:ascii="宋体" w:hAnsi="宋体" w:eastAsia="宋体" w:cs="宋体"/>
          <w:bCs/>
          <w:color w:val="auto"/>
          <w:sz w:val="18"/>
          <w:szCs w:val="18"/>
          <w:lang w:val="en-US" w:eastAsia="zh-CN" w:bidi="ar-SA"/>
        </w:rPr>
        <w:t>渠道申购</w:t>
      </w:r>
      <w:r>
        <w:rPr>
          <w:rFonts w:hint="eastAsia" w:ascii="宋体" w:hAnsi="宋体" w:eastAsia="宋体" w:cs="宋体"/>
          <w:bCs/>
          <w:color w:val="auto"/>
          <w:sz w:val="18"/>
          <w:szCs w:val="18"/>
          <w:lang w:val="en-US" w:eastAsia="zh-CN" w:bidi="ar-SA"/>
        </w:rPr>
        <w:t>的，应签署有关理财产品销售文件。</w:t>
      </w:r>
    </w:p>
    <w:p w14:paraId="1BADE4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投资者通过销售机构线上渠道申购的，应根据销售机构线上渠道的具体要求执行。</w:t>
      </w:r>
    </w:p>
    <w:p w14:paraId="691654FB">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申购的确认</w:t>
      </w:r>
    </w:p>
    <w:p w14:paraId="1C224D4F">
      <w:pPr>
        <w:spacing w:line="360" w:lineRule="auto"/>
        <w:ind w:firstLine="360" w:firstLineChars="200"/>
        <w:rPr>
          <w:rFonts w:ascii="宋体" w:hAnsi="宋体" w:cs="宋体"/>
          <w:bCs/>
          <w:sz w:val="18"/>
          <w:szCs w:val="18"/>
        </w:rPr>
      </w:pPr>
      <w:r>
        <w:rPr>
          <w:rFonts w:hint="eastAsia" w:ascii="宋体" w:hAnsi="宋体" w:cs="宋体"/>
          <w:sz w:val="18"/>
          <w:szCs w:val="18"/>
        </w:rPr>
        <w:t>详见《产品说明书》“第二条 理财产品基本情况”</w:t>
      </w:r>
      <w:r>
        <w:rPr>
          <w:rFonts w:hint="eastAsia" w:ascii="Calibri" w:hAnsi="Calibri" w:cs="宋体"/>
          <w:bCs/>
          <w:sz w:val="18"/>
          <w:szCs w:val="18"/>
        </w:rPr>
        <w:t>。</w:t>
      </w:r>
    </w:p>
    <w:p w14:paraId="6869FAE3">
      <w:pPr>
        <w:widowControl w:val="0"/>
        <w:autoSpaceDE w:val="0"/>
        <w:autoSpaceDN w:val="0"/>
        <w:adjustRightInd w:val="0"/>
        <w:spacing w:line="360" w:lineRule="auto"/>
        <w:ind w:firstLine="360" w:firstLineChars="200"/>
        <w:rPr>
          <w:rFonts w:ascii="宋体" w:hAnsi="宋体" w:eastAsia="宋体" w:cs="宋体"/>
          <w:color w:val="auto"/>
          <w:sz w:val="18"/>
          <w:szCs w:val="24"/>
          <w:lang w:val="en-US" w:eastAsia="zh-CN" w:bidi="ar-SA"/>
        </w:rPr>
      </w:pPr>
      <w:r>
        <w:rPr>
          <w:rFonts w:hint="eastAsia" w:ascii="宋体" w:hAnsi="宋体" w:eastAsia="宋体" w:cs="宋体"/>
          <w:color w:val="auto"/>
          <w:sz w:val="18"/>
          <w:szCs w:val="18"/>
          <w:lang w:val="en-US" w:eastAsia="zh-CN" w:bidi="ar-SA"/>
        </w:rPr>
        <w:t>提交申购申请并不代表申购成功，产品管理人将在申购确认日确认投资者是否申购成功，是否成功以管理人的确认结果为准。</w:t>
      </w:r>
    </w:p>
    <w:p w14:paraId="5334837C">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.申购</w:t>
      </w:r>
      <w:r>
        <w:rPr>
          <w:rFonts w:ascii="宋体" w:hAnsi="宋体" w:cs="宋体"/>
          <w:b/>
          <w:bCs/>
          <w:sz w:val="18"/>
          <w:szCs w:val="18"/>
        </w:rPr>
        <w:t>的价格</w:t>
      </w:r>
    </w:p>
    <w:p w14:paraId="7A0F519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本产品的申购价格为每份理财份额人民币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0161DD74">
      <w:pPr>
        <w:spacing w:line="360" w:lineRule="auto"/>
        <w:ind w:firstLine="361" w:firstLineChars="200"/>
        <w:rPr>
          <w:rFonts w:ascii="宋体" w:hAnsi="宋体" w:cs="宋体"/>
          <w:b/>
          <w:bCs/>
          <w:sz w:val="18"/>
          <w:szCs w:val="18"/>
        </w:rPr>
      </w:pPr>
      <w:r>
        <w:rPr>
          <w:rFonts w:ascii="宋体" w:hAnsi="宋体" w:cs="宋体"/>
          <w:b/>
          <w:bCs/>
          <w:sz w:val="18"/>
          <w:szCs w:val="18"/>
        </w:rPr>
        <w:t>5.</w:t>
      </w:r>
      <w:r>
        <w:rPr>
          <w:rFonts w:hint="eastAsia" w:ascii="宋体" w:hAnsi="宋体" w:cs="宋体"/>
          <w:b/>
          <w:bCs/>
          <w:sz w:val="18"/>
          <w:szCs w:val="18"/>
        </w:rPr>
        <w:t>申购的</w:t>
      </w:r>
      <w:r>
        <w:rPr>
          <w:rFonts w:ascii="宋体" w:hAnsi="宋体" w:cs="宋体"/>
          <w:b/>
          <w:bCs/>
          <w:sz w:val="18"/>
          <w:szCs w:val="18"/>
        </w:rPr>
        <w:t>费用</w:t>
      </w:r>
    </w:p>
    <w:p w14:paraId="6F94DAF2">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1EF738D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bCs/>
          <w:color w:val="auto"/>
          <w:sz w:val="18"/>
          <w:szCs w:val="18"/>
          <w:lang w:val="en-US" w:eastAsia="zh-CN" w:bidi="ar-SA"/>
        </w:rPr>
        <w:t>6.</w:t>
      </w:r>
      <w:r>
        <w:rPr>
          <w:rFonts w:hint="eastAsia" w:ascii="宋体" w:hAnsi="宋体" w:eastAsia="宋体" w:cs="宋体"/>
          <w:b/>
          <w:bCs/>
          <w:color w:val="000000"/>
          <w:sz w:val="18"/>
          <w:szCs w:val="18"/>
          <w:lang w:val="en-US" w:eastAsia="zh-CN" w:bidi="ar-SA"/>
        </w:rPr>
        <w:t>申购份额计算</w:t>
      </w:r>
    </w:p>
    <w:p w14:paraId="55C0CD3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本产品的申购金额包括申购费用和净申购金额。申购份额的计算公式为：</w:t>
      </w:r>
    </w:p>
    <w:p w14:paraId="02BB9EE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净申购金额=申购金额/（1+申购费率）</w:t>
      </w:r>
    </w:p>
    <w:p w14:paraId="0EC042C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申购费用=申购金额－净申购金额</w:t>
      </w:r>
    </w:p>
    <w:p w14:paraId="47D1F1E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申购份额=净申购金额/</w:t>
      </w:r>
      <w:r>
        <w:rPr>
          <w:rFonts w:ascii="宋体" w:hAnsi="宋体" w:eastAsia="宋体" w:cs="宋体"/>
          <w:color w:val="auto"/>
          <w:sz w:val="18"/>
          <w:szCs w:val="18"/>
          <w:lang w:val="en-US" w:eastAsia="zh-CN" w:bidi="ar-SA"/>
        </w:rPr>
        <w:t>1.00</w:t>
      </w:r>
    </w:p>
    <w:p w14:paraId="204ABF5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上述计算结果均按四舍五入方法，保留到小数点后2位，由此产生的收益或损失由理财产品承担。</w:t>
      </w:r>
    </w:p>
    <w:p w14:paraId="13D2ED5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申购的起点和递增金额</w:t>
      </w:r>
    </w:p>
    <w:p w14:paraId="3AC0395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719853A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w:t>
      </w:r>
      <w:r>
        <w:rPr>
          <w:rFonts w:hint="eastAsia" w:ascii="宋体" w:hAnsi="宋体" w:eastAsia="宋体" w:cs="宋体"/>
          <w:b/>
          <w:color w:val="auto"/>
          <w:sz w:val="18"/>
          <w:szCs w:val="18"/>
          <w:lang w:val="en-US" w:eastAsia="zh-CN" w:bidi="ar-SA"/>
        </w:rPr>
        <w:t>申购</w:t>
      </w:r>
      <w:r>
        <w:rPr>
          <w:rFonts w:ascii="宋体" w:hAnsi="宋体" w:eastAsia="宋体" w:cs="宋体"/>
          <w:b/>
          <w:color w:val="auto"/>
          <w:sz w:val="18"/>
          <w:szCs w:val="18"/>
          <w:lang w:val="en-US" w:eastAsia="zh-CN" w:bidi="ar-SA"/>
        </w:rPr>
        <w:t>的数量限制</w:t>
      </w:r>
    </w:p>
    <w:p w14:paraId="5B712DE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C772E3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（二）理财产品的赎回</w:t>
      </w:r>
    </w:p>
    <w:p w14:paraId="40F5ECD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赎回的时间</w:t>
      </w:r>
    </w:p>
    <w:p w14:paraId="1EBF1591">
      <w:pPr>
        <w:widowControl w:val="0"/>
        <w:autoSpaceDE w:val="0"/>
        <w:autoSpaceDN w:val="0"/>
        <w:adjustRightInd w:val="0"/>
        <w:spacing w:line="360" w:lineRule="auto"/>
        <w:ind w:firstLine="360" w:firstLineChars="200"/>
        <w:rPr>
          <w:rFonts w:ascii="宋体" w:hAnsi="宋体" w:eastAsia="宋体" w:cs="宋体"/>
          <w:color w:val="auto"/>
          <w:sz w:val="18"/>
          <w:szCs w:val="24"/>
          <w:lang w:val="en-US" w:eastAsia="zh-CN" w:bidi="ar-SA"/>
        </w:rPr>
      </w:pPr>
      <w:r>
        <w:rPr>
          <w:rFonts w:hint="eastAsia" w:ascii="宋体" w:hAnsi="宋体" w:eastAsia="宋体" w:cs="宋体"/>
          <w:color w:val="auto"/>
          <w:sz w:val="18"/>
          <w:szCs w:val="24"/>
          <w:lang w:val="en-US" w:eastAsia="zh-CN" w:bidi="ar-SA"/>
        </w:rPr>
        <w:t>本产品设置开放期，</w:t>
      </w:r>
      <w:r>
        <w:rPr>
          <w:rFonts w:hint="eastAsia" w:ascii="宋体" w:hAnsi="宋体" w:eastAsia="宋体" w:cs="宋体"/>
          <w:bCs/>
          <w:color w:val="auto"/>
          <w:sz w:val="18"/>
          <w:szCs w:val="18"/>
          <w:lang w:val="en-US" w:eastAsia="zh-CN" w:bidi="ar-SA"/>
        </w:rPr>
        <w:t>具体的赎回时间以</w:t>
      </w:r>
      <w:r>
        <w:rPr>
          <w:rFonts w:hint="eastAsia" w:ascii="宋体" w:hAnsi="宋体" w:eastAsia="宋体" w:cs="宋体"/>
          <w:color w:val="auto"/>
          <w:sz w:val="18"/>
          <w:szCs w:val="18"/>
          <w:lang w:val="en-US" w:eastAsia="zh-CN" w:bidi="ar-SA"/>
        </w:rPr>
        <w:t>《产品说明书》“第二条 理财产品基本情况”</w:t>
      </w:r>
      <w:r>
        <w:rPr>
          <w:rFonts w:hint="eastAsia" w:ascii="宋体" w:hAnsi="宋体" w:eastAsia="宋体" w:cs="宋体"/>
          <w:bCs/>
          <w:color w:val="auto"/>
          <w:sz w:val="18"/>
          <w:szCs w:val="18"/>
          <w:lang w:val="en-US" w:eastAsia="zh-CN" w:bidi="ar-SA"/>
        </w:rPr>
        <w:t>为准。</w:t>
      </w:r>
      <w:r>
        <w:rPr>
          <w:rFonts w:hint="eastAsia" w:ascii="宋体" w:hAnsi="宋体" w:eastAsia="宋体" w:cs="宋体"/>
          <w:color w:val="000000"/>
          <w:sz w:val="18"/>
          <w:szCs w:val="18"/>
          <w:lang w:val="en-US" w:eastAsia="zh-CN" w:bidi="ar-SA"/>
        </w:rPr>
        <w:t>投资者可于开放日内赎回，产品管理人公告暂停开放的日期除外</w:t>
      </w:r>
      <w:r>
        <w:rPr>
          <w:rFonts w:hint="eastAsia" w:ascii="宋体" w:hAnsi="宋体" w:eastAsia="宋体" w:cs="宋体"/>
          <w:bCs/>
          <w:color w:val="000000"/>
          <w:sz w:val="18"/>
          <w:szCs w:val="18"/>
          <w:lang w:val="en-US" w:eastAsia="zh-CN" w:bidi="ar-SA"/>
        </w:rPr>
        <w:t>。</w:t>
      </w:r>
    </w:p>
    <w:p w14:paraId="45C5923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2.赎回的方式</w:t>
      </w:r>
    </w:p>
    <w:p w14:paraId="20D67B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赎回</w:t>
      </w:r>
      <w:r>
        <w:rPr>
          <w:rFonts w:ascii="宋体" w:hAnsi="宋体" w:eastAsia="宋体" w:cs="宋体"/>
          <w:color w:val="auto"/>
          <w:sz w:val="18"/>
          <w:szCs w:val="18"/>
          <w:lang w:val="en-US" w:eastAsia="zh-CN" w:bidi="ar-SA"/>
        </w:rPr>
        <w:t>。</w:t>
      </w:r>
      <w:r>
        <w:rPr>
          <w:rFonts w:hint="eastAsia" w:ascii="宋体" w:hAnsi="宋体" w:eastAsia="宋体" w:cs="宋体"/>
          <w:bCs/>
          <w:color w:val="auto"/>
          <w:sz w:val="18"/>
          <w:szCs w:val="18"/>
          <w:lang w:val="en-US" w:eastAsia="zh-CN" w:bidi="ar-SA"/>
        </w:rPr>
        <w:t>不同销售机构</w:t>
      </w:r>
      <w:r>
        <w:rPr>
          <w:rFonts w:ascii="宋体" w:hAnsi="宋体" w:eastAsia="宋体" w:cs="宋体"/>
          <w:bCs/>
          <w:color w:val="auto"/>
          <w:sz w:val="18"/>
          <w:szCs w:val="18"/>
          <w:lang w:val="en-US" w:eastAsia="zh-CN" w:bidi="ar-SA"/>
        </w:rPr>
        <w:t>的销售</w:t>
      </w:r>
      <w:r>
        <w:rPr>
          <w:rFonts w:hint="eastAsia" w:ascii="宋体" w:hAnsi="宋体" w:eastAsia="宋体" w:cs="宋体"/>
          <w:bCs/>
          <w:color w:val="auto"/>
          <w:sz w:val="18"/>
          <w:szCs w:val="18"/>
          <w:lang w:val="en-US" w:eastAsia="zh-CN" w:bidi="ar-SA"/>
        </w:rPr>
        <w:t>渠道，赎回确认时效可能存在</w:t>
      </w:r>
      <w:r>
        <w:rPr>
          <w:rFonts w:ascii="宋体" w:hAnsi="宋体" w:eastAsia="宋体" w:cs="宋体"/>
          <w:bCs/>
          <w:color w:val="auto"/>
          <w:sz w:val="18"/>
          <w:szCs w:val="18"/>
          <w:lang w:val="en-US" w:eastAsia="zh-CN" w:bidi="ar-SA"/>
        </w:rPr>
        <w:t>差异</w:t>
      </w:r>
      <w:r>
        <w:rPr>
          <w:rFonts w:hint="eastAsia" w:ascii="宋体" w:hAnsi="宋体" w:eastAsia="宋体" w:cs="宋体"/>
          <w:bCs/>
          <w:color w:val="auto"/>
          <w:sz w:val="18"/>
          <w:szCs w:val="18"/>
          <w:lang w:val="en-US" w:eastAsia="zh-CN" w:bidi="ar-SA"/>
        </w:rPr>
        <w:t>。</w:t>
      </w:r>
    </w:p>
    <w:p w14:paraId="0511A22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w:t>
      </w:r>
      <w:r>
        <w:rPr>
          <w:rFonts w:ascii="宋体" w:hAnsi="宋体" w:eastAsia="宋体" w:cs="宋体"/>
          <w:color w:val="auto"/>
          <w:sz w:val="18"/>
          <w:szCs w:val="18"/>
          <w:lang w:val="en-US" w:eastAsia="zh-CN" w:bidi="ar-SA"/>
        </w:rPr>
        <w:t>渠道赎回的</w:t>
      </w:r>
      <w:r>
        <w:rPr>
          <w:rFonts w:hint="eastAsia" w:ascii="宋体" w:hAnsi="宋体" w:eastAsia="宋体" w:cs="宋体"/>
          <w:color w:val="auto"/>
          <w:sz w:val="18"/>
          <w:szCs w:val="18"/>
          <w:lang w:val="en-US" w:eastAsia="zh-CN" w:bidi="ar-SA"/>
        </w:rPr>
        <w:t>，应签署</w:t>
      </w:r>
      <w:r>
        <w:rPr>
          <w:rFonts w:hint="eastAsia" w:ascii="宋体" w:hAnsi="宋体" w:eastAsia="宋体" w:cs="宋体"/>
          <w:bCs/>
          <w:color w:val="auto"/>
          <w:sz w:val="18"/>
          <w:szCs w:val="18"/>
          <w:lang w:val="en-US" w:eastAsia="zh-CN" w:bidi="ar-SA"/>
        </w:rPr>
        <w:t>有关理财产品销售文件</w:t>
      </w:r>
      <w:r>
        <w:rPr>
          <w:rFonts w:hint="eastAsia" w:ascii="宋体" w:hAnsi="宋体" w:eastAsia="宋体" w:cs="宋体"/>
          <w:color w:val="auto"/>
          <w:sz w:val="18"/>
          <w:szCs w:val="18"/>
          <w:lang w:val="en-US" w:eastAsia="zh-CN" w:bidi="ar-SA"/>
        </w:rPr>
        <w:t>。</w:t>
      </w:r>
    </w:p>
    <w:p w14:paraId="2EB2FEA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auto"/>
          <w:sz w:val="18"/>
          <w:szCs w:val="18"/>
          <w:lang w:val="en-US" w:eastAsia="zh-CN" w:bidi="ar-SA"/>
        </w:rPr>
        <w:t>投资者通过销售机构线上渠道赎回的，</w:t>
      </w:r>
      <w:r>
        <w:rPr>
          <w:rFonts w:hint="eastAsia" w:ascii="宋体" w:hAnsi="宋体" w:eastAsia="宋体" w:cs="宋体"/>
          <w:bCs/>
          <w:color w:val="auto"/>
          <w:sz w:val="18"/>
          <w:szCs w:val="18"/>
          <w:lang w:val="en-US" w:eastAsia="zh-CN" w:bidi="ar-SA"/>
        </w:rPr>
        <w:t>应根据销售机构线上渠道的具体要求执行。</w:t>
      </w:r>
    </w:p>
    <w:p w14:paraId="738DE5D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赎回的确认</w:t>
      </w:r>
    </w:p>
    <w:p w14:paraId="25762A48">
      <w:pPr>
        <w:spacing w:line="360" w:lineRule="auto"/>
        <w:ind w:firstLine="360" w:firstLineChars="200"/>
        <w:rPr>
          <w:rFonts w:ascii="宋体" w:hAnsi="宋体" w:cs="宋体"/>
          <w:bCs/>
          <w:sz w:val="18"/>
          <w:szCs w:val="18"/>
        </w:rPr>
      </w:pPr>
      <w:r>
        <w:rPr>
          <w:rFonts w:hint="eastAsia" w:ascii="宋体" w:hAnsi="宋体" w:cs="宋体"/>
          <w:sz w:val="18"/>
          <w:szCs w:val="18"/>
        </w:rPr>
        <w:t>详见《产品说明书》“第二条 理财产品基本情况”</w:t>
      </w:r>
      <w:r>
        <w:rPr>
          <w:rFonts w:hint="eastAsia" w:ascii="Calibri" w:hAnsi="Calibri" w:cs="宋体"/>
          <w:bCs/>
          <w:sz w:val="18"/>
          <w:szCs w:val="18"/>
        </w:rPr>
        <w:t>。</w:t>
      </w:r>
    </w:p>
    <w:p w14:paraId="761B37D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提交赎回申请并不代表赎回成功，产品管理人将在赎回确认日确认投资者是否赎回成功，是否成功以管理人的确认结果为准。</w:t>
      </w:r>
    </w:p>
    <w:p w14:paraId="6291EBE6">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.赎回</w:t>
      </w:r>
      <w:r>
        <w:rPr>
          <w:rFonts w:ascii="宋体" w:hAnsi="宋体" w:cs="宋体"/>
          <w:b/>
          <w:bCs/>
          <w:sz w:val="18"/>
          <w:szCs w:val="18"/>
        </w:rPr>
        <w:t>的价格</w:t>
      </w:r>
    </w:p>
    <w:p w14:paraId="7929D3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本产品的赎回价格为每份理财份额人民币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57F04286">
      <w:pPr>
        <w:spacing w:line="360" w:lineRule="auto"/>
        <w:ind w:firstLine="361" w:firstLineChars="200"/>
        <w:rPr>
          <w:rFonts w:ascii="宋体" w:hAnsi="宋体" w:cs="宋体"/>
          <w:b/>
          <w:bCs/>
          <w:sz w:val="18"/>
          <w:szCs w:val="18"/>
        </w:rPr>
      </w:pPr>
      <w:r>
        <w:rPr>
          <w:rFonts w:ascii="宋体" w:hAnsi="宋体" w:cs="宋体"/>
          <w:b/>
          <w:bCs/>
          <w:sz w:val="18"/>
          <w:szCs w:val="18"/>
        </w:rPr>
        <w:t>5.</w:t>
      </w:r>
      <w:r>
        <w:rPr>
          <w:rFonts w:hint="eastAsia" w:ascii="宋体" w:hAnsi="宋体" w:cs="宋体"/>
          <w:b/>
          <w:bCs/>
          <w:sz w:val="18"/>
          <w:szCs w:val="18"/>
        </w:rPr>
        <w:t>赎回的</w:t>
      </w:r>
      <w:r>
        <w:rPr>
          <w:rFonts w:ascii="宋体" w:hAnsi="宋体" w:cs="宋体"/>
          <w:b/>
          <w:bCs/>
          <w:sz w:val="18"/>
          <w:szCs w:val="18"/>
        </w:rPr>
        <w:t>费用</w:t>
      </w:r>
    </w:p>
    <w:p w14:paraId="2C57046B">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4C61A3B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bCs/>
          <w:color w:val="auto"/>
          <w:sz w:val="18"/>
          <w:szCs w:val="18"/>
          <w:lang w:val="en-US" w:eastAsia="zh-CN" w:bidi="ar-SA"/>
        </w:rPr>
        <w:t>6.</w:t>
      </w:r>
      <w:r>
        <w:rPr>
          <w:rFonts w:hint="eastAsia" w:ascii="宋体" w:hAnsi="宋体" w:eastAsia="宋体" w:cs="宋体"/>
          <w:b/>
          <w:bCs/>
          <w:color w:val="auto"/>
          <w:sz w:val="18"/>
          <w:szCs w:val="18"/>
          <w:lang w:val="en-US" w:eastAsia="zh-CN" w:bidi="ar-SA"/>
        </w:rPr>
        <w:t>赎回</w:t>
      </w:r>
      <w:r>
        <w:rPr>
          <w:rFonts w:hint="eastAsia" w:ascii="宋体" w:hAnsi="宋体" w:eastAsia="宋体" w:cs="宋体"/>
          <w:b/>
          <w:bCs/>
          <w:color w:val="000000"/>
          <w:sz w:val="18"/>
          <w:szCs w:val="18"/>
          <w:lang w:val="en-US" w:eastAsia="zh-CN" w:bidi="ar-SA"/>
        </w:rPr>
        <w:t>金额计算</w:t>
      </w:r>
    </w:p>
    <w:p w14:paraId="4099D13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本产品赎回</w:t>
      </w:r>
      <w:r>
        <w:rPr>
          <w:rFonts w:ascii="宋体" w:hAnsi="宋体" w:eastAsia="宋体" w:cs="宋体"/>
          <w:bCs/>
          <w:color w:val="auto"/>
          <w:sz w:val="18"/>
          <w:szCs w:val="18"/>
          <w:lang w:val="en-US" w:eastAsia="zh-CN" w:bidi="ar-SA"/>
        </w:rPr>
        <w:t>金额</w:t>
      </w:r>
      <w:r>
        <w:rPr>
          <w:rFonts w:hint="eastAsia" w:ascii="宋体" w:hAnsi="宋体" w:eastAsia="宋体" w:cs="宋体"/>
          <w:bCs/>
          <w:color w:val="auto"/>
          <w:sz w:val="18"/>
          <w:szCs w:val="18"/>
          <w:lang w:val="en-US" w:eastAsia="zh-CN" w:bidi="ar-SA"/>
        </w:rPr>
        <w:t>的计算公式如下：</w:t>
      </w:r>
    </w:p>
    <w:p w14:paraId="3D3D8E2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赎回总金额=赎回份额×1</w:t>
      </w:r>
      <w:r>
        <w:rPr>
          <w:rFonts w:ascii="宋体" w:hAnsi="宋体" w:eastAsia="宋体" w:cs="宋体"/>
          <w:color w:val="auto"/>
          <w:sz w:val="18"/>
          <w:szCs w:val="18"/>
          <w:lang w:val="en-US" w:eastAsia="zh-CN" w:bidi="ar-SA"/>
        </w:rPr>
        <w:t>.00</w:t>
      </w:r>
    </w:p>
    <w:p w14:paraId="39B5FC9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赎回费用=赎回总金额×赎回费率</w:t>
      </w:r>
    </w:p>
    <w:p w14:paraId="678C882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净赎回金额=赎回总金额-赎回费用</w:t>
      </w:r>
    </w:p>
    <w:p w14:paraId="588E5E9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上述计算结果均按四舍五入方法，保留到小数点后</w:t>
      </w: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位，由此产生的收益或损失由理财产品承担。</w:t>
      </w:r>
    </w:p>
    <w:p w14:paraId="2DA8FC68">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bCs/>
          <w:color w:val="auto"/>
          <w:sz w:val="18"/>
          <w:szCs w:val="18"/>
          <w:lang w:val="en-US" w:eastAsia="zh-CN" w:bidi="ar-SA"/>
        </w:rPr>
        <w:t>赎回</w:t>
      </w:r>
      <w:r>
        <w:rPr>
          <w:rFonts w:ascii="宋体" w:hAnsi="宋体" w:eastAsia="宋体" w:cs="宋体"/>
          <w:b/>
          <w:color w:val="auto"/>
          <w:sz w:val="18"/>
          <w:szCs w:val="18"/>
          <w:lang w:val="en-US" w:eastAsia="zh-CN" w:bidi="ar-SA"/>
        </w:rPr>
        <w:t>的数量限制</w:t>
      </w:r>
    </w:p>
    <w:p w14:paraId="61EED0A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7936FD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（三）申购与赎回的原则</w:t>
      </w:r>
    </w:p>
    <w:p w14:paraId="0E1846F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金额申购、份额赎回</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原则，即申购以金额申请，赎回以份额申请。</w:t>
      </w:r>
    </w:p>
    <w:p w14:paraId="32E05A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2.</w:t>
      </w:r>
      <w:r>
        <w:rPr>
          <w:rFonts w:ascii="宋体" w:hAnsi="宋体" w:eastAsia="宋体" w:cs="宋体"/>
          <w:bCs/>
          <w:color w:val="auto"/>
          <w:sz w:val="18"/>
          <w:szCs w:val="18"/>
          <w:lang w:val="en-US" w:eastAsia="zh-CN" w:bidi="ar-SA"/>
        </w:rPr>
        <w:t>申购和赎回采用</w:t>
      </w:r>
      <w:r>
        <w:rPr>
          <w:rFonts w:hint="eastAsia" w:ascii="宋体" w:hAnsi="宋体" w:eastAsia="宋体" w:cs="宋体"/>
          <w:bCs/>
          <w:color w:val="auto"/>
          <w:sz w:val="18"/>
          <w:szCs w:val="18"/>
          <w:lang w:val="en-US" w:eastAsia="zh-CN" w:bidi="ar-SA"/>
        </w:rPr>
        <w:t>“确定价</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原则，即本产品申购申请和赎回申请提交时，适用的产品份额净值都是</w:t>
      </w:r>
      <w:r>
        <w:rPr>
          <w:rFonts w:hint="eastAsia" w:ascii="宋体" w:hAnsi="宋体" w:eastAsia="宋体" w:cs="宋体"/>
          <w:color w:val="auto"/>
          <w:sz w:val="18"/>
          <w:szCs w:val="18"/>
          <w:lang w:val="en-US" w:eastAsia="zh-CN" w:bidi="ar-SA"/>
        </w:rPr>
        <w:t>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r>
        <w:rPr>
          <w:rFonts w:hint="eastAsia" w:ascii="宋体" w:hAnsi="宋体" w:eastAsia="宋体" w:cs="宋体"/>
          <w:bCs/>
          <w:color w:val="auto"/>
          <w:sz w:val="18"/>
          <w:szCs w:val="18"/>
          <w:lang w:val="en-US" w:eastAsia="zh-CN" w:bidi="ar-SA"/>
        </w:rPr>
        <w:t>。</w:t>
      </w:r>
    </w:p>
    <w:p w14:paraId="28DCBF0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w:t>
      </w:r>
      <w:r>
        <w:rPr>
          <w:rFonts w:ascii="宋体" w:hAnsi="宋体" w:eastAsia="宋体" w:cs="宋体"/>
          <w:color w:val="auto"/>
          <w:sz w:val="18"/>
          <w:szCs w:val="18"/>
          <w:lang w:val="en-US" w:eastAsia="zh-CN" w:bidi="ar-SA"/>
        </w:rPr>
        <w:t>申购</w:t>
      </w:r>
      <w:r>
        <w:rPr>
          <w:rFonts w:hint="eastAsia" w:ascii="宋体" w:hAnsi="宋体" w:eastAsia="宋体" w:cs="宋体"/>
          <w:color w:val="auto"/>
          <w:sz w:val="18"/>
          <w:szCs w:val="18"/>
          <w:lang w:val="en-US" w:eastAsia="zh-CN" w:bidi="ar-SA"/>
        </w:rPr>
        <w:t>、赎回</w:t>
      </w:r>
      <w:r>
        <w:rPr>
          <w:rFonts w:ascii="宋体" w:hAnsi="宋体" w:eastAsia="宋体" w:cs="宋体"/>
          <w:color w:val="auto"/>
          <w:sz w:val="18"/>
          <w:szCs w:val="18"/>
          <w:lang w:val="en-US" w:eastAsia="zh-CN" w:bidi="ar-SA"/>
        </w:rPr>
        <w:t>申请可以在对应</w:t>
      </w:r>
      <w:r>
        <w:rPr>
          <w:rFonts w:hint="eastAsia" w:ascii="宋体" w:hAnsi="宋体" w:eastAsia="宋体" w:cs="宋体"/>
          <w:color w:val="auto"/>
          <w:sz w:val="18"/>
          <w:szCs w:val="18"/>
          <w:lang w:val="en-US" w:eastAsia="zh-CN" w:bidi="ar-SA"/>
        </w:rPr>
        <w:t>开放日【17:00】</w:t>
      </w:r>
      <w:r>
        <w:rPr>
          <w:rFonts w:ascii="宋体" w:hAnsi="宋体" w:eastAsia="宋体" w:cs="宋体"/>
          <w:color w:val="auto"/>
          <w:sz w:val="18"/>
          <w:szCs w:val="18"/>
          <w:lang w:val="en-US" w:eastAsia="zh-CN" w:bidi="ar-SA"/>
        </w:rPr>
        <w:t>截止前撤销</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37230E16">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（四）拒绝或暂停申购的情形</w:t>
      </w:r>
    </w:p>
    <w:p w14:paraId="6D0C6EA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w:t>
      </w:r>
      <w:r>
        <w:rPr>
          <w:rFonts w:ascii="宋体" w:hAnsi="宋体" w:eastAsia="宋体" w:cs="宋体"/>
          <w:color w:val="auto"/>
          <w:sz w:val="18"/>
          <w:szCs w:val="18"/>
          <w:lang w:val="en-US" w:eastAsia="zh-CN" w:bidi="ar-SA"/>
        </w:rPr>
        <w:t>申购申请：</w:t>
      </w:r>
    </w:p>
    <w:p w14:paraId="6B39A68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53AA85D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.发生暂停理财资产估值情况时，产品管理人可暂停接受投资者的申购申请。</w:t>
      </w:r>
    </w:p>
    <w:p w14:paraId="0E2E4E1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.证券交易所或银行间市场在交易时间非正常停市，导致产品管理人无法计算当日理财资产净值。</w:t>
      </w:r>
    </w:p>
    <w:p w14:paraId="72BED33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4</w:t>
      </w:r>
      <w:r>
        <w:rPr>
          <w:rFonts w:hint="eastAsia" w:ascii="宋体" w:hAnsi="宋体" w:eastAsia="宋体" w:cs="宋体"/>
          <w:color w:val="auto"/>
          <w:sz w:val="18"/>
          <w:szCs w:val="18"/>
          <w:lang w:val="en-US" w:eastAsia="zh-CN" w:bidi="ar-SA"/>
        </w:rPr>
        <w:t>.本产品出现当日净收益小于零的情形，为保护持有人的权益，产品管理人可暂停本产品的申购。</w:t>
      </w:r>
    </w:p>
    <w:p w14:paraId="6970527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5</w:t>
      </w:r>
      <w:r>
        <w:rPr>
          <w:rFonts w:hint="eastAsia" w:ascii="宋体" w:hAnsi="宋体" w:eastAsia="宋体" w:cs="宋体"/>
          <w:color w:val="auto"/>
          <w:sz w:val="18"/>
          <w:szCs w:val="18"/>
          <w:lang w:val="en-US" w:eastAsia="zh-CN" w:bidi="ar-SA"/>
        </w:rPr>
        <w:t>.产品管理人认为接受某笔或某些申购申请可能会影响或损害现有理财份额持有人权益时。</w:t>
      </w:r>
    </w:p>
    <w:p w14:paraId="2A466CA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6</w:t>
      </w:r>
      <w:r>
        <w:rPr>
          <w:rFonts w:hint="eastAsia" w:ascii="宋体" w:hAnsi="宋体" w:eastAsia="宋体" w:cs="宋体"/>
          <w:color w:val="auto"/>
          <w:sz w:val="18"/>
          <w:szCs w:val="18"/>
          <w:lang w:val="en-US" w:eastAsia="zh-CN" w:bidi="ar-SA"/>
        </w:rPr>
        <w:t>.理财产品规模过大，产品管理人无法找到合适的投资品种，或其他可能对理财业绩产生负面影响，从而损害现有理财份额持有人权益的情形。</w:t>
      </w:r>
    </w:p>
    <w:p w14:paraId="4026807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4C4E518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8</w:t>
      </w:r>
      <w:r>
        <w:rPr>
          <w:rFonts w:hint="eastAsia" w:ascii="宋体" w:hAnsi="宋体" w:eastAsia="宋体" w:cs="宋体"/>
          <w:color w:val="auto"/>
          <w:sz w:val="18"/>
          <w:szCs w:val="18"/>
          <w:lang w:val="en-US" w:eastAsia="zh-CN" w:bidi="ar-SA"/>
        </w:rPr>
        <w:t>.法律法规规定或监管机构认定的其他情形。</w:t>
      </w:r>
    </w:p>
    <w:p w14:paraId="1EC0383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如果投资者的申购申请被拒绝，被拒绝的申购款项将退还给投资者。在暂停申购的情况消除时，产品管理人应及时恢复申购业务的办理。</w:t>
      </w:r>
    </w:p>
    <w:p w14:paraId="1AE82AA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（五）暂停赎回或延缓支付赎回款项的情形</w:t>
      </w:r>
    </w:p>
    <w:p w14:paraId="2BE843A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发生下列情形时，产品管理人可暂停接受投资者的赎回申请或延缓支付赎回款项：</w:t>
      </w:r>
    </w:p>
    <w:p w14:paraId="6278694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.因不可抗力导致产品管理人不能支付赎回款项。</w:t>
      </w:r>
    </w:p>
    <w:p w14:paraId="732C69E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.发生暂停理财资产估值情况时，产品管理人可暂停接受投资者的赎回申请或延缓支付赎回款项。</w:t>
      </w:r>
    </w:p>
    <w:p w14:paraId="00AA48E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.证券交易所或银行间市场在交易时间非正常停市，导致产品管理人无法计算当日理财资产净值。</w:t>
      </w:r>
    </w:p>
    <w:p w14:paraId="6146AF2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4</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证券交易所或银行间市场出现异常市场情况，管理人无法</w:t>
      </w:r>
      <w:r>
        <w:rPr>
          <w:rFonts w:hint="eastAsia" w:ascii="宋体" w:hAnsi="宋体" w:eastAsia="宋体" w:cs="宋体"/>
          <w:color w:val="auto"/>
          <w:sz w:val="18"/>
          <w:szCs w:val="18"/>
          <w:lang w:val="en-US" w:eastAsia="zh-CN" w:bidi="ar-SA"/>
        </w:rPr>
        <w:t>开展产品的</w:t>
      </w:r>
      <w:r>
        <w:rPr>
          <w:rFonts w:ascii="宋体" w:hAnsi="宋体" w:eastAsia="宋体" w:cs="宋体"/>
          <w:color w:val="auto"/>
          <w:sz w:val="18"/>
          <w:szCs w:val="18"/>
          <w:lang w:val="en-US" w:eastAsia="zh-CN" w:bidi="ar-SA"/>
        </w:rPr>
        <w:t>流动性</w:t>
      </w:r>
      <w:r>
        <w:rPr>
          <w:rFonts w:hint="eastAsia" w:ascii="宋体" w:hAnsi="宋体" w:eastAsia="宋体" w:cs="宋体"/>
          <w:color w:val="auto"/>
          <w:sz w:val="18"/>
          <w:szCs w:val="18"/>
          <w:lang w:val="en-US" w:eastAsia="zh-CN" w:bidi="ar-SA"/>
        </w:rPr>
        <w:t>管理</w:t>
      </w:r>
      <w:r>
        <w:rPr>
          <w:rFonts w:ascii="宋体" w:hAnsi="宋体" w:eastAsia="宋体" w:cs="宋体"/>
          <w:color w:val="auto"/>
          <w:sz w:val="18"/>
          <w:szCs w:val="18"/>
          <w:lang w:val="en-US" w:eastAsia="zh-CN" w:bidi="ar-SA"/>
        </w:rPr>
        <w:t>。</w:t>
      </w:r>
    </w:p>
    <w:p w14:paraId="461BD5A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5</w:t>
      </w:r>
      <w:r>
        <w:rPr>
          <w:rFonts w:hint="eastAsia" w:ascii="宋体" w:hAnsi="宋体" w:eastAsia="宋体" w:cs="宋体"/>
          <w:color w:val="auto"/>
          <w:sz w:val="18"/>
          <w:szCs w:val="18"/>
          <w:lang w:val="en-US" w:eastAsia="zh-CN" w:bidi="ar-SA"/>
        </w:rPr>
        <w:t>.本产品出现当日净收益小于零的情形，为保护持有人的权益，产品管理人可暂停本产品的赎回。</w:t>
      </w:r>
    </w:p>
    <w:p w14:paraId="1715172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6</w:t>
      </w:r>
      <w:r>
        <w:rPr>
          <w:rFonts w:hint="eastAsia" w:ascii="宋体" w:hAnsi="宋体" w:eastAsia="宋体" w:cs="宋体"/>
          <w:color w:val="auto"/>
          <w:sz w:val="18"/>
          <w:szCs w:val="18"/>
          <w:lang w:val="en-US" w:eastAsia="zh-CN" w:bidi="ar-SA"/>
        </w:rPr>
        <w:t>.发生单个投资者在赎回日申请赎回的理财产品份额超过限额的。</w:t>
      </w:r>
    </w:p>
    <w:p w14:paraId="7ED0375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7.发生巨额赎回。</w:t>
      </w:r>
    </w:p>
    <w:p w14:paraId="5307AD0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8.产品管理人和产品托管人的技术保障等异常情况导致理财销售系统或会计系统无法正常运行。</w:t>
      </w:r>
    </w:p>
    <w:p w14:paraId="4C0C0A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9.证券交易所或银行间市场数据传输延迟、通讯系统故障、银行系统故障或其他非产品管理人及产品托管人所能控制的因素影响了产品运作流程。</w:t>
      </w:r>
    </w:p>
    <w:p w14:paraId="44190CC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10.法律法规规定或监管机构认定的其他情形。</w:t>
      </w:r>
    </w:p>
    <w:p w14:paraId="28BB9B1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bCs/>
          <w:color w:val="000000"/>
          <w:sz w:val="18"/>
          <w:szCs w:val="18"/>
          <w:lang w:val="en-US" w:eastAsia="zh-CN" w:bidi="ar-SA"/>
        </w:rPr>
        <w:t>延缓支付赎回款项</w:t>
      </w:r>
      <w:r>
        <w:rPr>
          <w:rFonts w:hint="eastAsia" w:ascii="宋体" w:hAnsi="宋体" w:eastAsia="宋体" w:cs="宋体"/>
          <w:bCs/>
          <w:color w:val="000000"/>
          <w:sz w:val="18"/>
          <w:szCs w:val="18"/>
          <w:lang w:val="en-US" w:eastAsia="zh-CN" w:bidi="ar-SA"/>
        </w:rPr>
        <w:t>的</w:t>
      </w:r>
      <w:r>
        <w:rPr>
          <w:rFonts w:ascii="宋体" w:hAnsi="宋体" w:eastAsia="宋体" w:cs="宋体"/>
          <w:bCs/>
          <w:color w:val="000000"/>
          <w:sz w:val="18"/>
          <w:szCs w:val="18"/>
          <w:lang w:val="en-US" w:eastAsia="zh-CN" w:bidi="ar-SA"/>
        </w:rPr>
        <w:t>，</w:t>
      </w:r>
      <w:r>
        <w:rPr>
          <w:rFonts w:hint="eastAsia" w:ascii="宋体" w:hAnsi="宋体" w:eastAsia="宋体" w:cs="宋体"/>
          <w:bCs/>
          <w:color w:val="000000"/>
          <w:sz w:val="18"/>
          <w:szCs w:val="18"/>
          <w:lang w:val="en-US" w:eastAsia="zh-CN" w:bidi="ar-SA"/>
        </w:rPr>
        <w:t>已经确认</w:t>
      </w:r>
      <w:r>
        <w:rPr>
          <w:rFonts w:ascii="宋体" w:hAnsi="宋体" w:eastAsia="宋体" w:cs="宋体"/>
          <w:bCs/>
          <w:color w:val="000000"/>
          <w:sz w:val="18"/>
          <w:szCs w:val="18"/>
          <w:lang w:val="en-US" w:eastAsia="zh-CN" w:bidi="ar-SA"/>
        </w:rPr>
        <w:t>的赎回申请的</w:t>
      </w:r>
      <w:r>
        <w:rPr>
          <w:rFonts w:hint="eastAsia" w:ascii="宋体" w:hAnsi="宋体" w:eastAsia="宋体" w:cs="宋体"/>
          <w:bCs/>
          <w:color w:val="000000"/>
          <w:sz w:val="18"/>
          <w:szCs w:val="18"/>
          <w:lang w:val="en-US" w:eastAsia="zh-CN" w:bidi="ar-SA"/>
        </w:rPr>
        <w:t>相应赎回</w:t>
      </w:r>
      <w:r>
        <w:rPr>
          <w:rFonts w:ascii="宋体" w:hAnsi="宋体" w:eastAsia="宋体" w:cs="宋体"/>
          <w:bCs/>
          <w:color w:val="000000"/>
          <w:sz w:val="18"/>
          <w:szCs w:val="18"/>
          <w:lang w:val="en-US" w:eastAsia="zh-CN" w:bidi="ar-SA"/>
        </w:rPr>
        <w:t>款项将会在不超过20个工作日内支付</w:t>
      </w:r>
      <w:r>
        <w:rPr>
          <w:rFonts w:hint="eastAsia" w:ascii="宋体" w:hAnsi="宋体" w:eastAsia="宋体" w:cs="宋体"/>
          <w:bCs/>
          <w:color w:val="000000"/>
          <w:sz w:val="18"/>
          <w:szCs w:val="18"/>
          <w:lang w:val="en-US" w:eastAsia="zh-CN" w:bidi="ar-SA"/>
        </w:rPr>
        <w:t>至</w:t>
      </w:r>
      <w:r>
        <w:rPr>
          <w:rFonts w:ascii="宋体" w:hAnsi="宋体" w:eastAsia="宋体" w:cs="宋体"/>
          <w:bCs/>
          <w:color w:val="000000"/>
          <w:sz w:val="18"/>
          <w:szCs w:val="18"/>
          <w:lang w:val="en-US" w:eastAsia="zh-CN" w:bidi="ar-SA"/>
        </w:rPr>
        <w:t>投资者</w:t>
      </w:r>
      <w:r>
        <w:rPr>
          <w:rFonts w:hint="eastAsia" w:ascii="宋体" w:hAnsi="宋体" w:eastAsia="宋体" w:cs="宋体"/>
          <w:bCs/>
          <w:color w:val="000000"/>
          <w:sz w:val="18"/>
          <w:szCs w:val="18"/>
          <w:lang w:val="en-US" w:eastAsia="zh-CN" w:bidi="ar-SA"/>
        </w:rPr>
        <w:t>。</w:t>
      </w:r>
      <w:r>
        <w:rPr>
          <w:rFonts w:hint="eastAsia" w:ascii="宋体" w:hAnsi="宋体" w:eastAsia="宋体" w:cs="宋体"/>
          <w:color w:val="auto"/>
          <w:sz w:val="18"/>
          <w:szCs w:val="18"/>
          <w:lang w:val="en-US" w:eastAsia="zh-CN" w:bidi="ar-SA"/>
        </w:rPr>
        <w:t>在暂停赎回或延缓支付赎回款项的情况消除时，产品管理人应及时恢复赎回或支付业务赎回款项的办理。</w:t>
      </w:r>
    </w:p>
    <w:p w14:paraId="26CAEE4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（六）巨额赎回的情形及</w:t>
      </w:r>
      <w:r>
        <w:rPr>
          <w:rFonts w:ascii="宋体" w:hAnsi="宋体" w:eastAsia="宋体" w:cs="宋体"/>
          <w:b/>
          <w:color w:val="auto"/>
          <w:sz w:val="18"/>
          <w:szCs w:val="18"/>
          <w:lang w:val="en-US" w:eastAsia="zh-CN" w:bidi="ar-SA"/>
        </w:rPr>
        <w:t>处理方式</w:t>
      </w:r>
    </w:p>
    <w:p w14:paraId="1EEECB61">
      <w:pPr>
        <w:widowControl/>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w:t>
      </w:r>
      <w:r>
        <w:rPr>
          <w:rFonts w:ascii="宋体" w:hAnsi="宋体" w:eastAsia="宋体" w:cs="宋体"/>
          <w:bCs/>
          <w:sz w:val="18"/>
          <w:szCs w:val="18"/>
        </w:rPr>
        <w:t>巨额赎回的认定</w:t>
      </w:r>
    </w:p>
    <w:p w14:paraId="145063DB">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详见《产品说明书》“第二条 理财产品基本情况”。</w:t>
      </w:r>
    </w:p>
    <w:p w14:paraId="24D9E2A9">
      <w:pPr>
        <w:widowControl/>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2</w:t>
      </w:r>
      <w:r>
        <w:rPr>
          <w:rFonts w:hint="eastAsia" w:ascii="宋体" w:hAnsi="宋体" w:eastAsia="宋体" w:cs="宋体"/>
          <w:bCs/>
          <w:sz w:val="18"/>
          <w:szCs w:val="18"/>
        </w:rPr>
        <w:t>.</w:t>
      </w:r>
      <w:r>
        <w:rPr>
          <w:rFonts w:ascii="宋体" w:hAnsi="宋体" w:eastAsia="宋体" w:cs="宋体"/>
          <w:bCs/>
          <w:sz w:val="18"/>
          <w:szCs w:val="18"/>
        </w:rPr>
        <w:t>巨额赎回的处理方式</w:t>
      </w:r>
    </w:p>
    <w:p w14:paraId="4987E911">
      <w:pPr>
        <w:widowControl/>
        <w:spacing w:line="360" w:lineRule="auto"/>
        <w:ind w:firstLine="360" w:firstLineChars="200"/>
        <w:jc w:val="left"/>
        <w:rPr>
          <w:rFonts w:ascii="宋体" w:hAnsi="宋体" w:cs="宋体"/>
          <w:bCs/>
          <w:sz w:val="18"/>
          <w:szCs w:val="18"/>
        </w:rPr>
      </w:pPr>
      <w:r>
        <w:rPr>
          <w:rFonts w:hint="eastAsia" w:ascii="宋体" w:hAnsi="宋体" w:eastAsia="宋体" w:cs="宋体"/>
          <w:bCs/>
          <w:sz w:val="18"/>
          <w:szCs w:val="18"/>
        </w:rPr>
        <w:t>出现巨额赎回时，产品管理人有权决定：（1）申购申请不得撤销；（2）</w:t>
      </w:r>
      <w:r>
        <w:rPr>
          <w:rFonts w:ascii="宋体" w:hAnsi="宋体" w:eastAsia="宋体" w:cs="宋体"/>
          <w:bCs/>
          <w:sz w:val="18"/>
          <w:szCs w:val="18"/>
        </w:rPr>
        <w:t>不接受</w:t>
      </w:r>
      <w:r>
        <w:rPr>
          <w:rFonts w:hint="eastAsia" w:ascii="宋体" w:hAnsi="宋体" w:eastAsia="宋体" w:cs="宋体"/>
          <w:bCs/>
          <w:sz w:val="18"/>
          <w:szCs w:val="18"/>
        </w:rPr>
        <w:t>超出部分的净赎回申请，但投资者可于下一开放日重新进行赎回申请；（</w:t>
      </w:r>
      <w:r>
        <w:rPr>
          <w:rFonts w:ascii="宋体" w:hAnsi="宋体" w:eastAsia="宋体" w:cs="宋体"/>
          <w:bCs/>
          <w:sz w:val="18"/>
          <w:szCs w:val="18"/>
        </w:rPr>
        <w:t>3）延缓支付赎回款项</w:t>
      </w:r>
      <w:r>
        <w:rPr>
          <w:rFonts w:hint="eastAsia" w:ascii="宋体" w:hAnsi="宋体" w:eastAsia="宋体" w:cs="宋体"/>
          <w:bCs/>
          <w:sz w:val="18"/>
          <w:szCs w:val="18"/>
        </w:rPr>
        <w:t>。</w:t>
      </w:r>
      <w:r>
        <w:rPr>
          <w:rFonts w:ascii="宋体" w:hAnsi="宋体" w:eastAsia="宋体" w:cs="宋体"/>
          <w:bCs/>
          <w:sz w:val="18"/>
          <w:szCs w:val="18"/>
        </w:rPr>
        <w:t>如产品管理人认为有必要，</w:t>
      </w:r>
      <w:r>
        <w:rPr>
          <w:rFonts w:hint="eastAsia" w:ascii="宋体" w:hAnsi="宋体" w:eastAsia="宋体" w:cs="宋体"/>
          <w:bCs/>
          <w:sz w:val="18"/>
          <w:szCs w:val="18"/>
        </w:rPr>
        <w:t>针对</w:t>
      </w:r>
      <w:r>
        <w:rPr>
          <w:rFonts w:ascii="宋体" w:hAnsi="宋体" w:eastAsia="宋体" w:cs="宋体"/>
          <w:bCs/>
          <w:sz w:val="18"/>
          <w:szCs w:val="18"/>
        </w:rPr>
        <w:t>已经</w:t>
      </w:r>
      <w:r>
        <w:rPr>
          <w:rFonts w:hint="eastAsia" w:ascii="宋体" w:hAnsi="宋体" w:eastAsia="宋体" w:cs="宋体"/>
          <w:bCs/>
          <w:sz w:val="18"/>
          <w:szCs w:val="18"/>
        </w:rPr>
        <w:t>确认</w:t>
      </w:r>
      <w:r>
        <w:rPr>
          <w:rFonts w:ascii="宋体" w:hAnsi="宋体" w:eastAsia="宋体" w:cs="宋体"/>
          <w:bCs/>
          <w:sz w:val="18"/>
          <w:szCs w:val="18"/>
        </w:rPr>
        <w:t>的赎回申请</w:t>
      </w:r>
      <w:r>
        <w:rPr>
          <w:rFonts w:hint="eastAsia" w:ascii="宋体" w:hAnsi="宋体" w:eastAsia="宋体" w:cs="宋体"/>
          <w:bCs/>
          <w:sz w:val="18"/>
          <w:szCs w:val="18"/>
        </w:rPr>
        <w:t>，</w:t>
      </w:r>
      <w:r>
        <w:rPr>
          <w:rFonts w:ascii="宋体" w:hAnsi="宋体" w:eastAsia="宋体" w:cs="宋体"/>
          <w:bCs/>
          <w:sz w:val="18"/>
          <w:szCs w:val="18"/>
        </w:rPr>
        <w:t>可以延缓支付赎回款项。延缓支付赎回款项</w:t>
      </w:r>
      <w:r>
        <w:rPr>
          <w:rFonts w:hint="eastAsia" w:ascii="宋体" w:hAnsi="宋体" w:eastAsia="宋体" w:cs="宋体"/>
          <w:bCs/>
          <w:sz w:val="18"/>
          <w:szCs w:val="18"/>
        </w:rPr>
        <w:t>的</w:t>
      </w:r>
      <w:r>
        <w:rPr>
          <w:rFonts w:ascii="宋体" w:hAnsi="宋体" w:eastAsia="宋体" w:cs="宋体"/>
          <w:bCs/>
          <w:sz w:val="18"/>
          <w:szCs w:val="18"/>
        </w:rPr>
        <w:t>，</w:t>
      </w:r>
      <w:r>
        <w:rPr>
          <w:rFonts w:hint="eastAsia" w:ascii="宋体" w:hAnsi="宋体" w:eastAsia="宋体" w:cs="宋体"/>
          <w:bCs/>
          <w:sz w:val="18"/>
          <w:szCs w:val="18"/>
        </w:rPr>
        <w:t>已经确认</w:t>
      </w:r>
      <w:r>
        <w:rPr>
          <w:rFonts w:ascii="宋体" w:hAnsi="宋体" w:eastAsia="宋体" w:cs="宋体"/>
          <w:bCs/>
          <w:sz w:val="18"/>
          <w:szCs w:val="18"/>
        </w:rPr>
        <w:t>的赎回申请的</w:t>
      </w:r>
      <w:r>
        <w:rPr>
          <w:rFonts w:hint="eastAsia" w:ascii="宋体" w:hAnsi="宋体" w:eastAsia="宋体" w:cs="宋体"/>
          <w:bCs/>
          <w:sz w:val="18"/>
          <w:szCs w:val="18"/>
        </w:rPr>
        <w:t>相应赎回</w:t>
      </w:r>
      <w:r>
        <w:rPr>
          <w:rFonts w:ascii="宋体" w:hAnsi="宋体" w:eastAsia="宋体" w:cs="宋体"/>
          <w:bCs/>
          <w:sz w:val="18"/>
          <w:szCs w:val="18"/>
        </w:rPr>
        <w:t>款项将会在不超过20个工作日内支付</w:t>
      </w:r>
      <w:r>
        <w:rPr>
          <w:rFonts w:hint="eastAsia" w:ascii="宋体" w:hAnsi="宋体" w:eastAsia="宋体" w:cs="宋体"/>
          <w:bCs/>
          <w:sz w:val="18"/>
          <w:szCs w:val="18"/>
        </w:rPr>
        <w:t>至</w:t>
      </w:r>
      <w:r>
        <w:rPr>
          <w:rFonts w:ascii="宋体" w:hAnsi="宋体" w:eastAsia="宋体" w:cs="宋体"/>
          <w:bCs/>
          <w:sz w:val="18"/>
          <w:szCs w:val="18"/>
        </w:rPr>
        <w:t>投资者</w:t>
      </w:r>
      <w:r>
        <w:rPr>
          <w:rFonts w:hint="eastAsia" w:ascii="宋体" w:hAnsi="宋体" w:eastAsia="宋体" w:cs="宋体"/>
          <w:bCs/>
          <w:sz w:val="18"/>
          <w:szCs w:val="18"/>
        </w:rPr>
        <w:t>；</w:t>
      </w:r>
      <w:r>
        <w:rPr>
          <w:rFonts w:hint="eastAsia" w:ascii="宋体" w:hAnsi="宋体" w:cs="宋体"/>
          <w:bCs/>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宋体" w:hAnsi="宋体" w:eastAsia="宋体" w:cs="宋体"/>
          <w:bCs/>
          <w:sz w:val="18"/>
          <w:szCs w:val="18"/>
        </w:rPr>
        <w:t>（5）法律法规规定或监管机构规定的其他措施。</w:t>
      </w:r>
    </w:p>
    <w:p w14:paraId="22C99712">
      <w:pPr>
        <w:widowControl/>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巨额赎回的公告</w:t>
      </w:r>
    </w:p>
    <w:p w14:paraId="195781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在发生巨额赎回产品管理人暂停接受投资者赎回申请时，产品管理人将依约定发布相关公告信息。</w:t>
      </w:r>
    </w:p>
    <w:p w14:paraId="75324B92">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（七）日期遇非工作日的调整</w:t>
      </w:r>
    </w:p>
    <w:p w14:paraId="25AB168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14:paraId="693DCE8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（八）投资者持有理财份额的限额和理财产品总规模限额</w:t>
      </w:r>
    </w:p>
    <w:p w14:paraId="0DB9610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7C11AA9E">
      <w:pPr>
        <w:widowControl/>
        <w:spacing w:line="360" w:lineRule="auto"/>
        <w:jc w:val="left"/>
        <w:rPr>
          <w:rFonts w:ascii="宋体" w:hAnsi="宋体" w:cs="宋体"/>
          <w:bCs/>
          <w:kern w:val="0"/>
          <w:sz w:val="18"/>
          <w:szCs w:val="18"/>
        </w:rPr>
      </w:pPr>
      <w:r>
        <w:rPr>
          <w:rFonts w:ascii="宋体" w:hAnsi="宋体" w:cs="宋体"/>
          <w:bCs/>
          <w:sz w:val="18"/>
          <w:szCs w:val="18"/>
        </w:rPr>
        <w:br w:type="page"/>
      </w:r>
    </w:p>
    <w:bookmarkEnd w:id="75"/>
    <w:p w14:paraId="7571226E">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81" w:name="_Toc90742321"/>
      <w:bookmarkStart w:id="82" w:name="_Toc3266"/>
      <w:bookmarkStart w:id="83" w:name="_Toc7151"/>
      <w:bookmarkStart w:id="84" w:name="_Toc90742688"/>
      <w:bookmarkStart w:id="85" w:name="_Toc29948"/>
      <w:bookmarkStart w:id="86" w:name="_Toc74065741"/>
      <w:bookmarkStart w:id="87" w:name="_Toc16265"/>
      <w:bookmarkStart w:id="88" w:name="_Toc29784"/>
      <w:bookmarkStart w:id="89" w:name="_Toc22074"/>
      <w:bookmarkStart w:id="90" w:name="_Toc176189282"/>
      <w:bookmarkStart w:id="91" w:name="_Toc27189"/>
      <w:bookmarkStart w:id="92" w:name="_Toc15203"/>
      <w:bookmarkStart w:id="93" w:name="_Toc90742390"/>
      <w:bookmarkStart w:id="94" w:name="_Toc2561"/>
      <w:bookmarkStart w:id="95" w:name="_Toc27226"/>
      <w:bookmarkStart w:id="96" w:name="_Toc79154668"/>
      <w:bookmarkStart w:id="97" w:name="_Toc671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五条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4B179E1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74AF51E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w:t>
      </w:r>
      <w:r>
        <w:rPr>
          <w:rFonts w:ascii="宋体" w:hAnsi="宋体" w:eastAsia="宋体" w:cs="宋体"/>
          <w:color w:val="auto"/>
          <w:sz w:val="18"/>
          <w:szCs w:val="18"/>
          <w:lang w:val="en-US" w:eastAsia="zh-CN" w:bidi="ar-SA"/>
        </w:rPr>
        <w:t>固定收益类产品</w:t>
      </w:r>
      <w:r>
        <w:rPr>
          <w:rFonts w:hint="eastAsia" w:ascii="宋体" w:hAnsi="宋体" w:eastAsia="宋体" w:cs="宋体"/>
          <w:color w:val="auto"/>
          <w:sz w:val="18"/>
          <w:szCs w:val="18"/>
          <w:lang w:val="en-US" w:eastAsia="zh-CN" w:bidi="ar-SA"/>
        </w:rPr>
        <w:t>，在保持理财资产的低风险和高流动性的前提下，力争实现超越业绩比较基准的投资回报。</w:t>
      </w:r>
    </w:p>
    <w:p w14:paraId="04D63BBC">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4C04B419">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58FEC0F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本产品</w:t>
      </w:r>
      <w:r>
        <w:rPr>
          <w:rFonts w:ascii="宋体" w:hAnsi="宋体" w:eastAsia="宋体" w:cs="宋体"/>
          <w:bCs/>
          <w:sz w:val="18"/>
          <w:szCs w:val="18"/>
        </w:rPr>
        <w:t>主要投资范围包括但不限于</w:t>
      </w:r>
      <w:r>
        <w:rPr>
          <w:rFonts w:hint="eastAsia" w:ascii="宋体" w:hAnsi="宋体" w:eastAsia="宋体" w:cs="宋体"/>
          <w:bCs/>
          <w:sz w:val="18"/>
          <w:szCs w:val="18"/>
        </w:rPr>
        <w:t>（实际投资范围可根据法律法规及监管规定进行调整）</w:t>
      </w:r>
      <w:r>
        <w:rPr>
          <w:rFonts w:ascii="宋体" w:hAnsi="宋体" w:eastAsia="宋体" w:cs="宋体"/>
          <w:bCs/>
          <w:sz w:val="18"/>
          <w:szCs w:val="18"/>
        </w:rPr>
        <w:t>：</w:t>
      </w:r>
    </w:p>
    <w:p w14:paraId="5CBFA52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（1）现金；</w:t>
      </w:r>
    </w:p>
    <w:p w14:paraId="2AF6D565">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（2）期限在1年以内（含1年）的银行存款、债券回购、中央银行票据、同业存单；</w:t>
      </w:r>
    </w:p>
    <w:p w14:paraId="398AD46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（3）剩余期限在397天以内（含397天）的债券、在银行间市场和证券交易所市场发行的资产支持证券；</w:t>
      </w:r>
    </w:p>
    <w:p w14:paraId="49886DEC">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（4）监管部门、中国人民银行认可的其他具有良好流动性的货币市场工具。</w:t>
      </w:r>
    </w:p>
    <w:p w14:paraId="2E811ECC">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14:paraId="20514B6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24B699F3">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2</w:t>
      </w:r>
      <w:r>
        <w:rPr>
          <w:rFonts w:hint="eastAsia" w:ascii="宋体" w:hAnsi="宋体" w:eastAsia="宋体" w:cs="宋体"/>
          <w:bCs/>
          <w:sz w:val="18"/>
          <w:szCs w:val="18"/>
        </w:rPr>
        <w:t>.投资组合比例</w:t>
      </w:r>
    </w:p>
    <w:p w14:paraId="45BC970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本产品投资于债权类资产的比例不低于产品总资产的</w:t>
      </w:r>
      <w:r>
        <w:rPr>
          <w:rFonts w:ascii="宋体" w:hAnsi="宋体" w:eastAsia="宋体" w:cs="宋体"/>
          <w:bCs/>
          <w:sz w:val="18"/>
          <w:szCs w:val="18"/>
        </w:rPr>
        <w:t>80%</w:t>
      </w:r>
      <w:r>
        <w:rPr>
          <w:rFonts w:hint="eastAsia" w:ascii="宋体" w:hAnsi="宋体" w:eastAsia="宋体" w:cs="宋体"/>
          <w:bCs/>
          <w:sz w:val="18"/>
          <w:szCs w:val="18"/>
        </w:rPr>
        <w:t>。</w:t>
      </w:r>
    </w:p>
    <w:p w14:paraId="2D45A79B">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682D746D">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4.如果法律法规对本销售文件约定投资组合比例限制进行变更的，以变更后的规定为准。</w:t>
      </w:r>
    </w:p>
    <w:p w14:paraId="498E5C67">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34F16B8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应当符合本销售文件</w:t>
      </w:r>
      <w:r>
        <w:rPr>
          <w:rFonts w:ascii="宋体" w:hAnsi="宋体" w:eastAsia="宋体" w:cs="宋体"/>
          <w:bCs/>
          <w:sz w:val="18"/>
          <w:szCs w:val="18"/>
        </w:rPr>
        <w:t>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79E106A0">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7D93E32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cs="宋体"/>
          <w:bCs/>
          <w:sz w:val="18"/>
          <w:szCs w:val="18"/>
        </w:rPr>
        <w:t>投资者有权不接受变更</w:t>
      </w:r>
      <w:r>
        <w:rPr>
          <w:rFonts w:hint="eastAsia" w:ascii="黑体" w:hAnsi="黑体" w:eastAsia="黑体" w:cs="宋体"/>
          <w:bCs/>
          <w:sz w:val="18"/>
          <w:szCs w:val="18"/>
        </w:rPr>
        <w:t>，并通过赎回退出本产品。</w:t>
      </w:r>
    </w:p>
    <w:p w14:paraId="0B492E0C">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w:t>
      </w:r>
      <w:r>
        <w:rPr>
          <w:rFonts w:hint="eastAsia" w:ascii="黑体" w:hAnsi="黑体" w:eastAsia="黑体" w:cs="宋体"/>
          <w:bCs/>
          <w:color w:val="000000"/>
          <w:sz w:val="18"/>
          <w:szCs w:val="18"/>
          <w:lang w:val="en-US" w:eastAsia="zh-CN" w:bidi="ar-SA"/>
        </w:rPr>
        <w:t>销售文件</w:t>
      </w:r>
      <w:r>
        <w:rPr>
          <w:rFonts w:ascii="黑体" w:hAnsi="黑体" w:eastAsia="黑体" w:cs="宋体"/>
          <w:bCs/>
          <w:color w:val="000000"/>
          <w:sz w:val="18"/>
          <w:szCs w:val="18"/>
          <w:lang w:val="en-US" w:eastAsia="zh-CN" w:bidi="ar-SA"/>
        </w:rPr>
        <w:t>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05E8A2C2">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3F9B899A">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655E3294">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（1）本产品不得投资于以下金融工具：</w:t>
      </w:r>
    </w:p>
    <w:p w14:paraId="5CBAC120">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1）股票；</w:t>
      </w:r>
    </w:p>
    <w:p w14:paraId="3455E2B3">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2）可转换债券、可交换债券；</w:t>
      </w:r>
    </w:p>
    <w:p w14:paraId="320B6096">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3）以定期存款利率为基准利率的浮动利率债券，已进入最后一个利率调整期的除外；</w:t>
      </w:r>
    </w:p>
    <w:p w14:paraId="2AB04CEB">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4）信用等级在AA+以下的债券、资产支持证券；</w:t>
      </w:r>
    </w:p>
    <w:p w14:paraId="255DABC1">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5）监管部门、中国人民银行禁止投资的其他金融工具。</w:t>
      </w:r>
    </w:p>
    <w:p w14:paraId="7BB6152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（2）投资于同一机构发行的债券及其作为原始权益人的资产支持证券的比例合计不得超过产品资产净值的10%，投资于国债、中央银行票据、政策性金融债券的除外。</w:t>
      </w:r>
    </w:p>
    <w:p w14:paraId="1A4D235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监管部门认可的其他金融工具。</w:t>
      </w:r>
    </w:p>
    <w:p w14:paraId="10585909">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14:paraId="0565D3EF">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（5）全部现金管理类理财产品投资于同一商业银行的存款、同业存单和债券，不得超过该商业银行最近一个季度末净资产的10%。</w:t>
      </w:r>
    </w:p>
    <w:p w14:paraId="0B3BB8BC">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（6）投资于主体信用评级低于AA+的商业银行的银行存款与同业存单的，应当经产品管理人董事会审议批准，事先告知托管人，并作为重大事项履行信息披露程序。</w:t>
      </w:r>
    </w:p>
    <w:p w14:paraId="4D3A9B33">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7）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14:paraId="210C9FC8">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面向单一投资者发行的私募理财产品可不受前款比例限制。</w:t>
      </w:r>
    </w:p>
    <w:p w14:paraId="09CB4F03">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因证券市场波动、上市公司股票停牌、理财产品规模变动等因素导致理财产品不符合本款规定比例限制的，该理财产品不得主动新增投资流动性受限资产。</w:t>
      </w:r>
    </w:p>
    <w:p w14:paraId="35562E5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w:t>
      </w:r>
      <w:r>
        <w:rPr>
          <w:rFonts w:hint="eastAsia" w:ascii="宋体" w:hAnsi="宋体" w:eastAsia="宋体" w:cs="宋体"/>
          <w:bCs/>
          <w:sz w:val="18"/>
          <w:szCs w:val="18"/>
        </w:rPr>
        <w:t>）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14:paraId="4AC35AF7">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9）每只开放式理财产品每日确认且需当日支付的净赎回申请不超过前一工作日产品7个工作日可变现资产的可变现价值，监管部门另有规定的除外。在开放日前一工作日内，每只开放式理财产品7个工作日可变现资产的可变现价值应当不低于该产品资产净值的10%。</w:t>
      </w:r>
    </w:p>
    <w:p w14:paraId="33120AA1">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面向单一投资者发行的私募理财产品可不受前款比例限制。</w:t>
      </w:r>
    </w:p>
    <w:p w14:paraId="3E72A155">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非主观因素导致突破前款各项比例限制的，</w:t>
      </w:r>
      <w:r>
        <w:rPr>
          <w:rFonts w:hint="eastAsia" w:ascii="宋体" w:hAnsi="宋体" w:eastAsia="宋体" w:cs="宋体"/>
          <w:bCs/>
          <w:sz w:val="18"/>
          <w:szCs w:val="18"/>
          <w:highlight w:val="yellow"/>
        </w:rPr>
        <w:t>产品管理人</w:t>
      </w:r>
      <w:r>
        <w:rPr>
          <w:rFonts w:hint="eastAsia" w:ascii="宋体" w:hAnsi="宋体" w:eastAsia="宋体" w:cs="宋体"/>
          <w:bCs/>
          <w:sz w:val="18"/>
          <w:szCs w:val="18"/>
        </w:rPr>
        <w:t>应当在10个交易日内调整至符合要求，监管部门规定的特殊情形除外。</w:t>
      </w:r>
    </w:p>
    <w:p w14:paraId="7857884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w:t>
      </w:r>
      <w:r>
        <w:rPr>
          <w:rFonts w:ascii="宋体" w:hAnsi="宋体" w:eastAsia="宋体" w:cs="宋体"/>
          <w:bCs/>
          <w:sz w:val="18"/>
          <w:szCs w:val="18"/>
        </w:rPr>
        <w:t>本</w:t>
      </w:r>
      <w:r>
        <w:rPr>
          <w:rFonts w:hint="eastAsia" w:ascii="宋体" w:hAnsi="宋体" w:eastAsia="宋体" w:cs="宋体"/>
          <w:bCs/>
          <w:sz w:val="18"/>
          <w:szCs w:val="18"/>
        </w:rPr>
        <w:t>产品持有足够的具有良好流动性的资产，投资组合符合以下要求：</w:t>
      </w:r>
    </w:p>
    <w:p w14:paraId="301627D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（1）产品持有不低于产品资产净值5%的现金、国债、中央银行票据、政策性金融债券；</w:t>
      </w:r>
    </w:p>
    <w:p w14:paraId="28ACE0AF">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（2）产品持有不低于产品资产净值10%的现金、国债、中央银行票据、政策性金融债券以及五个交易日内到期的其他金融工具；</w:t>
      </w:r>
    </w:p>
    <w:p w14:paraId="6546DE5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14:paraId="246245C2">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（4）产品的杠杆水平不得超过120%，发生巨额赎回、连续3个交易日累计赎回20%以上或者连续5个交易日累计赎回30%以上的情形除外。</w:t>
      </w:r>
    </w:p>
    <w:p w14:paraId="5FBB9E03">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非主观因素导致突破前款第（2）（4）项比例限制的，产品管理人应当在10个交易日内调整至符合要求；非主观因素导致突破前款第（3）项比例限制的，产品管理人不得主动新增流动性受限资产的投资。</w:t>
      </w:r>
    </w:p>
    <w:p w14:paraId="0918F60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3.产品投资组合的平均剩余期限不得超过120天，平均剩余存续期限不得超过240天。</w:t>
      </w:r>
    </w:p>
    <w:p w14:paraId="3E66F512">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w:t>
      </w:r>
      <w:r>
        <w:rPr>
          <w:rFonts w:ascii="宋体" w:hAnsi="宋体" w:eastAsia="宋体" w:cs="宋体"/>
          <w:bCs/>
          <w:kern w:val="0"/>
          <w:sz w:val="18"/>
          <w:szCs w:val="18"/>
        </w:rPr>
        <w:t>.产品管理人对产品的投资者</w:t>
      </w:r>
      <w:r>
        <w:rPr>
          <w:rFonts w:hint="eastAsia" w:ascii="宋体" w:hAnsi="宋体" w:eastAsia="宋体" w:cs="宋体"/>
          <w:bCs/>
          <w:kern w:val="0"/>
          <w:sz w:val="18"/>
          <w:szCs w:val="18"/>
        </w:rPr>
        <w:t>集中度实施严格的监控与管理，并根据投资者集中度情况对投资组合实施调整：</w:t>
      </w:r>
    </w:p>
    <w:p w14:paraId="2298E6E5">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14:paraId="4A8A1735">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14:paraId="61AF1B2D">
      <w:pPr>
        <w:widowControl/>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非因管理人主观因素导致突破前款第(1)(2)项比例限制的，管理人应当在10个交易日内调整至符合要求,监管部门规定的特殊情形除外。</w:t>
      </w:r>
    </w:p>
    <w:p w14:paraId="7EDF6E37">
      <w:pPr>
        <w:spacing w:line="360" w:lineRule="auto"/>
        <w:ind w:firstLine="360" w:firstLineChars="200"/>
        <w:rPr>
          <w:rFonts w:ascii="宋体" w:hAnsi="宋体" w:cs="宋体"/>
          <w:bCs/>
          <w:sz w:val="18"/>
          <w:szCs w:val="18"/>
        </w:rPr>
      </w:pPr>
      <w:r>
        <w:rPr>
          <w:rFonts w:hint="eastAsia" w:ascii="宋体" w:hAnsi="宋体" w:cs="宋体"/>
          <w:bCs/>
          <w:sz w:val="18"/>
          <w:szCs w:val="18"/>
        </w:rPr>
        <w:t>5</w:t>
      </w:r>
      <w:r>
        <w:rPr>
          <w:rFonts w:ascii="宋体" w:hAnsi="宋体" w:cs="宋体"/>
          <w:bCs/>
          <w:sz w:val="18"/>
          <w:szCs w:val="18"/>
        </w:rPr>
        <w:t>.</w:t>
      </w:r>
      <w:r>
        <w:rPr>
          <w:rFonts w:hint="eastAsia" w:ascii="宋体" w:hAnsi="宋体" w:cs="宋体"/>
          <w:bCs/>
          <w:sz w:val="18"/>
          <w:szCs w:val="18"/>
        </w:rPr>
        <w:t>其他投资限制：</w:t>
      </w:r>
    </w:p>
    <w:p w14:paraId="38DC0E8F">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1B3285B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2B37A409">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21B01DE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5C808E88">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094EBB9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6.</w:t>
      </w:r>
      <w:r>
        <w:rPr>
          <w:rFonts w:ascii="宋体" w:hAnsi="宋体" w:eastAsia="宋体" w:cs="宋体"/>
          <w:bCs/>
          <w:sz w:val="18"/>
          <w:szCs w:val="18"/>
        </w:rPr>
        <w:t>如果法律法规对本</w:t>
      </w:r>
      <w:r>
        <w:rPr>
          <w:rFonts w:hint="eastAsia" w:ascii="宋体" w:hAnsi="宋体" w:eastAsia="宋体" w:cs="宋体"/>
          <w:bCs/>
          <w:sz w:val="18"/>
          <w:szCs w:val="18"/>
        </w:rPr>
        <w:t>销售文件</w:t>
      </w:r>
      <w:r>
        <w:rPr>
          <w:rFonts w:ascii="宋体" w:hAnsi="宋体" w:eastAsia="宋体" w:cs="宋体"/>
          <w:bCs/>
          <w:sz w:val="18"/>
          <w:szCs w:val="18"/>
        </w:rPr>
        <w:t>约定的投资限制进行变更的，以变更后的规定为准。</w:t>
      </w:r>
    </w:p>
    <w:p w14:paraId="0264F9CF">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25007CC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 w14:paraId="3D924E4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eastAsia="宋体" w:cs="宋体"/>
          <w:kern w:val="0"/>
          <w:sz w:val="18"/>
          <w:szCs w:val="18"/>
          <w:lang w:val="en-US" w:eastAsia="zh-CN" w:bidi="ar-SA"/>
        </w:rPr>
      </w:pPr>
    </w:p>
    <w:p w14:paraId="3752001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360" w:firstLineChars="200"/>
        <w:jc w:val="left"/>
        <w:rPr>
          <w:rFonts w:ascii="宋体" w:hAnsi="宋体" w:eastAsia="宋体" w:cs="宋体"/>
          <w:kern w:val="0"/>
          <w:sz w:val="18"/>
          <w:szCs w:val="18"/>
          <w:lang w:val="en-US" w:eastAsia="zh-CN" w:bidi="ar-SA"/>
        </w:rPr>
      </w:pPr>
      <w:r>
        <w:rPr>
          <w:rFonts w:ascii="宋体" w:hAnsi="宋体" w:eastAsia="宋体" w:cs="宋体"/>
          <w:kern w:val="0"/>
          <w:sz w:val="18"/>
          <w:szCs w:val="18"/>
          <w:lang w:val="en-US" w:eastAsia="zh-CN" w:bidi="ar-SA"/>
        </w:rPr>
        <w:br w:type="page"/>
      </w:r>
    </w:p>
    <w:p w14:paraId="12513FF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8" w:name="_Toc4741"/>
      <w:bookmarkStart w:id="99" w:name="_Toc7848"/>
      <w:bookmarkStart w:id="100" w:name="_Toc176189283"/>
      <w:bookmarkStart w:id="101" w:name="_Toc74065742"/>
      <w:bookmarkStart w:id="102" w:name="_Toc18526"/>
      <w:bookmarkStart w:id="103" w:name="_Toc21988"/>
      <w:bookmarkStart w:id="104" w:name="_Toc26986"/>
      <w:bookmarkStart w:id="105" w:name="_Toc139991735"/>
      <w:bookmarkStart w:id="106" w:name="_Toc1823"/>
      <w:bookmarkStart w:id="107" w:name="_Toc141703885"/>
      <w:bookmarkStart w:id="108" w:name="_Toc24783"/>
      <w:bookmarkStart w:id="109" w:name="_Toc14893"/>
      <w:bookmarkStart w:id="110" w:name="_Toc18329"/>
      <w:bookmarkStart w:id="111" w:name="_Toc17912"/>
      <w:bookmarkStart w:id="112" w:name="_Toc79154669"/>
      <w:bookmarkStart w:id="113" w:name="_Toc18797"/>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六条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3B4067D6">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14" w:name="_Hlk490214295"/>
      <w:r>
        <w:rPr>
          <w:rFonts w:hint="eastAsia" w:ascii="宋体" w:hAnsi="宋体" w:eastAsia="宋体" w:cs="宋体"/>
          <w:b/>
          <w:color w:val="auto"/>
          <w:sz w:val="18"/>
          <w:szCs w:val="18"/>
          <w:lang w:val="en-US" w:eastAsia="zh-CN" w:bidi="ar-SA"/>
        </w:rPr>
        <w:t>（一）理财产品的资产的保管和处分</w:t>
      </w:r>
    </w:p>
    <w:p w14:paraId="77C69AA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5853969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1E128C6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1329C18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4622D2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19FB2AE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4550BDF0">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14"/>
    <w:p w14:paraId="493EAE4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15" w:name="_Toc7920"/>
      <w:bookmarkStart w:id="116" w:name="_Toc74065743"/>
      <w:bookmarkStart w:id="117" w:name="_Toc123112234"/>
      <w:bookmarkStart w:id="118" w:name="_Toc139991736"/>
      <w:bookmarkStart w:id="119" w:name="_Toc123102453"/>
      <w:bookmarkStart w:id="120" w:name="_Toc10463"/>
      <w:bookmarkStart w:id="121" w:name="_Toc98560352"/>
      <w:bookmarkStart w:id="122" w:name="_Toc4003"/>
      <w:bookmarkStart w:id="123" w:name="_Toc23261"/>
      <w:bookmarkStart w:id="124" w:name="_Toc1270"/>
      <w:bookmarkStart w:id="125" w:name="_Toc20733"/>
      <w:bookmarkStart w:id="126" w:name="_Toc17244"/>
      <w:bookmarkStart w:id="127" w:name="_Toc48649707"/>
      <w:bookmarkStart w:id="128" w:name="_Toc79154670"/>
      <w:bookmarkStart w:id="129" w:name="_Toc123051452"/>
      <w:bookmarkStart w:id="130" w:name="_Toc1427"/>
      <w:bookmarkStart w:id="131" w:name="_Toc141703886"/>
      <w:bookmarkStart w:id="132" w:name="_Toc23822"/>
      <w:bookmarkStart w:id="133" w:name="_Toc5681"/>
      <w:bookmarkStart w:id="134" w:name="_Toc176189284"/>
      <w:bookmarkStart w:id="135" w:name="_Toc610"/>
      <w:bookmarkStart w:id="136" w:name="_Toc7939260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七条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14:paraId="74F6CC61">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52904649">
      <w:pPr>
        <w:widowControl w:val="0"/>
        <w:autoSpaceDE w:val="0"/>
        <w:autoSpaceDN w:val="0"/>
        <w:adjustRightInd w:val="0"/>
        <w:spacing w:line="360" w:lineRule="auto"/>
        <w:ind w:firstLine="361"/>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（一）估值目的</w:t>
      </w:r>
    </w:p>
    <w:p w14:paraId="44009590">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理财资产估值的目的是客观、准确地反映理财资产是否保值、增值。</w:t>
      </w:r>
    </w:p>
    <w:p w14:paraId="3204A266">
      <w:pPr>
        <w:widowControl w:val="0"/>
        <w:autoSpaceDE w:val="0"/>
        <w:autoSpaceDN w:val="0"/>
        <w:adjustRightInd w:val="0"/>
        <w:spacing w:line="360" w:lineRule="auto"/>
        <w:ind w:firstLine="361"/>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（二）估值频率</w:t>
      </w:r>
    </w:p>
    <w:p w14:paraId="62B1C9CF">
      <w:pPr>
        <w:widowControl w:val="0"/>
        <w:autoSpaceDE w:val="0"/>
        <w:autoSpaceDN w:val="0"/>
        <w:adjustRightInd w:val="0"/>
        <w:spacing w:line="360" w:lineRule="auto"/>
        <w:ind w:firstLine="450" w:firstLineChars="250"/>
        <w:rPr>
          <w:rFonts w:ascii="宋体" w:hAnsi="宋体"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本产品存续期间，管理人每日进行估值。</w:t>
      </w:r>
    </w:p>
    <w:p w14:paraId="41BD4F57">
      <w:pPr>
        <w:widowControl w:val="0"/>
        <w:autoSpaceDE w:val="0"/>
        <w:autoSpaceDN w:val="0"/>
        <w:adjustRightInd w:val="0"/>
        <w:spacing w:line="360" w:lineRule="auto"/>
        <w:ind w:firstLine="361"/>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（三）估值对象</w:t>
      </w:r>
    </w:p>
    <w:p w14:paraId="3369845F">
      <w:pPr>
        <w:widowControl w:val="0"/>
        <w:autoSpaceDE w:val="0"/>
        <w:autoSpaceDN w:val="0"/>
        <w:adjustRightInd w:val="0"/>
        <w:spacing w:line="360" w:lineRule="auto"/>
        <w:ind w:firstLine="450" w:firstLineChars="25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本产品所拥有的各类证券、资产管理产品和银行存款本息、应收款项、其它投资等资产及负债。</w:t>
      </w:r>
    </w:p>
    <w:p w14:paraId="640A91C6">
      <w:pPr>
        <w:widowControl w:val="0"/>
        <w:autoSpaceDE w:val="0"/>
        <w:autoSpaceDN w:val="0"/>
        <w:adjustRightInd w:val="0"/>
        <w:spacing w:line="360" w:lineRule="auto"/>
        <w:ind w:firstLine="361"/>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（四）估值方法</w:t>
      </w:r>
    </w:p>
    <w:p w14:paraId="01F4D748">
      <w:pPr>
        <w:widowControl w:val="0"/>
        <w:autoSpaceDE w:val="0"/>
        <w:autoSpaceDN w:val="0"/>
        <w:adjustRightInd w:val="0"/>
        <w:spacing w:line="360" w:lineRule="auto"/>
        <w:ind w:firstLine="361"/>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标准化债权类资产估值</w:t>
      </w:r>
    </w:p>
    <w:p w14:paraId="2025FFAB">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债券类资产采用摊余成本法估值，即估值对象以买入成本列示，按票面利率或协议利率并考虑其买入时的溢价与折价，在其剩余存续期内按照实际利率法进行摊销，每日计提损益。</w:t>
      </w:r>
    </w:p>
    <w:p w14:paraId="2D56BF1A">
      <w:pPr>
        <w:widowControl w:val="0"/>
        <w:autoSpaceDE w:val="0"/>
        <w:autoSpaceDN w:val="0"/>
        <w:adjustRightInd w:val="0"/>
        <w:spacing w:line="360" w:lineRule="auto"/>
        <w:ind w:firstLine="361"/>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货币市场基金估值</w:t>
      </w:r>
    </w:p>
    <w:p w14:paraId="43F9F091">
      <w:pPr>
        <w:widowControl w:val="0"/>
        <w:autoSpaceDE w:val="0"/>
        <w:autoSpaceDN w:val="0"/>
        <w:adjustRightInd w:val="0"/>
        <w:spacing w:line="360" w:lineRule="auto"/>
        <w:ind w:firstLine="361"/>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）本产品投资的境内非上市货币市场基金，按所投资基金前一估值日后至估值日期间（含节假日）的万份收益计提估值日基金收益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797745D8">
      <w:pPr>
        <w:widowControl w:val="0"/>
        <w:autoSpaceDE w:val="0"/>
        <w:autoSpaceDN w:val="0"/>
        <w:adjustRightInd w:val="0"/>
        <w:spacing w:line="360" w:lineRule="auto"/>
        <w:ind w:firstLine="361"/>
        <w:rPr>
          <w:rFonts w:ascii="宋体" w:hAnsi="宋体" w:eastAsia="宋体" w:cs="宋体"/>
          <w:color w:val="000000"/>
          <w:sz w:val="18"/>
          <w:szCs w:val="18"/>
          <w:lang w:val="en-US" w:eastAsia="zh-CN" w:bidi="ar-SA"/>
        </w:rPr>
      </w:pPr>
      <w:r>
        <w:rPr>
          <w:rFonts w:ascii="宋体" w:hAnsi="宋体" w:eastAsia="宋体" w:cs="宋体"/>
          <w:color w:val="auto"/>
          <w:sz w:val="18"/>
          <w:szCs w:val="18"/>
          <w:lang w:val="en-US" w:eastAsia="zh-CN" w:bidi="ar-SA"/>
        </w:rPr>
        <w:t>（2)本产品投资的境内上市交易型货币市场基金，如所投资基金披露份额净值，则按所投资基金估值日的份额净值估值，</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ascii="宋体" w:hAnsi="宋体" w:eastAsia="宋体" w:cs="宋体"/>
          <w:color w:val="auto"/>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60370D80">
      <w:pPr>
        <w:widowControl w:val="0"/>
        <w:autoSpaceDE w:val="0"/>
        <w:autoSpaceDN w:val="0"/>
        <w:adjustRightInd w:val="0"/>
        <w:spacing w:line="360" w:lineRule="auto"/>
        <w:ind w:firstLine="361"/>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其他资产管理产品的估值</w:t>
      </w:r>
    </w:p>
    <w:p w14:paraId="18D14DE4">
      <w:pPr>
        <w:spacing w:line="360" w:lineRule="auto"/>
        <w:ind w:firstLine="360" w:firstLineChars="200"/>
        <w:rPr>
          <w:rFonts w:ascii="Calibri" w:hAnsi="宋体" w:cs="宋体"/>
          <w:sz w:val="18"/>
          <w:szCs w:val="22"/>
        </w:rPr>
      </w:pPr>
      <w:r>
        <w:rPr>
          <w:rFonts w:hint="eastAsia" w:ascii="Calibri" w:hAnsi="宋体" w:cs="宋体"/>
          <w:sz w:val="18"/>
          <w:szCs w:val="22"/>
        </w:rPr>
        <w:t>其他资产管理产品，指理财产品投资的除证券投资基金以外的其他资产管理产品，主要包括：</w:t>
      </w:r>
      <w:r>
        <w:rPr>
          <w:rFonts w:ascii="Calibri" w:hAnsi="宋体" w:cs="宋体"/>
          <w:sz w:val="18"/>
          <w:szCs w:val="22"/>
        </w:rPr>
        <w:t>信托公司</w:t>
      </w:r>
      <w:r>
        <w:rPr>
          <w:rFonts w:hint="eastAsia" w:ascii="Calibri" w:hAnsi="宋体" w:cs="宋体"/>
          <w:sz w:val="18"/>
          <w:szCs w:val="22"/>
        </w:rPr>
        <w:t>、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3278D9D3">
      <w:pPr>
        <w:spacing w:line="360" w:lineRule="auto"/>
        <w:ind w:firstLine="360" w:firstLineChars="200"/>
        <w:rPr>
          <w:rFonts w:ascii="Calibri" w:hAnsi="宋体" w:cs="宋体"/>
          <w:sz w:val="18"/>
          <w:szCs w:val="22"/>
        </w:rPr>
      </w:pPr>
      <w:r>
        <w:rPr>
          <w:rFonts w:hint="eastAsia" w:ascii="宋体" w:hAnsi="宋体" w:eastAsia="宋体" w:cs="宋体"/>
          <w:sz w:val="18"/>
          <w:szCs w:val="18"/>
        </w:rPr>
        <w:t>4</w:t>
      </w:r>
      <w:r>
        <w:rPr>
          <w:rFonts w:ascii="宋体" w:hAnsi="宋体" w:eastAsia="宋体" w:cs="宋体"/>
          <w:sz w:val="18"/>
          <w:szCs w:val="18"/>
        </w:rPr>
        <w:t>.</w:t>
      </w:r>
      <w:r>
        <w:rPr>
          <w:rFonts w:hint="eastAsia" w:ascii="宋体" w:hAnsi="宋体" w:eastAsia="宋体" w:cs="宋体"/>
          <w:sz w:val="18"/>
          <w:szCs w:val="18"/>
        </w:rPr>
        <w:t>存款、拆借、回购等货币市场工具的估值</w:t>
      </w:r>
    </w:p>
    <w:p w14:paraId="02634754">
      <w:pPr>
        <w:spacing w:line="360" w:lineRule="auto"/>
        <w:ind w:firstLine="360" w:firstLineChars="200"/>
        <w:rPr>
          <w:rFonts w:ascii="Calibri" w:hAnsi="宋体" w:cs="宋体"/>
          <w:sz w:val="18"/>
          <w:szCs w:val="18"/>
        </w:rPr>
      </w:pPr>
      <w:r>
        <w:rPr>
          <w:rFonts w:hint="eastAsia" w:ascii="Calibri" w:hAnsi="宋体" w:cs="宋体"/>
          <w:sz w:val="18"/>
          <w:szCs w:val="18"/>
        </w:rPr>
        <w:t>以本金列示，按商定利率在实际持有期间内逐日计提利息。</w:t>
      </w:r>
    </w:p>
    <w:p w14:paraId="1D1D3DEF">
      <w:pPr>
        <w:spacing w:line="360" w:lineRule="auto"/>
        <w:ind w:firstLine="360" w:firstLineChars="200"/>
        <w:rPr>
          <w:rFonts w:ascii="宋体" w:hAnsi="宋体" w:eastAsia="宋体" w:cs="宋体"/>
          <w:sz w:val="18"/>
          <w:szCs w:val="18"/>
        </w:rPr>
      </w:pPr>
      <w:r>
        <w:rPr>
          <w:rFonts w:hint="eastAsia" w:ascii="宋体" w:hAnsi="宋体" w:eastAsia="宋体" w:cs="宋体"/>
          <w:sz w:val="18"/>
          <w:szCs w:val="18"/>
        </w:rPr>
        <w:t>5.为了避免采用</w:t>
      </w:r>
      <w:r>
        <w:rPr>
          <w:rFonts w:ascii="宋体" w:hAnsi="宋体" w:eastAsia="宋体" w:cs="宋体"/>
          <w:sz w:val="18"/>
          <w:szCs w:val="18"/>
        </w:rPr>
        <w:t>“</w:t>
      </w:r>
      <w:r>
        <w:rPr>
          <w:rFonts w:hint="eastAsia" w:ascii="宋体" w:hAnsi="宋体" w:eastAsia="宋体" w:cs="宋体"/>
          <w:sz w:val="18"/>
          <w:szCs w:val="18"/>
        </w:rPr>
        <w:t>摊余成本法</w:t>
      </w:r>
      <w:r>
        <w:rPr>
          <w:rFonts w:ascii="宋体" w:hAnsi="宋体" w:eastAsia="宋体" w:cs="宋体"/>
          <w:sz w:val="18"/>
          <w:szCs w:val="18"/>
        </w:rPr>
        <w:t>”</w:t>
      </w:r>
      <w:r>
        <w:rPr>
          <w:rFonts w:hint="eastAsia" w:ascii="宋体" w:hAnsi="宋体" w:eastAsia="宋体" w:cs="宋体"/>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宋体" w:hAnsi="宋体" w:eastAsia="宋体" w:cs="宋体"/>
          <w:sz w:val="18"/>
          <w:szCs w:val="18"/>
        </w:rPr>
        <w:t>“</w:t>
      </w:r>
      <w:r>
        <w:rPr>
          <w:rFonts w:hint="eastAsia" w:ascii="宋体" w:hAnsi="宋体" w:eastAsia="宋体" w:cs="宋体"/>
          <w:sz w:val="18"/>
          <w:szCs w:val="18"/>
        </w:rPr>
        <w:t>影子定价</w:t>
      </w:r>
      <w:r>
        <w:rPr>
          <w:rFonts w:ascii="宋体" w:hAnsi="宋体" w:eastAsia="宋体" w:cs="宋体"/>
          <w:sz w:val="18"/>
          <w:szCs w:val="18"/>
        </w:rPr>
        <w:t>”</w:t>
      </w:r>
      <w:r>
        <w:rPr>
          <w:rFonts w:hint="eastAsia" w:ascii="宋体" w:hAnsi="宋体" w:eastAsia="宋体" w:cs="宋体"/>
          <w:sz w:val="18"/>
          <w:szCs w:val="18"/>
        </w:rPr>
        <w:t>。</w:t>
      </w:r>
    </w:p>
    <w:p w14:paraId="54803E74">
      <w:pPr>
        <w:spacing w:line="360" w:lineRule="auto"/>
        <w:ind w:firstLine="360" w:firstLineChars="200"/>
        <w:rPr>
          <w:rFonts w:ascii="宋体" w:hAnsi="宋体" w:eastAsia="宋体" w:cs="宋体"/>
          <w:sz w:val="18"/>
          <w:szCs w:val="18"/>
        </w:rPr>
      </w:pPr>
      <w:r>
        <w:rPr>
          <w:rFonts w:hint="eastAsia" w:ascii="宋体" w:hAnsi="宋体" w:eastAsia="宋体" w:cs="宋体"/>
          <w:sz w:val="18"/>
          <w:szCs w:val="18"/>
        </w:rPr>
        <w:t>当影子定价确定的资产净值与摊余成本法计算的资产净值正偏离度绝对值达到0.5%时，管理人将暂停接受认</w:t>
      </w:r>
      <w:r>
        <w:rPr>
          <w:rFonts w:ascii="宋体" w:hAnsi="宋体" w:eastAsia="宋体" w:cs="宋体"/>
          <w:sz w:val="18"/>
          <w:szCs w:val="18"/>
        </w:rPr>
        <w:t>/申</w:t>
      </w:r>
      <w:r>
        <w:rPr>
          <w:rFonts w:hint="eastAsia" w:ascii="宋体" w:hAnsi="宋体" w:eastAsia="宋体" w:cs="宋体"/>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宋体" w:hAnsi="宋体" w:eastAsia="宋体" w:cs="宋体"/>
          <w:sz w:val="18"/>
          <w:szCs w:val="18"/>
        </w:rPr>
        <w:t xml:space="preserve"> </w:t>
      </w:r>
    </w:p>
    <w:p w14:paraId="7AF14394">
      <w:pPr>
        <w:spacing w:line="360" w:lineRule="auto"/>
        <w:ind w:firstLine="360" w:firstLineChars="200"/>
        <w:rPr>
          <w:rFonts w:ascii="宋体" w:hAnsi="宋体" w:eastAsia="宋体" w:cs="宋体"/>
          <w:sz w:val="18"/>
          <w:szCs w:val="18"/>
        </w:rPr>
      </w:pPr>
      <w:r>
        <w:rPr>
          <w:rFonts w:hint="eastAsia" w:ascii="宋体" w:hAnsi="宋体" w:cs="宋体"/>
          <w:bCs/>
          <w:sz w:val="18"/>
          <w:szCs w:val="18"/>
        </w:rPr>
        <w:t>6.</w:t>
      </w:r>
      <w:r>
        <w:rPr>
          <w:rFonts w:ascii="宋体" w:hAnsi="宋体" w:cs="宋体"/>
          <w:bCs/>
          <w:sz w:val="18"/>
          <w:szCs w:val="18"/>
        </w:rPr>
        <w:t>如有确凿证据表明按上述方法进行估</w:t>
      </w:r>
      <w:r>
        <w:rPr>
          <w:rFonts w:hint="eastAsia" w:ascii="宋体" w:hAnsi="宋体" w:cs="宋体"/>
          <w:sz w:val="18"/>
          <w:szCs w:val="18"/>
        </w:rPr>
        <w:t>值不能客观反映其公允价值的，产品管理人可根据具体情况与产品托管人商定后，</w:t>
      </w:r>
      <w:r>
        <w:rPr>
          <w:rFonts w:hint="eastAsia" w:ascii="Calibri" w:hAnsi="宋体" w:cs="宋体"/>
          <w:sz w:val="18"/>
          <w:szCs w:val="18"/>
        </w:rPr>
        <w:t>在综合考虑市场成交、市场报价、流动性、收益率曲线等因素基础上，</w:t>
      </w:r>
      <w:r>
        <w:rPr>
          <w:rFonts w:hint="eastAsia" w:ascii="宋体" w:hAnsi="宋体" w:cs="宋体"/>
          <w:sz w:val="18"/>
          <w:szCs w:val="18"/>
        </w:rPr>
        <w:t>按最能反映公</w:t>
      </w:r>
      <w:r>
        <w:rPr>
          <w:rFonts w:hint="eastAsia" w:ascii="宋体" w:hAnsi="宋体" w:eastAsia="宋体" w:cs="宋体"/>
          <w:sz w:val="18"/>
          <w:szCs w:val="18"/>
        </w:rPr>
        <w:t>允价值的价格估值。</w:t>
      </w:r>
    </w:p>
    <w:p w14:paraId="1C2918AC">
      <w:pPr>
        <w:spacing w:line="360" w:lineRule="auto"/>
        <w:ind w:firstLine="360" w:firstLineChars="200"/>
        <w:rPr>
          <w:rFonts w:ascii="宋体" w:hAnsi="宋体" w:eastAsia="宋体" w:cs="宋体"/>
          <w:sz w:val="18"/>
          <w:szCs w:val="18"/>
        </w:rPr>
      </w:pPr>
      <w:r>
        <w:rPr>
          <w:rFonts w:ascii="宋体" w:hAnsi="宋体" w:eastAsia="宋体" w:cs="宋体"/>
          <w:sz w:val="18"/>
          <w:szCs w:val="18"/>
        </w:rPr>
        <w:t>7</w:t>
      </w:r>
      <w:r>
        <w:rPr>
          <w:rFonts w:hint="eastAsia" w:ascii="宋体" w:hAnsi="宋体" w:eastAsia="宋体" w:cs="宋体"/>
          <w:sz w:val="18"/>
          <w:szCs w:val="18"/>
        </w:rPr>
        <w:t>.估值方法的调整</w:t>
      </w:r>
    </w:p>
    <w:p w14:paraId="79FBC84A">
      <w:pPr>
        <w:widowControl w:val="0"/>
        <w:autoSpaceDE w:val="0"/>
        <w:autoSpaceDN w:val="0"/>
        <w:adjustRightInd w:val="0"/>
        <w:spacing w:line="360" w:lineRule="auto"/>
        <w:ind w:firstLine="360"/>
        <w:rPr>
          <w:rFonts w:ascii="黑体" w:hAnsi="黑体" w:eastAsia="黑体" w:cs="宋体"/>
          <w:color w:val="auto"/>
          <w:sz w:val="18"/>
          <w:szCs w:val="18"/>
          <w:lang w:val="en-US" w:eastAsia="zh-CN" w:bidi="ar-SA"/>
        </w:rPr>
      </w:pPr>
      <w:r>
        <w:rPr>
          <w:rFonts w:hint="eastAsia"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相关法律法规以及监管部门有强制规定的，从其规定。如有新增事项，按国家最新规定估值。</w:t>
      </w:r>
    </w:p>
    <w:p w14:paraId="16AB5040">
      <w:pPr>
        <w:widowControl w:val="0"/>
        <w:autoSpaceDE w:val="0"/>
        <w:autoSpaceDN w:val="0"/>
        <w:adjustRightInd w:val="0"/>
        <w:spacing w:line="360" w:lineRule="auto"/>
        <w:ind w:firstLine="361"/>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（五）估值程序</w:t>
      </w:r>
    </w:p>
    <w:p w14:paraId="1210AAB8">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1.每万份理财产品收益是每万份理财份额的日净收益，精确至小数点后第</w:t>
      </w:r>
      <w:r>
        <w:rPr>
          <w:rFonts w:ascii="宋体" w:hAnsi="宋体" w:eastAsia="宋体" w:cs="宋体"/>
          <w:color w:val="auto"/>
          <w:sz w:val="18"/>
          <w:szCs w:val="18"/>
          <w:lang w:val="en-US" w:eastAsia="zh-CN" w:bidi="ar-SA"/>
        </w:rPr>
        <w:t>4位，小数点后第5</w:t>
      </w:r>
      <w:r>
        <w:rPr>
          <w:rFonts w:hint="eastAsia" w:ascii="宋体" w:hAnsi="宋体" w:eastAsia="宋体" w:cs="宋体"/>
          <w:color w:val="auto"/>
          <w:sz w:val="18"/>
          <w:szCs w:val="18"/>
          <w:lang w:val="en-US" w:eastAsia="zh-CN" w:bidi="ar-SA"/>
        </w:rPr>
        <w:t>位按去尾原则处理。本产品的收益分配按日结转份额，</w:t>
      </w: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日年化收益率是以最近</w:t>
      </w: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含节假日</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收益所折算的年资产收益率，精确到百分号内小数点后</w:t>
      </w: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位，小数点后第</w:t>
      </w:r>
      <w:r>
        <w:rPr>
          <w:rFonts w:ascii="宋体" w:hAnsi="宋体" w:eastAsia="宋体" w:cs="宋体"/>
          <w:color w:val="auto"/>
          <w:sz w:val="18"/>
          <w:szCs w:val="18"/>
          <w:lang w:val="en-US" w:eastAsia="zh-CN" w:bidi="ar-SA"/>
        </w:rPr>
        <w:t>4</w:t>
      </w:r>
      <w:r>
        <w:rPr>
          <w:rFonts w:hint="eastAsia" w:ascii="宋体" w:hAnsi="宋体" w:eastAsia="宋体" w:cs="宋体"/>
          <w:color w:val="auto"/>
          <w:sz w:val="18"/>
          <w:szCs w:val="18"/>
          <w:lang w:val="en-US" w:eastAsia="zh-CN" w:bidi="ar-SA"/>
        </w:rPr>
        <w:t>位四舍五入。国家另有规定的，从其规定。</w:t>
      </w:r>
    </w:p>
    <w:p w14:paraId="4A9882F1">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2.产品管理人对理财资产估值后，将理财产品份额净值、每万份理财收益和</w:t>
      </w: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日年化收益率结果发送产品托管人，经产品托管人复核无误后，由产品管理人按规定对外公布。</w:t>
      </w:r>
    </w:p>
    <w:p w14:paraId="502368FB">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 xml:space="preserve">3. </w:t>
      </w:r>
      <w:r>
        <w:rPr>
          <w:rFonts w:hint="eastAsia" w:ascii="宋体" w:hAnsi="宋体" w:eastAsia="宋体" w:cs="宋体"/>
          <w:color w:val="auto"/>
          <w:sz w:val="18"/>
          <w:szCs w:val="18"/>
          <w:lang w:val="en-US" w:eastAsia="zh-CN" w:bidi="ar-SA"/>
        </w:rPr>
        <w:t>如产品管理人或产品托管人发现理财估值违反本说明书约定的估值方法、程序及相关法律法规的规定或者未能充分维护理财份额持有人权益时，应立即通知对方，共同查明原因，双方协商解决。</w:t>
      </w:r>
    </w:p>
    <w:p w14:paraId="0FA944FE">
      <w:pPr>
        <w:widowControl w:val="0"/>
        <w:autoSpaceDE w:val="0"/>
        <w:autoSpaceDN w:val="0"/>
        <w:adjustRightInd w:val="0"/>
        <w:spacing w:line="360" w:lineRule="auto"/>
        <w:ind w:firstLine="361" w:firstLineChars="200"/>
        <w:rPr>
          <w:rFonts w:ascii="宋体" w:hAnsi="宋体" w:eastAsia="宋体" w:cs="Times New Roman"/>
          <w:b/>
          <w:color w:val="auto"/>
          <w:sz w:val="18"/>
          <w:szCs w:val="18"/>
          <w:lang w:val="en-US" w:eastAsia="zh-CN" w:bidi="ar-SA"/>
        </w:rPr>
      </w:pPr>
      <w:r>
        <w:rPr>
          <w:rFonts w:hint="eastAsia" w:ascii="宋体" w:hAnsi="宋体" w:eastAsia="宋体" w:cs="Times New Roman"/>
          <w:b/>
          <w:color w:val="auto"/>
          <w:sz w:val="18"/>
          <w:szCs w:val="18"/>
          <w:lang w:val="en-US" w:eastAsia="zh-CN" w:bidi="ar-SA"/>
        </w:rPr>
        <w:t>（六）估值主体</w:t>
      </w:r>
    </w:p>
    <w:p w14:paraId="3692712F">
      <w:pPr>
        <w:widowControl w:val="0"/>
        <w:autoSpaceDE w:val="0"/>
        <w:autoSpaceDN w:val="0"/>
        <w:adjustRightInd w:val="0"/>
        <w:spacing w:line="360" w:lineRule="auto"/>
        <w:ind w:firstLine="36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33BCF539">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60C91BF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2306A6F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5A5F6A5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038EAC59">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2160CF92">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6921D80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p>
    <w:p w14:paraId="214EB16E">
      <w:pPr>
        <w:widowControl/>
        <w:spacing w:line="360" w:lineRule="auto"/>
        <w:jc w:val="left"/>
        <w:rPr>
          <w:rFonts w:ascii="宋体" w:hAnsi="宋体" w:cs="宋体"/>
          <w:kern w:val="0"/>
          <w:sz w:val="18"/>
          <w:szCs w:val="18"/>
        </w:rPr>
      </w:pPr>
      <w:r>
        <w:rPr>
          <w:rFonts w:ascii="Calibri" w:hAnsi="宋体" w:cs="宋体"/>
          <w:sz w:val="18"/>
          <w:szCs w:val="18"/>
        </w:rPr>
        <w:br w:type="page"/>
      </w:r>
    </w:p>
    <w:p w14:paraId="799090E8">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7" w:name="_Hlt70481650"/>
      <w:bookmarkEnd w:id="137"/>
      <w:bookmarkStart w:id="138" w:name="_Toc141703887"/>
      <w:bookmarkStart w:id="139" w:name="_Toc14835"/>
      <w:bookmarkStart w:id="140" w:name="_Toc15143"/>
      <w:bookmarkStart w:id="141" w:name="_Toc6810"/>
      <w:bookmarkStart w:id="142" w:name="_Toc98560353"/>
      <w:bookmarkStart w:id="143" w:name="_Toc176189285"/>
      <w:bookmarkStart w:id="144" w:name="_Toc123112235"/>
      <w:bookmarkStart w:id="145" w:name="_Toc123051453"/>
      <w:bookmarkStart w:id="146" w:name="_Toc31235"/>
      <w:bookmarkStart w:id="147" w:name="_Toc6405"/>
      <w:bookmarkStart w:id="148" w:name="_Toc31644"/>
      <w:bookmarkStart w:id="149" w:name="_Toc31653"/>
      <w:bookmarkStart w:id="150" w:name="_Toc74065744"/>
      <w:bookmarkStart w:id="151" w:name="_Toc26207"/>
      <w:bookmarkStart w:id="152" w:name="_Toc29251"/>
      <w:bookmarkStart w:id="153" w:name="_Toc139991737"/>
      <w:bookmarkStart w:id="154" w:name="_Toc12245"/>
      <w:bookmarkStart w:id="155" w:name="_Toc79154671"/>
      <w:bookmarkStart w:id="156" w:name="_Toc3601"/>
      <w:bookmarkStart w:id="157" w:name="_Toc12310245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八条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Start w:id="158" w:name="_Hlt55355235"/>
      <w:bookmarkEnd w:id="158"/>
      <w:bookmarkStart w:id="159" w:name="_Toc523711668"/>
      <w:bookmarkStart w:id="160" w:name="_Toc79392580"/>
      <w:bookmarkStart w:id="161" w:name="_Toc57530239"/>
      <w:bookmarkStart w:id="162" w:name="_Toc15118234"/>
    </w:p>
    <w:p w14:paraId="047CC51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2836ABD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4563E4A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1BF2A807">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19A7A71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本产品利益分配应遵循下列原则：</w:t>
      </w:r>
    </w:p>
    <w:p w14:paraId="0A03FB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（1）每一产品份额</w:t>
      </w:r>
      <w:r>
        <w:rPr>
          <w:rFonts w:ascii="宋体" w:hAnsi="宋体" w:eastAsia="宋体" w:cs="宋体"/>
          <w:color w:val="auto"/>
          <w:sz w:val="18"/>
          <w:szCs w:val="18"/>
          <w:lang w:val="en-US" w:eastAsia="zh-CN" w:bidi="ar-SA"/>
        </w:rPr>
        <w:t>享有同等分配权</w:t>
      </w:r>
      <w:r>
        <w:rPr>
          <w:rFonts w:hint="eastAsia" w:ascii="宋体" w:hAnsi="宋体" w:eastAsia="宋体" w:cs="宋体"/>
          <w:color w:val="auto"/>
          <w:sz w:val="18"/>
          <w:szCs w:val="18"/>
          <w:lang w:val="en-US" w:eastAsia="zh-CN" w:bidi="ar-SA"/>
        </w:rPr>
        <w:t>。</w:t>
      </w:r>
    </w:p>
    <w:p w14:paraId="6B1AA9E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本</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收益分配方式为红利再投资，免收再投资的费用</w:t>
      </w:r>
      <w:r>
        <w:rPr>
          <w:rFonts w:hint="eastAsia" w:ascii="宋体" w:hAnsi="宋体" w:eastAsia="宋体" w:cs="宋体"/>
          <w:color w:val="auto"/>
          <w:sz w:val="18"/>
          <w:szCs w:val="18"/>
          <w:lang w:val="en-US" w:eastAsia="zh-CN" w:bidi="ar-SA"/>
        </w:rPr>
        <w:t>。</w:t>
      </w:r>
    </w:p>
    <w:p w14:paraId="458F449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每日分配、按日支付</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。本产品根据每日理财收益情况，以每万份理财收益为基准，为投资人每日计算当日收益并分配，且每日进行支付。投资者当日收益分配的计算保留到小数点后</w:t>
      </w: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位，小数点后第</w:t>
      </w: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位按去尾原则处理。</w:t>
      </w:r>
    </w:p>
    <w:p w14:paraId="5917D79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（4）</w:t>
      </w:r>
      <w:r>
        <w:rPr>
          <w:rFonts w:ascii="宋体" w:hAnsi="宋体" w:eastAsia="宋体" w:cs="宋体"/>
          <w:color w:val="auto"/>
          <w:sz w:val="18"/>
          <w:szCs w:val="18"/>
          <w:lang w:val="en-US" w:eastAsia="zh-CN" w:bidi="ar-SA"/>
        </w:rPr>
        <w:t>本</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根据每日收益情况，将当日收益全部分配，若当日</w:t>
      </w:r>
      <w:r>
        <w:rPr>
          <w:rFonts w:hint="eastAsia" w:ascii="宋体" w:hAnsi="宋体" w:eastAsia="宋体" w:cs="宋体"/>
          <w:color w:val="auto"/>
          <w:sz w:val="18"/>
          <w:szCs w:val="18"/>
          <w:lang w:val="en-US" w:eastAsia="zh-CN" w:bidi="ar-SA"/>
        </w:rPr>
        <w:t>理财产品收益</w:t>
      </w:r>
      <w:r>
        <w:rPr>
          <w:rFonts w:ascii="宋体" w:hAnsi="宋体" w:eastAsia="宋体" w:cs="宋体"/>
          <w:color w:val="auto"/>
          <w:sz w:val="18"/>
          <w:szCs w:val="18"/>
          <w:lang w:val="en-US" w:eastAsia="zh-CN" w:bidi="ar-SA"/>
        </w:rPr>
        <w:t>大于零时，为投资</w:t>
      </w:r>
      <w:r>
        <w:rPr>
          <w:rFonts w:hint="eastAsia" w:ascii="宋体" w:hAnsi="宋体" w:eastAsia="宋体" w:cs="宋体"/>
          <w:color w:val="auto"/>
          <w:sz w:val="18"/>
          <w:szCs w:val="18"/>
          <w:lang w:val="en-US" w:eastAsia="zh-CN" w:bidi="ar-SA"/>
        </w:rPr>
        <w:t>者</w:t>
      </w:r>
      <w:r>
        <w:rPr>
          <w:rFonts w:ascii="宋体" w:hAnsi="宋体" w:eastAsia="宋体" w:cs="宋体"/>
          <w:color w:val="auto"/>
          <w:sz w:val="18"/>
          <w:szCs w:val="18"/>
          <w:lang w:val="en-US" w:eastAsia="zh-CN" w:bidi="ar-SA"/>
        </w:rPr>
        <w:t>记正收益；若当日</w:t>
      </w:r>
      <w:r>
        <w:rPr>
          <w:rFonts w:hint="eastAsia" w:ascii="宋体" w:hAnsi="宋体" w:eastAsia="宋体" w:cs="宋体"/>
          <w:color w:val="auto"/>
          <w:sz w:val="18"/>
          <w:szCs w:val="18"/>
          <w:lang w:val="en-US" w:eastAsia="zh-CN" w:bidi="ar-SA"/>
        </w:rPr>
        <w:t>理财产品收益</w:t>
      </w:r>
      <w:r>
        <w:rPr>
          <w:rFonts w:ascii="宋体" w:hAnsi="宋体" w:eastAsia="宋体" w:cs="宋体"/>
          <w:color w:val="auto"/>
          <w:sz w:val="18"/>
          <w:szCs w:val="18"/>
          <w:lang w:val="en-US" w:eastAsia="zh-CN" w:bidi="ar-SA"/>
        </w:rPr>
        <w:t>小于零时，为投资人记负收益；若当日</w:t>
      </w:r>
      <w:r>
        <w:rPr>
          <w:rFonts w:hint="eastAsia" w:ascii="宋体" w:hAnsi="宋体" w:eastAsia="宋体" w:cs="宋体"/>
          <w:color w:val="auto"/>
          <w:sz w:val="18"/>
          <w:szCs w:val="18"/>
          <w:lang w:val="en-US" w:eastAsia="zh-CN" w:bidi="ar-SA"/>
        </w:rPr>
        <w:t>理财产品收益</w:t>
      </w:r>
      <w:r>
        <w:rPr>
          <w:rFonts w:ascii="宋体" w:hAnsi="宋体" w:eastAsia="宋体" w:cs="宋体"/>
          <w:color w:val="auto"/>
          <w:sz w:val="18"/>
          <w:szCs w:val="18"/>
          <w:lang w:val="en-US" w:eastAsia="zh-CN" w:bidi="ar-SA"/>
        </w:rPr>
        <w:t>等于零时，当日投资</w:t>
      </w:r>
      <w:r>
        <w:rPr>
          <w:rFonts w:hint="eastAsia" w:ascii="宋体" w:hAnsi="宋体" w:eastAsia="宋体" w:cs="宋体"/>
          <w:color w:val="auto"/>
          <w:sz w:val="18"/>
          <w:szCs w:val="18"/>
          <w:lang w:val="en-US" w:eastAsia="zh-CN" w:bidi="ar-SA"/>
        </w:rPr>
        <w:t>者</w:t>
      </w:r>
      <w:r>
        <w:rPr>
          <w:rFonts w:ascii="宋体" w:hAnsi="宋体" w:eastAsia="宋体" w:cs="宋体"/>
          <w:color w:val="auto"/>
          <w:sz w:val="18"/>
          <w:szCs w:val="18"/>
          <w:lang w:val="en-US" w:eastAsia="zh-CN" w:bidi="ar-SA"/>
        </w:rPr>
        <w:t>不记收益</w:t>
      </w:r>
      <w:r>
        <w:rPr>
          <w:rFonts w:hint="eastAsia" w:ascii="宋体" w:hAnsi="宋体" w:eastAsia="宋体" w:cs="宋体"/>
          <w:color w:val="auto"/>
          <w:sz w:val="18"/>
          <w:szCs w:val="18"/>
          <w:lang w:val="en-US" w:eastAsia="zh-CN" w:bidi="ar-SA"/>
        </w:rPr>
        <w:t>。</w:t>
      </w:r>
    </w:p>
    <w:p w14:paraId="3FDD49E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（5）</w:t>
      </w:r>
      <w:r>
        <w:rPr>
          <w:rFonts w:ascii="宋体" w:hAnsi="宋体" w:eastAsia="宋体" w:cs="宋体"/>
          <w:color w:val="auto"/>
          <w:sz w:val="18"/>
          <w:szCs w:val="18"/>
          <w:lang w:val="en-US" w:eastAsia="zh-CN" w:bidi="ar-SA"/>
        </w:rPr>
        <w:t>本产品每日进行收益计算并分配时，</w:t>
      </w:r>
      <w:r>
        <w:rPr>
          <w:rFonts w:hint="eastAsia" w:ascii="宋体" w:hAnsi="宋体" w:eastAsia="宋体" w:cs="宋体"/>
          <w:bCs/>
          <w:color w:val="auto"/>
          <w:sz w:val="18"/>
          <w:szCs w:val="18"/>
          <w:lang w:val="en-US" w:eastAsia="zh-CN" w:bidi="ar-SA"/>
        </w:rPr>
        <w:t>产品管理人</w:t>
      </w:r>
      <w:r>
        <w:rPr>
          <w:rFonts w:hint="eastAsia" w:ascii="宋体" w:hAnsi="宋体" w:eastAsia="宋体" w:cs="宋体"/>
          <w:color w:val="auto"/>
          <w:sz w:val="18"/>
          <w:szCs w:val="18"/>
          <w:lang w:val="en-US" w:eastAsia="zh-CN" w:bidi="ar-SA"/>
        </w:rPr>
        <w:t>根据每日理财收益情况，以每万份理财收益为基准，为投资人每日计算当日收益并分配，且每日进行支付，</w:t>
      </w:r>
      <w:r>
        <w:rPr>
          <w:rFonts w:ascii="宋体" w:hAnsi="宋体" w:eastAsia="宋体" w:cs="宋体"/>
          <w:color w:val="auto"/>
          <w:sz w:val="18"/>
          <w:szCs w:val="18"/>
          <w:lang w:val="en-US" w:eastAsia="zh-CN" w:bidi="ar-SA"/>
        </w:rPr>
        <w:t>支付方式只采用红利再投资</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即红利转产品份额</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方式，</w:t>
      </w:r>
      <w:r>
        <w:rPr>
          <w:rFonts w:hint="eastAsia" w:ascii="宋体" w:hAnsi="宋体" w:eastAsia="宋体" w:cs="宋体"/>
          <w:color w:val="auto"/>
          <w:sz w:val="18"/>
          <w:szCs w:val="18"/>
          <w:lang w:val="en-US" w:eastAsia="zh-CN" w:bidi="ar-SA"/>
        </w:rPr>
        <w:t>收益按日结转份额，</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者</w:t>
      </w:r>
      <w:r>
        <w:rPr>
          <w:rFonts w:ascii="宋体" w:hAnsi="宋体" w:eastAsia="宋体" w:cs="宋体"/>
          <w:color w:val="auto"/>
          <w:sz w:val="18"/>
          <w:szCs w:val="18"/>
          <w:lang w:val="en-US" w:eastAsia="zh-CN" w:bidi="ar-SA"/>
        </w:rPr>
        <w:t>可通过赎回理财产品份额获得现金收益；在当日收益支付时，若</w:t>
      </w:r>
      <w:r>
        <w:rPr>
          <w:rFonts w:hint="eastAsia" w:ascii="宋体" w:hAnsi="宋体" w:eastAsia="宋体" w:cs="宋体"/>
          <w:color w:val="auto"/>
          <w:sz w:val="18"/>
          <w:szCs w:val="18"/>
          <w:lang w:val="en-US" w:eastAsia="zh-CN" w:bidi="ar-SA"/>
        </w:rPr>
        <w:t>当日净收益</w:t>
      </w:r>
      <w:r>
        <w:rPr>
          <w:rFonts w:ascii="宋体" w:hAnsi="宋体" w:eastAsia="宋体" w:cs="宋体"/>
          <w:color w:val="auto"/>
          <w:sz w:val="18"/>
          <w:szCs w:val="18"/>
          <w:lang w:val="en-US" w:eastAsia="zh-CN" w:bidi="ar-SA"/>
        </w:rPr>
        <w:t>大于零时，则增加投资</w:t>
      </w:r>
      <w:r>
        <w:rPr>
          <w:rFonts w:hint="eastAsia" w:ascii="宋体" w:hAnsi="宋体" w:eastAsia="宋体" w:cs="宋体"/>
          <w:color w:val="auto"/>
          <w:sz w:val="18"/>
          <w:szCs w:val="18"/>
          <w:lang w:val="en-US" w:eastAsia="zh-CN" w:bidi="ar-SA"/>
        </w:rPr>
        <w:t>者产品</w:t>
      </w:r>
      <w:r>
        <w:rPr>
          <w:rFonts w:ascii="宋体" w:hAnsi="宋体" w:eastAsia="宋体" w:cs="宋体"/>
          <w:color w:val="auto"/>
          <w:sz w:val="18"/>
          <w:szCs w:val="18"/>
          <w:lang w:val="en-US" w:eastAsia="zh-CN" w:bidi="ar-SA"/>
        </w:rPr>
        <w:t>份额；若当日净收益等于零时，则保持投资</w:t>
      </w:r>
      <w:r>
        <w:rPr>
          <w:rFonts w:hint="eastAsia" w:ascii="宋体" w:hAnsi="宋体" w:eastAsia="宋体" w:cs="宋体"/>
          <w:color w:val="auto"/>
          <w:sz w:val="18"/>
          <w:szCs w:val="18"/>
          <w:lang w:val="en-US" w:eastAsia="zh-CN" w:bidi="ar-SA"/>
        </w:rPr>
        <w:t>者产品</w:t>
      </w:r>
      <w:r>
        <w:rPr>
          <w:rFonts w:ascii="宋体" w:hAnsi="宋体" w:eastAsia="宋体" w:cs="宋体"/>
          <w:color w:val="auto"/>
          <w:sz w:val="18"/>
          <w:szCs w:val="18"/>
          <w:lang w:val="en-US" w:eastAsia="zh-CN" w:bidi="ar-SA"/>
        </w:rPr>
        <w:t>份额不变；</w:t>
      </w:r>
      <w:r>
        <w:rPr>
          <w:rFonts w:hint="eastAsia" w:ascii="宋体" w:hAnsi="宋体" w:eastAsia="宋体" w:cs="宋体"/>
          <w:color w:val="auto"/>
          <w:sz w:val="18"/>
          <w:szCs w:val="18"/>
          <w:lang w:val="en-US" w:eastAsia="zh-CN" w:bidi="ar-SA"/>
        </w:rPr>
        <w:t>产品管理人</w:t>
      </w:r>
      <w:r>
        <w:rPr>
          <w:rFonts w:ascii="宋体" w:hAnsi="宋体" w:eastAsia="宋体" w:cs="宋体"/>
          <w:color w:val="auto"/>
          <w:sz w:val="18"/>
          <w:szCs w:val="18"/>
          <w:lang w:val="en-US" w:eastAsia="zh-CN" w:bidi="ar-SA"/>
        </w:rPr>
        <w:t>将采取必要措施尽量避免产品净收益小于零，若当日净收益小于零时，</w:t>
      </w:r>
      <w:r>
        <w:rPr>
          <w:rFonts w:hint="eastAsia" w:ascii="宋体" w:hAnsi="宋体" w:eastAsia="宋体" w:cs="宋体"/>
          <w:color w:val="auto"/>
          <w:sz w:val="18"/>
          <w:szCs w:val="18"/>
          <w:lang w:val="en-US" w:eastAsia="zh-CN" w:bidi="ar-SA"/>
        </w:rPr>
        <w:t>则</w:t>
      </w:r>
      <w:r>
        <w:rPr>
          <w:rFonts w:ascii="宋体" w:hAnsi="宋体" w:eastAsia="宋体" w:cs="宋体"/>
          <w:color w:val="auto"/>
          <w:sz w:val="18"/>
          <w:szCs w:val="18"/>
          <w:lang w:val="en-US" w:eastAsia="zh-CN" w:bidi="ar-SA"/>
        </w:rPr>
        <w:t>缩减投资</w:t>
      </w:r>
      <w:r>
        <w:rPr>
          <w:rFonts w:hint="eastAsia" w:ascii="宋体" w:hAnsi="宋体" w:eastAsia="宋体" w:cs="宋体"/>
          <w:color w:val="auto"/>
          <w:sz w:val="18"/>
          <w:szCs w:val="18"/>
          <w:lang w:val="en-US" w:eastAsia="zh-CN" w:bidi="ar-SA"/>
        </w:rPr>
        <w:t>者</w:t>
      </w:r>
      <w:r>
        <w:rPr>
          <w:rFonts w:ascii="宋体" w:hAnsi="宋体" w:eastAsia="宋体" w:cs="宋体"/>
          <w:color w:val="auto"/>
          <w:sz w:val="18"/>
          <w:szCs w:val="18"/>
          <w:lang w:val="en-US" w:eastAsia="zh-CN" w:bidi="ar-SA"/>
        </w:rPr>
        <w:t>产品份额</w:t>
      </w:r>
      <w:r>
        <w:rPr>
          <w:rFonts w:hint="eastAsia" w:ascii="宋体" w:hAnsi="宋体" w:eastAsia="宋体" w:cs="宋体"/>
          <w:color w:val="auto"/>
          <w:sz w:val="18"/>
          <w:szCs w:val="18"/>
          <w:lang w:val="en-US" w:eastAsia="zh-CN" w:bidi="ar-SA"/>
        </w:rPr>
        <w:t>。</w:t>
      </w:r>
    </w:p>
    <w:p w14:paraId="3EBF1CA0">
      <w:pPr>
        <w:autoSpaceDE w:val="0"/>
        <w:autoSpaceDN w:val="0"/>
        <w:adjustRightInd w:val="0"/>
        <w:spacing w:line="360" w:lineRule="auto"/>
        <w:ind w:firstLine="360" w:firstLineChars="200"/>
        <w:jc w:val="left"/>
        <w:rPr>
          <w:rFonts w:ascii="宋体" w:hAnsi="宋体" w:cs="宋体"/>
          <w:sz w:val="18"/>
          <w:szCs w:val="18"/>
        </w:rPr>
      </w:pPr>
      <w:r>
        <w:rPr>
          <w:rFonts w:hint="eastAsia" w:ascii="宋体" w:hAnsi="宋体" w:cs="宋体"/>
          <w:bCs/>
          <w:sz w:val="18"/>
          <w:szCs w:val="18"/>
        </w:rPr>
        <w:t>（6）</w:t>
      </w:r>
      <w:r>
        <w:rPr>
          <w:rFonts w:ascii="宋体" w:hAnsi="宋体" w:cs="宋体"/>
          <w:bCs/>
          <w:sz w:val="18"/>
          <w:szCs w:val="18"/>
        </w:rPr>
        <w:t>申购的</w:t>
      </w:r>
      <w:r>
        <w:rPr>
          <w:rFonts w:hint="eastAsia" w:ascii="宋体" w:hAnsi="宋体" w:cs="宋体"/>
          <w:bCs/>
          <w:sz w:val="18"/>
          <w:szCs w:val="18"/>
        </w:rPr>
        <w:t>理财产品</w:t>
      </w:r>
      <w:r>
        <w:rPr>
          <w:rFonts w:ascii="宋体" w:hAnsi="宋体" w:cs="宋体"/>
          <w:bCs/>
          <w:sz w:val="18"/>
          <w:szCs w:val="18"/>
        </w:rPr>
        <w:t>份额自申购确认之日起，享有</w:t>
      </w:r>
      <w:r>
        <w:rPr>
          <w:rFonts w:hint="eastAsia" w:ascii="宋体" w:hAnsi="宋体" w:cs="宋体"/>
          <w:bCs/>
          <w:sz w:val="18"/>
          <w:szCs w:val="18"/>
        </w:rPr>
        <w:t>产品</w:t>
      </w:r>
      <w:r>
        <w:rPr>
          <w:rFonts w:ascii="宋体" w:hAnsi="宋体" w:cs="宋体"/>
          <w:bCs/>
          <w:sz w:val="18"/>
          <w:szCs w:val="18"/>
        </w:rPr>
        <w:t>的收益分配权益；赎回的</w:t>
      </w:r>
      <w:r>
        <w:rPr>
          <w:rFonts w:hint="eastAsia" w:ascii="宋体" w:hAnsi="宋体" w:cs="宋体"/>
          <w:bCs/>
          <w:sz w:val="18"/>
          <w:szCs w:val="18"/>
        </w:rPr>
        <w:t>理财产品</w:t>
      </w:r>
      <w:r>
        <w:rPr>
          <w:rFonts w:ascii="宋体" w:hAnsi="宋体" w:cs="宋体"/>
          <w:bCs/>
          <w:sz w:val="18"/>
          <w:szCs w:val="18"/>
        </w:rPr>
        <w:t>份额自赎回确认之日起，不享有</w:t>
      </w:r>
      <w:r>
        <w:rPr>
          <w:rFonts w:hint="eastAsia" w:ascii="宋体" w:hAnsi="宋体" w:cs="宋体"/>
          <w:bCs/>
          <w:sz w:val="18"/>
          <w:szCs w:val="18"/>
        </w:rPr>
        <w:t>产品</w:t>
      </w:r>
      <w:r>
        <w:rPr>
          <w:rFonts w:ascii="宋体" w:hAnsi="宋体" w:cs="宋体"/>
          <w:bCs/>
          <w:sz w:val="18"/>
          <w:szCs w:val="18"/>
        </w:rPr>
        <w:t>的收益分配权益</w:t>
      </w:r>
      <w:r>
        <w:rPr>
          <w:rFonts w:hint="eastAsia" w:ascii="宋体" w:hAnsi="宋体" w:cs="宋体"/>
          <w:bCs/>
          <w:sz w:val="18"/>
          <w:szCs w:val="18"/>
        </w:rPr>
        <w:t>。</w:t>
      </w:r>
    </w:p>
    <w:p w14:paraId="3DC2E535">
      <w:pPr>
        <w:widowControl w:val="0"/>
        <w:autoSpaceDE w:val="0"/>
        <w:autoSpaceDN w:val="0"/>
        <w:adjustRightInd w:val="0"/>
        <w:spacing w:line="360" w:lineRule="auto"/>
        <w:ind w:firstLine="270" w:firstLineChars="15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本产品利益</w:t>
      </w:r>
      <w:r>
        <w:rPr>
          <w:rFonts w:ascii="宋体" w:hAnsi="宋体" w:eastAsia="宋体" w:cs="宋体"/>
          <w:color w:val="auto"/>
          <w:sz w:val="18"/>
          <w:szCs w:val="18"/>
          <w:lang w:val="en-US" w:eastAsia="zh-CN" w:bidi="ar-SA"/>
        </w:rPr>
        <w:t>的分配原则和支付方式</w:t>
      </w:r>
      <w:r>
        <w:rPr>
          <w:rFonts w:hint="eastAsia" w:ascii="宋体" w:hAnsi="宋体" w:eastAsia="宋体" w:cs="宋体"/>
          <w:color w:val="auto"/>
          <w:sz w:val="18"/>
          <w:szCs w:val="18"/>
          <w:lang w:val="en-US" w:eastAsia="zh-CN" w:bidi="ar-SA"/>
        </w:rPr>
        <w:t>。法律法规或监管机构另有规定的从其规定。</w:t>
      </w:r>
    </w:p>
    <w:p w14:paraId="71D0650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1C3DAB6A">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1.分配方案要点：</w:t>
      </w:r>
    </w:p>
    <w:p w14:paraId="3E7A5B4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（1）本产品的分配时点采取“期间分配”和“终止分配”。</w:t>
      </w:r>
    </w:p>
    <w:p w14:paraId="39FB5DF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（2）本产品的分配方式采取“现金分配”和“非现金分配”。</w:t>
      </w:r>
    </w:p>
    <w:p w14:paraId="6885891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46759FD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039E74DC">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0D8C0C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本产品每日进行收益分配。每个开放日公告前一个开放日每万份理财收益和</w:t>
      </w: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日年化收益率。若遇法定节假日，应于节假日结束后第一个工作日，披露节假日期间的每万份理财收益和</w:t>
      </w:r>
      <w:r>
        <w:rPr>
          <w:rFonts w:ascii="宋体" w:hAnsi="宋体" w:eastAsia="宋体" w:cs="宋体"/>
          <w:color w:val="auto"/>
          <w:sz w:val="18"/>
          <w:szCs w:val="18"/>
          <w:lang w:val="en-US" w:eastAsia="zh-CN" w:bidi="ar-SA"/>
        </w:rPr>
        <w:t>7</w:t>
      </w:r>
      <w:r>
        <w:rPr>
          <w:rFonts w:hint="eastAsia" w:ascii="宋体" w:hAnsi="宋体" w:eastAsia="宋体" w:cs="宋体"/>
          <w:color w:val="auto"/>
          <w:sz w:val="18"/>
          <w:szCs w:val="18"/>
          <w:lang w:val="en-US" w:eastAsia="zh-CN" w:bidi="ar-SA"/>
        </w:rPr>
        <w:t>日年化收益率。法律法规另有规定的，从其规定。</w:t>
      </w:r>
    </w:p>
    <w:p w14:paraId="4CE1F7E0">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该收益仅供客户购买时决策参考，并不代表该理财产品未来的表现，也不构成产品管理人对本产品收益的任何承诺或保证。</w:t>
      </w:r>
    </w:p>
    <w:p w14:paraId="5F20185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本产品根据每日收益情况，以产品实际收益为基准，每日为投资者计提当日理财收益，每日结转份额(如遇节假日顺延)，每日例行的份额结转不再另行公告。</w:t>
      </w:r>
    </w:p>
    <w:p w14:paraId="71C179E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如发生需要</w:t>
      </w:r>
      <w:r>
        <w:rPr>
          <w:rFonts w:hint="eastAsia" w:ascii="宋体" w:hAnsi="宋体" w:eastAsia="宋体" w:cs="宋体"/>
          <w:color w:val="auto"/>
          <w:sz w:val="18"/>
          <w:szCs w:val="18"/>
          <w:lang w:val="en-US" w:eastAsia="zh-CN" w:bidi="ar-SA"/>
        </w:rPr>
        <w:t>延期</w:t>
      </w:r>
      <w:r>
        <w:rPr>
          <w:rFonts w:ascii="宋体" w:hAnsi="宋体" w:eastAsia="宋体" w:cs="宋体"/>
          <w:color w:val="auto"/>
          <w:sz w:val="18"/>
          <w:szCs w:val="18"/>
          <w:lang w:val="en-US" w:eastAsia="zh-CN" w:bidi="ar-SA"/>
        </w:rPr>
        <w:t>分配的特殊情况，产品管理人将对</w:t>
      </w:r>
      <w:r>
        <w:rPr>
          <w:rFonts w:hint="eastAsia" w:ascii="宋体" w:hAnsi="宋体" w:eastAsia="宋体" w:cs="宋体"/>
          <w:color w:val="auto"/>
          <w:sz w:val="18"/>
          <w:szCs w:val="18"/>
          <w:lang w:val="en-US" w:eastAsia="zh-CN" w:bidi="ar-SA"/>
        </w:rPr>
        <w:t>延期</w:t>
      </w:r>
      <w:r>
        <w:rPr>
          <w:rFonts w:ascii="宋体" w:hAnsi="宋体" w:eastAsia="宋体" w:cs="宋体"/>
          <w:color w:val="auto"/>
          <w:sz w:val="18"/>
          <w:szCs w:val="18"/>
          <w:lang w:val="en-US" w:eastAsia="zh-CN" w:bidi="ar-SA"/>
        </w:rPr>
        <w:t xml:space="preserve">分配的情况进行公告。 </w:t>
      </w:r>
    </w:p>
    <w:p w14:paraId="2340987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p>
    <w:p w14:paraId="64736EBE">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9"/>
    <w:bookmarkEnd w:id="160"/>
    <w:bookmarkEnd w:id="161"/>
    <w:bookmarkEnd w:id="162"/>
    <w:p w14:paraId="6131BAB1">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63" w:name="_Hlt88897298"/>
      <w:bookmarkEnd w:id="163"/>
      <w:bookmarkStart w:id="164" w:name="_Hlt88825574"/>
      <w:bookmarkEnd w:id="164"/>
      <w:bookmarkStart w:id="165" w:name="_Toc79392583"/>
      <w:bookmarkStart w:id="166" w:name="_Toc3321"/>
      <w:bookmarkStart w:id="167" w:name="_Toc139991738"/>
      <w:bookmarkStart w:id="168" w:name="_Toc27112"/>
      <w:bookmarkStart w:id="169" w:name="_Toc3771"/>
      <w:bookmarkStart w:id="170" w:name="_Toc18567"/>
      <w:bookmarkStart w:id="171" w:name="_Toc7058"/>
      <w:bookmarkStart w:id="172" w:name="_Toc98560354"/>
      <w:bookmarkStart w:id="173" w:name="_Toc25783"/>
      <w:bookmarkStart w:id="174" w:name="_Toc10650"/>
      <w:bookmarkStart w:id="175" w:name="_Toc9706"/>
      <w:bookmarkStart w:id="176" w:name="_Toc123102455"/>
      <w:bookmarkStart w:id="177" w:name="_Toc123112236"/>
      <w:bookmarkStart w:id="178" w:name="_Toc74065745"/>
      <w:bookmarkStart w:id="179" w:name="_Toc11030"/>
      <w:bookmarkStart w:id="180" w:name="_Toc123051454"/>
      <w:bookmarkStart w:id="181" w:name="_Toc176189286"/>
      <w:bookmarkStart w:id="182" w:name="_Toc6447"/>
      <w:bookmarkStart w:id="183" w:name="_Toc141703888"/>
      <w:bookmarkStart w:id="184" w:name="_Toc4559"/>
      <w:bookmarkStart w:id="185" w:name="_Toc79154672"/>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九条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4927026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14:paraId="6425A121">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14:paraId="6020C995">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1）理财产品的认购费、申购费、赎回费</w:t>
      </w:r>
      <w:r>
        <w:rPr>
          <w:rFonts w:hint="eastAsia" w:ascii="宋体" w:hAnsi="宋体" w:cs="宋体"/>
          <w:kern w:val="0"/>
          <w:sz w:val="18"/>
          <w:szCs w:val="18"/>
        </w:rPr>
        <w:t>；</w:t>
      </w:r>
    </w:p>
    <w:p w14:paraId="021204A6">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14:paraId="786652B0">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14:paraId="6392DC59">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14:paraId="0A3C3252">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14:paraId="726D4A60">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14:paraId="506B8707">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14:paraId="1F77D7F9">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14:paraId="7AA4D05A">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）理财产品的认购费、申购费、赎回费</w:t>
      </w:r>
    </w:p>
    <w:p w14:paraId="09B21D48">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1）认购费：</w:t>
      </w: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14:paraId="0F4B6278">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2）申购费：</w:t>
      </w: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hint="eastAsia" w:ascii="宋体" w:hAnsi="宋体" w:cs="宋体"/>
          <w:kern w:val="0"/>
          <w:sz w:val="18"/>
          <w:szCs w:val="18"/>
        </w:rPr>
        <w:t>。</w:t>
      </w:r>
    </w:p>
    <w:p w14:paraId="7981DE35">
      <w:pPr>
        <w:widowControl/>
        <w:spacing w:line="360" w:lineRule="auto"/>
        <w:ind w:firstLine="360" w:firstLineChars="200"/>
        <w:jc w:val="left"/>
        <w:rPr>
          <w:rFonts w:ascii="Calibri" w:hAnsi="Calibri" w:cs="宋体"/>
          <w:bCs/>
          <w:sz w:val="18"/>
          <w:szCs w:val="18"/>
        </w:rPr>
      </w:pPr>
      <w:r>
        <w:rPr>
          <w:rFonts w:ascii="宋体" w:hAnsi="宋体" w:cs="宋体"/>
          <w:kern w:val="0"/>
          <w:sz w:val="18"/>
          <w:szCs w:val="18"/>
        </w:rPr>
        <w:t>3</w:t>
      </w:r>
      <w:r>
        <w:rPr>
          <w:rFonts w:hint="eastAsia" w:ascii="宋体" w:hAnsi="宋体" w:cs="宋体"/>
          <w:kern w:val="0"/>
          <w:sz w:val="18"/>
          <w:szCs w:val="18"/>
        </w:rPr>
        <w:t>）赎回费：</w:t>
      </w: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hint="eastAsia" w:ascii="宋体" w:hAnsi="宋体" w:cs="宋体"/>
          <w:kern w:val="0"/>
          <w:sz w:val="18"/>
          <w:szCs w:val="18"/>
        </w:rPr>
        <w:t>。</w:t>
      </w:r>
    </w:p>
    <w:p w14:paraId="56ECA831">
      <w:pPr>
        <w:widowControl/>
        <w:spacing w:line="360" w:lineRule="auto"/>
        <w:ind w:firstLine="360" w:firstLineChars="200"/>
        <w:jc w:val="left"/>
        <w:rPr>
          <w:rFonts w:ascii="Calibri" w:hAnsi="Calibri" w:cs="宋体"/>
          <w:bCs/>
          <w:sz w:val="18"/>
          <w:szCs w:val="18"/>
        </w:rPr>
      </w:pPr>
      <w:r>
        <w:rPr>
          <w:rFonts w:ascii="宋体" w:hAnsi="宋体" w:cs="宋体"/>
          <w:kern w:val="0"/>
          <w:sz w:val="18"/>
          <w:szCs w:val="18"/>
        </w:rPr>
        <w:t>4）强制赎回费用</w:t>
      </w:r>
      <w:r>
        <w:rPr>
          <w:rFonts w:hint="eastAsia" w:ascii="宋体" w:hAnsi="宋体" w:cs="宋体"/>
          <w:kern w:val="0"/>
          <w:sz w:val="18"/>
          <w:szCs w:val="18"/>
        </w:rPr>
        <w:t>：</w:t>
      </w: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w:t>
      </w:r>
      <w:r>
        <w:rPr>
          <w:rFonts w:ascii="宋体" w:hAnsi="宋体" w:eastAsia="宋体" w:cs="宋体"/>
          <w:sz w:val="18"/>
          <w:szCs w:val="18"/>
        </w:rPr>
        <w:t xml:space="preserve"> </w:t>
      </w:r>
      <w:r>
        <w:rPr>
          <w:rFonts w:hint="eastAsia" w:ascii="宋体" w:hAnsi="宋体" w:eastAsia="宋体" w:cs="宋体"/>
          <w:sz w:val="18"/>
          <w:szCs w:val="18"/>
        </w:rPr>
        <w:t>理财产品基本情况”</w:t>
      </w:r>
      <w:r>
        <w:rPr>
          <w:rFonts w:hint="eastAsia" w:ascii="宋体" w:hAnsi="宋体" w:eastAsia="宋体" w:cs="宋体"/>
          <w:bCs/>
          <w:sz w:val="18"/>
          <w:szCs w:val="18"/>
        </w:rPr>
        <w:t>为准</w:t>
      </w:r>
      <w:r>
        <w:rPr>
          <w:rFonts w:hint="eastAsia" w:ascii="Calibri" w:hAnsi="Calibri" w:cs="宋体"/>
          <w:bCs/>
          <w:sz w:val="18"/>
          <w:szCs w:val="18"/>
        </w:rPr>
        <w:t>。</w:t>
      </w:r>
    </w:p>
    <w:p w14:paraId="36D067F5">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2）</w:t>
      </w:r>
      <w:r>
        <w:rPr>
          <w:rFonts w:hint="eastAsia" w:ascii="宋体" w:hAnsi="宋体" w:cs="宋体"/>
          <w:kern w:val="0"/>
          <w:sz w:val="18"/>
          <w:szCs w:val="18"/>
        </w:rPr>
        <w:t>理财产品的销售服务费</w:t>
      </w:r>
    </w:p>
    <w:p w14:paraId="5AA54017">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本产品的销售服务费按前一日理财资产净值与销售服务费每日费率每日计提。销售服务费的计算方法如下：</w:t>
      </w:r>
    </w:p>
    <w:p w14:paraId="24997996">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H＝E×销售服务费年费率÷</w:t>
      </w:r>
      <w:r>
        <w:rPr>
          <w:rFonts w:hint="eastAsia" w:ascii="宋体" w:hAnsi="宋体" w:cs="宋体"/>
          <w:kern w:val="0"/>
          <w:sz w:val="18"/>
          <w:szCs w:val="18"/>
        </w:rPr>
        <w:t>3</w:t>
      </w:r>
      <w:r>
        <w:rPr>
          <w:rFonts w:ascii="宋体" w:hAnsi="宋体" w:cs="宋体"/>
          <w:kern w:val="0"/>
          <w:sz w:val="18"/>
          <w:szCs w:val="18"/>
        </w:rPr>
        <w:t>65</w:t>
      </w:r>
    </w:p>
    <w:p w14:paraId="1AE002CF">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H为每日应计提的销售服务费</w:t>
      </w:r>
    </w:p>
    <w:p w14:paraId="2F0D993F">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14:paraId="08829EC1">
      <w:pPr>
        <w:widowControl w:val="0"/>
        <w:autoSpaceDE w:val="0"/>
        <w:autoSpaceDN w:val="0"/>
        <w:adjustRightInd w:val="0"/>
        <w:spacing w:line="360" w:lineRule="auto"/>
        <w:ind w:firstLine="360" w:firstLineChars="200"/>
        <w:rPr>
          <w:rFonts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bidi="ar-SA"/>
        </w:rPr>
        <w:t>销售服务费依照上述约定，从理财财产中支付。</w:t>
      </w:r>
      <w:r>
        <w:rPr>
          <w:rFonts w:hint="eastAsia" w:ascii="宋体" w:hAnsi="宋体" w:eastAsia="宋体" w:cs="宋体"/>
          <w:color w:val="auto"/>
          <w:kern w:val="2"/>
          <w:sz w:val="18"/>
          <w:szCs w:val="18"/>
          <w:lang w:val="en-US" w:eastAsia="zh-CN" w:bidi="ar-SA"/>
        </w:rPr>
        <w:t>费率具体数值以</w:t>
      </w:r>
      <w:r>
        <w:rPr>
          <w:rFonts w:hint="eastAsia" w:ascii="宋体" w:hAnsi="宋体" w:eastAsia="宋体" w:cs="宋体"/>
          <w:color w:val="auto"/>
          <w:sz w:val="18"/>
          <w:szCs w:val="18"/>
          <w:lang w:val="en-US" w:eastAsia="zh-CN" w:bidi="ar-SA"/>
        </w:rPr>
        <w:t>《产品说明书》“第二条 理财产品基本情况”</w:t>
      </w:r>
      <w:r>
        <w:rPr>
          <w:rFonts w:hint="eastAsia" w:ascii="宋体" w:hAnsi="宋体" w:eastAsia="宋体" w:cs="宋体"/>
          <w:color w:val="auto"/>
          <w:kern w:val="2"/>
          <w:sz w:val="18"/>
          <w:szCs w:val="18"/>
          <w:lang w:val="en-US" w:eastAsia="zh-CN" w:bidi="ar-SA"/>
        </w:rPr>
        <w:t>为准。</w:t>
      </w:r>
    </w:p>
    <w:p w14:paraId="2C67B750">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14:paraId="5C147F54">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14:paraId="2C116AC5">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14:paraId="465AD050">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14:paraId="544C9B97">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14:paraId="6191D734">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14:paraId="35FB80F2">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14:paraId="33B56307">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w:t>
      </w:r>
      <w:r>
        <w:rPr>
          <w:rFonts w:ascii="宋体" w:hAnsi="宋体" w:cs="宋体"/>
          <w:kern w:val="0"/>
          <w:sz w:val="18"/>
          <w:szCs w:val="18"/>
        </w:rPr>
        <w:t>不收取超额业绩报酬。</w:t>
      </w:r>
    </w:p>
    <w:p w14:paraId="0A0135D5">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14:paraId="177105D8">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14:paraId="67F879C1">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14:paraId="7820E08B">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14:paraId="0E21356F">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14:paraId="27115489">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14:paraId="07DA804A">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14:paraId="4E67443D">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14:paraId="38830962">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14:paraId="68F55895">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14:paraId="38B715FE">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14:paraId="32DFA02A">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hint="eastAsia" w:ascii="黑体" w:hAnsi="黑体" w:eastAsia="黑体" w:cs="宋体"/>
          <w:color w:val="auto"/>
          <w:sz w:val="18"/>
          <w:szCs w:val="24"/>
          <w:lang w:val="en-US" w:eastAsia="zh-CN" w:bidi="ar-SA"/>
        </w:rPr>
        <w:t>（1）发生巨额赎回时，为保护投资者利益，产品管理人有权对赎回日至赎回确认日之间的各项费用进行减免。</w:t>
      </w:r>
    </w:p>
    <w:p w14:paraId="3098C986">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（2）产品管理人有权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14:paraId="3645D3C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62A508CD">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41E7BD23">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86" w:name="_Toc1745"/>
      <w:bookmarkStart w:id="187" w:name="_Toc3963"/>
      <w:r>
        <w:rPr>
          <w:rFonts w:ascii="Calibri" w:hAnsi="Calibri" w:eastAsia="宋体" w:cs="宋体"/>
          <w:b/>
          <w:bCs/>
          <w:kern w:val="44"/>
          <w:sz w:val="44"/>
          <w:szCs w:val="44"/>
          <w:lang w:val="en-US" w:eastAsia="zh-CN" w:bidi="ar-SA"/>
        </w:rPr>
        <w:br w:type="page"/>
      </w:r>
      <w:bookmarkStart w:id="188" w:name="_Toc123112237"/>
      <w:bookmarkStart w:id="189" w:name="_Toc74065746"/>
      <w:bookmarkStart w:id="190" w:name="_Toc3572"/>
      <w:bookmarkStart w:id="191" w:name="_Toc18383"/>
      <w:bookmarkStart w:id="192" w:name="_Toc79154673"/>
      <w:bookmarkStart w:id="193" w:name="_Toc176189287"/>
      <w:bookmarkStart w:id="194" w:name="_Toc18206"/>
      <w:bookmarkStart w:id="195" w:name="_Toc139991739"/>
      <w:bookmarkStart w:id="196" w:name="_Toc10398"/>
      <w:bookmarkStart w:id="197" w:name="_Toc725"/>
      <w:bookmarkStart w:id="198" w:name="_Toc3080"/>
      <w:bookmarkStart w:id="199" w:name="_Toc123102456"/>
      <w:bookmarkStart w:id="200" w:name="_Toc123051455"/>
      <w:bookmarkStart w:id="201" w:name="_Toc21735"/>
      <w:bookmarkStart w:id="202" w:name="_Toc141703889"/>
      <w:bookmarkStart w:id="203" w:name="_Toc16164"/>
      <w:bookmarkStart w:id="204" w:name="_Toc31821"/>
      <w:bookmarkStart w:id="205" w:name="_Toc98560355"/>
      <w:r>
        <w:rPr>
          <w:rFonts w:hint="eastAsia" w:ascii="Calibri" w:hAnsi="Calibri" w:eastAsia="宋体" w:cs="宋体"/>
          <w:b/>
          <w:bCs/>
          <w:kern w:val="44"/>
          <w:sz w:val="30"/>
          <w:szCs w:val="44"/>
          <w:lang w:val="en-US" w:eastAsia="zh-CN" w:bidi="ar-SA"/>
        </w:rPr>
        <w:t>第十条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p>
    <w:p w14:paraId="5F1F046C">
      <w:pPr>
        <w:spacing w:line="360" w:lineRule="auto"/>
        <w:ind w:firstLine="361" w:firstLineChars="200"/>
        <w:rPr>
          <w:rFonts w:ascii="宋体" w:hAnsi="宋体" w:eastAsia="宋体" w:cs="宋体"/>
          <w:b/>
          <w:bCs/>
          <w:sz w:val="18"/>
          <w:szCs w:val="18"/>
        </w:rPr>
      </w:pPr>
      <w:bookmarkStart w:id="206" w:name="_Toc79392593"/>
      <w:bookmarkStart w:id="207" w:name="_Toc57530252"/>
      <w:bookmarkStart w:id="208" w:name="_Toc15118245"/>
      <w:r>
        <w:rPr>
          <w:rFonts w:hint="eastAsia" w:ascii="宋体" w:hAnsi="宋体" w:eastAsia="宋体" w:cs="宋体"/>
          <w:b/>
          <w:bCs/>
          <w:sz w:val="18"/>
          <w:szCs w:val="18"/>
        </w:rPr>
        <w:t>（一）理财产品的终止</w:t>
      </w:r>
    </w:p>
    <w:p w14:paraId="036E49C2">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7CCB202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4AC2BC7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662C46A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3D56E61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1D29BCC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71375FA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243AA3E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20041B1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6A6FC2D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069B6FD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211DD48E">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35B584A6">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072B39C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4EE9E00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61BFDEFE">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211B3B8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78B95A5E">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6C77AE89">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bookmarkEnd w:id="206"/>
    <w:bookmarkEnd w:id="207"/>
    <w:bookmarkEnd w:id="208"/>
    <w:p w14:paraId="576083F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14:paraId="7A7CC19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2AC2BC1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14:paraId="1891581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14:paraId="25F5B91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理财产品部分终止日（含当日）至理财利益实际到账日之间，理财资金不计算收益。</w:t>
      </w:r>
    </w:p>
    <w:p w14:paraId="05E5AD2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7DB96E6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209" w:name="_Toc29408"/>
      <w:bookmarkStart w:id="210" w:name="_Toc32584"/>
      <w:bookmarkStart w:id="211" w:name="_Toc123051456"/>
      <w:bookmarkStart w:id="212" w:name="_Toc139991740"/>
      <w:bookmarkStart w:id="213" w:name="_Toc17198"/>
      <w:bookmarkStart w:id="214" w:name="_Toc98560356"/>
      <w:bookmarkStart w:id="215" w:name="_Toc123102457"/>
      <w:bookmarkStart w:id="216" w:name="_Toc8791"/>
      <w:bookmarkStart w:id="217" w:name="_Toc74065747"/>
      <w:bookmarkStart w:id="218" w:name="_Toc123112238"/>
      <w:bookmarkStart w:id="219" w:name="_Toc26192"/>
      <w:bookmarkStart w:id="220" w:name="_Toc5170"/>
      <w:bookmarkStart w:id="221" w:name="_Toc21237"/>
      <w:bookmarkStart w:id="222" w:name="_Toc79154674"/>
      <w:bookmarkStart w:id="223" w:name="_Toc3329"/>
      <w:bookmarkStart w:id="224" w:name="_Toc141703890"/>
      <w:bookmarkStart w:id="225" w:name="_Toc32092"/>
      <w:bookmarkStart w:id="226" w:name="_Toc739"/>
      <w:bookmarkStart w:id="227" w:name="_Toc176189288"/>
      <w:bookmarkStart w:id="228" w:name="_Toc79392622"/>
      <w:bookmarkStart w:id="229" w:name="_Toc48649708"/>
      <w:bookmarkStart w:id="230" w:name="_Toc17920"/>
      <w:r>
        <w:rPr>
          <w:rFonts w:ascii="Times New Roman" w:hAnsi="Calibri" w:eastAsia="宋体" w:cs="宋体"/>
          <w:b/>
          <w:bCs/>
          <w:kern w:val="44"/>
          <w:sz w:val="30"/>
          <w:szCs w:val="44"/>
          <w:lang w:val="en-US" w:eastAsia="zh-CN" w:bidi="ar-SA"/>
        </w:rPr>
        <w:t>第十</w:t>
      </w:r>
      <w:r>
        <w:rPr>
          <w:rFonts w:hint="eastAsia" w:ascii="Times New Roman" w:hAnsi="Calibri" w:eastAsia="宋体" w:cs="宋体"/>
          <w:b/>
          <w:bCs/>
          <w:kern w:val="44"/>
          <w:sz w:val="30"/>
          <w:szCs w:val="44"/>
          <w:lang w:val="en-US" w:eastAsia="zh-CN" w:bidi="ar-SA"/>
        </w:rPr>
        <w:t>一条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14:paraId="208AA499">
      <w:pPr>
        <w:spacing w:line="360" w:lineRule="auto"/>
        <w:ind w:firstLine="361" w:firstLineChars="200"/>
        <w:rPr>
          <w:rFonts w:ascii="宋体" w:hAnsi="宋体" w:cs="宋体"/>
          <w:b/>
          <w:bCs/>
          <w:sz w:val="18"/>
          <w:szCs w:val="18"/>
        </w:rPr>
      </w:pPr>
      <w:bookmarkStart w:id="231" w:name="_Toc85201647"/>
      <w:r>
        <w:rPr>
          <w:rFonts w:hint="eastAsia" w:ascii="宋体" w:hAnsi="宋体" w:cs="宋体"/>
          <w:b/>
          <w:bCs/>
          <w:sz w:val="18"/>
          <w:szCs w:val="18"/>
        </w:rPr>
        <w:t>（一）信息</w:t>
      </w:r>
      <w:r>
        <w:rPr>
          <w:rFonts w:ascii="宋体" w:hAnsi="宋体" w:cs="宋体"/>
          <w:b/>
          <w:bCs/>
          <w:sz w:val="18"/>
          <w:szCs w:val="18"/>
        </w:rPr>
        <w:t>披露的原则</w:t>
      </w:r>
    </w:p>
    <w:p w14:paraId="11D3F1B7">
      <w:pPr>
        <w:spacing w:line="360" w:lineRule="auto"/>
        <w:ind w:firstLine="360" w:firstLineChars="20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5322C310">
      <w:pPr>
        <w:spacing w:line="360" w:lineRule="auto"/>
        <w:ind w:firstLine="361" w:firstLineChars="200"/>
        <w:rPr>
          <w:rFonts w:ascii="宋体" w:hAnsi="宋体" w:cs="宋体"/>
          <w:b/>
          <w:bCs/>
          <w:sz w:val="18"/>
          <w:szCs w:val="18"/>
        </w:rPr>
      </w:pPr>
      <w:r>
        <w:rPr>
          <w:rFonts w:hint="eastAsia" w:ascii="宋体" w:hAnsi="宋体" w:cs="宋体"/>
          <w:b/>
          <w:bCs/>
          <w:sz w:val="18"/>
          <w:szCs w:val="18"/>
        </w:rPr>
        <w:t>（二）信息披露的渠道</w:t>
      </w:r>
    </w:p>
    <w:p w14:paraId="620CDA65">
      <w:pPr>
        <w:spacing w:line="360" w:lineRule="auto"/>
        <w:ind w:firstLine="360" w:firstLineChars="20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本理财产品认购期和存续期间，产品管理人将通过产品管理人或销售机构的信息披露渠道开展理财产品的信息披露工作。请</w:t>
      </w:r>
      <w:r>
        <w:rPr>
          <w:rFonts w:ascii="宋体" w:hAnsi="宋体" w:cs="宋体"/>
          <w:bCs/>
          <w:sz w:val="18"/>
          <w:szCs w:val="18"/>
        </w:rPr>
        <w:t>投资者及时关注。</w:t>
      </w:r>
    </w:p>
    <w:p w14:paraId="0A13FF38">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5AEAD659">
      <w:pPr>
        <w:spacing w:line="360" w:lineRule="auto"/>
        <w:ind w:firstLine="360" w:firstLineChars="200"/>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应定期通过约定的信息披露渠道获知有关理财产品相关信息。以上相关信息自披露之日即视为已送达投资者，也视为产品管理人已适当披露理财产品相关信息。投资者承诺将及时接收、浏览和阅读该等信息。如投资者对本产品的运作状况有任何疑问，可向产品管理人或销售机构进行咨询。</w:t>
      </w:r>
    </w:p>
    <w:p w14:paraId="2F44A9CB">
      <w:pPr>
        <w:spacing w:line="360" w:lineRule="auto"/>
        <w:ind w:firstLine="360" w:firstLineChars="200"/>
        <w:rPr>
          <w:rFonts w:ascii="宋体" w:hAnsi="宋体" w:cs="宋体"/>
          <w:bCs/>
          <w:sz w:val="18"/>
          <w:szCs w:val="18"/>
        </w:rPr>
      </w:pPr>
      <w:r>
        <w:rPr>
          <w:rFonts w:ascii="宋体" w:hAnsi="宋体" w:cs="宋体"/>
          <w:bCs/>
          <w:sz w:val="18"/>
          <w:szCs w:val="18"/>
        </w:rPr>
        <w:t>4</w:t>
      </w:r>
      <w:r>
        <w:rPr>
          <w:rFonts w:hint="eastAsia" w:ascii="宋体" w:hAnsi="宋体" w:cs="宋体"/>
          <w:bCs/>
          <w:sz w:val="18"/>
          <w:szCs w:val="18"/>
        </w:rPr>
        <w:t>.在保障投资者知情权的前提下，产品管理人保留变更信息披露渠道的权利。</w:t>
      </w:r>
    </w:p>
    <w:p w14:paraId="4C3CA469">
      <w:pPr>
        <w:spacing w:line="360" w:lineRule="auto"/>
        <w:ind w:firstLine="361" w:firstLineChars="200"/>
        <w:rPr>
          <w:rFonts w:ascii="宋体" w:hAnsi="宋体" w:cs="宋体"/>
          <w:b/>
          <w:bCs/>
          <w:sz w:val="18"/>
          <w:szCs w:val="18"/>
        </w:rPr>
      </w:pPr>
      <w:r>
        <w:rPr>
          <w:rFonts w:hint="eastAsia" w:ascii="宋体" w:hAnsi="宋体" w:cs="宋体"/>
          <w:b/>
          <w:bCs/>
          <w:sz w:val="18"/>
          <w:szCs w:val="18"/>
        </w:rPr>
        <w:t>（三）信息披露的内容</w:t>
      </w:r>
    </w:p>
    <w:p w14:paraId="7F671D26">
      <w:pPr>
        <w:spacing w:line="360" w:lineRule="auto"/>
        <w:ind w:firstLine="360" w:firstLineChars="20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每万份理财产品份额收益及</w:t>
      </w:r>
      <w:r>
        <w:rPr>
          <w:rFonts w:ascii="宋体" w:hAnsi="宋体" w:cs="宋体"/>
          <w:bCs/>
          <w:sz w:val="18"/>
          <w:szCs w:val="18"/>
        </w:rPr>
        <w:t>7日年化收益率</w:t>
      </w:r>
      <w:r>
        <w:rPr>
          <w:rFonts w:hint="eastAsia" w:ascii="宋体" w:hAnsi="宋体" w:cs="宋体"/>
          <w:bCs/>
          <w:sz w:val="18"/>
          <w:szCs w:val="18"/>
        </w:rPr>
        <w:t>、</w:t>
      </w:r>
      <w:r>
        <w:rPr>
          <w:rFonts w:ascii="宋体" w:hAnsi="宋体" w:cs="宋体"/>
          <w:bCs/>
          <w:sz w:val="18"/>
          <w:szCs w:val="18"/>
        </w:rPr>
        <w:t>前</w:t>
      </w:r>
      <w:r>
        <w:rPr>
          <w:rFonts w:hint="eastAsia" w:ascii="宋体" w:hAnsi="宋体" w:cs="宋体"/>
          <w:bCs/>
          <w:sz w:val="18"/>
          <w:szCs w:val="18"/>
        </w:rPr>
        <w:t>1</w:t>
      </w:r>
      <w:r>
        <w:rPr>
          <w:rFonts w:ascii="宋体" w:hAnsi="宋体" w:cs="宋体"/>
          <w:bCs/>
          <w:sz w:val="18"/>
          <w:szCs w:val="18"/>
        </w:rPr>
        <w:t>0名投资者类别</w:t>
      </w:r>
      <w:r>
        <w:rPr>
          <w:rFonts w:hint="eastAsia" w:ascii="宋体" w:hAnsi="宋体" w:cs="宋体"/>
          <w:bCs/>
          <w:sz w:val="18"/>
          <w:szCs w:val="18"/>
        </w:rPr>
        <w:t>和</w:t>
      </w:r>
      <w:r>
        <w:rPr>
          <w:rFonts w:ascii="宋体" w:hAnsi="宋体" w:cs="宋体"/>
          <w:bCs/>
          <w:sz w:val="18"/>
          <w:szCs w:val="18"/>
        </w:rPr>
        <w:t>持有份额及</w:t>
      </w:r>
      <w:r>
        <w:rPr>
          <w:rFonts w:hint="eastAsia" w:ascii="宋体" w:hAnsi="宋体" w:cs="宋体"/>
          <w:bCs/>
          <w:sz w:val="18"/>
          <w:szCs w:val="18"/>
        </w:rPr>
        <w:t>占总份额比例等信息。</w:t>
      </w:r>
    </w:p>
    <w:p w14:paraId="415BC164">
      <w:pPr>
        <w:spacing w:line="360" w:lineRule="auto"/>
        <w:ind w:firstLine="361" w:firstLineChars="200"/>
        <w:rPr>
          <w:rFonts w:ascii="宋体" w:hAnsi="宋体" w:cs="宋体"/>
          <w:b/>
          <w:bCs/>
          <w:sz w:val="18"/>
          <w:szCs w:val="18"/>
        </w:rPr>
      </w:pPr>
      <w:r>
        <w:rPr>
          <w:rFonts w:hint="eastAsia" w:ascii="宋体" w:hAnsi="宋体" w:cs="宋体"/>
          <w:b/>
          <w:bCs/>
          <w:sz w:val="18"/>
          <w:szCs w:val="18"/>
        </w:rPr>
        <w:t>（四）信息披露的频率和时间</w:t>
      </w:r>
    </w:p>
    <w:p w14:paraId="2D775B90">
      <w:pPr>
        <w:spacing w:line="360" w:lineRule="auto"/>
        <w:ind w:firstLine="360" w:firstLineChars="20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产品成立公告</w:t>
      </w:r>
    </w:p>
    <w:p w14:paraId="3FA9BC28">
      <w:pPr>
        <w:spacing w:line="360" w:lineRule="auto"/>
        <w:ind w:firstLine="360" w:firstLineChars="200"/>
        <w:rPr>
          <w:rFonts w:ascii="宋体" w:hAnsi="宋体" w:cs="宋体"/>
          <w:bCs/>
          <w:sz w:val="18"/>
          <w:szCs w:val="18"/>
        </w:rPr>
      </w:pPr>
      <w:r>
        <w:rPr>
          <w:rFonts w:hint="eastAsia" w:ascii="宋体" w:hAnsi="宋体" w:cs="宋体"/>
          <w:bCs/>
          <w:sz w:val="18"/>
          <w:szCs w:val="18"/>
        </w:rPr>
        <w:t>本产品成立后5个工作日内，产品管理人将发布产品成立公告。</w:t>
      </w:r>
    </w:p>
    <w:p w14:paraId="26926501">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重大事项公告</w:t>
      </w:r>
    </w:p>
    <w:p w14:paraId="2E79E158">
      <w:pPr>
        <w:spacing w:line="360" w:lineRule="auto"/>
        <w:ind w:firstLine="360" w:firstLineChars="20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22B467A0">
      <w:pPr>
        <w:spacing w:line="360" w:lineRule="auto"/>
        <w:ind w:firstLine="360" w:firstLineChars="200"/>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w:t>
      </w:r>
      <w:r>
        <w:rPr>
          <w:rFonts w:ascii="宋体" w:hAnsi="宋体" w:cs="宋体"/>
          <w:bCs/>
          <w:sz w:val="18"/>
          <w:szCs w:val="18"/>
        </w:rPr>
        <w:t>定期报告</w:t>
      </w:r>
    </w:p>
    <w:p w14:paraId="44BF12BE">
      <w:pPr>
        <w:spacing w:line="360" w:lineRule="auto"/>
        <w:ind w:firstLine="360" w:firstLineChars="200"/>
        <w:rPr>
          <w:rFonts w:ascii="宋体" w:hAnsi="宋体" w:cs="宋体"/>
          <w:bCs/>
          <w:sz w:val="18"/>
          <w:szCs w:val="18"/>
        </w:rPr>
      </w:pPr>
      <w:r>
        <w:rPr>
          <w:rFonts w:hint="eastAsia" w:ascii="宋体" w:hAnsi="宋体" w:cs="宋体"/>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4EDBB923">
      <w:pPr>
        <w:spacing w:line="360" w:lineRule="auto"/>
        <w:ind w:firstLine="360" w:firstLineChars="200"/>
        <w:rPr>
          <w:rFonts w:ascii="宋体" w:hAnsi="宋体" w:cs="宋体"/>
          <w:bCs/>
          <w:sz w:val="18"/>
          <w:szCs w:val="18"/>
        </w:rPr>
      </w:pPr>
      <w:r>
        <w:rPr>
          <w:rFonts w:hint="eastAsia" w:ascii="宋体" w:hAnsi="宋体" w:cs="宋体"/>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监管部门认定的特殊情形除外。</w:t>
      </w:r>
    </w:p>
    <w:p w14:paraId="79DC78A9">
      <w:pPr>
        <w:spacing w:line="360" w:lineRule="auto"/>
        <w:ind w:firstLine="360" w:firstLineChars="200"/>
        <w:rPr>
          <w:rFonts w:ascii="宋体" w:hAnsi="宋体" w:cs="宋体"/>
          <w:bCs/>
          <w:sz w:val="18"/>
          <w:szCs w:val="18"/>
        </w:rPr>
      </w:pPr>
      <w:r>
        <w:rPr>
          <w:rFonts w:ascii="宋体" w:hAnsi="宋体" w:cs="宋体"/>
          <w:bCs/>
          <w:sz w:val="18"/>
          <w:szCs w:val="18"/>
        </w:rPr>
        <w:t>4</w:t>
      </w:r>
      <w:r>
        <w:rPr>
          <w:rFonts w:hint="eastAsia" w:ascii="宋体" w:hAnsi="宋体" w:cs="宋体"/>
          <w:bCs/>
          <w:sz w:val="18"/>
          <w:szCs w:val="18"/>
        </w:rPr>
        <w:t>.</w:t>
      </w:r>
      <w:r>
        <w:rPr>
          <w:rFonts w:ascii="宋体" w:hAnsi="宋体" w:cs="宋体"/>
          <w:bCs/>
          <w:sz w:val="18"/>
          <w:szCs w:val="18"/>
        </w:rPr>
        <w:t>到期公告</w:t>
      </w:r>
    </w:p>
    <w:p w14:paraId="4DC84DB3">
      <w:pPr>
        <w:spacing w:line="360" w:lineRule="auto"/>
        <w:ind w:firstLine="360" w:firstLineChars="200"/>
        <w:rPr>
          <w:rFonts w:ascii="宋体" w:hAnsi="宋体" w:cs="宋体"/>
          <w:bCs/>
          <w:sz w:val="18"/>
          <w:szCs w:val="18"/>
        </w:rPr>
      </w:pPr>
      <w:r>
        <w:rPr>
          <w:rFonts w:hint="eastAsia" w:ascii="宋体" w:hAnsi="宋体" w:cs="宋体"/>
          <w:bCs/>
          <w:sz w:val="18"/>
          <w:szCs w:val="18"/>
        </w:rPr>
        <w:t>如果产品管理人主动提前终止本产品，产品管理人将提前2个工作日进行公告。本产品终止后5个工作日内，产品管理人发布产品到期公告。</w:t>
      </w:r>
    </w:p>
    <w:p w14:paraId="347A1E98">
      <w:pPr>
        <w:spacing w:line="360" w:lineRule="auto"/>
        <w:ind w:firstLine="360" w:firstLineChars="200"/>
        <w:rPr>
          <w:rFonts w:ascii="宋体" w:hAnsi="宋体" w:cs="宋体"/>
          <w:bCs/>
          <w:sz w:val="18"/>
          <w:szCs w:val="18"/>
        </w:rPr>
      </w:pPr>
      <w:r>
        <w:rPr>
          <w:rFonts w:ascii="宋体" w:hAnsi="宋体" w:cs="宋体"/>
          <w:bCs/>
          <w:sz w:val="18"/>
          <w:szCs w:val="18"/>
        </w:rPr>
        <w:t>5</w:t>
      </w:r>
      <w:r>
        <w:rPr>
          <w:rFonts w:hint="eastAsia" w:ascii="宋体" w:hAnsi="宋体" w:cs="宋体"/>
          <w:bCs/>
          <w:sz w:val="18"/>
          <w:szCs w:val="18"/>
        </w:rPr>
        <w:t>.</w:t>
      </w:r>
      <w:r>
        <w:rPr>
          <w:rFonts w:ascii="宋体" w:hAnsi="宋体" w:cs="宋体"/>
          <w:bCs/>
          <w:sz w:val="18"/>
          <w:szCs w:val="18"/>
        </w:rPr>
        <w:t>开放日</w:t>
      </w:r>
      <w:r>
        <w:rPr>
          <w:rFonts w:hint="eastAsia" w:ascii="宋体" w:hAnsi="宋体" w:cs="宋体"/>
          <w:bCs/>
          <w:sz w:val="18"/>
          <w:szCs w:val="18"/>
        </w:rPr>
        <w:t>/</w:t>
      </w:r>
      <w:r>
        <w:rPr>
          <w:rFonts w:ascii="宋体" w:hAnsi="宋体" w:cs="宋体"/>
          <w:bCs/>
          <w:sz w:val="18"/>
          <w:szCs w:val="18"/>
        </w:rPr>
        <w:t>估值日公告</w:t>
      </w:r>
    </w:p>
    <w:p w14:paraId="4EA8E59E">
      <w:pPr>
        <w:spacing w:line="360" w:lineRule="auto"/>
        <w:ind w:firstLine="360" w:firstLineChars="200"/>
        <w:rPr>
          <w:rFonts w:ascii="宋体" w:hAnsi="宋体" w:cs="宋体"/>
          <w:bCs/>
          <w:sz w:val="18"/>
          <w:szCs w:val="18"/>
        </w:rPr>
      </w:pPr>
      <w:r>
        <w:rPr>
          <w:rFonts w:hint="eastAsia" w:ascii="宋体" w:hAnsi="宋体" w:cs="宋体"/>
          <w:bCs/>
          <w:sz w:val="18"/>
          <w:szCs w:val="18"/>
        </w:rPr>
        <w:t>产品管理人在每个开放日公告前一个开放日每万份理财收益和</w:t>
      </w:r>
      <w:r>
        <w:rPr>
          <w:rFonts w:ascii="宋体" w:hAnsi="宋体" w:cs="宋体"/>
          <w:bCs/>
          <w:sz w:val="18"/>
          <w:szCs w:val="18"/>
        </w:rPr>
        <w:t>7</w:t>
      </w:r>
      <w:r>
        <w:rPr>
          <w:rFonts w:hint="eastAsia" w:ascii="宋体" w:hAnsi="宋体" w:cs="宋体"/>
          <w:bCs/>
          <w:sz w:val="18"/>
          <w:szCs w:val="18"/>
        </w:rPr>
        <w:t>日年化收益率。如遇法定节假日顺延。</w:t>
      </w:r>
    </w:p>
    <w:p w14:paraId="60535F61">
      <w:pPr>
        <w:spacing w:line="360" w:lineRule="auto"/>
        <w:ind w:firstLine="360" w:firstLineChars="200"/>
        <w:rPr>
          <w:rFonts w:ascii="宋体" w:hAnsi="宋体" w:cs="宋体"/>
          <w:bCs/>
          <w:sz w:val="18"/>
          <w:szCs w:val="18"/>
        </w:rPr>
      </w:pPr>
      <w:r>
        <w:rPr>
          <w:rFonts w:ascii="宋体" w:hAnsi="宋体" w:cs="宋体"/>
          <w:bCs/>
          <w:sz w:val="18"/>
          <w:szCs w:val="18"/>
        </w:rPr>
        <w:t>6.临时公告</w:t>
      </w:r>
    </w:p>
    <w:p w14:paraId="6F95C3A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5C55C589">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w:t>
      </w:r>
      <w:r>
        <w:rPr>
          <w:rFonts w:ascii="宋体" w:hAnsi="宋体" w:cs="宋体"/>
          <w:bCs/>
          <w:sz w:val="18"/>
          <w:szCs w:val="18"/>
        </w:rPr>
        <w:t>/申购</w:t>
      </w:r>
      <w:r>
        <w:rPr>
          <w:rFonts w:hint="eastAsia" w:ascii="宋体" w:hAnsi="宋体" w:cs="宋体"/>
          <w:bCs/>
          <w:sz w:val="18"/>
          <w:szCs w:val="18"/>
        </w:rPr>
        <w:t>申请、暂停接受</w:t>
      </w:r>
      <w:r>
        <w:rPr>
          <w:rFonts w:ascii="宋体" w:hAnsi="宋体" w:cs="宋体"/>
          <w:bCs/>
          <w:sz w:val="18"/>
          <w:szCs w:val="18"/>
        </w:rPr>
        <w:t>投资者</w:t>
      </w:r>
      <w:r>
        <w:rPr>
          <w:rFonts w:hint="eastAsia" w:ascii="宋体" w:hAnsi="宋体" w:cs="宋体"/>
          <w:bCs/>
          <w:sz w:val="18"/>
          <w:szCs w:val="18"/>
        </w:rPr>
        <w:t>赎回申请、延缓支付赎回款项、</w:t>
      </w:r>
      <w:r>
        <w:rPr>
          <w:rFonts w:ascii="宋体" w:hAnsi="宋体" w:cs="宋体"/>
          <w:bCs/>
          <w:sz w:val="18"/>
          <w:szCs w:val="18"/>
        </w:rPr>
        <w:t>巨额赎回</w:t>
      </w:r>
      <w:r>
        <w:rPr>
          <w:rFonts w:hint="eastAsia" w:ascii="宋体" w:hAnsi="宋体" w:cs="宋体"/>
          <w:bCs/>
          <w:sz w:val="18"/>
          <w:szCs w:val="18"/>
        </w:rPr>
        <w:t>、暂停理财产品估值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在发生涉及产品认购、申购或赎回事项调整或潜在影响投资者赎回等事项时，管理人将发布临时公告。</w:t>
      </w:r>
    </w:p>
    <w:p w14:paraId="15BE4E5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6255AE7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53430FDF">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43A205A1">
      <w:pPr>
        <w:spacing w:line="360" w:lineRule="auto"/>
        <w:ind w:firstLine="360" w:firstLineChars="20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bookmarkEnd w:id="231"/>
    <w:p w14:paraId="7574CF49">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72EB2CEA">
      <w:pPr>
        <w:widowControl/>
        <w:spacing w:line="360" w:lineRule="auto"/>
        <w:jc w:val="left"/>
        <w:rPr>
          <w:rFonts w:ascii="Calibri" w:hAnsi="Calibri" w:cs="宋体"/>
          <w:bCs/>
          <w:sz w:val="24"/>
          <w:szCs w:val="22"/>
        </w:rPr>
      </w:pPr>
      <w:r>
        <w:rPr>
          <w:rFonts w:ascii="Calibri" w:hAnsi="Calibri" w:cs="宋体"/>
          <w:bCs/>
          <w:sz w:val="24"/>
          <w:szCs w:val="22"/>
        </w:rPr>
        <w:br w:type="page"/>
      </w:r>
    </w:p>
    <w:p w14:paraId="194A708F">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32" w:name="_Toc20251"/>
      <w:bookmarkStart w:id="233" w:name="_Toc79154675"/>
      <w:bookmarkStart w:id="234" w:name="_Toc176189289"/>
      <w:r>
        <w:rPr>
          <w:rFonts w:hint="eastAsia" w:ascii="Times New Roman" w:hAnsi="Calibri" w:eastAsia="宋体" w:cs="宋体"/>
          <w:b/>
          <w:bCs/>
          <w:kern w:val="44"/>
          <w:sz w:val="30"/>
          <w:szCs w:val="44"/>
          <w:lang w:val="en-US" w:eastAsia="zh-CN" w:bidi="ar-SA"/>
        </w:rPr>
        <w:t>第十二条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32"/>
      <w:bookmarkEnd w:id="233"/>
      <w:bookmarkEnd w:id="234"/>
    </w:p>
    <w:p w14:paraId="5326F6FD">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66FC2644">
      <w:pPr>
        <w:spacing w:line="360" w:lineRule="auto"/>
        <w:ind w:firstLine="448" w:firstLineChars="249"/>
        <w:rPr>
          <w:rFonts w:ascii="宋体" w:hAnsi="宋体" w:cs="仿宋_GB2312"/>
          <w:kern w:val="0"/>
          <w:sz w:val="18"/>
          <w:szCs w:val="18"/>
        </w:rPr>
      </w:pPr>
      <w:r>
        <w:rPr>
          <w:rFonts w:hint="eastAsia" w:ascii="宋体" w:hAnsi="宋体" w:cs="宋体"/>
          <w:sz w:val="18"/>
          <w:szCs w:val="18"/>
        </w:rPr>
        <w:t>【</w:t>
      </w:r>
      <w:r>
        <w:rPr>
          <w:rFonts w:hint="eastAsia" w:ascii="宋体" w:hAnsi="宋体" w:cs="仿宋_GB2312"/>
          <w:kern w:val="0"/>
          <w:sz w:val="18"/>
          <w:szCs w:val="18"/>
        </w:rPr>
        <w:t>1.拟投资市场和资产的风险：</w:t>
      </w:r>
    </w:p>
    <w:p w14:paraId="45023DB9">
      <w:pPr>
        <w:spacing w:line="360" w:lineRule="auto"/>
        <w:ind w:firstLine="448" w:firstLineChars="249"/>
        <w:rPr>
          <w:rFonts w:ascii="宋体" w:hAnsi="宋体" w:cs="仿宋_GB2312"/>
          <w:kern w:val="0"/>
          <w:sz w:val="18"/>
          <w:szCs w:val="18"/>
        </w:rPr>
      </w:pPr>
      <w:r>
        <w:rPr>
          <w:rFonts w:hint="eastAsia" w:ascii="宋体" w:hAnsi="宋体" w:cs="仿宋_GB2312"/>
          <w:kern w:val="0"/>
          <w:sz w:val="18"/>
          <w:szCs w:val="18"/>
        </w:rPr>
        <w:t>（1）投资固定收益类资产的风险</w:t>
      </w:r>
    </w:p>
    <w:p w14:paraId="134C2B02">
      <w:pPr>
        <w:spacing w:line="360" w:lineRule="auto"/>
        <w:ind w:firstLine="448" w:firstLineChars="249"/>
        <w:rPr>
          <w:rFonts w:ascii="宋体" w:hAnsi="宋体" w:cs="仿宋_GB2312"/>
          <w:kern w:val="0"/>
          <w:sz w:val="18"/>
          <w:szCs w:val="18"/>
        </w:rPr>
      </w:pPr>
      <w:r>
        <w:rPr>
          <w:rFonts w:hint="eastAsia" w:ascii="宋体" w:hAnsi="宋体" w:cs="仿宋_GB2312"/>
          <w:kern w:val="0"/>
          <w:sz w:val="18"/>
          <w:szCs w:val="18"/>
        </w:rPr>
        <w:t>1）投资标准化债权类资产的风险</w:t>
      </w:r>
    </w:p>
    <w:p w14:paraId="62473D8F">
      <w:pPr>
        <w:spacing w:line="360" w:lineRule="auto"/>
        <w:ind w:firstLine="448" w:firstLineChars="249"/>
        <w:rPr>
          <w:rFonts w:ascii="宋体" w:hAnsi="宋体" w:cs="宋体"/>
          <w:sz w:val="18"/>
          <w:szCs w:val="18"/>
        </w:rPr>
      </w:pPr>
      <w:r>
        <w:rPr>
          <w:rFonts w:hint="eastAsia" w:ascii="宋体" w:hAnsi="宋体" w:cs="仿宋_GB2312"/>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r>
        <w:rPr>
          <w:rFonts w:hint="eastAsia" w:ascii="宋体" w:hAnsi="宋体" w:cs="宋体"/>
          <w:sz w:val="18"/>
          <w:szCs w:val="18"/>
        </w:rPr>
        <w:t>】</w:t>
      </w:r>
    </w:p>
    <w:p w14:paraId="19C6EE09">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3FABB772">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5E76D5D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3A4C74C1">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548A2CAC">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6E0E3549">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AA7922C">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29F28744">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0E1F2804">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5FE944FD">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FB4E5A9">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11FADE5C">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517F9899">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5279778C">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36742DC2">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6601F231">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DBBF368">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5E5AFA07">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157A0FB0">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286F2CF7">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787B1C56">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2A72D7B6">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759346F2">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10D008BC">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50C0764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44A04397">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6F20274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6DE85D8E">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w:t>
      </w:r>
      <w:r>
        <w:rPr>
          <w:rFonts w:hint="eastAsia" w:ascii="宋体" w:hAnsi="宋体" w:eastAsia="宋体" w:cs="宋体"/>
          <w:sz w:val="18"/>
          <w:szCs w:val="18"/>
        </w:rPr>
        <w:t>每万份理财收益和</w:t>
      </w:r>
      <w:r>
        <w:rPr>
          <w:rFonts w:ascii="宋体" w:hAnsi="宋体" w:eastAsia="宋体" w:cs="宋体"/>
          <w:sz w:val="18"/>
          <w:szCs w:val="18"/>
        </w:rPr>
        <w:t>7</w:t>
      </w:r>
      <w:r>
        <w:rPr>
          <w:rFonts w:hint="eastAsia" w:ascii="宋体" w:hAnsi="宋体" w:eastAsia="宋体" w:cs="宋体"/>
          <w:sz w:val="18"/>
          <w:szCs w:val="18"/>
        </w:rPr>
        <w:t>日年化收益率</w:t>
      </w:r>
      <w:r>
        <w:rPr>
          <w:rFonts w:hint="eastAsia" w:ascii="宋体" w:hAnsi="宋体" w:cs="宋体"/>
          <w:sz w:val="18"/>
          <w:szCs w:val="18"/>
        </w:rPr>
        <w:t>存在下跌的风险。</w:t>
      </w:r>
    </w:p>
    <w:p w14:paraId="681C64F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07CB1A3B">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w:t>
      </w:r>
      <w:r>
        <w:rPr>
          <w:rFonts w:hint="eastAsia" w:ascii="宋体" w:hAnsi="宋体" w:eastAsia="宋体" w:cs="宋体"/>
          <w:sz w:val="18"/>
          <w:szCs w:val="18"/>
        </w:rPr>
        <w:t>每万份理财收益和</w:t>
      </w:r>
      <w:r>
        <w:rPr>
          <w:rFonts w:ascii="宋体" w:hAnsi="宋体" w:eastAsia="宋体" w:cs="宋体"/>
          <w:sz w:val="18"/>
          <w:szCs w:val="18"/>
        </w:rPr>
        <w:t>7</w:t>
      </w:r>
      <w:r>
        <w:rPr>
          <w:rFonts w:hint="eastAsia" w:ascii="宋体" w:hAnsi="宋体" w:eastAsia="宋体" w:cs="宋体"/>
          <w:sz w:val="18"/>
          <w:szCs w:val="18"/>
        </w:rPr>
        <w:t>日年化收益率</w:t>
      </w:r>
      <w:r>
        <w:rPr>
          <w:rFonts w:hint="eastAsia" w:ascii="宋体" w:hAnsi="宋体" w:cs="宋体"/>
          <w:sz w:val="18"/>
          <w:szCs w:val="18"/>
        </w:rPr>
        <w:t>。</w:t>
      </w:r>
    </w:p>
    <w:p w14:paraId="25E68F73">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310A71F0">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877EF8B">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5FF6DE70">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73930E30">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14:paraId="5AF32F63">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14:paraId="037C9F3A">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1199D6E">
      <w:pPr>
        <w:rPr>
          <w:rFonts w:ascii="宋体" w:hAnsi="宋体" w:cs="宋体"/>
          <w:sz w:val="18"/>
          <w:szCs w:val="18"/>
        </w:rPr>
      </w:pPr>
      <w:r>
        <w:rPr>
          <w:rFonts w:ascii="宋体"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55C5AF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16" w:hRule="exact"/>
        </w:trPr>
        <w:tc>
          <w:tcPr>
            <w:tcW w:w="8222" w:type="dxa"/>
            <w:gridSpan w:val="2"/>
          </w:tcPr>
          <w:p w14:paraId="6E7DE3A3">
            <w:pPr>
              <w:spacing w:line="280" w:lineRule="atLeast"/>
              <w:ind w:firstLine="422"/>
              <w:jc w:val="center"/>
              <w:rPr>
                <w:rFonts w:ascii="宋体" w:hAnsi="宋体" w:cs="Arial"/>
                <w:b/>
                <w:szCs w:val="21"/>
              </w:rPr>
            </w:pPr>
            <w:r>
              <w:rPr>
                <w:rFonts w:hint="eastAsia" w:ascii="宋体" w:hAnsi="宋体" w:cs="Arial"/>
                <w:b/>
                <w:szCs w:val="21"/>
              </w:rPr>
              <w:t>投资者确认栏</w:t>
            </w:r>
          </w:p>
          <w:p w14:paraId="312F1091">
            <w:pPr>
              <w:spacing w:line="360" w:lineRule="auto"/>
              <w:ind w:firstLine="361"/>
              <w:rPr>
                <w:rFonts w:ascii="Calibri" w:hAnsi="Calibri" w:cs="宋体"/>
                <w:b/>
                <w:sz w:val="18"/>
                <w:szCs w:val="18"/>
              </w:rPr>
            </w:pPr>
          </w:p>
        </w:tc>
      </w:tr>
      <w:tr w14:paraId="0AE277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78321423">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526848A6">
            <w:pPr>
              <w:spacing w:line="360" w:lineRule="auto"/>
              <w:ind w:firstLine="360"/>
              <w:jc w:val="left"/>
              <w:rPr>
                <w:rFonts w:ascii="Calibri" w:hAnsi="Calibri" w:cs="宋体"/>
                <w:sz w:val="18"/>
                <w:szCs w:val="18"/>
              </w:rPr>
            </w:pPr>
            <w:r>
              <w:rPr>
                <w:rFonts w:hint="eastAsia" w:ascii="Calibri" w:hAnsi="Calibri" w:cs="宋体"/>
                <w:sz w:val="18"/>
                <w:szCs w:val="18"/>
              </w:rPr>
              <w:t>投资者（签名</w:t>
            </w:r>
            <w:r>
              <w:rPr>
                <w:rFonts w:ascii="Calibri" w:hAnsi="Calibri" w:cs="宋体"/>
                <w:sz w:val="18"/>
                <w:szCs w:val="18"/>
              </w:rPr>
              <w:t>/</w:t>
            </w:r>
            <w:r>
              <w:rPr>
                <w:rFonts w:hint="eastAsia" w:ascii="Calibri" w:hAnsi="Calibri" w:cs="宋体"/>
                <w:sz w:val="18"/>
                <w:szCs w:val="18"/>
              </w:rPr>
              <w:t>线上确认）：</w:t>
            </w:r>
          </w:p>
          <w:p w14:paraId="6EFE4EDB">
            <w:pPr>
              <w:spacing w:line="360" w:lineRule="auto"/>
              <w:ind w:firstLine="361"/>
              <w:jc w:val="left"/>
              <w:rPr>
                <w:rFonts w:ascii="Calibri" w:hAnsi="Calibri" w:cs="宋体"/>
                <w:b/>
                <w:sz w:val="18"/>
                <w:szCs w:val="18"/>
              </w:rPr>
            </w:pPr>
          </w:p>
          <w:p w14:paraId="4245D62B">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682614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0C90D662">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1806A2FE">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宋体"/>
                <w:sz w:val="18"/>
                <w:szCs w:val="18"/>
              </w:rPr>
              <w:t>/</w:t>
            </w:r>
            <w:r>
              <w:rPr>
                <w:rFonts w:hint="eastAsia" w:ascii="Calibri" w:hAnsi="Calibri" w:cs="宋体"/>
                <w:sz w:val="18"/>
                <w:szCs w:val="18"/>
              </w:rPr>
              <w:t>线上确认</w:t>
            </w:r>
            <w:r>
              <w:rPr>
                <w:rFonts w:hint="eastAsia" w:ascii="Calibri" w:hAnsi="Calibri" w:cs="Arial"/>
                <w:sz w:val="18"/>
                <w:szCs w:val="18"/>
              </w:rPr>
              <w:t>）：</w:t>
            </w:r>
          </w:p>
          <w:p w14:paraId="3126D1EC">
            <w:pPr>
              <w:spacing w:line="360" w:lineRule="auto"/>
              <w:ind w:firstLine="360"/>
              <w:jc w:val="left"/>
              <w:rPr>
                <w:rFonts w:ascii="Calibri" w:hAnsi="Calibri" w:cs="Arial"/>
                <w:sz w:val="18"/>
                <w:szCs w:val="18"/>
              </w:rPr>
            </w:pPr>
          </w:p>
          <w:p w14:paraId="68D5BCCA">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w:t>
            </w:r>
            <w:r>
              <w:rPr>
                <w:rFonts w:hint="eastAsia" w:ascii="Calibri" w:hAnsi="Calibri" w:cs="宋体"/>
                <w:sz w:val="18"/>
                <w:szCs w:val="18"/>
              </w:rPr>
              <w:t>名</w:t>
            </w:r>
            <w:r>
              <w:rPr>
                <w:rFonts w:ascii="Calibri" w:hAnsi="Calibri" w:cs="宋体"/>
                <w:sz w:val="18"/>
                <w:szCs w:val="18"/>
              </w:rPr>
              <w:t>/</w:t>
            </w:r>
            <w:r>
              <w:rPr>
                <w:rFonts w:hint="eastAsia" w:ascii="Calibri" w:hAnsi="Calibri" w:cs="Arial"/>
                <w:sz w:val="18"/>
                <w:szCs w:val="18"/>
              </w:rPr>
              <w:t>盖章</w:t>
            </w:r>
            <w:r>
              <w:rPr>
                <w:rFonts w:ascii="Calibri" w:hAnsi="Calibri" w:cs="宋体"/>
                <w:sz w:val="18"/>
                <w:szCs w:val="18"/>
              </w:rPr>
              <w:t>/</w:t>
            </w:r>
            <w:r>
              <w:rPr>
                <w:rFonts w:hint="eastAsia" w:ascii="Calibri" w:hAnsi="Calibri" w:cs="宋体"/>
                <w:sz w:val="18"/>
                <w:szCs w:val="18"/>
              </w:rPr>
              <w:t>线上确认</w:t>
            </w:r>
            <w:r>
              <w:rPr>
                <w:rFonts w:hint="eastAsia" w:ascii="Calibri" w:hAnsi="Calibri" w:cs="Arial"/>
                <w:sz w:val="18"/>
                <w:szCs w:val="18"/>
              </w:rPr>
              <w:t>）：</w:t>
            </w:r>
          </w:p>
          <w:p w14:paraId="6BF74F39">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0C4F1548">
      <w:pPr>
        <w:spacing w:line="360" w:lineRule="auto"/>
        <w:jc w:val="left"/>
        <w:rPr>
          <w:rFonts w:ascii="Calibri" w:hAnsi="Calibri" w:cs="宋体"/>
          <w:bCs/>
          <w:szCs w:val="22"/>
        </w:rPr>
      </w:pPr>
      <w:r>
        <w:rPr>
          <w:rFonts w:hint="eastAsia" w:ascii="宋体" w:hAnsi="宋体" w:cs="宋体"/>
          <w:b/>
          <w:sz w:val="18"/>
          <w:szCs w:val="18"/>
        </w:rPr>
        <w:t>（本《产品说明书》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2372E647">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68122F20">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052ED4E1"/>
    <w:p w14:paraId="0EFFAA56">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w:t>
      </w:r>
      <w:r>
        <w:rPr>
          <w:rFonts w:hint="eastAsia" w:ascii="黑体" w:hAnsi="黑体" w:eastAsia="黑体" w:cs="宋体"/>
          <w:b/>
          <w:sz w:val="28"/>
          <w:szCs w:val="28"/>
          <w:lang w:val="en-US" w:eastAsia="zh-CN"/>
        </w:rPr>
        <w:t>添利</w:t>
      </w:r>
      <w:r>
        <w:rPr>
          <w:rFonts w:hint="eastAsia" w:ascii="黑体" w:hAnsi="黑体" w:eastAsia="黑体" w:cs="宋体"/>
          <w:b/>
          <w:sz w:val="28"/>
          <w:szCs w:val="28"/>
        </w:rPr>
        <w:t>】理财产品</w:t>
      </w:r>
    </w:p>
    <w:p w14:paraId="50FCB6EF">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692A48EC">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265CC69C">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0416EB5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3779D0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37A3966E">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771E0AF7">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292C7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0B2D3F16">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C4E98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576F6800">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488EF864">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312C30B4">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0D13F37A">
            <w:pPr>
              <w:spacing w:line="320" w:lineRule="exact"/>
              <w:jc w:val="left"/>
              <w:rPr>
                <w:rFonts w:ascii="宋体" w:hAnsi="宋体" w:cs="宋体"/>
                <w:bCs/>
                <w:sz w:val="18"/>
                <w:szCs w:val="18"/>
              </w:rPr>
            </w:pPr>
          </w:p>
        </w:tc>
      </w:tr>
      <w:tr w14:paraId="52989D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92D3CED">
            <w:pPr>
              <w:spacing w:line="320" w:lineRule="exact"/>
              <w:jc w:val="left"/>
              <w:rPr>
                <w:rFonts w:ascii="宋体" w:hAnsi="宋体" w:cs="宋体"/>
                <w:b/>
                <w:bCs/>
                <w:sz w:val="18"/>
                <w:szCs w:val="18"/>
              </w:rPr>
            </w:pPr>
          </w:p>
        </w:tc>
        <w:tc>
          <w:tcPr>
            <w:tcW w:w="635" w:type="dxa"/>
            <w:vMerge w:val="continue"/>
            <w:shd w:val="solid" w:color="FFFFFF" w:fill="FFFFFF"/>
            <w:vAlign w:val="center"/>
          </w:tcPr>
          <w:p w14:paraId="14B18A32">
            <w:pPr>
              <w:spacing w:line="320" w:lineRule="exact"/>
              <w:jc w:val="left"/>
              <w:rPr>
                <w:rFonts w:ascii="宋体" w:hAnsi="宋体" w:cs="宋体"/>
                <w:bCs/>
                <w:sz w:val="18"/>
                <w:szCs w:val="18"/>
              </w:rPr>
            </w:pPr>
          </w:p>
        </w:tc>
        <w:tc>
          <w:tcPr>
            <w:tcW w:w="1085" w:type="dxa"/>
            <w:shd w:val="solid" w:color="FFFFFF" w:fill="FFFFFF"/>
            <w:vAlign w:val="center"/>
          </w:tcPr>
          <w:p w14:paraId="5CF8B951">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2362314A">
            <w:pPr>
              <w:spacing w:line="320" w:lineRule="exact"/>
              <w:jc w:val="left"/>
              <w:rPr>
                <w:rFonts w:ascii="宋体" w:hAnsi="宋体" w:cs="宋体"/>
                <w:bCs/>
                <w:sz w:val="18"/>
                <w:szCs w:val="18"/>
              </w:rPr>
            </w:pPr>
          </w:p>
        </w:tc>
        <w:tc>
          <w:tcPr>
            <w:tcW w:w="1234" w:type="dxa"/>
            <w:shd w:val="solid" w:color="FFFFFF" w:fill="FFFFFF"/>
            <w:vAlign w:val="center"/>
          </w:tcPr>
          <w:p w14:paraId="1125CEF4">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49D631DF">
            <w:pPr>
              <w:spacing w:line="320" w:lineRule="exact"/>
              <w:jc w:val="left"/>
              <w:rPr>
                <w:rFonts w:ascii="宋体" w:hAnsi="宋体" w:cs="宋体"/>
                <w:bCs/>
                <w:sz w:val="18"/>
                <w:szCs w:val="18"/>
              </w:rPr>
            </w:pPr>
          </w:p>
        </w:tc>
      </w:tr>
      <w:tr w14:paraId="09ED3B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B129079">
            <w:pPr>
              <w:spacing w:line="320" w:lineRule="exact"/>
              <w:jc w:val="left"/>
              <w:rPr>
                <w:rFonts w:ascii="宋体" w:hAnsi="宋体" w:cs="宋体"/>
                <w:b/>
                <w:bCs/>
                <w:sz w:val="18"/>
                <w:szCs w:val="18"/>
              </w:rPr>
            </w:pPr>
          </w:p>
        </w:tc>
        <w:tc>
          <w:tcPr>
            <w:tcW w:w="635" w:type="dxa"/>
            <w:vMerge w:val="continue"/>
            <w:shd w:val="solid" w:color="FFFFFF" w:fill="FFFFFF"/>
            <w:vAlign w:val="center"/>
          </w:tcPr>
          <w:p w14:paraId="1EFEE1F5">
            <w:pPr>
              <w:spacing w:line="320" w:lineRule="exact"/>
              <w:jc w:val="left"/>
              <w:rPr>
                <w:rFonts w:ascii="宋体" w:hAnsi="宋体" w:cs="宋体"/>
                <w:bCs/>
                <w:sz w:val="18"/>
                <w:szCs w:val="18"/>
              </w:rPr>
            </w:pPr>
          </w:p>
        </w:tc>
        <w:tc>
          <w:tcPr>
            <w:tcW w:w="1085" w:type="dxa"/>
            <w:shd w:val="solid" w:color="FFFFFF" w:fill="FFFFFF"/>
            <w:vAlign w:val="center"/>
          </w:tcPr>
          <w:p w14:paraId="0E06C404">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65A7C8E8">
            <w:pPr>
              <w:spacing w:line="320" w:lineRule="exact"/>
              <w:jc w:val="left"/>
              <w:rPr>
                <w:rFonts w:ascii="宋体" w:hAnsi="宋体" w:cs="宋体"/>
                <w:bCs/>
                <w:sz w:val="18"/>
                <w:szCs w:val="18"/>
              </w:rPr>
            </w:pPr>
          </w:p>
        </w:tc>
        <w:tc>
          <w:tcPr>
            <w:tcW w:w="1234" w:type="dxa"/>
            <w:shd w:val="solid" w:color="FFFFFF" w:fill="FFFFFF"/>
            <w:vAlign w:val="center"/>
          </w:tcPr>
          <w:p w14:paraId="4B9C3024">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68372B37">
            <w:pPr>
              <w:spacing w:line="320" w:lineRule="exact"/>
              <w:jc w:val="left"/>
              <w:rPr>
                <w:rFonts w:ascii="宋体" w:hAnsi="宋体" w:cs="宋体"/>
                <w:bCs/>
                <w:sz w:val="18"/>
                <w:szCs w:val="18"/>
              </w:rPr>
            </w:pPr>
          </w:p>
        </w:tc>
      </w:tr>
      <w:tr w14:paraId="2B05B5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E4AF6A3">
            <w:pPr>
              <w:spacing w:line="320" w:lineRule="exact"/>
              <w:jc w:val="left"/>
              <w:rPr>
                <w:rFonts w:ascii="宋体" w:hAnsi="宋体" w:cs="宋体"/>
                <w:b/>
                <w:bCs/>
                <w:sz w:val="18"/>
                <w:szCs w:val="18"/>
              </w:rPr>
            </w:pPr>
          </w:p>
        </w:tc>
        <w:tc>
          <w:tcPr>
            <w:tcW w:w="635" w:type="dxa"/>
            <w:vMerge w:val="continue"/>
            <w:shd w:val="solid" w:color="FFFFFF" w:fill="FFFFFF"/>
            <w:vAlign w:val="center"/>
          </w:tcPr>
          <w:p w14:paraId="0E2DB584">
            <w:pPr>
              <w:spacing w:line="320" w:lineRule="exact"/>
              <w:jc w:val="left"/>
              <w:rPr>
                <w:rFonts w:ascii="宋体" w:hAnsi="宋体" w:cs="宋体"/>
                <w:bCs/>
                <w:sz w:val="18"/>
                <w:szCs w:val="18"/>
              </w:rPr>
            </w:pPr>
          </w:p>
        </w:tc>
        <w:tc>
          <w:tcPr>
            <w:tcW w:w="1085" w:type="dxa"/>
            <w:shd w:val="solid" w:color="FFFFFF" w:fill="FFFFFF"/>
            <w:vAlign w:val="center"/>
          </w:tcPr>
          <w:p w14:paraId="47F58D55">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52AE7659">
            <w:pPr>
              <w:spacing w:line="320" w:lineRule="exact"/>
              <w:jc w:val="left"/>
              <w:rPr>
                <w:rFonts w:ascii="宋体" w:hAnsi="宋体" w:cs="宋体"/>
                <w:bCs/>
                <w:sz w:val="18"/>
                <w:szCs w:val="18"/>
              </w:rPr>
            </w:pPr>
          </w:p>
        </w:tc>
      </w:tr>
      <w:tr w14:paraId="12BCBC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2A58A9F">
            <w:pPr>
              <w:spacing w:line="320" w:lineRule="exact"/>
              <w:jc w:val="left"/>
              <w:rPr>
                <w:rFonts w:ascii="宋体" w:hAnsi="宋体" w:cs="宋体"/>
                <w:b/>
                <w:bCs/>
                <w:sz w:val="18"/>
                <w:szCs w:val="18"/>
              </w:rPr>
            </w:pPr>
          </w:p>
        </w:tc>
        <w:tc>
          <w:tcPr>
            <w:tcW w:w="635" w:type="dxa"/>
            <w:vMerge w:val="continue"/>
            <w:shd w:val="solid" w:color="FFFFFF" w:fill="FFFFFF"/>
            <w:vAlign w:val="center"/>
          </w:tcPr>
          <w:p w14:paraId="660977D1">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7F92AB59">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7A51B689">
            <w:pPr>
              <w:spacing w:line="320" w:lineRule="exact"/>
              <w:jc w:val="left"/>
              <w:rPr>
                <w:rFonts w:ascii="宋体" w:hAnsi="宋体" w:cs="宋体"/>
                <w:bCs/>
                <w:sz w:val="18"/>
                <w:szCs w:val="18"/>
              </w:rPr>
            </w:pPr>
          </w:p>
        </w:tc>
      </w:tr>
      <w:tr w14:paraId="0CE147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783F336">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1F0296B9">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4AD9187">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E870E15">
            <w:pPr>
              <w:spacing w:line="320" w:lineRule="exact"/>
              <w:jc w:val="left"/>
              <w:rPr>
                <w:rFonts w:ascii="宋体" w:hAnsi="宋体" w:cs="宋体"/>
                <w:bCs/>
                <w:sz w:val="18"/>
                <w:szCs w:val="18"/>
              </w:rPr>
            </w:pPr>
          </w:p>
        </w:tc>
      </w:tr>
      <w:tr w14:paraId="262F5E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CC1802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0AD0C8F4">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68F375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8D62E0">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B038850">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78C1E06">
            <w:pPr>
              <w:spacing w:line="320" w:lineRule="exact"/>
              <w:jc w:val="left"/>
              <w:rPr>
                <w:rFonts w:ascii="宋体" w:hAnsi="宋体" w:cs="宋体"/>
                <w:bCs/>
                <w:sz w:val="18"/>
                <w:szCs w:val="18"/>
              </w:rPr>
            </w:pPr>
          </w:p>
        </w:tc>
      </w:tr>
      <w:tr w14:paraId="63932E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576DD42">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5A5CA53">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50CEFD6">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01F27C4">
            <w:pPr>
              <w:spacing w:line="320" w:lineRule="exact"/>
              <w:jc w:val="left"/>
              <w:rPr>
                <w:rFonts w:ascii="宋体" w:hAnsi="宋体" w:cs="宋体"/>
                <w:bCs/>
                <w:sz w:val="18"/>
                <w:szCs w:val="18"/>
              </w:rPr>
            </w:pPr>
          </w:p>
        </w:tc>
      </w:tr>
      <w:tr w14:paraId="1FA43E9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B7430F4">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A64114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7132416">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7072D09">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6DEDB5">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C8326C">
            <w:pPr>
              <w:spacing w:line="320" w:lineRule="exact"/>
              <w:jc w:val="left"/>
              <w:rPr>
                <w:rFonts w:ascii="宋体" w:hAnsi="宋体" w:cs="宋体"/>
                <w:bCs/>
                <w:sz w:val="18"/>
                <w:szCs w:val="18"/>
              </w:rPr>
            </w:pPr>
          </w:p>
        </w:tc>
      </w:tr>
      <w:tr w14:paraId="5A1C91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68FA645">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E194B60">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76B8F0">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6C0C650">
            <w:pPr>
              <w:spacing w:line="320" w:lineRule="exact"/>
              <w:jc w:val="left"/>
              <w:rPr>
                <w:rFonts w:ascii="宋体" w:hAnsi="宋体" w:cs="宋体"/>
                <w:bCs/>
                <w:sz w:val="18"/>
                <w:szCs w:val="18"/>
              </w:rPr>
            </w:pPr>
          </w:p>
        </w:tc>
      </w:tr>
      <w:tr w14:paraId="3B230FE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324914B7">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5B5308F5">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6F51053">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C91B28F">
            <w:pPr>
              <w:spacing w:line="320" w:lineRule="exact"/>
              <w:jc w:val="left"/>
              <w:rPr>
                <w:rFonts w:ascii="宋体" w:hAnsi="宋体" w:cs="宋体"/>
                <w:bCs/>
                <w:sz w:val="18"/>
                <w:szCs w:val="18"/>
              </w:rPr>
            </w:pPr>
          </w:p>
        </w:tc>
      </w:tr>
      <w:tr w14:paraId="007288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CE43EBA">
            <w:pPr>
              <w:widowControl w:val="0"/>
              <w:pBdr>
                <w:bottom w:val="none" w:color="auto" w:sz="0" w:space="0"/>
              </w:pBdr>
              <w:snapToGrid w:val="0"/>
              <w:spacing w:line="320" w:lineRule="exact"/>
              <w:jc w:val="center"/>
              <w:rPr>
                <w:rFonts w:ascii="宋体" w:hAnsi="宋体" w:eastAsiaTheme="minorEastAsia" w:cstheme="minorBidi"/>
                <w:bCs/>
                <w:kern w:val="2"/>
                <w:sz w:val="28"/>
                <w:szCs w:val="28"/>
                <w:lang w:val="en-US" w:eastAsia="zh-CN" w:bidi="ar-SA"/>
              </w:rPr>
            </w:pPr>
          </w:p>
        </w:tc>
      </w:tr>
      <w:tr w14:paraId="66917A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205322C">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28B1EDF5">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6BBF39B9">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5A13021C">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4F8E99E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75121BA1">
            <w:pPr>
              <w:spacing w:line="320" w:lineRule="exact"/>
              <w:jc w:val="left"/>
              <w:rPr>
                <w:rFonts w:ascii="宋体" w:hAnsi="宋体" w:cs="宋体"/>
                <w:b/>
                <w:bCs/>
                <w:sz w:val="18"/>
                <w:szCs w:val="18"/>
              </w:rPr>
            </w:pPr>
          </w:p>
        </w:tc>
        <w:tc>
          <w:tcPr>
            <w:tcW w:w="1720" w:type="dxa"/>
            <w:gridSpan w:val="2"/>
            <w:shd w:val="solid" w:color="FFFFFF" w:fill="FFFFFF"/>
            <w:vAlign w:val="center"/>
          </w:tcPr>
          <w:p w14:paraId="1BBE8C2E">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6970B795">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5C51B6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79A04C6F">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11C4921D">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2418FA46">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7C29AA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CFFFB23">
            <w:pPr>
              <w:spacing w:line="320" w:lineRule="exact"/>
              <w:jc w:val="left"/>
              <w:rPr>
                <w:rFonts w:ascii="宋体" w:hAnsi="宋体" w:cs="宋体"/>
                <w:bCs/>
                <w:sz w:val="18"/>
                <w:szCs w:val="18"/>
              </w:rPr>
            </w:pPr>
          </w:p>
        </w:tc>
      </w:tr>
      <w:tr w14:paraId="0009FC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49D4E030">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7B56BD2E">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3F62DA9D">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EBDCD1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34305BF4">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6E7D3424">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6FAED37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111861B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3428373F">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7AD7902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14:paraId="2A7058D3">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5A9C609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14:paraId="74C305D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0EB4084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130A8E7E">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3A1E8F7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4A986CA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6C09951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340211B7">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1373496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565392D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1C6F1BD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14:paraId="44217D72">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14:paraId="73366073">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5335935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2062ED9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0BD23A7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74F45B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2A1A69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0F012B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04761B8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085D0866">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2DED2DB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06510A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DFB7E9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14:paraId="5969F20B">
      <w:pPr>
        <w:widowControl/>
        <w:spacing w:line="360" w:lineRule="auto"/>
        <w:jc w:val="left"/>
        <w:rPr>
          <w:rFonts w:ascii="宋体" w:hAnsi="宋体" w:cs="仿宋_GB2312"/>
          <w:kern w:val="0"/>
          <w:sz w:val="18"/>
          <w:szCs w:val="18"/>
        </w:rPr>
      </w:pPr>
    </w:p>
    <w:p w14:paraId="0245F138">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7FBFB26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66FC3D2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44EBEE16">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60AB94E7">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7F049A47">
      <w:pPr>
        <w:widowControl/>
        <w:spacing w:line="360" w:lineRule="auto"/>
        <w:jc w:val="left"/>
        <w:rPr>
          <w:rFonts w:ascii="宋体" w:hAnsi="宋体" w:cs="仿宋_GB2312"/>
          <w:kern w:val="0"/>
          <w:sz w:val="18"/>
          <w:szCs w:val="18"/>
        </w:rPr>
      </w:pPr>
    </w:p>
    <w:p w14:paraId="32FB92A2">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468AEE1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0924018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6760136D">
      <w:pPr>
        <w:widowControl/>
        <w:spacing w:line="360" w:lineRule="auto"/>
        <w:jc w:val="left"/>
        <w:rPr>
          <w:rFonts w:ascii="宋体" w:hAnsi="宋体" w:cs="仿宋_GB2312"/>
          <w:kern w:val="0"/>
          <w:sz w:val="18"/>
          <w:szCs w:val="18"/>
        </w:rPr>
      </w:pPr>
    </w:p>
    <w:p w14:paraId="32F3F4F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1B9F5C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14:paraId="4E2754C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5664E1E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2F8223C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725EB97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1EE493D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w:t>
      </w:r>
      <w:r>
        <w:rPr>
          <w:rFonts w:ascii="宋体" w:hAnsi="宋体" w:cs="仿宋_GB2312"/>
          <w:kern w:val="0"/>
          <w:sz w:val="18"/>
          <w:szCs w:val="18"/>
        </w:rPr>
        <w:t>.</w:t>
      </w:r>
      <w:r>
        <w:rPr>
          <w:rFonts w:hint="eastAsia" w:ascii="宋体" w:hAnsi="宋体" w:cs="仿宋_GB2312"/>
          <w:kern w:val="0"/>
          <w:sz w:val="18"/>
          <w:szCs w:val="18"/>
        </w:rPr>
        <w:t>其他</w:t>
      </w:r>
    </w:p>
    <w:p w14:paraId="1605722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7A7C0EF4">
      <w:pPr>
        <w:widowControl/>
        <w:spacing w:line="360" w:lineRule="auto"/>
        <w:jc w:val="left"/>
        <w:rPr>
          <w:rFonts w:ascii="宋体" w:hAnsi="宋体" w:cs="仿宋_GB2312"/>
          <w:b/>
          <w:kern w:val="0"/>
          <w:sz w:val="18"/>
          <w:szCs w:val="18"/>
        </w:rPr>
      </w:pPr>
    </w:p>
    <w:p w14:paraId="1226BDC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352A264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w:t>
      </w:r>
      <w:r>
        <w:rPr>
          <w:rFonts w:ascii="黑体" w:hAnsi="黑体" w:eastAsia="黑体" w:cs="仿宋_GB2312"/>
          <w:kern w:val="0"/>
          <w:sz w:val="18"/>
          <w:szCs w:val="18"/>
        </w:rPr>
        <w:t>《</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85800C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14:paraId="0542491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3</w:t>
      </w:r>
      <w:r>
        <w:rPr>
          <w:rFonts w:hint="eastAsia" w:ascii="黑体" w:hAnsi="黑体" w:eastAsia="黑体" w:cs="仿宋_GB2312"/>
          <w:kern w:val="0"/>
          <w:sz w:val="18"/>
          <w:szCs w:val="18"/>
        </w:rPr>
        <w:t>）甲方确认乙方相关业务人员不存在代替甲方签署销售业务相关文件，或代替甲方进行风险承受能力评估、理财产品购买等操作，不存在代替甲方持有或安排他人代替甲方持有理财产品的情况。</w:t>
      </w:r>
    </w:p>
    <w:p w14:paraId="7897BF3D">
      <w:pPr>
        <w:widowControl/>
        <w:jc w:val="left"/>
        <w:rPr>
          <w:rFonts w:ascii="宋体" w:hAnsi="宋体" w:cs="仿宋_GB2312"/>
          <w:b/>
          <w:kern w:val="0"/>
          <w:sz w:val="18"/>
          <w:szCs w:val="18"/>
        </w:rPr>
      </w:pPr>
      <w:r>
        <w:rPr>
          <w:rFonts w:ascii="宋体" w:hAnsi="宋体" w:cs="仿宋_GB2312"/>
          <w:b/>
          <w:kern w:val="0"/>
          <w:sz w:val="18"/>
          <w:szCs w:val="18"/>
        </w:rPr>
        <w:br w:type="page"/>
      </w:r>
    </w:p>
    <w:p w14:paraId="4E54DE7B">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343420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4F646998">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2209F2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091ED70D">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50B70ECC">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2E550EE6">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3B9D219A">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345B27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14:paraId="3E71A381">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67D2AD7D">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5EB4ED14">
            <w:pPr>
              <w:spacing w:line="360" w:lineRule="auto"/>
              <w:rPr>
                <w:rFonts w:ascii="Calibri" w:hAnsi="Calibri" w:cs="宋体"/>
                <w:kern w:val="0"/>
                <w:sz w:val="18"/>
                <w:szCs w:val="18"/>
              </w:rPr>
            </w:pPr>
            <w:r>
              <w:rPr>
                <w:rFonts w:hint="eastAsia" w:ascii="Calibri" w:hAnsi="Calibri" w:cs="宋体"/>
                <w:kern w:val="0"/>
                <w:sz w:val="18"/>
                <w:szCs w:val="18"/>
              </w:rPr>
              <w:t>甲方（签名</w:t>
            </w:r>
            <w:r>
              <w:rPr>
                <w:rFonts w:ascii="Calibri" w:hAnsi="Calibri" w:cs="宋体"/>
                <w:kern w:val="0"/>
                <w:sz w:val="18"/>
                <w:szCs w:val="18"/>
              </w:rPr>
              <w:t>/</w:t>
            </w:r>
            <w:r>
              <w:rPr>
                <w:rFonts w:hint="eastAsia" w:ascii="Calibri" w:hAnsi="Calibri" w:cs="宋体"/>
                <w:kern w:val="0"/>
                <w:sz w:val="18"/>
                <w:szCs w:val="18"/>
              </w:rPr>
              <w:t>线上确认）：</w:t>
            </w:r>
          </w:p>
          <w:p w14:paraId="4397BB2D">
            <w:pPr>
              <w:spacing w:line="360" w:lineRule="auto"/>
              <w:rPr>
                <w:rFonts w:ascii="Calibri" w:hAnsi="Calibri" w:cs="宋体"/>
                <w:b/>
                <w:kern w:val="0"/>
                <w:sz w:val="18"/>
                <w:szCs w:val="18"/>
              </w:rPr>
            </w:pPr>
          </w:p>
          <w:p w14:paraId="2F9EA4FC">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3938C0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52EA4BD6">
            <w:pPr>
              <w:spacing w:line="360" w:lineRule="auto"/>
              <w:rPr>
                <w:rFonts w:ascii="Calibri" w:hAnsi="Calibri" w:cs="宋体"/>
                <w:b/>
                <w:kern w:val="0"/>
                <w:sz w:val="18"/>
                <w:szCs w:val="18"/>
              </w:rPr>
            </w:pPr>
          </w:p>
        </w:tc>
        <w:tc>
          <w:tcPr>
            <w:tcW w:w="851" w:type="dxa"/>
          </w:tcPr>
          <w:p w14:paraId="42C5D54B">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608C86BE">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w:t>
            </w:r>
            <w:r>
              <w:rPr>
                <w:rFonts w:ascii="Calibri" w:hAnsi="Calibri" w:cs="宋体"/>
                <w:kern w:val="0"/>
                <w:sz w:val="18"/>
                <w:szCs w:val="18"/>
              </w:rPr>
              <w:t>/</w:t>
            </w:r>
            <w:r>
              <w:rPr>
                <w:rFonts w:hint="eastAsia" w:ascii="Calibri" w:hAnsi="Calibri" w:cs="宋体"/>
                <w:kern w:val="0"/>
                <w:sz w:val="18"/>
                <w:szCs w:val="18"/>
              </w:rPr>
              <w:t>线上确认</w:t>
            </w:r>
            <w:r>
              <w:rPr>
                <w:rFonts w:hint="eastAsia" w:ascii="Calibri" w:hAnsi="Calibri" w:cs="Arial"/>
                <w:kern w:val="0"/>
                <w:sz w:val="18"/>
                <w:szCs w:val="18"/>
              </w:rPr>
              <w:t>）：</w:t>
            </w:r>
          </w:p>
          <w:p w14:paraId="4AE97EE7">
            <w:pPr>
              <w:spacing w:line="360" w:lineRule="auto"/>
              <w:rPr>
                <w:rFonts w:ascii="Calibri" w:hAnsi="Calibri" w:cs="Arial"/>
                <w:kern w:val="0"/>
                <w:sz w:val="18"/>
                <w:szCs w:val="18"/>
              </w:rPr>
            </w:pPr>
          </w:p>
          <w:p w14:paraId="090D416D">
            <w:pPr>
              <w:spacing w:line="360" w:lineRule="auto"/>
              <w:rPr>
                <w:rFonts w:ascii="Calibri" w:hAnsi="Calibri" w:cs="宋体"/>
                <w:b/>
                <w:kern w:val="0"/>
                <w:sz w:val="18"/>
                <w:szCs w:val="18"/>
              </w:rPr>
            </w:pPr>
            <w:r>
              <w:rPr>
                <w:rFonts w:hint="eastAsia" w:ascii="Calibri" w:hAnsi="Calibri" w:cs="Arial"/>
                <w:kern w:val="0"/>
                <w:sz w:val="18"/>
                <w:szCs w:val="18"/>
              </w:rPr>
              <w:t>甲方法定代表人或授权代理人（签名</w:t>
            </w:r>
            <w:r>
              <w:rPr>
                <w:rFonts w:ascii="Calibri" w:hAnsi="Calibri" w:cs="宋体"/>
                <w:kern w:val="0"/>
                <w:sz w:val="18"/>
                <w:szCs w:val="18"/>
              </w:rPr>
              <w:t>/</w:t>
            </w:r>
            <w:r>
              <w:rPr>
                <w:rFonts w:hint="eastAsia" w:ascii="Calibri" w:hAnsi="Calibri" w:cs="Arial"/>
                <w:kern w:val="0"/>
                <w:sz w:val="18"/>
                <w:szCs w:val="18"/>
              </w:rPr>
              <w:t>盖章</w:t>
            </w:r>
            <w:r>
              <w:rPr>
                <w:rFonts w:ascii="Calibri" w:hAnsi="Calibri" w:cs="宋体"/>
                <w:kern w:val="0"/>
                <w:sz w:val="18"/>
                <w:szCs w:val="18"/>
              </w:rPr>
              <w:t>/</w:t>
            </w:r>
            <w:r>
              <w:rPr>
                <w:rFonts w:hint="eastAsia" w:ascii="Calibri" w:hAnsi="Calibri" w:cs="宋体"/>
                <w:kern w:val="0"/>
                <w:sz w:val="18"/>
                <w:szCs w:val="18"/>
              </w:rPr>
              <w:t>线上确认</w:t>
            </w:r>
            <w:r>
              <w:rPr>
                <w:rFonts w:hint="eastAsia" w:ascii="Calibri" w:hAnsi="Calibri" w:cs="Arial"/>
                <w:kern w:val="0"/>
                <w:sz w:val="18"/>
                <w:szCs w:val="18"/>
              </w:rPr>
              <w:t>）：</w:t>
            </w:r>
          </w:p>
          <w:p w14:paraId="518B3C33">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631714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50E0C9F6">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52A8C5A5">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ascii="Calibri" w:hAnsi="Calibri" w:cs="宋体"/>
                <w:kern w:val="0"/>
                <w:sz w:val="18"/>
                <w:szCs w:val="18"/>
              </w:rPr>
              <w:t>）</w:t>
            </w:r>
            <w:r>
              <w:rPr>
                <w:rFonts w:hint="eastAsia" w:ascii="Calibri" w:hAnsi="Calibri" w:cs="宋体"/>
                <w:kern w:val="0"/>
                <w:sz w:val="18"/>
                <w:szCs w:val="18"/>
              </w:rPr>
              <w:t>：</w:t>
            </w:r>
          </w:p>
          <w:p w14:paraId="07B9985F">
            <w:pPr>
              <w:spacing w:line="360" w:lineRule="auto"/>
              <w:rPr>
                <w:rFonts w:ascii="Calibri" w:hAnsi="Calibri" w:cs="宋体"/>
                <w:b/>
                <w:kern w:val="0"/>
                <w:sz w:val="18"/>
                <w:szCs w:val="18"/>
              </w:rPr>
            </w:pPr>
          </w:p>
          <w:p w14:paraId="4AC9B2EC">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3161B19B">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7A9C2332">
      <w:pPr>
        <w:rPr>
          <w:rFonts w:ascii="Calibri" w:hAnsi="Calibri" w:cs="宋体"/>
          <w:szCs w:val="22"/>
        </w:rPr>
      </w:pPr>
    </w:p>
    <w:p w14:paraId="2BBE067F">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4EED8B53">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兴银理财【添利】</w:t>
      </w:r>
      <w:r>
        <w:rPr>
          <w:rFonts w:ascii="黑体" w:hAnsi="黑体" w:eastAsia="黑体" w:cs="宋体"/>
          <w:b/>
          <w:bCs/>
          <w:sz w:val="28"/>
          <w:szCs w:val="28"/>
        </w:rPr>
        <w:t>理财产品</w:t>
      </w:r>
    </w:p>
    <w:p w14:paraId="4F5D87C3">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7E89A66E">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664122AD">
      <w:pPr>
        <w:rPr>
          <w:rFonts w:ascii="宋体" w:hAnsi="宋体" w:cs="仿宋_GB2312"/>
          <w:b/>
          <w:kern w:val="0"/>
          <w:sz w:val="18"/>
          <w:szCs w:val="18"/>
        </w:rPr>
      </w:pPr>
      <w:r>
        <w:rPr>
          <w:rFonts w:hint="eastAsia" w:ascii="宋体" w:hAnsi="宋体" w:cs="仿宋_GB2312"/>
          <w:b/>
          <w:kern w:val="0"/>
          <w:sz w:val="18"/>
          <w:szCs w:val="18"/>
        </w:rPr>
        <w:t>尊敬的投资者：</w:t>
      </w:r>
    </w:p>
    <w:p w14:paraId="5B0111DF">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53260395">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0C51503">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14:paraId="0000A952">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14:paraId="522F7E25">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cs="宋体" w:asciiTheme="minorEastAsia" w:hAnsiTheme="minorEastAsia"/>
          <w:sz w:val="18"/>
          <w:szCs w:val="18"/>
        </w:rPr>
        <w:t>兴银理财添利天天利</w:t>
      </w:r>
      <w:r>
        <w:rPr>
          <w:rFonts w:hint="eastAsia" w:cs="宋体" w:asciiTheme="minorEastAsia" w:hAnsiTheme="minorEastAsia"/>
          <w:sz w:val="18"/>
          <w:szCs w:val="18"/>
          <w:lang w:val="en-US" w:eastAsia="zh-CN"/>
        </w:rPr>
        <w:t>61</w:t>
      </w:r>
      <w:r>
        <w:rPr>
          <w:rFonts w:hint="eastAsia" w:cs="宋体" w:asciiTheme="minorEastAsia" w:hAnsiTheme="minorEastAsia"/>
          <w:sz w:val="18"/>
          <w:szCs w:val="18"/>
        </w:rPr>
        <w:t>号现金管理</w:t>
      </w:r>
      <w:r>
        <w:rPr>
          <w:rFonts w:hint="eastAsia" w:cs="宋体" w:asciiTheme="minorEastAsia" w:hAnsiTheme="minorEastAsia"/>
          <w:sz w:val="18"/>
          <w:szCs w:val="18"/>
          <w:lang w:val="en-US" w:eastAsia="zh-CN"/>
        </w:rPr>
        <w:t>类</w:t>
      </w:r>
      <w:r>
        <w:rPr>
          <w:rFonts w:hint="eastAsia" w:cs="宋体" w:asciiTheme="minorEastAsia" w:hAnsiTheme="minorEastAsia"/>
          <w:sz w:val="18"/>
          <w:szCs w:val="18"/>
        </w:rPr>
        <w:t>理财产品</w:t>
      </w:r>
      <w:r>
        <w:rPr>
          <w:rFonts w:hint="eastAsia" w:ascii="宋体" w:hAnsi="宋体" w:cs="仿宋_GB2312"/>
          <w:kern w:val="0"/>
          <w:sz w:val="18"/>
          <w:szCs w:val="18"/>
        </w:rPr>
        <w:t>】</w:t>
      </w:r>
    </w:p>
    <w:p w14:paraId="3CF288BE">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cs="宋体" w:asciiTheme="majorEastAsia" w:hAnsiTheme="majorEastAsia" w:eastAsiaTheme="majorEastAsia"/>
          <w:bCs/>
          <w:kern w:val="0"/>
          <w:sz w:val="18"/>
          <w:szCs w:val="18"/>
        </w:rPr>
        <w:t>【</w:t>
      </w:r>
      <w:r>
        <w:rPr>
          <w:rFonts w:hint="eastAsia" w:cs="宋体" w:asciiTheme="minorEastAsia" w:hAnsiTheme="minorEastAsia"/>
          <w:sz w:val="18"/>
          <w:szCs w:val="18"/>
        </w:rPr>
        <w:t>兴银添利天天利</w:t>
      </w:r>
      <w:r>
        <w:rPr>
          <w:rFonts w:hint="eastAsia" w:cs="宋体" w:asciiTheme="minorEastAsia" w:hAnsiTheme="minorEastAsia"/>
          <w:sz w:val="18"/>
          <w:szCs w:val="18"/>
          <w:lang w:val="en-US" w:eastAsia="zh-CN"/>
        </w:rPr>
        <w:t>61号E</w:t>
      </w:r>
      <w:r>
        <w:rPr>
          <w:rFonts w:hint="eastAsia" w:cs="宋体" w:asciiTheme="majorEastAsia" w:hAnsiTheme="majorEastAsia" w:eastAsiaTheme="majorEastAsia"/>
          <w:bCs/>
          <w:kern w:val="0"/>
          <w:sz w:val="18"/>
          <w:szCs w:val="18"/>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E</w:t>
      </w:r>
      <w:r>
        <w:rPr>
          <w:rFonts w:hint="eastAsia" w:ascii="宋体" w:hAnsi="宋体" w:cs="仿宋_GB2312"/>
          <w:kern w:val="0"/>
          <w:sz w:val="18"/>
          <w:szCs w:val="18"/>
        </w:rPr>
        <w:t>】类份额）</w:t>
      </w:r>
    </w:p>
    <w:p w14:paraId="68DB886E">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r>
        <w:rPr>
          <w:rFonts w:hint="eastAsia" w:ascii="宋体" w:hAnsi="宋体" w:cs="宋体"/>
          <w:bCs/>
          <w:sz w:val="18"/>
          <w:szCs w:val="18"/>
        </w:rPr>
        <w:t>Z7002025000652</w:t>
      </w:r>
      <w:r>
        <w:rPr>
          <w:rFonts w:hint="eastAsia" w:ascii="宋体" w:hAnsi="宋体" w:cs="仿宋_GB2312"/>
          <w:kern w:val="0"/>
          <w:sz w:val="18"/>
          <w:szCs w:val="18"/>
        </w:rPr>
        <w:t>】</w:t>
      </w:r>
    </w:p>
    <w:p w14:paraId="2EC85CE0">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7E695DC4">
      <w:pPr>
        <w:ind w:firstLine="448" w:firstLineChars="249"/>
        <w:rPr>
          <w:rFonts w:ascii="宋体" w:hAnsi="宋体" w:cs="仿宋_GB2312"/>
          <w:kern w:val="0"/>
          <w:sz w:val="18"/>
          <w:szCs w:val="18"/>
        </w:rPr>
      </w:pPr>
      <w:r>
        <w:rPr>
          <w:rFonts w:hint="eastAsia" w:ascii="宋体" w:hAnsi="宋体" w:cs="仿宋_GB2312"/>
          <w:kern w:val="0"/>
          <w:sz w:val="18"/>
          <w:szCs w:val="18"/>
        </w:rPr>
        <w:t>【公募、开放式、固定收益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60E47958">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A201AEE">
      <w:pPr>
        <w:ind w:firstLine="448" w:firstLineChars="249"/>
        <w:rPr>
          <w:rFonts w:ascii="宋体" w:hAnsi="宋体" w:cs="仿宋_GB2312"/>
          <w:kern w:val="0"/>
          <w:sz w:val="18"/>
          <w:szCs w:val="18"/>
        </w:rPr>
      </w:pPr>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r>
        <w:rPr>
          <w:rFonts w:ascii="宋体" w:hAnsi="宋体" w:cs="仿宋_GB2312"/>
          <w:kern w:val="0"/>
          <w:sz w:val="18"/>
          <w:szCs w:val="18"/>
        </w:rPr>
        <w:t>。</w:t>
      </w:r>
    </w:p>
    <w:p w14:paraId="53A7C6D1">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6C7A9895">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4B51F3F2">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54E82DE0">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0B23A56D">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本理财产品风险评级最终定义为【R1</w:t>
      </w:r>
      <w:r>
        <w:rPr>
          <w:rFonts w:ascii="宋体" w:hAnsi="宋体" w:cs="仿宋_GB2312"/>
          <w:kern w:val="0"/>
          <w:sz w:val="18"/>
          <w:szCs w:val="18"/>
        </w:rPr>
        <w:t>】</w:t>
      </w:r>
      <w:r>
        <w:rPr>
          <w:rFonts w:hint="eastAsia" w:ascii="宋体" w:hAnsi="宋体" w:cs="仿宋_GB2312"/>
          <w:kern w:val="0"/>
          <w:sz w:val="18"/>
          <w:szCs w:val="18"/>
        </w:rPr>
        <w:t>（产品管理人定义的产品风险评级为【</w:t>
      </w:r>
      <w:r>
        <w:rPr>
          <w:rFonts w:hint="eastAsia" w:ascii="宋体" w:hAnsi="宋体" w:cs="仿宋_GB2312"/>
          <w:kern w:val="0"/>
          <w:sz w:val="18"/>
          <w:szCs w:val="18"/>
          <w:lang w:val="en-US" w:eastAsia="zh-CN"/>
        </w:rPr>
        <w:t>R1</w:t>
      </w:r>
      <w:r>
        <w:rPr>
          <w:rFonts w:hint="eastAsia" w:ascii="宋体" w:hAnsi="宋体" w:cs="仿宋_GB2312"/>
          <w:kern w:val="0"/>
          <w:sz w:val="18"/>
          <w:szCs w:val="18"/>
        </w:rPr>
        <w:t>】；代理销售机构定义的产品风险评级为【</w:t>
      </w:r>
      <w:r>
        <w:rPr>
          <w:rFonts w:hint="eastAsia" w:ascii="宋体" w:hAnsi="宋体" w:cs="仿宋_GB2312"/>
          <w:kern w:val="0"/>
          <w:sz w:val="18"/>
          <w:szCs w:val="18"/>
          <w:lang w:val="en-US" w:eastAsia="zh-CN"/>
        </w:rPr>
        <w:t>R1</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6194BD32">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4B843964">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347D5555">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14:paraId="37997264">
      <w:pPr>
        <w:ind w:firstLine="360" w:firstLineChars="200"/>
        <w:rPr>
          <w:rFonts w:hint="eastAsia" w:cs="宋体" w:asciiTheme="majorEastAsia" w:hAnsiTheme="majorEastAsia" w:eastAsiaTheme="majorEastAsia"/>
          <w:bCs/>
          <w:color w:val="000000" w:themeColor="text1"/>
          <w:sz w:val="18"/>
          <w:szCs w:val="18"/>
          <w:lang w:eastAsia="zh-CN"/>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■机构投资者：■一般机构客户【■</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】，□金融同业客户【□ C1、□ C2、□ C3、□ C4、□ C5】</w:t>
      </w:r>
    </w:p>
    <w:p w14:paraId="17A4EFC8">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771CC8C4">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612382AA">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31B5EEFA">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396D7C27">
      <w:pPr>
        <w:ind w:firstLine="448" w:firstLineChars="249"/>
        <w:rPr>
          <w:rFonts w:cs="仿宋_GB2312" w:asciiTheme="minorEastAsia" w:hAnsiTheme="minorEastAsia"/>
          <w:kern w:val="0"/>
          <w:sz w:val="18"/>
          <w:szCs w:val="18"/>
        </w:rPr>
      </w:pPr>
      <w:r>
        <w:rPr>
          <w:rFonts w:hint="eastAsia" w:ascii="宋体" w:hAnsi="宋体" w:cs="宋体"/>
          <w:sz w:val="18"/>
          <w:szCs w:val="18"/>
        </w:rPr>
        <w:t>【</w:t>
      </w:r>
      <w:r>
        <w:rPr>
          <w:rFonts w:hint="eastAsia" w:cs="仿宋_GB2312" w:asciiTheme="minorEastAsia" w:hAnsiTheme="minorEastAsia"/>
          <w:kern w:val="0"/>
          <w:sz w:val="18"/>
          <w:szCs w:val="18"/>
        </w:rPr>
        <w:t>1.拟投资市场和资产的风险：</w:t>
      </w:r>
    </w:p>
    <w:p w14:paraId="78118721">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14:paraId="7532C252">
      <w:pPr>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14:paraId="2945BA13">
      <w:pPr>
        <w:ind w:firstLine="448" w:firstLineChars="249"/>
        <w:rPr>
          <w:rFonts w:cs="仿宋_GB2312" w:asciiTheme="minorEastAsia" w:hAnsiTheme="minorEastAsia" w:eastAsiaTheme="minorEastAsia"/>
          <w:kern w:val="0"/>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26F2C2C4">
      <w:pPr>
        <w:ind w:firstLine="360" w:firstLineChars="200"/>
        <w:rPr>
          <w:rFonts w:ascii="宋体" w:hAnsi="宋体" w:cs="宋体"/>
          <w:sz w:val="18"/>
          <w:szCs w:val="18"/>
        </w:rPr>
      </w:pPr>
      <w:r>
        <w:rPr>
          <w:rFonts w:hint="eastAsia" w:ascii="宋体" w:hAnsi="宋体" w:cs="宋体"/>
          <w:sz w:val="18"/>
          <w:szCs w:val="18"/>
        </w:rPr>
        <w:t>】</w:t>
      </w:r>
    </w:p>
    <w:p w14:paraId="600FF814">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7C60C71D">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（二）投资者投资本产品可能面临的一般风险主要包括（但不限于）：</w:t>
      </w:r>
      <w:r>
        <w:rPr>
          <w:rFonts w:ascii="宋体" w:hAnsi="宋体" w:eastAsia="宋体" w:cs="宋体"/>
          <w:b/>
          <w:bCs/>
          <w:kern w:val="2"/>
          <w:sz w:val="18"/>
          <w:szCs w:val="18"/>
          <w:lang w:val="en-US" w:eastAsia="zh-CN" w:bidi="ar-SA"/>
        </w:rPr>
        <w:t xml:space="preserve"> </w:t>
      </w:r>
    </w:p>
    <w:p w14:paraId="33D71415">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1715DEB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6BEC69A1">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6F54FFB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C0B831A">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6C388CD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3CF5292">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336DBB59">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19AF1DC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7BFB586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398F0705">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68BC5556">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1607E603">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4E7F8A2A">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743BB195">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6A19E3EA">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7CB74D2F">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7D634439">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59F32034">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0C38050B">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78CFC72F">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5A6278BF">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598C0568">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290EDEE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645FEC4D">
      <w:pPr>
        <w:widowControl w:val="0"/>
        <w:ind w:firstLine="420"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1FD88FFB">
      <w:pPr>
        <w:widowControl w:val="0"/>
        <w:ind w:firstLine="420" w:firstLineChars="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w:t>
      </w:r>
      <w:r>
        <w:rPr>
          <w:rFonts w:hint="eastAsia" w:cs="宋体" w:asciiTheme="minorEastAsia" w:hAnsiTheme="minorEastAsia" w:eastAsiaTheme="minorEastAsia"/>
          <w:kern w:val="2"/>
          <w:sz w:val="18"/>
          <w:szCs w:val="18"/>
          <w:lang w:val="en-US" w:eastAsia="zh-CN" w:bidi="ar-SA"/>
        </w:rPr>
        <w:t>每万份理财收益和</w:t>
      </w:r>
      <w:r>
        <w:rPr>
          <w:rFonts w:cs="宋体" w:asciiTheme="minorEastAsia" w:hAnsiTheme="minorEastAsia" w:eastAsiaTheme="minorEastAsia"/>
          <w:kern w:val="2"/>
          <w:sz w:val="18"/>
          <w:szCs w:val="18"/>
          <w:lang w:val="en-US" w:eastAsia="zh-CN" w:bidi="ar-SA"/>
        </w:rPr>
        <w:t>7</w:t>
      </w:r>
      <w:r>
        <w:rPr>
          <w:rFonts w:hint="eastAsia" w:cs="宋体" w:asciiTheme="minorEastAsia" w:hAnsiTheme="minorEastAsia" w:eastAsiaTheme="minorEastAsia"/>
          <w:kern w:val="2"/>
          <w:sz w:val="18"/>
          <w:szCs w:val="18"/>
          <w:lang w:val="en-US" w:eastAsia="zh-CN" w:bidi="ar-SA"/>
        </w:rPr>
        <w:t>日年化收益率</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存在下跌的风险。</w:t>
      </w:r>
    </w:p>
    <w:p w14:paraId="373D280C">
      <w:pPr>
        <w:widowControl w:val="0"/>
        <w:ind w:firstLine="420"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2B1678B0">
      <w:pPr>
        <w:widowControl w:val="0"/>
        <w:ind w:firstLine="420" w:firstLineChars="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w:t>
      </w:r>
      <w:r>
        <w:rPr>
          <w:rFonts w:hint="eastAsia" w:cs="宋体" w:asciiTheme="minorEastAsia" w:hAnsiTheme="minorEastAsia" w:eastAsiaTheme="minorEastAsia"/>
          <w:kern w:val="2"/>
          <w:sz w:val="18"/>
          <w:szCs w:val="18"/>
          <w:lang w:val="en-US" w:eastAsia="zh-CN" w:bidi="ar-SA"/>
        </w:rPr>
        <w:t>每万份理财收益和</w:t>
      </w:r>
      <w:r>
        <w:rPr>
          <w:rFonts w:cs="宋体" w:asciiTheme="minorEastAsia" w:hAnsiTheme="minorEastAsia" w:eastAsiaTheme="minorEastAsia"/>
          <w:kern w:val="2"/>
          <w:sz w:val="18"/>
          <w:szCs w:val="18"/>
          <w:lang w:val="en-US" w:eastAsia="zh-CN" w:bidi="ar-SA"/>
        </w:rPr>
        <w:t>7</w:t>
      </w:r>
      <w:r>
        <w:rPr>
          <w:rFonts w:hint="eastAsia" w:cs="宋体" w:asciiTheme="minorEastAsia" w:hAnsiTheme="minorEastAsia" w:eastAsiaTheme="minorEastAsia"/>
          <w:kern w:val="2"/>
          <w:sz w:val="18"/>
          <w:szCs w:val="18"/>
          <w:lang w:val="en-US" w:eastAsia="zh-CN" w:bidi="ar-SA"/>
        </w:rPr>
        <w:t>日年化收益率</w:t>
      </w:r>
      <w:r>
        <w:rPr>
          <w:rFonts w:hint="eastAsia" w:ascii="宋体" w:hAnsi="宋体" w:eastAsia="宋体" w:cs="宋体"/>
          <w:bCs/>
          <w:kern w:val="2"/>
          <w:sz w:val="18"/>
          <w:szCs w:val="18"/>
          <w:lang w:val="en-US" w:eastAsia="zh-CN" w:bidi="ar-SA"/>
        </w:rPr>
        <w:t>。</w:t>
      </w:r>
    </w:p>
    <w:p w14:paraId="7DC3CD09">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36670282">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5579798">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232B4699">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32435C49">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14:paraId="2190757D">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2F43A4AA">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5980DAF4">
      <w:pPr>
        <w:autoSpaceDE w:val="0"/>
        <w:autoSpaceDN w:val="0"/>
        <w:adjustRightInd w:val="0"/>
        <w:ind w:firstLine="420"/>
        <w:jc w:val="left"/>
        <w:rPr>
          <w:rFonts w:ascii="黑体" w:hAnsi="黑体" w:eastAsia="黑体" w:cs="宋体"/>
          <w:bCs/>
          <w:sz w:val="18"/>
          <w:szCs w:val="18"/>
        </w:rPr>
      </w:pPr>
      <w:r>
        <w:rPr>
          <w:rFonts w:hint="eastAsia" w:ascii="黑体" w:hAnsi="黑体" w:eastAsia="黑体" w:cs="宋体"/>
          <w:bCs/>
          <w:sz w:val="18"/>
          <w:szCs w:val="18"/>
        </w:rPr>
        <w:t>五、【非机构投资者适用】《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14:paraId="688061CC">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2A63DA88">
      <w:pPr>
        <w:ind w:left="540"/>
        <w:jc w:val="right"/>
        <w:rPr>
          <w:rFonts w:ascii="宋体" w:hAnsi="宋体" w:cs="宋体"/>
          <w:sz w:val="18"/>
          <w:szCs w:val="18"/>
        </w:rPr>
      </w:pPr>
    </w:p>
    <w:p w14:paraId="2064971E">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09D53E54">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1E4C3F44">
      <w:pPr>
        <w:widowControl/>
        <w:jc w:val="left"/>
        <w:rPr>
          <w:rFonts w:ascii="宋体" w:hAnsi="宋体" w:cs="宋体"/>
          <w:sz w:val="18"/>
          <w:szCs w:val="18"/>
        </w:rPr>
      </w:pPr>
      <w:r>
        <w:rPr>
          <w:rFonts w:ascii="宋体" w:hAnsi="宋体" w:cs="宋体"/>
          <w:sz w:val="18"/>
          <w:szCs w:val="18"/>
        </w:rPr>
        <w:br w:type="page"/>
      </w:r>
    </w:p>
    <w:p w14:paraId="23D9B423">
      <w:pPr>
        <w:ind w:left="540"/>
        <w:jc w:val="right"/>
        <w:rPr>
          <w:rFonts w:ascii="宋体" w:hAnsi="宋体" w:cs="宋体"/>
          <w:sz w:val="18"/>
          <w:szCs w:val="18"/>
        </w:rPr>
      </w:pPr>
    </w:p>
    <w:p w14:paraId="6B494878">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63926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09014E48">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B298C8B">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01C1F2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3310A2C9">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14:paraId="1296B2BB">
            <w:pPr>
              <w:spacing w:line="280" w:lineRule="atLeast"/>
              <w:jc w:val="left"/>
              <w:rPr>
                <w:rFonts w:ascii="宋体" w:hAnsi="宋体" w:cs="Arial"/>
                <w:sz w:val="18"/>
                <w:szCs w:val="18"/>
              </w:rPr>
            </w:pPr>
          </w:p>
          <w:p w14:paraId="41204E2B">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0350A04">
            <w:pPr>
              <w:spacing w:line="280" w:lineRule="atLeast"/>
              <w:jc w:val="left"/>
              <w:rPr>
                <w:rFonts w:ascii="宋体" w:hAnsi="宋体" w:cs="Arial"/>
                <w:kern w:val="0"/>
                <w:sz w:val="18"/>
                <w:szCs w:val="18"/>
              </w:rPr>
            </w:pPr>
          </w:p>
          <w:p w14:paraId="11056272">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67FDE5B7">
            <w:pPr>
              <w:spacing w:line="280" w:lineRule="atLeast"/>
              <w:jc w:val="left"/>
              <w:rPr>
                <w:rFonts w:ascii="宋体" w:hAnsi="宋体" w:cs="Arial"/>
                <w:kern w:val="0"/>
                <w:sz w:val="18"/>
                <w:szCs w:val="18"/>
              </w:rPr>
            </w:pPr>
          </w:p>
          <w:p w14:paraId="2EF4A422">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013E82D6">
            <w:pPr>
              <w:spacing w:line="280" w:lineRule="atLeast"/>
              <w:jc w:val="left"/>
              <w:rPr>
                <w:rFonts w:ascii="Calibri" w:hAnsi="Calibri" w:cs="宋体"/>
                <w:kern w:val="0"/>
                <w:sz w:val="18"/>
                <w:szCs w:val="18"/>
                <w:u w:val="single"/>
              </w:rPr>
            </w:pPr>
          </w:p>
          <w:p w14:paraId="0AC79571">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投资者签名/线上确认：</w:t>
            </w:r>
          </w:p>
          <w:p w14:paraId="0158E18A">
            <w:pPr>
              <w:spacing w:line="280" w:lineRule="atLeast"/>
              <w:ind w:left="4200" w:firstLine="1080" w:firstLineChars="600"/>
              <w:jc w:val="left"/>
              <w:rPr>
                <w:rFonts w:ascii="宋体" w:hAnsi="宋体" w:cs="Arial"/>
                <w:kern w:val="0"/>
                <w:sz w:val="18"/>
                <w:szCs w:val="18"/>
              </w:rPr>
            </w:pPr>
          </w:p>
          <w:p w14:paraId="52CB0CF5">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7390D8B4">
            <w:pPr>
              <w:spacing w:line="280" w:lineRule="atLeast"/>
              <w:ind w:left="4200" w:firstLine="1080" w:firstLineChars="600"/>
              <w:jc w:val="left"/>
              <w:rPr>
                <w:rFonts w:ascii="宋体" w:hAnsi="宋体" w:cs="Arial"/>
                <w:kern w:val="0"/>
                <w:sz w:val="18"/>
                <w:szCs w:val="18"/>
              </w:rPr>
            </w:pPr>
          </w:p>
          <w:p w14:paraId="217C0C15">
            <w:pPr>
              <w:spacing w:line="280" w:lineRule="atLeast"/>
              <w:jc w:val="left"/>
              <w:rPr>
                <w:rFonts w:ascii="宋体" w:hAnsi="宋体" w:cs="Arial"/>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45CBB26C">
            <w:pPr>
              <w:spacing w:line="280" w:lineRule="atLeast"/>
              <w:jc w:val="right"/>
              <w:rPr>
                <w:rFonts w:ascii="宋体" w:hAnsi="宋体" w:cs="宋体"/>
                <w:kern w:val="0"/>
                <w:sz w:val="18"/>
                <w:szCs w:val="18"/>
              </w:rPr>
            </w:pPr>
          </w:p>
        </w:tc>
      </w:tr>
    </w:tbl>
    <w:p w14:paraId="726E2D08">
      <w:pPr>
        <w:autoSpaceDE w:val="0"/>
        <w:autoSpaceDN w:val="0"/>
        <w:adjustRightInd w:val="0"/>
        <w:spacing w:line="360" w:lineRule="auto"/>
        <w:ind w:firstLine="420"/>
        <w:jc w:val="left"/>
        <w:rPr>
          <w:rFonts w:ascii="宋体" w:hAnsi="宋体" w:cs="宋体"/>
          <w:sz w:val="24"/>
          <w:szCs w:val="22"/>
        </w:rPr>
      </w:pPr>
    </w:p>
    <w:p w14:paraId="4A6AA60E">
      <w:pPr>
        <w:rPr>
          <w:rFonts w:ascii="宋体" w:hAnsi="宋体" w:cs="Arial"/>
          <w:sz w:val="24"/>
          <w:szCs w:val="22"/>
        </w:rPr>
      </w:pPr>
    </w:p>
    <w:p w14:paraId="5B5956CA">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7E7E0C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0239F51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67E9DCA9">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68A524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D5AAF9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14:paraId="34FF15C0">
            <w:pPr>
              <w:spacing w:line="280" w:lineRule="atLeast"/>
              <w:ind w:firstLine="360" w:firstLineChars="200"/>
              <w:jc w:val="left"/>
              <w:rPr>
                <w:rFonts w:ascii="宋体" w:hAnsi="宋体" w:cs="Arial"/>
                <w:kern w:val="0"/>
                <w:sz w:val="18"/>
                <w:szCs w:val="18"/>
              </w:rPr>
            </w:pPr>
          </w:p>
          <w:p w14:paraId="55635FF2">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8182F79">
            <w:pPr>
              <w:spacing w:line="280" w:lineRule="atLeast"/>
              <w:ind w:firstLine="360" w:firstLineChars="200"/>
              <w:jc w:val="left"/>
              <w:rPr>
                <w:rFonts w:ascii="宋体" w:hAnsi="宋体" w:cs="Arial"/>
                <w:kern w:val="0"/>
                <w:sz w:val="18"/>
                <w:szCs w:val="18"/>
              </w:rPr>
            </w:pPr>
          </w:p>
          <w:p w14:paraId="28FAF838">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00BD23A">
            <w:pPr>
              <w:spacing w:line="280" w:lineRule="atLeast"/>
              <w:jc w:val="left"/>
              <w:rPr>
                <w:rFonts w:ascii="宋体" w:hAnsi="宋体" w:cs="Arial"/>
                <w:kern w:val="0"/>
                <w:sz w:val="18"/>
                <w:szCs w:val="18"/>
              </w:rPr>
            </w:pPr>
          </w:p>
          <w:p w14:paraId="22DF3A48">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31C5BC45">
            <w:pPr>
              <w:spacing w:line="280" w:lineRule="atLeast"/>
              <w:jc w:val="left"/>
              <w:rPr>
                <w:rFonts w:ascii="宋体" w:hAnsi="宋体" w:cs="Arial"/>
                <w:kern w:val="0"/>
                <w:sz w:val="18"/>
                <w:szCs w:val="18"/>
              </w:rPr>
            </w:pPr>
          </w:p>
          <w:p w14:paraId="198CBC85">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384FDFF8">
            <w:pPr>
              <w:spacing w:line="280" w:lineRule="atLeast"/>
              <w:jc w:val="left"/>
              <w:rPr>
                <w:rFonts w:ascii="宋体" w:hAnsi="宋体" w:cs="Arial"/>
                <w:kern w:val="0"/>
                <w:sz w:val="18"/>
                <w:szCs w:val="18"/>
              </w:rPr>
            </w:pPr>
          </w:p>
          <w:p w14:paraId="67AFE132">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（签名/盖章/线上确认）：</w:t>
            </w:r>
          </w:p>
          <w:p w14:paraId="347DF228">
            <w:pPr>
              <w:spacing w:line="280" w:lineRule="atLeast"/>
              <w:ind w:left="4200" w:firstLine="1080" w:firstLineChars="600"/>
              <w:jc w:val="left"/>
              <w:rPr>
                <w:rFonts w:ascii="宋体" w:hAnsi="宋体" w:cs="Arial"/>
                <w:kern w:val="0"/>
                <w:sz w:val="18"/>
                <w:szCs w:val="18"/>
              </w:rPr>
            </w:pPr>
          </w:p>
          <w:p w14:paraId="13D54DF1">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250DE7BD">
            <w:pPr>
              <w:spacing w:line="280" w:lineRule="atLeast"/>
              <w:rPr>
                <w:rFonts w:ascii="Calibri" w:hAnsi="Calibri" w:cs="宋体"/>
                <w:kern w:val="0"/>
                <w:sz w:val="20"/>
                <w:szCs w:val="20"/>
              </w:rPr>
            </w:pPr>
          </w:p>
          <w:p w14:paraId="4DA11CCA">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45DAC49B">
      <w:pPr>
        <w:widowControl/>
        <w:jc w:val="left"/>
        <w:rPr>
          <w:rFonts w:ascii="宋体" w:hAnsi="宋体" w:cs="宋体"/>
          <w:b/>
          <w:sz w:val="28"/>
          <w:szCs w:val="28"/>
        </w:rPr>
      </w:pPr>
    </w:p>
    <w:p w14:paraId="0C53112D">
      <w:pPr>
        <w:autoSpaceDE w:val="0"/>
        <w:autoSpaceDN w:val="0"/>
        <w:adjustRightInd w:val="0"/>
        <w:spacing w:line="360" w:lineRule="auto"/>
        <w:ind w:firstLine="420"/>
        <w:jc w:val="left"/>
        <w:rPr>
          <w:rFonts w:ascii="宋体" w:hAnsi="宋体"/>
          <w:sz w:val="24"/>
        </w:rPr>
      </w:pPr>
    </w:p>
    <w:p w14:paraId="5B05BA73">
      <w:pPr>
        <w:rPr>
          <w:rFonts w:ascii="宋体" w:hAnsi="宋体" w:cs="Arial"/>
          <w:sz w:val="24"/>
        </w:rPr>
      </w:pPr>
    </w:p>
    <w:p w14:paraId="065E69A3">
      <w:pPr>
        <w:widowControl/>
        <w:jc w:val="left"/>
        <w:rPr>
          <w:rFonts w:ascii="宋体" w:hAnsi="宋体"/>
          <w:b/>
          <w:sz w:val="28"/>
          <w:szCs w:val="28"/>
        </w:rPr>
      </w:pPr>
    </w:p>
    <w:p w14:paraId="7D9B227E">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7053CA17">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兴银理财【添利】理财产品</w:t>
      </w:r>
    </w:p>
    <w:p w14:paraId="5256191C">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072F54BB">
      <w:pPr>
        <w:pStyle w:val="14"/>
        <w:jc w:val="center"/>
        <w:rPr>
          <w:rFonts w:hAnsi="宋体"/>
          <w:b/>
          <w:color w:val="auto"/>
          <w:sz w:val="28"/>
          <w:szCs w:val="28"/>
        </w:rPr>
      </w:pPr>
      <w:r>
        <w:rPr>
          <w:rFonts w:hint="eastAsia" w:hAnsi="宋体"/>
          <w:b/>
          <w:color w:val="auto"/>
          <w:sz w:val="28"/>
          <w:szCs w:val="28"/>
        </w:rPr>
        <w:t>（适用于个人投资者）</w:t>
      </w:r>
    </w:p>
    <w:p w14:paraId="5B2AE32F">
      <w:pPr>
        <w:rPr>
          <w:rFonts w:ascii="宋体" w:hAnsi="宋体"/>
          <w:b/>
          <w:sz w:val="18"/>
          <w:szCs w:val="18"/>
        </w:rPr>
      </w:pPr>
      <w:r>
        <w:rPr>
          <w:rFonts w:hint="eastAsia" w:ascii="宋体" w:hAnsi="宋体"/>
          <w:b/>
          <w:sz w:val="18"/>
          <w:szCs w:val="18"/>
        </w:rPr>
        <w:t>尊敬的投资者：</w:t>
      </w:r>
    </w:p>
    <w:p w14:paraId="4C02357F">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w:t>
      </w:r>
      <w:r>
        <w:rPr>
          <w:rFonts w:hint="eastAsia" w:ascii="宋体" w:hAnsi="宋体" w:cs="宋体"/>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14:paraId="78AC123B">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35CDF0FC">
      <w:pPr>
        <w:ind w:firstLine="360" w:firstLineChars="200"/>
        <w:rPr>
          <w:rFonts w:ascii="宋体" w:hAnsi="宋体"/>
          <w:sz w:val="18"/>
          <w:szCs w:val="18"/>
        </w:rPr>
      </w:pPr>
    </w:p>
    <w:p w14:paraId="454D96EA">
      <w:pPr>
        <w:ind w:firstLine="361" w:firstLineChars="200"/>
        <w:rPr>
          <w:rFonts w:ascii="宋体" w:hAnsi="宋体"/>
          <w:b/>
          <w:sz w:val="18"/>
          <w:szCs w:val="18"/>
        </w:rPr>
      </w:pPr>
      <w:r>
        <w:rPr>
          <w:rFonts w:hint="eastAsia" w:ascii="宋体" w:hAnsi="宋体"/>
          <w:b/>
          <w:sz w:val="18"/>
          <w:szCs w:val="18"/>
        </w:rPr>
        <w:t>一、理财产品购买流程</w:t>
      </w:r>
    </w:p>
    <w:p w14:paraId="04499155">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015661A8">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45801825">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E8092F5">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06E5891">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15063335">
      <w:pPr>
        <w:ind w:firstLine="361" w:firstLineChars="200"/>
        <w:rPr>
          <w:rFonts w:ascii="宋体" w:hAnsi="宋体"/>
          <w:b/>
          <w:sz w:val="18"/>
          <w:szCs w:val="18"/>
        </w:rPr>
      </w:pPr>
      <w:r>
        <w:rPr>
          <w:rFonts w:hint="eastAsia" w:ascii="宋体" w:hAnsi="宋体"/>
          <w:b/>
          <w:sz w:val="18"/>
          <w:szCs w:val="18"/>
        </w:rPr>
        <w:t>（一）投资者风险承受能力评估说明</w:t>
      </w:r>
    </w:p>
    <w:p w14:paraId="766CA694">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56EDF94A">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14:paraId="0B119752">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宋体" w:hAnsi="宋体"/>
          <w:sz w:val="18"/>
          <w:szCs w:val="18"/>
          <w:lang w:val="en-US" w:eastAsia="zh-CN"/>
        </w:rPr>
        <w:t>C1-C6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57"/>
        <w:gridCol w:w="4860"/>
        <w:gridCol w:w="2865"/>
      </w:tblGrid>
      <w:tr w14:paraId="48D8D1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139D8B6A">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1FC6E0CD">
            <w:pPr>
              <w:jc w:val="center"/>
              <w:rPr>
                <w:rFonts w:ascii="宋体" w:hAnsi="宋体"/>
                <w:sz w:val="18"/>
                <w:szCs w:val="18"/>
              </w:rPr>
            </w:pPr>
            <w:r>
              <w:rPr>
                <w:rFonts w:hint="eastAsia" w:ascii="宋体" w:hAnsi="宋体"/>
                <w:sz w:val="18"/>
                <w:szCs w:val="18"/>
              </w:rPr>
              <w:t>对应的投资者风险承受能力评级</w:t>
            </w:r>
          </w:p>
        </w:tc>
      </w:tr>
      <w:tr w14:paraId="744064B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5" w:hRule="atLeast"/>
          <w:jc w:val="center"/>
        </w:trPr>
        <w:tc>
          <w:tcPr>
            <w:tcW w:w="757" w:type="dxa"/>
            <w:tcBorders>
              <w:top w:val="single" w:color="auto" w:sz="12" w:space="0"/>
              <w:left w:val="single" w:color="auto" w:sz="12" w:space="0"/>
              <w:right w:val="single" w:color="auto" w:sz="4" w:space="0"/>
            </w:tcBorders>
            <w:vAlign w:val="center"/>
          </w:tcPr>
          <w:p w14:paraId="7BEDEA84">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4" w:space="0"/>
              <w:right w:val="single" w:color="auto" w:sz="12" w:space="0"/>
            </w:tcBorders>
            <w:vAlign w:val="center"/>
          </w:tcPr>
          <w:p w14:paraId="47B07DFB">
            <w:pPr>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right w:val="single" w:color="auto" w:sz="12" w:space="0"/>
            </w:tcBorders>
            <w:vAlign w:val="center"/>
          </w:tcPr>
          <w:p w14:paraId="562DDB71">
            <w:pPr>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311913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028EE8D">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4ECDEECD">
            <w:pPr>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59E9E3AF">
            <w:pPr>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104CDC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22EAB26">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481C06C6">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571C3EFD">
            <w:pPr>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54822F7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E5CF7CC">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421B045C">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22ED4C83">
            <w:pPr>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5426A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0A2D8EA">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44619450">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717ABE57">
            <w:pPr>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1BFFF40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5BD9BDE">
            <w:pPr>
              <w:jc w:val="center"/>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6ECFB146">
            <w:pPr>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682F61DD">
            <w:pPr>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5F06DAA0">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14:paraId="205F63D7">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614C5DF">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12F307B">
      <w:pPr>
        <w:ind w:firstLine="361" w:firstLineChars="200"/>
        <w:rPr>
          <w:rFonts w:ascii="宋体" w:hAnsi="宋体"/>
          <w:b/>
          <w:sz w:val="18"/>
          <w:szCs w:val="18"/>
        </w:rPr>
      </w:pPr>
      <w:r>
        <w:rPr>
          <w:rFonts w:hint="eastAsia" w:ascii="宋体" w:hAnsi="宋体"/>
          <w:b/>
          <w:sz w:val="18"/>
          <w:szCs w:val="18"/>
        </w:rPr>
        <w:t>三、关于理财产品的信息披露</w:t>
      </w:r>
    </w:p>
    <w:p w14:paraId="543990E7">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6041833">
      <w:pPr>
        <w:ind w:firstLine="361" w:firstLineChars="200"/>
        <w:rPr>
          <w:rFonts w:asciiTheme="minorEastAsia" w:hAnsiTheme="minorEastAsia"/>
          <w:b/>
          <w:sz w:val="18"/>
          <w:szCs w:val="18"/>
        </w:rPr>
      </w:pPr>
      <w:r>
        <w:rPr>
          <w:rFonts w:hint="eastAsia" w:ascii="宋体" w:hAnsi="宋体"/>
          <w:b/>
          <w:sz w:val="18"/>
          <w:szCs w:val="18"/>
        </w:rPr>
        <w:t>四、关于投诉与建议</w:t>
      </w:r>
    </w:p>
    <w:p w14:paraId="701733A4">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128695A">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13EACBD8">
      <w:pPr>
        <w:ind w:firstLine="360" w:firstLineChars="200"/>
        <w:rPr>
          <w:rFonts w:ascii="宋体" w:hAnsi="宋体"/>
          <w:sz w:val="18"/>
          <w:szCs w:val="18"/>
        </w:rPr>
      </w:pPr>
      <w:r>
        <w:rPr>
          <w:rFonts w:hint="eastAsia" w:ascii="宋体" w:hAnsi="宋体"/>
          <w:sz w:val="18"/>
          <w:szCs w:val="18"/>
        </w:rPr>
        <w:t>1.产品管理人：兴银理财有限责任公司</w:t>
      </w:r>
    </w:p>
    <w:p w14:paraId="6A00BB32">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238B2753">
      <w:pPr>
        <w:autoSpaceDE w:val="0"/>
        <w:autoSpaceDN w:val="0"/>
        <w:adjustRightInd w:val="0"/>
        <w:jc w:val="left"/>
        <w:rPr>
          <w:rFonts w:ascii="仿宋_GB2312" w:eastAsia="仿宋_GB2312" w:cs="仿宋_GB2312"/>
          <w:color w:val="000000"/>
          <w:kern w:val="0"/>
          <w:sz w:val="24"/>
          <w:szCs w:val="24"/>
        </w:rPr>
      </w:pPr>
    </w:p>
    <w:p w14:paraId="48DE2373">
      <w:pPr>
        <w:widowControl/>
        <w:jc w:val="left"/>
        <w:rPr>
          <w:rFonts w:ascii="宋体" w:hAnsi="宋体"/>
          <w:b/>
          <w:sz w:val="28"/>
          <w:szCs w:val="28"/>
        </w:rPr>
      </w:pPr>
      <w:r>
        <w:rPr>
          <w:rFonts w:ascii="宋体" w:hAnsi="宋体"/>
          <w:b/>
          <w:sz w:val="28"/>
          <w:szCs w:val="28"/>
        </w:rPr>
        <w:br w:type="page"/>
      </w:r>
      <w:bookmarkStart w:id="235" w:name="_GoBack"/>
      <w:bookmarkEnd w:id="235"/>
    </w:p>
    <w:p w14:paraId="0F05330D">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兴银理财【添利】理财产品</w:t>
      </w:r>
    </w:p>
    <w:p w14:paraId="04F06B1B">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021CA6A3">
      <w:pPr>
        <w:pStyle w:val="14"/>
        <w:spacing w:line="280" w:lineRule="atLeast"/>
        <w:jc w:val="center"/>
        <w:rPr>
          <w:rFonts w:hAnsi="宋体"/>
          <w:b/>
          <w:color w:val="auto"/>
          <w:sz w:val="28"/>
          <w:szCs w:val="28"/>
        </w:rPr>
      </w:pPr>
      <w:r>
        <w:rPr>
          <w:rFonts w:hint="eastAsia" w:hAnsi="宋体"/>
          <w:b/>
          <w:color w:val="auto"/>
          <w:sz w:val="28"/>
          <w:szCs w:val="28"/>
        </w:rPr>
        <w:t>（适用于</w:t>
      </w:r>
      <w:r>
        <w:rPr>
          <w:rFonts w:hint="eastAsia" w:hAnsi="宋体"/>
          <w:b/>
          <w:color w:val="auto"/>
          <w:sz w:val="28"/>
          <w:szCs w:val="28"/>
          <w:lang w:val="en-US" w:eastAsia="zh-CN"/>
        </w:rPr>
        <w:t>一般</w:t>
      </w:r>
      <w:r>
        <w:rPr>
          <w:rFonts w:hint="eastAsia" w:hAnsi="宋体"/>
          <w:b/>
          <w:color w:val="auto"/>
          <w:sz w:val="28"/>
          <w:szCs w:val="28"/>
        </w:rPr>
        <w:t>机构</w:t>
      </w:r>
      <w:r>
        <w:rPr>
          <w:rFonts w:hint="eastAsia" w:hAnsi="宋体"/>
          <w:b/>
          <w:color w:val="auto"/>
          <w:sz w:val="28"/>
          <w:szCs w:val="28"/>
          <w:lang w:val="en-US" w:eastAsia="zh-CN"/>
        </w:rPr>
        <w:t>客户</w:t>
      </w:r>
      <w:r>
        <w:rPr>
          <w:rFonts w:hint="eastAsia" w:hAnsi="宋体"/>
          <w:b/>
          <w:color w:val="auto"/>
          <w:sz w:val="28"/>
          <w:szCs w:val="28"/>
        </w:rPr>
        <w:t>）</w:t>
      </w:r>
    </w:p>
    <w:p w14:paraId="04F8FD83">
      <w:pPr>
        <w:spacing w:line="280" w:lineRule="atLeast"/>
        <w:rPr>
          <w:rFonts w:ascii="宋体" w:hAnsi="宋体"/>
          <w:b/>
          <w:sz w:val="18"/>
          <w:szCs w:val="18"/>
        </w:rPr>
      </w:pPr>
      <w:r>
        <w:rPr>
          <w:rFonts w:hint="eastAsia" w:ascii="宋体" w:hAnsi="宋体"/>
          <w:b/>
          <w:sz w:val="18"/>
          <w:szCs w:val="18"/>
        </w:rPr>
        <w:t>尊敬的投资者：</w:t>
      </w:r>
    </w:p>
    <w:p w14:paraId="785C394A">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5A03820F">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A58937F">
      <w:pPr>
        <w:spacing w:line="280" w:lineRule="atLeast"/>
        <w:ind w:firstLine="360" w:firstLineChars="200"/>
        <w:rPr>
          <w:rFonts w:ascii="宋体" w:hAnsi="宋体"/>
          <w:sz w:val="18"/>
          <w:szCs w:val="18"/>
        </w:rPr>
      </w:pPr>
    </w:p>
    <w:p w14:paraId="768749E8">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507C2B4A">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3D95153D">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69C95459">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B720C93">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19C1238">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3842E303">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4021001C">
      <w:pPr>
        <w:spacing w:line="280" w:lineRule="atLeast"/>
        <w:ind w:firstLine="360" w:firstLineChars="200"/>
        <w:rPr>
          <w:rFonts w:ascii="黑体" w:hAnsi="黑体" w:eastAsia="黑体"/>
          <w:sz w:val="18"/>
          <w:szCs w:val="18"/>
        </w:rPr>
      </w:pPr>
      <w:r>
        <w:rPr>
          <w:rFonts w:hint="eastAsia" w:ascii="宋体" w:hAnsi="宋体"/>
          <w:sz w:val="18"/>
          <w:szCs w:val="18"/>
        </w:rPr>
        <w:t>1.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A2E5F6E">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14:paraId="72766456">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3B77BE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55410A63">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25D435DC">
            <w:pPr>
              <w:jc w:val="center"/>
              <w:rPr>
                <w:rFonts w:ascii="宋体" w:hAnsi="宋体"/>
                <w:sz w:val="18"/>
                <w:szCs w:val="18"/>
              </w:rPr>
            </w:pPr>
            <w:r>
              <w:rPr>
                <w:rFonts w:hint="eastAsia" w:ascii="宋体" w:hAnsi="宋体"/>
                <w:sz w:val="18"/>
                <w:szCs w:val="18"/>
              </w:rPr>
              <w:t>对应的投资者风险承受能力评级</w:t>
            </w:r>
          </w:p>
        </w:tc>
      </w:tr>
      <w:tr w14:paraId="257680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F7CBA61">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E92BA7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E1C065A">
            <w:pPr>
              <w:ind w:firstLine="360" w:firstLineChars="200"/>
              <w:rPr>
                <w:rFonts w:ascii="宋体" w:hAnsi="宋体"/>
                <w:sz w:val="18"/>
                <w:szCs w:val="18"/>
              </w:rPr>
            </w:pPr>
          </w:p>
        </w:tc>
      </w:tr>
      <w:tr w14:paraId="080D65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696A0513">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72A5BB5">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FE33294">
            <w:pPr>
              <w:ind w:firstLine="360" w:firstLineChars="200"/>
              <w:rPr>
                <w:rFonts w:ascii="宋体" w:hAnsi="宋体"/>
                <w:sz w:val="18"/>
                <w:szCs w:val="18"/>
              </w:rPr>
            </w:pPr>
          </w:p>
        </w:tc>
      </w:tr>
      <w:tr w14:paraId="23604E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BD8689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D329387">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44641C40">
            <w:pPr>
              <w:ind w:firstLine="360" w:firstLineChars="200"/>
              <w:rPr>
                <w:rFonts w:ascii="宋体" w:hAnsi="宋体"/>
                <w:sz w:val="18"/>
                <w:szCs w:val="18"/>
              </w:rPr>
            </w:pPr>
          </w:p>
        </w:tc>
      </w:tr>
      <w:tr w14:paraId="237C31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85C752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88705F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7760034">
            <w:pPr>
              <w:ind w:firstLine="360" w:firstLineChars="200"/>
              <w:rPr>
                <w:rFonts w:ascii="宋体" w:hAnsi="宋体"/>
                <w:sz w:val="18"/>
                <w:szCs w:val="18"/>
              </w:rPr>
            </w:pPr>
          </w:p>
        </w:tc>
      </w:tr>
      <w:tr w14:paraId="6AD7E9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7FF61AF">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157B2CC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1A5DA736">
            <w:pPr>
              <w:ind w:firstLine="360" w:firstLineChars="200"/>
              <w:rPr>
                <w:rFonts w:ascii="宋体" w:hAnsi="宋体"/>
                <w:sz w:val="18"/>
                <w:szCs w:val="18"/>
              </w:rPr>
            </w:pPr>
          </w:p>
        </w:tc>
      </w:tr>
    </w:tbl>
    <w:p w14:paraId="61C78A4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14:paraId="41CF564B">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63C9673A">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AF3E8DC">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3DD66D52">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2A34A2F4">
      <w:pPr>
        <w:spacing w:line="280" w:lineRule="atLeast"/>
        <w:ind w:firstLine="361" w:firstLineChars="200"/>
        <w:rPr>
          <w:rFonts w:asciiTheme="minorEastAsia" w:hAnsiTheme="minorEastAsia"/>
          <w:sz w:val="18"/>
          <w:szCs w:val="18"/>
        </w:rPr>
      </w:pPr>
      <w:r>
        <w:rPr>
          <w:rFonts w:hint="eastAsia" w:ascii="宋体" w:hAnsi="宋体"/>
          <w:b/>
          <w:sz w:val="18"/>
          <w:szCs w:val="18"/>
        </w:rPr>
        <w:t>四、关于投诉与建议</w:t>
      </w:r>
    </w:p>
    <w:p w14:paraId="15D0F79E">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795E3288">
      <w:pPr>
        <w:spacing w:line="280" w:lineRule="atLeast"/>
        <w:ind w:firstLine="360" w:firstLineChars="200"/>
        <w:rPr>
          <w:rFonts w:ascii="宋体" w:hAnsi="宋体"/>
          <w:sz w:val="18"/>
          <w:szCs w:val="18"/>
        </w:rPr>
      </w:pPr>
      <w:r>
        <w:rPr>
          <w:rFonts w:hint="eastAsia" w:ascii="宋体" w:hAnsi="宋体"/>
          <w:sz w:val="18"/>
          <w:szCs w:val="18"/>
        </w:rPr>
        <w:t>（二）联络方式：</w:t>
      </w:r>
    </w:p>
    <w:p w14:paraId="6A9342E2">
      <w:pPr>
        <w:ind w:firstLine="360" w:firstLineChars="200"/>
        <w:rPr>
          <w:rFonts w:ascii="宋体" w:hAnsi="宋体"/>
          <w:sz w:val="18"/>
          <w:szCs w:val="18"/>
        </w:rPr>
      </w:pPr>
      <w:r>
        <w:rPr>
          <w:rFonts w:hint="eastAsia" w:ascii="宋体" w:hAnsi="宋体"/>
          <w:sz w:val="18"/>
          <w:szCs w:val="18"/>
        </w:rPr>
        <w:t>1.产品管理人：兴银理财有限责任公司</w:t>
      </w:r>
    </w:p>
    <w:p w14:paraId="466650A3">
      <w:pPr>
        <w:ind w:firstLine="360" w:firstLineChars="200"/>
        <w:rPr>
          <w:rFonts w:ascii="宋体" w:hAnsi="宋体"/>
          <w:sz w:val="18"/>
          <w:szCs w:val="18"/>
        </w:rPr>
      </w:pPr>
      <w:r>
        <w:rPr>
          <w:rFonts w:hint="eastAsia" w:ascii="宋体" w:hAnsi="宋体"/>
          <w:sz w:val="18"/>
          <w:szCs w:val="18"/>
        </w:rPr>
        <w:t>客户服务热线：40015-95561。</w:t>
      </w:r>
    </w:p>
    <w:p w14:paraId="218AA97C">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14:paraId="381D2FE8">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14:paraId="7A018624">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14:paraId="33534871">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14:paraId="3273F282">
      <w:pPr>
        <w:adjustRightInd w:val="0"/>
        <w:spacing w:line="280" w:lineRule="atLeast"/>
        <w:jc w:val="center"/>
        <w:rPr>
          <w:rStyle w:val="10"/>
          <w:rFonts w:hint="eastAsia" w:ascii="黑体" w:hAnsi="黑体" w:eastAsia="黑体"/>
          <w:sz w:val="28"/>
          <w:szCs w:val="28"/>
        </w:rPr>
      </w:pPr>
    </w:p>
    <w:p w14:paraId="79C6DB5F">
      <w:pPr>
        <w:adjustRightInd w:val="0"/>
        <w:spacing w:line="280" w:lineRule="atLeast"/>
        <w:jc w:val="center"/>
        <w:rPr>
          <w:rStyle w:val="10"/>
          <w:rFonts w:hint="eastAsia" w:ascii="黑体" w:hAnsi="黑体" w:eastAsia="黑体"/>
          <w:sz w:val="28"/>
          <w:szCs w:val="28"/>
        </w:rPr>
      </w:pPr>
    </w:p>
    <w:p w14:paraId="256AE41E">
      <w:pPr>
        <w:adjustRightInd w:val="0"/>
        <w:spacing w:line="280" w:lineRule="atLeast"/>
        <w:jc w:val="center"/>
        <w:rPr>
          <w:rStyle w:val="10"/>
          <w:rFonts w:hint="eastAsia" w:ascii="黑体" w:hAnsi="黑体" w:eastAsia="黑体"/>
          <w:sz w:val="28"/>
          <w:szCs w:val="28"/>
        </w:rPr>
      </w:pPr>
    </w:p>
    <w:p w14:paraId="7035F8B5">
      <w:pPr>
        <w:adjustRightInd w:val="0"/>
        <w:spacing w:line="240" w:lineRule="auto"/>
        <w:jc w:val="center"/>
        <w:rPr>
          <w:rStyle w:val="10"/>
          <w:rFonts w:hint="eastAsia" w:ascii="黑体" w:hAnsi="黑体" w:eastAsia="黑体"/>
          <w:sz w:val="28"/>
          <w:szCs w:val="28"/>
        </w:rPr>
      </w:pPr>
    </w:p>
    <w:p w14:paraId="4787A195">
      <w:pPr>
        <w:adjustRightInd w:val="0"/>
        <w:spacing w:line="280" w:lineRule="atLeast"/>
        <w:jc w:val="center"/>
        <w:rPr>
          <w:rStyle w:val="10"/>
          <w:rFonts w:hint="eastAsia" w:ascii="黑体" w:hAnsi="黑体" w:eastAsia="黑体"/>
          <w:sz w:val="28"/>
          <w:szCs w:val="28"/>
        </w:rPr>
      </w:pPr>
    </w:p>
    <w:p w14:paraId="27E458E5">
      <w:pPr>
        <w:adjustRightInd w:val="0"/>
        <w:spacing w:line="280" w:lineRule="atLeast"/>
        <w:jc w:val="center"/>
        <w:rPr>
          <w:rStyle w:val="10"/>
          <w:rFonts w:hint="eastAsia" w:ascii="黑体" w:hAnsi="黑体" w:eastAsia="黑体"/>
          <w:sz w:val="28"/>
          <w:szCs w:val="28"/>
        </w:rPr>
      </w:pPr>
    </w:p>
    <w:p w14:paraId="383D40D4">
      <w:pPr>
        <w:adjustRightInd w:val="0"/>
        <w:spacing w:line="280" w:lineRule="atLeast"/>
        <w:jc w:val="center"/>
        <w:rPr>
          <w:rStyle w:val="10"/>
          <w:rFonts w:hint="eastAsia" w:ascii="黑体" w:hAnsi="黑体" w:eastAsia="黑体"/>
          <w:sz w:val="28"/>
          <w:szCs w:val="28"/>
        </w:rPr>
      </w:pPr>
    </w:p>
    <w:p w14:paraId="490ACFBF">
      <w:pPr>
        <w:adjustRightInd w:val="0"/>
        <w:spacing w:line="280" w:lineRule="atLeast"/>
        <w:jc w:val="center"/>
        <w:rPr>
          <w:rStyle w:val="10"/>
          <w:rFonts w:hint="eastAsia" w:ascii="黑体" w:hAnsi="黑体" w:eastAsia="黑体"/>
          <w:sz w:val="28"/>
          <w:szCs w:val="28"/>
        </w:rPr>
      </w:pPr>
    </w:p>
    <w:p w14:paraId="5F9A93DB">
      <w:pPr>
        <w:adjustRightInd w:val="0"/>
        <w:spacing w:line="280" w:lineRule="atLeast"/>
        <w:jc w:val="center"/>
        <w:rPr>
          <w:rStyle w:val="10"/>
          <w:rFonts w:hint="eastAsia" w:ascii="黑体" w:hAnsi="黑体" w:eastAsia="黑体"/>
          <w:sz w:val="28"/>
          <w:szCs w:val="28"/>
        </w:rPr>
      </w:pPr>
    </w:p>
    <w:p w14:paraId="20CA59F8">
      <w:pPr>
        <w:adjustRightInd w:val="0"/>
        <w:spacing w:line="280" w:lineRule="atLeast"/>
        <w:jc w:val="center"/>
        <w:rPr>
          <w:rStyle w:val="10"/>
          <w:rFonts w:hint="eastAsia" w:ascii="黑体" w:hAnsi="黑体" w:eastAsia="黑体"/>
          <w:sz w:val="28"/>
          <w:szCs w:val="28"/>
        </w:rPr>
      </w:pPr>
    </w:p>
    <w:p w14:paraId="11734C65">
      <w:pPr>
        <w:adjustRightInd w:val="0"/>
        <w:spacing w:line="280" w:lineRule="atLeast"/>
        <w:jc w:val="center"/>
        <w:rPr>
          <w:rStyle w:val="10"/>
          <w:rFonts w:hint="eastAsia" w:ascii="黑体" w:hAnsi="黑体" w:eastAsia="黑体"/>
          <w:sz w:val="28"/>
          <w:szCs w:val="28"/>
        </w:rPr>
      </w:pPr>
    </w:p>
    <w:p w14:paraId="21C95475">
      <w:pPr>
        <w:adjustRightInd w:val="0"/>
        <w:spacing w:line="280" w:lineRule="atLeast"/>
        <w:jc w:val="center"/>
        <w:rPr>
          <w:rStyle w:val="10"/>
          <w:rFonts w:hint="eastAsia" w:ascii="黑体" w:hAnsi="黑体" w:eastAsia="黑体"/>
          <w:sz w:val="28"/>
          <w:szCs w:val="28"/>
        </w:rPr>
      </w:pPr>
    </w:p>
    <w:p w14:paraId="52A55370">
      <w:pPr>
        <w:adjustRightInd w:val="0"/>
        <w:spacing w:line="280" w:lineRule="atLeast"/>
        <w:jc w:val="center"/>
        <w:rPr>
          <w:rStyle w:val="10"/>
          <w:rFonts w:hint="eastAsia" w:ascii="黑体" w:hAnsi="黑体" w:eastAsia="黑体"/>
          <w:sz w:val="28"/>
          <w:szCs w:val="28"/>
        </w:rPr>
      </w:pPr>
    </w:p>
    <w:p w14:paraId="40FE31DF">
      <w:pPr>
        <w:adjustRightInd w:val="0"/>
        <w:spacing w:line="280" w:lineRule="atLeast"/>
        <w:jc w:val="center"/>
        <w:rPr>
          <w:rStyle w:val="10"/>
          <w:rFonts w:hint="eastAsia" w:ascii="黑体" w:hAnsi="黑体" w:eastAsia="黑体"/>
          <w:sz w:val="28"/>
          <w:szCs w:val="28"/>
        </w:rPr>
      </w:pPr>
    </w:p>
    <w:p w14:paraId="41C7A85E">
      <w:pPr>
        <w:adjustRightInd w:val="0"/>
        <w:spacing w:line="280" w:lineRule="atLeast"/>
        <w:jc w:val="center"/>
        <w:rPr>
          <w:rStyle w:val="10"/>
          <w:rFonts w:hint="eastAsia" w:ascii="黑体" w:hAnsi="黑体" w:eastAsia="黑体"/>
          <w:sz w:val="28"/>
          <w:szCs w:val="28"/>
        </w:rPr>
      </w:pPr>
    </w:p>
    <w:p w14:paraId="41F8E768">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兴银理财【添利】理财产品</w:t>
      </w:r>
    </w:p>
    <w:p w14:paraId="48434244">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37F053C7">
      <w:pPr>
        <w:pStyle w:val="14"/>
        <w:spacing w:line="280" w:lineRule="atLeast"/>
        <w:jc w:val="center"/>
        <w:rPr>
          <w:rFonts w:hAnsi="宋体"/>
          <w:b/>
          <w:color w:val="auto"/>
          <w:sz w:val="28"/>
          <w:szCs w:val="28"/>
        </w:rPr>
      </w:pPr>
      <w:r>
        <w:rPr>
          <w:rFonts w:hint="eastAsia" w:hAnsi="宋体"/>
          <w:b/>
          <w:color w:val="auto"/>
          <w:sz w:val="28"/>
          <w:szCs w:val="28"/>
        </w:rPr>
        <w:t>（适用于金融</w:t>
      </w:r>
      <w:r>
        <w:rPr>
          <w:rFonts w:hAnsi="宋体"/>
          <w:b/>
          <w:color w:val="auto"/>
          <w:sz w:val="28"/>
          <w:szCs w:val="28"/>
        </w:rPr>
        <w:t>同业客户</w:t>
      </w:r>
      <w:r>
        <w:rPr>
          <w:rFonts w:hint="eastAsia" w:hAnsi="宋体"/>
          <w:b/>
          <w:color w:val="auto"/>
          <w:sz w:val="28"/>
          <w:szCs w:val="28"/>
        </w:rPr>
        <w:t>）</w:t>
      </w:r>
    </w:p>
    <w:p w14:paraId="7E901799">
      <w:pPr>
        <w:spacing w:line="280" w:lineRule="atLeast"/>
        <w:rPr>
          <w:rFonts w:ascii="宋体" w:hAnsi="宋体"/>
          <w:b/>
          <w:sz w:val="18"/>
          <w:szCs w:val="18"/>
        </w:rPr>
      </w:pPr>
      <w:r>
        <w:rPr>
          <w:rFonts w:hint="eastAsia" w:ascii="宋体" w:hAnsi="宋体"/>
          <w:b/>
          <w:sz w:val="18"/>
          <w:szCs w:val="18"/>
        </w:rPr>
        <w:t>尊敬的投资者：</w:t>
      </w:r>
    </w:p>
    <w:p w14:paraId="07CE87E2">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0E8F4E94">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75A45A6E">
      <w:pPr>
        <w:spacing w:line="280" w:lineRule="atLeast"/>
        <w:ind w:firstLine="360" w:firstLineChars="200"/>
        <w:rPr>
          <w:rFonts w:ascii="宋体" w:hAnsi="宋体"/>
          <w:sz w:val="18"/>
          <w:szCs w:val="18"/>
        </w:rPr>
      </w:pPr>
    </w:p>
    <w:p w14:paraId="2DC007E0">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6B6D984">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3145A280">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E98A3CE">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73881330">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7E7DD163">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15B2F14F">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6CE5A398">
      <w:pPr>
        <w:spacing w:line="280" w:lineRule="atLeast"/>
        <w:ind w:firstLine="360" w:firstLineChars="200"/>
        <w:rPr>
          <w:rFonts w:ascii="黑体" w:hAnsi="黑体" w:eastAsia="黑体"/>
          <w:sz w:val="18"/>
          <w:szCs w:val="18"/>
        </w:rPr>
      </w:pPr>
      <w:r>
        <w:rPr>
          <w:rFonts w:hint="eastAsia" w:ascii="宋体" w:hAnsi="宋体"/>
          <w:sz w:val="18"/>
          <w:szCs w:val="18"/>
        </w:rPr>
        <w:t>1.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078B1C6B">
      <w:pPr>
        <w:ind w:firstLine="361" w:firstLineChars="200"/>
        <w:rPr>
          <w:rFonts w:ascii="宋体" w:hAnsi="宋体"/>
          <w:b/>
          <w:sz w:val="18"/>
          <w:szCs w:val="18"/>
        </w:rPr>
      </w:pPr>
      <w:r>
        <w:rPr>
          <w:rFonts w:ascii="宋体" w:hAnsi="宋体"/>
          <w:b/>
          <w:sz w:val="18"/>
          <w:szCs w:val="18"/>
        </w:rPr>
        <w:t>2</w:t>
      </w:r>
      <w:r>
        <w:rPr>
          <w:rFonts w:hint="eastAsia" w:ascii="宋体" w:hAnsi="宋体"/>
          <w:b/>
          <w:sz w:val="18"/>
          <w:szCs w:val="18"/>
        </w:rPr>
        <w:t>.投资者风险承受能力评级与理财产品风险评级</w:t>
      </w:r>
    </w:p>
    <w:p w14:paraId="7B451C5E">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E71A4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83BFD8F">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4291F04F">
            <w:pPr>
              <w:jc w:val="center"/>
              <w:rPr>
                <w:rFonts w:ascii="宋体" w:hAnsi="宋体"/>
                <w:sz w:val="18"/>
                <w:szCs w:val="18"/>
              </w:rPr>
            </w:pPr>
            <w:r>
              <w:rPr>
                <w:rFonts w:hint="eastAsia" w:ascii="宋体" w:hAnsi="宋体"/>
                <w:sz w:val="18"/>
                <w:szCs w:val="18"/>
              </w:rPr>
              <w:t>对应的投资者风险承受能力评级</w:t>
            </w:r>
          </w:p>
        </w:tc>
      </w:tr>
      <w:tr w14:paraId="17D92A3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1F69F9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DD25716">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122ADDE">
            <w:pPr>
              <w:ind w:firstLine="360" w:firstLineChars="200"/>
              <w:rPr>
                <w:rFonts w:ascii="宋体" w:hAnsi="宋体"/>
                <w:sz w:val="18"/>
                <w:szCs w:val="18"/>
              </w:rPr>
            </w:pPr>
          </w:p>
        </w:tc>
      </w:tr>
      <w:tr w14:paraId="3AD2E5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CBBD09B">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923E9D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FA0793F">
            <w:pPr>
              <w:ind w:firstLine="360" w:firstLineChars="200"/>
              <w:rPr>
                <w:rFonts w:ascii="宋体" w:hAnsi="宋体"/>
                <w:sz w:val="18"/>
                <w:szCs w:val="18"/>
              </w:rPr>
            </w:pPr>
          </w:p>
        </w:tc>
      </w:tr>
      <w:tr w14:paraId="25BA2B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6D13EE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B1808D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C369ABB">
            <w:pPr>
              <w:ind w:firstLine="360" w:firstLineChars="200"/>
              <w:rPr>
                <w:rFonts w:ascii="宋体" w:hAnsi="宋体"/>
                <w:sz w:val="18"/>
                <w:szCs w:val="18"/>
              </w:rPr>
            </w:pPr>
          </w:p>
        </w:tc>
      </w:tr>
      <w:tr w14:paraId="3249E8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59939C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38F1A0F0">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47FA338">
            <w:pPr>
              <w:ind w:firstLine="360" w:firstLineChars="200"/>
              <w:rPr>
                <w:rFonts w:ascii="宋体" w:hAnsi="宋体"/>
                <w:sz w:val="18"/>
                <w:szCs w:val="18"/>
              </w:rPr>
            </w:pPr>
          </w:p>
        </w:tc>
      </w:tr>
      <w:tr w14:paraId="7E7469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380B6D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2E6E2A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166CF21">
            <w:pPr>
              <w:ind w:firstLine="360" w:firstLineChars="200"/>
              <w:rPr>
                <w:rFonts w:ascii="宋体" w:hAnsi="宋体"/>
                <w:sz w:val="18"/>
                <w:szCs w:val="18"/>
              </w:rPr>
            </w:pPr>
          </w:p>
        </w:tc>
      </w:tr>
    </w:tbl>
    <w:p w14:paraId="20564A19">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 “投资者风险承受能力”、“适合投资者类型”的不同划分与表述的特别提示</w:t>
      </w:r>
    </w:p>
    <w:p w14:paraId="60ED1679">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A135BB6">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E63D4E6">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31608B05">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1A410F89">
      <w:pPr>
        <w:spacing w:line="280" w:lineRule="atLeast"/>
        <w:ind w:firstLine="361" w:firstLineChars="200"/>
        <w:rPr>
          <w:rFonts w:asciiTheme="minorEastAsia" w:hAnsiTheme="minorEastAsia"/>
          <w:sz w:val="18"/>
          <w:szCs w:val="18"/>
        </w:rPr>
      </w:pPr>
      <w:r>
        <w:rPr>
          <w:rFonts w:hint="eastAsia" w:ascii="宋体" w:hAnsi="宋体"/>
          <w:b/>
          <w:sz w:val="18"/>
          <w:szCs w:val="18"/>
        </w:rPr>
        <w:t>四、关于投诉与建议</w:t>
      </w:r>
    </w:p>
    <w:p w14:paraId="774D9235">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A057E22">
      <w:pPr>
        <w:spacing w:line="280" w:lineRule="atLeast"/>
        <w:ind w:firstLine="360" w:firstLineChars="200"/>
        <w:rPr>
          <w:rFonts w:ascii="宋体" w:hAnsi="宋体"/>
          <w:sz w:val="18"/>
          <w:szCs w:val="18"/>
        </w:rPr>
      </w:pPr>
      <w:r>
        <w:rPr>
          <w:rFonts w:hint="eastAsia" w:ascii="宋体" w:hAnsi="宋体"/>
          <w:sz w:val="18"/>
          <w:szCs w:val="18"/>
        </w:rPr>
        <w:t>（二）联络方式：</w:t>
      </w:r>
    </w:p>
    <w:p w14:paraId="14F6B5A7">
      <w:pPr>
        <w:ind w:firstLine="360" w:firstLineChars="200"/>
        <w:rPr>
          <w:rFonts w:ascii="宋体" w:hAnsi="宋体"/>
          <w:sz w:val="18"/>
          <w:szCs w:val="18"/>
        </w:rPr>
      </w:pPr>
      <w:r>
        <w:rPr>
          <w:rFonts w:hint="eastAsia" w:ascii="宋体" w:hAnsi="宋体"/>
          <w:sz w:val="18"/>
          <w:szCs w:val="18"/>
        </w:rPr>
        <w:t>1.产品管理人：兴银理财有限责任公司</w:t>
      </w:r>
    </w:p>
    <w:p w14:paraId="5C91CF4C">
      <w:pPr>
        <w:ind w:firstLine="360" w:firstLineChars="200"/>
        <w:rPr>
          <w:rFonts w:ascii="宋体" w:hAnsi="宋体"/>
          <w:sz w:val="18"/>
          <w:szCs w:val="18"/>
        </w:rPr>
      </w:pPr>
      <w:r>
        <w:rPr>
          <w:rFonts w:hint="eastAsia" w:ascii="宋体" w:hAnsi="宋体"/>
          <w:sz w:val="18"/>
          <w:szCs w:val="18"/>
        </w:rPr>
        <w:t>客户服务热线：40015-95561。</w:t>
      </w:r>
    </w:p>
    <w:p w14:paraId="6AF34694">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14:paraId="0775C8FA">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14:paraId="6704C077">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14:paraId="4DE11971">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14:paraId="7C12A989">
      <w:pPr>
        <w:ind w:firstLine="360" w:firstLineChars="200"/>
        <w:rPr>
          <w:rFonts w:ascii="宋体" w:hAnsi="宋体"/>
          <w:sz w:val="18"/>
          <w:szCs w:val="18"/>
        </w:rPr>
      </w:pPr>
    </w:p>
    <w:p w14:paraId="1457748E">
      <w:pPr>
        <w:autoSpaceDE w:val="0"/>
        <w:autoSpaceDN w:val="0"/>
        <w:adjustRightInd w:val="0"/>
        <w:spacing w:line="280" w:lineRule="atLeast"/>
        <w:jc w:val="left"/>
        <w:rPr>
          <w:rFonts w:ascii="仿宋_GB2312" w:eastAsia="仿宋_GB2312" w:cs="仿宋_GB2312"/>
          <w:color w:val="000000"/>
          <w:kern w:val="0"/>
          <w:sz w:val="24"/>
          <w:szCs w:val="24"/>
        </w:rPr>
      </w:pPr>
    </w:p>
    <w:p w14:paraId="0604A1DD">
      <w:pPr>
        <w:widowControl/>
        <w:spacing w:line="280" w:lineRule="atLeast"/>
        <w:jc w:val="left"/>
        <w:rPr>
          <w:rFonts w:ascii="宋体" w:hAnsi="宋体"/>
          <w:b/>
          <w:sz w:val="28"/>
          <w:szCs w:val="28"/>
        </w:rPr>
      </w:pPr>
    </w:p>
    <w:p w14:paraId="5A73B543">
      <w:pPr>
        <w:ind w:firstLine="360" w:firstLineChars="200"/>
        <w:rPr>
          <w:rFonts w:ascii="宋体" w:hAnsi="宋体"/>
          <w:sz w:val="18"/>
          <w:szCs w:val="18"/>
        </w:rPr>
      </w:pPr>
    </w:p>
    <w:p w14:paraId="3DD11646">
      <w:pPr>
        <w:autoSpaceDE w:val="0"/>
        <w:autoSpaceDN w:val="0"/>
        <w:adjustRightInd w:val="0"/>
        <w:spacing w:line="280" w:lineRule="atLeast"/>
        <w:jc w:val="left"/>
        <w:rPr>
          <w:rFonts w:ascii="仿宋_GB2312" w:eastAsia="仿宋_GB2312" w:cs="仿宋_GB2312"/>
          <w:color w:val="000000"/>
          <w:kern w:val="0"/>
          <w:sz w:val="24"/>
          <w:szCs w:val="24"/>
        </w:rPr>
      </w:pPr>
    </w:p>
    <w:p w14:paraId="09DDC399">
      <w:pPr>
        <w:widowControl/>
        <w:spacing w:line="280" w:lineRule="atLeast"/>
        <w:jc w:val="left"/>
      </w:pPr>
    </w:p>
    <w:p w14:paraId="63AB2EEE"/>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97202BC-EA3F-4E94-8AA1-A0D3C4EE777E}"/>
  </w:font>
  <w:font w:name="黑体">
    <w:panose1 w:val="02010609060101010101"/>
    <w:charset w:val="86"/>
    <w:family w:val="auto"/>
    <w:pitch w:val="default"/>
    <w:sig w:usb0="800002BF" w:usb1="38CF7CFA" w:usb2="00000016" w:usb3="00000000" w:csb0="00040001" w:csb1="00000000"/>
    <w:embedRegular r:id="rId2" w:fontKey="{05A9792F-C59B-439D-9649-2DCFA1BA6B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B46B242E-5DA4-4444-A57C-3F32982CBFFA}"/>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CF784AEB-75E4-4F90-8C99-BB618BE8060D}"/>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F9F92545-2365-4AA5-AE92-F4382B890BFD}"/>
  </w:font>
  <w:font w:name="Wingdings 2">
    <w:altName w:val="Wingdings"/>
    <w:panose1 w:val="05020102010507070707"/>
    <w:charset w:val="02"/>
    <w:family w:val="roman"/>
    <w:pitch w:val="default"/>
    <w:sig w:usb0="00000000" w:usb1="00000000" w:usb2="00000000" w:usb3="00000000" w:csb0="80000000" w:csb1="00000000"/>
    <w:embedRegular r:id="rId6" w:fontKey="{2A04E99E-3E84-4AC2-ACBF-4402F07312A6}"/>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3BA2C71B">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2CCB6">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440BA93A">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34393A57">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772E0">
    <w:pPr>
      <w:pStyle w:val="4"/>
      <w:jc w:val="right"/>
      <w:rPr>
        <w:b/>
      </w:rPr>
    </w:pPr>
    <w:r>
      <w:rPr>
        <w:rFonts w:hint="eastAsia"/>
        <w:b/>
      </w:rPr>
      <w:t>投资协议书</w:t>
    </w:r>
  </w:p>
  <w:p w14:paraId="2B86F32D">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D59130">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4919FA8A">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AF1D1">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7C3787A1">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30DF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3277A3A3">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2BA5C">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5CB9BF51">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6175BB"/>
    <w:rsid w:val="22147951"/>
    <w:rsid w:val="2BBE5BA7"/>
    <w:rsid w:val="41062789"/>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3.wmf"/><Relationship Id="rId15" Type="http://schemas.openxmlformats.org/officeDocument/2006/relationships/oleObject" Target="embeddings/oleObject1.bin"/><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74</Pages>
  <Words>15197</Words>
  <Characters>15539</Characters>
  <Lines>0</Lines>
  <Paragraphs>0</Paragraphs>
  <TotalTime>0</TotalTime>
  <ScaleCrop>false</ScaleCrop>
  <LinksUpToDate>false</LinksUpToDate>
  <CharactersWithSpaces>15836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2026-04-09T02:40:04Z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A911534E9D9948F6A1B69B5B9CC870C4_13</vt:lpwstr>
  </property>
  <property fmtid="{D5CDD505-2E9C-101B-9397-08002B2CF9AE}" pid="4" name="KSOTemplateDocerSaveRecord">
    <vt:lpwstr>eyJoZGlkIjoiM2RkMzBiZDIxN2JjZTY3MjU2NDJmZmIzNjhiMGMzNzkiLCJ1c2VySWQiOiIxMTM3NDE4ODQ1In0=</vt:lpwstr>
  </property>
</Properties>
</file>