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32"/>
          <w:szCs w:val="32"/>
          <w:highlight w:val="none"/>
        </w:rPr>
      </w:pPr>
      <w:bookmarkStart w:id="0" w:name="_GoBack"/>
      <w:bookmarkEnd w:id="0"/>
      <w:r>
        <w:rPr>
          <w:rFonts w:hint="eastAsia"/>
          <w:b/>
          <w:sz w:val="32"/>
          <w:szCs w:val="32"/>
          <w:highlight w:val="none"/>
        </w:rPr>
        <w:t>天津银行个人理财产品销售协议书</w:t>
      </w:r>
    </w:p>
    <w:tbl>
      <w:tblPr>
        <w:tblStyle w:val="11"/>
        <w:tblW w:w="896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27" w:hRule="atLeast"/>
          <w:jc w:val="center"/>
        </w:trPr>
        <w:tc>
          <w:tcPr>
            <w:tcW w:w="8969" w:type="dxa"/>
          </w:tcPr>
          <w:p>
            <w:pPr>
              <w:rPr>
                <w:rFonts w:ascii="宋体" w:hAnsi="宋体"/>
                <w:sz w:val="28"/>
                <w:szCs w:val="28"/>
                <w:highlight w:val="none"/>
              </w:rPr>
            </w:pPr>
          </w:p>
          <w:p>
            <w:pPr>
              <w:rPr>
                <w:rFonts w:ascii="宋体" w:hAnsi="宋体"/>
                <w:sz w:val="28"/>
                <w:szCs w:val="28"/>
                <w:highlight w:val="none"/>
              </w:rPr>
            </w:pPr>
          </w:p>
          <w:p>
            <w:pPr>
              <w:rPr>
                <w:rFonts w:ascii="宋体" w:hAnsi="宋体"/>
                <w:sz w:val="28"/>
                <w:szCs w:val="28"/>
                <w:highlight w:val="none"/>
              </w:rPr>
            </w:pPr>
          </w:p>
          <w:p>
            <w:pPr>
              <w:rPr>
                <w:rFonts w:ascii="宋体" w:hAnsi="宋体"/>
                <w:sz w:val="28"/>
                <w:szCs w:val="28"/>
                <w:highlight w:val="none"/>
              </w:rPr>
            </w:pPr>
          </w:p>
          <w:p>
            <w:pPr>
              <w:rPr>
                <w:rFonts w:ascii="宋体" w:hAnsi="宋体"/>
                <w:sz w:val="28"/>
                <w:szCs w:val="28"/>
                <w:highlight w:val="none"/>
              </w:rPr>
            </w:pPr>
          </w:p>
          <w:p>
            <w:pPr>
              <w:rPr>
                <w:rFonts w:ascii="宋体" w:hAnsi="宋体"/>
                <w:sz w:val="28"/>
                <w:szCs w:val="28"/>
                <w:highlight w:val="none"/>
              </w:rPr>
            </w:pPr>
          </w:p>
          <w:p>
            <w:pPr>
              <w:rPr>
                <w:rFonts w:ascii="宋体" w:hAnsi="宋体"/>
                <w:sz w:val="28"/>
                <w:szCs w:val="28"/>
                <w:highlight w:val="none"/>
              </w:rPr>
            </w:pPr>
          </w:p>
          <w:p>
            <w:pPr>
              <w:rPr>
                <w:rFonts w:ascii="宋体" w:hAnsi="宋体"/>
                <w:sz w:val="28"/>
                <w:szCs w:val="28"/>
                <w:highlight w:val="none"/>
              </w:rPr>
            </w:pPr>
            <w:r>
              <w:rPr>
                <w:rFonts w:ascii="黑体" w:hAnsi="黑体" w:eastAsia="黑体"/>
                <w:b/>
                <w:bCs/>
                <w:sz w:val="18"/>
                <w:szCs w:val="18"/>
                <w:highlight w:val="none"/>
              </w:rPr>
              <mc:AlternateContent>
                <mc:Choice Requires="wps">
                  <w:drawing>
                    <wp:anchor distT="0" distB="0" distL="114300" distR="114300" simplePos="0" relativeHeight="251660288" behindDoc="0" locked="0" layoutInCell="1" allowOverlap="1">
                      <wp:simplePos x="0" y="0"/>
                      <wp:positionH relativeFrom="column">
                        <wp:posOffset>5847080</wp:posOffset>
                      </wp:positionH>
                      <wp:positionV relativeFrom="paragraph">
                        <wp:posOffset>58420</wp:posOffset>
                      </wp:positionV>
                      <wp:extent cx="571500" cy="1386840"/>
                      <wp:effectExtent l="0" t="0" r="0" b="3810"/>
                      <wp:wrapNone/>
                      <wp:docPr id="2" name="文本框 6"/>
                      <wp:cNvGraphicFramePr/>
                      <a:graphic xmlns:a="http://schemas.openxmlformats.org/drawingml/2006/main">
                        <a:graphicData uri="http://schemas.microsoft.com/office/word/2010/wordprocessingShape">
                          <wps:wsp>
                            <wps:cNvSpPr txBox="1"/>
                            <wps:spPr>
                              <a:xfrm>
                                <a:off x="0" y="0"/>
                                <a:ext cx="571500" cy="1386840"/>
                              </a:xfrm>
                              <a:prstGeom prst="rect">
                                <a:avLst/>
                              </a:prstGeom>
                              <a:solidFill>
                                <a:srgbClr val="FFFFFF"/>
                              </a:solidFill>
                              <a:ln w="9525">
                                <a:noFill/>
                              </a:ln>
                              <a:effectLst/>
                            </wps:spPr>
                            <wps:txbx>
                              <w:txbxContent>
                                <w:p>
                                  <w:r>
                                    <w:rPr>
                                      <w:rFonts w:hint="eastAsia"/>
                                    </w:rPr>
                                    <w:t>第二联　客户留存</w:t>
                                  </w:r>
                                </w:p>
                                <w:p>
                                  <w:r>
                                    <w:rPr>
                                      <w:rFonts w:hint="eastAsia"/>
                                    </w:rPr>
                                    <w:t>第一联　银行留存</w:t>
                                  </w:r>
                                </w:p>
                                <w:p/>
                              </w:txbxContent>
                            </wps:txbx>
                            <wps:bodyPr vert="eaVert" upright="1"/>
                          </wps:wsp>
                        </a:graphicData>
                      </a:graphic>
                    </wp:anchor>
                  </w:drawing>
                </mc:Choice>
                <mc:Fallback>
                  <w:pict>
                    <v:shape id="文本框 6" o:spid="_x0000_s1026" o:spt="202" type="#_x0000_t202" style="position:absolute;left:0pt;margin-left:460.4pt;margin-top:4.6pt;height:109.2pt;width:45pt;z-index:251660288;mso-width-relative:page;mso-height-relative:page;" fillcolor="#FFFFFF" filled="t" stroked="f" coordsize="21600,21600" o:gfxdata="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OOk017YAAAACgEAAA8AAAAAAAAAAQAgAAAAIgAAAGRycy9kb3ducmV2LnhtbFBL&#10;AQIUABQAAAAIAIdO4kCGjJ5cvQEAAE4DAAAOAAAAAAAAAAEAIAAAACcBAABkcnMvZTJvRG9jLnht&#10;bFBLBQYAAAAABgAGAFkBAABWBQAAAAA=&#10;">
                      <v:fill on="t" focussize="0,0"/>
                      <v:stroke on="f"/>
                      <v:imagedata o:title=""/>
                      <o:lock v:ext="edit" aspectratio="f"/>
                      <v:textbox style="layout-flow:vertical-ideographic;">
                        <w:txbxContent>
                          <w:p>
                            <w:r>
                              <w:rPr>
                                <w:rFonts w:hint="eastAsia"/>
                              </w:rPr>
                              <w:t>第二联　客户留存</w:t>
                            </w:r>
                          </w:p>
                          <w:p>
                            <w:r>
                              <w:rPr>
                                <w:rFonts w:hint="eastAsia"/>
                              </w:rPr>
                              <w:t>第一联　银行留存</w:t>
                            </w:r>
                          </w:p>
                          <w:p/>
                        </w:txbxContent>
                      </v:textbox>
                    </v:shape>
                  </w:pict>
                </mc:Fallback>
              </mc:AlternateContent>
            </w:r>
          </w:p>
          <w:p>
            <w:pPr>
              <w:rPr>
                <w:rFonts w:ascii="宋体" w:hAnsi="宋体"/>
                <w:sz w:val="28"/>
                <w:szCs w:val="28"/>
                <w:highlight w:val="none"/>
              </w:rPr>
            </w:pPr>
          </w:p>
          <w:p>
            <w:pPr>
              <w:rPr>
                <w:rFonts w:ascii="宋体" w:hAnsi="宋体"/>
                <w:sz w:val="28"/>
                <w:szCs w:val="28"/>
                <w:highlight w:val="none"/>
              </w:rPr>
            </w:pPr>
          </w:p>
          <w:p>
            <w:pPr>
              <w:rPr>
                <w:rFonts w:ascii="宋体" w:hAnsi="宋体"/>
                <w:sz w:val="28"/>
                <w:szCs w:val="28"/>
                <w:highlight w:val="none"/>
              </w:rPr>
            </w:pPr>
          </w:p>
          <w:p>
            <w:pPr>
              <w:rPr>
                <w:rFonts w:ascii="宋体" w:hAnsi="宋体"/>
                <w:sz w:val="28"/>
                <w:szCs w:val="28"/>
                <w:highlight w:val="none"/>
              </w:rPr>
            </w:pPr>
          </w:p>
          <w:p>
            <w:pPr>
              <w:rPr>
                <w:rFonts w:ascii="宋体" w:hAnsi="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02" w:hRule="atLeast"/>
          <w:jc w:val="center"/>
        </w:trPr>
        <w:tc>
          <w:tcPr>
            <w:tcW w:w="8969" w:type="dxa"/>
            <w:vAlign w:val="center"/>
          </w:tcPr>
          <w:p>
            <w:pPr>
              <w:ind w:firstLine="527" w:firstLineChars="250"/>
              <w:rPr>
                <w:rFonts w:ascii="宋体" w:hAnsi="宋体"/>
                <w:b/>
                <w:szCs w:val="21"/>
                <w:highlight w:val="none"/>
              </w:rPr>
            </w:pPr>
            <w:r>
              <w:rPr>
                <w:rFonts w:ascii="宋体" w:hAnsi="宋体"/>
                <w:b/>
                <w:szCs w:val="21"/>
                <w:highlight w:val="none"/>
              </w:rPr>
              <w:t>1.</w:t>
            </w:r>
            <w:r>
              <w:rPr>
                <w:rFonts w:hint="eastAsia" w:ascii="宋体" w:hAnsi="宋体"/>
                <w:b/>
                <w:szCs w:val="21"/>
                <w:highlight w:val="none"/>
              </w:rPr>
              <w:t>银行</w:t>
            </w:r>
            <w:r>
              <w:rPr>
                <w:rFonts w:ascii="宋体" w:hAnsi="宋体"/>
                <w:b/>
                <w:szCs w:val="21"/>
                <w:highlight w:val="none"/>
              </w:rPr>
              <w:t>已提请</w:t>
            </w:r>
            <w:r>
              <w:rPr>
                <w:rFonts w:hint="eastAsia" w:ascii="宋体" w:hAnsi="宋体"/>
                <w:b/>
                <w:szCs w:val="21"/>
                <w:highlight w:val="none"/>
              </w:rPr>
              <w:t>客户</w:t>
            </w:r>
            <w:r>
              <w:rPr>
                <w:rFonts w:ascii="宋体" w:hAnsi="宋体"/>
                <w:b/>
                <w:szCs w:val="21"/>
                <w:highlight w:val="none"/>
              </w:rPr>
              <w:t>注意对本协议各条款，特别是黑体字条款作全面、准确的理解，并作了相应条款的说明。签约</w:t>
            </w:r>
            <w:r>
              <w:rPr>
                <w:rFonts w:hint="eastAsia" w:ascii="宋体" w:hAnsi="宋体"/>
                <w:b/>
                <w:szCs w:val="21"/>
                <w:highlight w:val="none"/>
              </w:rPr>
              <w:t>双</w:t>
            </w:r>
            <w:r>
              <w:rPr>
                <w:rFonts w:ascii="宋体" w:hAnsi="宋体"/>
                <w:b/>
                <w:szCs w:val="21"/>
                <w:highlight w:val="none"/>
              </w:rPr>
              <w:t>方对本协议的含义认识一致，认同并接受本协议全部条款。</w:t>
            </w:r>
          </w:p>
          <w:p>
            <w:pPr>
              <w:ind w:firstLine="527" w:firstLineChars="250"/>
              <w:rPr>
                <w:rFonts w:ascii="宋体" w:hAnsi="宋体"/>
                <w:b/>
                <w:szCs w:val="21"/>
                <w:highlight w:val="none"/>
              </w:rPr>
            </w:pPr>
            <w:r>
              <w:rPr>
                <w:rFonts w:ascii="宋体" w:hAnsi="宋体"/>
                <w:b/>
                <w:szCs w:val="21"/>
                <w:highlight w:val="none"/>
              </w:rPr>
              <w:t>2.</w:t>
            </w:r>
            <w:r>
              <w:rPr>
                <w:rFonts w:hint="eastAsia" w:ascii="宋体" w:hAnsi="宋体"/>
                <w:b/>
                <w:szCs w:val="21"/>
                <w:highlight w:val="none"/>
              </w:rPr>
              <w:t>客户认可本协议约定的信息披露途径，已清楚知悉应注意查询的事项和信息披露方面的法律责任，同意银行按照本协议约定进行相关通知和披露。</w:t>
            </w:r>
          </w:p>
          <w:p>
            <w:pPr>
              <w:adjustRightInd w:val="0"/>
              <w:snapToGrid w:val="0"/>
              <w:ind w:firstLine="420" w:firstLineChars="200"/>
              <w:rPr>
                <w:rFonts w:ascii="宋体" w:hAnsi="宋体"/>
                <w:szCs w:val="21"/>
                <w:highlight w:val="none"/>
              </w:rPr>
            </w:pPr>
          </w:p>
          <w:p>
            <w:pPr>
              <w:adjustRightInd w:val="0"/>
              <w:snapToGrid w:val="0"/>
              <w:ind w:firstLine="630" w:firstLineChars="300"/>
              <w:rPr>
                <w:rFonts w:ascii="宋体" w:hAnsi="宋体"/>
                <w:szCs w:val="21"/>
                <w:highlight w:val="none"/>
              </w:rPr>
            </w:pPr>
            <w:r>
              <w:rPr>
                <w:szCs w:val="21"/>
                <w:highlight w:val="none"/>
              </w:rPr>
              <mc:AlternateContent>
                <mc:Choice Requires="wps">
                  <w:drawing>
                    <wp:anchor distT="0" distB="0" distL="114300" distR="114300" simplePos="0" relativeHeight="251659264" behindDoc="0" locked="0" layoutInCell="1" allowOverlap="1">
                      <wp:simplePos x="0" y="0"/>
                      <wp:positionH relativeFrom="column">
                        <wp:posOffset>-671830</wp:posOffset>
                      </wp:positionH>
                      <wp:positionV relativeFrom="paragraph">
                        <wp:posOffset>24765</wp:posOffset>
                      </wp:positionV>
                      <wp:extent cx="374015" cy="867410"/>
                      <wp:effectExtent l="0" t="0" r="6985" b="8890"/>
                      <wp:wrapNone/>
                      <wp:docPr id="1" name="文本框 5"/>
                      <wp:cNvGraphicFramePr/>
                      <a:graphic xmlns:a="http://schemas.openxmlformats.org/drawingml/2006/main">
                        <a:graphicData uri="http://schemas.microsoft.com/office/word/2010/wordprocessingShape">
                          <wps:wsp>
                            <wps:cNvSpPr txBox="1"/>
                            <wps:spPr>
                              <a:xfrm>
                                <a:off x="0" y="0"/>
                                <a:ext cx="374015" cy="867410"/>
                              </a:xfrm>
                              <a:prstGeom prst="rect">
                                <a:avLst/>
                              </a:prstGeom>
                              <a:solidFill>
                                <a:srgbClr val="FFFFFF"/>
                              </a:solidFill>
                              <a:ln w="9525">
                                <a:noFill/>
                              </a:ln>
                              <a:effectLst/>
                            </wps:spPr>
                            <wps:txbx>
                              <w:txbxContent>
                                <w:p>
                                  <w:pPr>
                                    <w:jc w:val="left"/>
                                  </w:pPr>
                                  <w:r>
                                    <w:rPr>
                                      <w:rFonts w:ascii="宋体" w:hAnsi="宋体"/>
                                    </w:rPr>
                                    <w:t>2025.5</w:t>
                                  </w:r>
                                  <w:r>
                                    <w:rPr>
                                      <w:rFonts w:hint="eastAsia"/>
                                    </w:rPr>
                                    <w:t>版</w:t>
                                  </w:r>
                                </w:p>
                              </w:txbxContent>
                            </wps:txbx>
                            <wps:bodyPr vert="eaVert" upright="1"/>
                          </wps:wsp>
                        </a:graphicData>
                      </a:graphic>
                    </wp:anchor>
                  </w:drawing>
                </mc:Choice>
                <mc:Fallback>
                  <w:pict>
                    <v:shape id="文本框 5" o:spid="_x0000_s1026" o:spt="202" type="#_x0000_t202" style="position:absolute;left:0pt;margin-left:-52.9pt;margin-top:1.95pt;height:68.3pt;width:29.45pt;z-index:251659264;mso-width-relative:page;mso-height-relative:page;" fillcolor="#FFFFFF" filled="t" stroked="f" coordsize="21600,21600" o:gfxdata="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LIOEj9oAAAAKAQAADwAAAAAAAAABACAAAAAiAAAAZHJzL2Rvd25yZXYueG1s&#10;UEsBAhQAFAAAAAgAh07iQDli2O+9AQAATQMAAA4AAAAAAAAAAQAgAAAAKQEAAGRycy9lMm9Eb2Mu&#10;eG1sUEsFBgAAAAAGAAYAWQEAAFgFAAAAAA==&#10;">
                      <v:fill on="t" focussize="0,0"/>
                      <v:stroke on="f"/>
                      <v:imagedata o:title=""/>
                      <o:lock v:ext="edit" aspectratio="f"/>
                      <v:textbox style="layout-flow:vertical-ideographic;">
                        <w:txbxContent>
                          <w:p>
                            <w:pPr>
                              <w:jc w:val="left"/>
                            </w:pPr>
                            <w:r>
                              <w:rPr>
                                <w:rFonts w:ascii="宋体" w:hAnsi="宋体"/>
                              </w:rPr>
                              <w:t>2025.5</w:t>
                            </w:r>
                            <w:r>
                              <w:rPr>
                                <w:rFonts w:hint="eastAsia"/>
                              </w:rPr>
                              <w:t>版</w:t>
                            </w:r>
                          </w:p>
                        </w:txbxContent>
                      </v:textbox>
                    </v:shape>
                  </w:pict>
                </mc:Fallback>
              </mc:AlternateContent>
            </w:r>
            <w:r>
              <w:rPr>
                <w:rFonts w:ascii="宋体" w:hAnsi="宋体"/>
                <w:szCs w:val="21"/>
                <w:highlight w:val="none"/>
              </w:rPr>
              <w:t xml:space="preserve">客户签章               </w:t>
            </w:r>
            <w:r>
              <w:rPr>
                <w:rFonts w:hint="eastAsia" w:ascii="宋体" w:hAnsi="宋体"/>
                <w:szCs w:val="21"/>
                <w:highlight w:val="none"/>
              </w:rPr>
              <w:t xml:space="preserve">   </w:t>
            </w:r>
            <w:r>
              <w:rPr>
                <w:rFonts w:ascii="宋体" w:hAnsi="宋体"/>
                <w:szCs w:val="21"/>
                <w:highlight w:val="none"/>
              </w:rPr>
              <w:t>银行签章</w:t>
            </w:r>
          </w:p>
          <w:p>
            <w:pPr>
              <w:adjustRightInd w:val="0"/>
              <w:snapToGrid w:val="0"/>
              <w:ind w:firstLine="630" w:firstLineChars="300"/>
              <w:rPr>
                <w:rFonts w:ascii="宋体" w:hAnsi="宋体"/>
                <w:szCs w:val="21"/>
                <w:highlight w:val="none"/>
              </w:rPr>
            </w:pPr>
          </w:p>
          <w:p>
            <w:pPr>
              <w:adjustRightInd w:val="0"/>
              <w:snapToGrid w:val="0"/>
              <w:ind w:firstLine="630" w:firstLineChars="300"/>
              <w:rPr>
                <w:rFonts w:ascii="宋体" w:hAnsi="宋体"/>
                <w:szCs w:val="21"/>
                <w:highlight w:val="none"/>
              </w:rPr>
            </w:pPr>
          </w:p>
          <w:p>
            <w:pPr>
              <w:adjustRightInd w:val="0"/>
              <w:snapToGrid w:val="0"/>
              <w:ind w:firstLine="630" w:firstLineChars="300"/>
              <w:rPr>
                <w:rFonts w:ascii="宋体" w:hAnsi="宋体"/>
                <w:szCs w:val="21"/>
                <w:highlight w:val="none"/>
              </w:rPr>
            </w:pPr>
            <w:r>
              <w:rPr>
                <w:rFonts w:hint="eastAsia" w:ascii="宋体" w:hAnsi="宋体"/>
                <w:szCs w:val="21"/>
                <w:highlight w:val="none"/>
              </w:rPr>
              <w:t>客户手机号码：</w:t>
            </w:r>
          </w:p>
          <w:p>
            <w:pPr>
              <w:adjustRightInd w:val="0"/>
              <w:snapToGrid w:val="0"/>
              <w:ind w:firstLine="540" w:firstLineChars="300"/>
              <w:rPr>
                <w:rFonts w:ascii="宋体" w:hAnsi="宋体"/>
                <w:sz w:val="18"/>
                <w:szCs w:val="21"/>
                <w:highlight w:val="none"/>
              </w:rPr>
            </w:pPr>
            <w:r>
              <w:rPr>
                <w:rFonts w:hint="eastAsia" w:ascii="宋体" w:hAnsi="宋体"/>
                <w:sz w:val="18"/>
                <w:szCs w:val="21"/>
                <w:highlight w:val="none"/>
              </w:rPr>
              <w:t>（</w:t>
            </w:r>
            <w:r>
              <w:rPr>
                <w:rFonts w:ascii="宋体" w:hAnsi="宋体"/>
                <w:sz w:val="18"/>
                <w:szCs w:val="21"/>
                <w:highlight w:val="none"/>
              </w:rPr>
              <w:t>如</w:t>
            </w:r>
            <w:r>
              <w:rPr>
                <w:rFonts w:hint="eastAsia" w:ascii="宋体" w:hAnsi="宋体"/>
                <w:sz w:val="18"/>
                <w:szCs w:val="21"/>
                <w:highlight w:val="none"/>
              </w:rPr>
              <w:t>手机</w:t>
            </w:r>
            <w:r>
              <w:rPr>
                <w:rFonts w:ascii="宋体" w:hAnsi="宋体"/>
                <w:sz w:val="18"/>
                <w:szCs w:val="21"/>
                <w:highlight w:val="none"/>
              </w:rPr>
              <w:t>号码与我行金信通</w:t>
            </w:r>
            <w:r>
              <w:rPr>
                <w:rFonts w:hint="eastAsia" w:ascii="宋体" w:hAnsi="宋体"/>
                <w:sz w:val="18"/>
                <w:szCs w:val="21"/>
                <w:highlight w:val="none"/>
              </w:rPr>
              <w:t>业务</w:t>
            </w:r>
            <w:r>
              <w:rPr>
                <w:rFonts w:ascii="宋体" w:hAnsi="宋体"/>
                <w:sz w:val="18"/>
                <w:szCs w:val="21"/>
                <w:highlight w:val="none"/>
              </w:rPr>
              <w:t>登记手机号码不一致，请及时</w:t>
            </w:r>
            <w:r>
              <w:rPr>
                <w:rFonts w:hint="eastAsia" w:ascii="宋体" w:hAnsi="宋体"/>
                <w:sz w:val="18"/>
                <w:szCs w:val="21"/>
                <w:highlight w:val="none"/>
              </w:rPr>
              <w:t>另行</w:t>
            </w:r>
            <w:r>
              <w:rPr>
                <w:rFonts w:ascii="宋体" w:hAnsi="宋体"/>
                <w:sz w:val="18"/>
                <w:szCs w:val="21"/>
                <w:highlight w:val="none"/>
              </w:rPr>
              <w:t>办理金信通</w:t>
            </w:r>
            <w:r>
              <w:rPr>
                <w:rFonts w:hint="eastAsia" w:ascii="宋体" w:hAnsi="宋体"/>
                <w:sz w:val="18"/>
                <w:szCs w:val="21"/>
                <w:highlight w:val="none"/>
              </w:rPr>
              <w:t>业务相关</w:t>
            </w:r>
            <w:r>
              <w:rPr>
                <w:rFonts w:ascii="宋体" w:hAnsi="宋体"/>
                <w:sz w:val="18"/>
                <w:szCs w:val="21"/>
                <w:highlight w:val="none"/>
              </w:rPr>
              <w:t>变更</w:t>
            </w:r>
            <w:r>
              <w:rPr>
                <w:rFonts w:hint="eastAsia" w:ascii="宋体" w:hAnsi="宋体"/>
                <w:sz w:val="18"/>
                <w:szCs w:val="21"/>
                <w:highlight w:val="none"/>
              </w:rPr>
              <w:t>手续。）</w:t>
            </w:r>
          </w:p>
          <w:p>
            <w:pPr>
              <w:adjustRightInd w:val="0"/>
              <w:snapToGrid w:val="0"/>
              <w:ind w:firstLine="630" w:firstLineChars="300"/>
              <w:rPr>
                <w:rFonts w:ascii="宋体" w:hAnsi="宋体"/>
                <w:szCs w:val="21"/>
                <w:highlight w:val="none"/>
              </w:rPr>
            </w:pPr>
          </w:p>
          <w:p>
            <w:pPr>
              <w:adjustRightInd w:val="0"/>
              <w:snapToGrid w:val="0"/>
              <w:ind w:firstLine="2625" w:firstLineChars="1250"/>
              <w:rPr>
                <w:rFonts w:ascii="宋体" w:hAnsi="宋体"/>
                <w:szCs w:val="21"/>
                <w:highlight w:val="none"/>
              </w:rPr>
            </w:pPr>
          </w:p>
          <w:p>
            <w:pPr>
              <w:adjustRightInd w:val="0"/>
              <w:snapToGrid w:val="0"/>
              <w:jc w:val="left"/>
              <w:rPr>
                <w:rFonts w:ascii="宋体" w:hAnsi="宋体"/>
                <w:szCs w:val="21"/>
                <w:highlight w:val="none"/>
              </w:rPr>
            </w:pPr>
            <w:r>
              <w:rPr>
                <w:rFonts w:hint="eastAsia" w:ascii="宋体" w:hAnsi="宋体"/>
                <w:szCs w:val="21"/>
                <w:highlight w:val="none"/>
              </w:rPr>
              <w:t xml:space="preserve">      </w:t>
            </w:r>
            <w:r>
              <w:rPr>
                <w:rFonts w:ascii="宋体" w:hAnsi="宋体"/>
                <w:szCs w:val="21"/>
                <w:highlight w:val="none"/>
              </w:rPr>
              <w:t xml:space="preserve">签订日期：    </w:t>
            </w:r>
            <w:r>
              <w:rPr>
                <w:rFonts w:hint="eastAsia" w:ascii="宋体" w:hAnsi="宋体"/>
                <w:szCs w:val="21"/>
                <w:highlight w:val="none"/>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8" w:hRule="atLeast"/>
          <w:jc w:val="center"/>
        </w:trPr>
        <w:tc>
          <w:tcPr>
            <w:tcW w:w="8969" w:type="dxa"/>
            <w:vAlign w:val="center"/>
          </w:tcPr>
          <w:p>
            <w:pPr>
              <w:adjustRightInd w:val="0"/>
              <w:snapToGrid w:val="0"/>
              <w:jc w:val="left"/>
              <w:rPr>
                <w:rFonts w:ascii="宋体" w:hAnsi="宋体"/>
                <w:szCs w:val="21"/>
                <w:highlight w:val="none"/>
              </w:rPr>
            </w:pPr>
            <w:r>
              <w:rPr>
                <w:rFonts w:hint="eastAsia" w:ascii="宋体" w:hAnsi="宋体"/>
                <w:szCs w:val="21"/>
                <w:highlight w:val="none"/>
              </w:rPr>
              <w:t xml:space="preserve">     经办：                              复核: </w:t>
            </w:r>
          </w:p>
        </w:tc>
      </w:tr>
    </w:tbl>
    <w:p>
      <w:pPr>
        <w:spacing w:line="440" w:lineRule="exact"/>
        <w:ind w:right="-82"/>
        <w:jc w:val="center"/>
        <w:rPr>
          <w:rFonts w:ascii="黑体" w:hAnsi="宋体" w:eastAsia="黑体"/>
          <w:b/>
          <w:sz w:val="24"/>
          <w:szCs w:val="24"/>
          <w:highlight w:val="none"/>
        </w:rPr>
      </w:pPr>
      <w:r>
        <w:rPr>
          <w:rFonts w:ascii="宋体" w:hAnsi="宋体"/>
          <w:sz w:val="15"/>
          <w:szCs w:val="15"/>
          <w:highlight w:val="none"/>
        </w:rPr>
        <w:br w:type="page"/>
      </w:r>
      <w:r>
        <w:rPr>
          <w:rFonts w:hint="eastAsia" w:ascii="黑体" w:hAnsi="宋体" w:eastAsia="黑体"/>
          <w:b/>
          <w:sz w:val="24"/>
          <w:szCs w:val="24"/>
          <w:highlight w:val="none"/>
        </w:rPr>
        <w:t>理财产品销售协议条款</w:t>
      </w:r>
    </w:p>
    <w:p>
      <w:pPr>
        <w:adjustRightInd w:val="0"/>
        <w:snapToGrid w:val="0"/>
        <w:spacing w:line="170" w:lineRule="exact"/>
        <w:ind w:firstLine="301" w:firstLineChars="200"/>
        <w:rPr>
          <w:rFonts w:ascii="黑体" w:hAnsi="宋体" w:eastAsia="黑体"/>
          <w:b/>
          <w:sz w:val="15"/>
          <w:szCs w:val="15"/>
          <w:highlight w:val="none"/>
        </w:rPr>
      </w:pPr>
      <w:r>
        <w:rPr>
          <w:rFonts w:hint="eastAsia" w:ascii="黑体" w:hAnsi="宋体" w:eastAsia="黑体"/>
          <w:b/>
          <w:sz w:val="15"/>
          <w:szCs w:val="15"/>
          <w:highlight w:val="none"/>
        </w:rPr>
        <w:t>尊敬的客户：为了维护您的权益，请在签署本协议前，仔细阅读本协议各条款（特别是黑体字条款），充分了解银行理财业务的运作规则、协议双方的权利、义务和责任。如有疑问，可向银行理财产品发售机构咨询。</w:t>
      </w:r>
    </w:p>
    <w:p>
      <w:pPr>
        <w:adjustRightInd w:val="0"/>
        <w:snapToGrid w:val="0"/>
        <w:spacing w:line="170" w:lineRule="exact"/>
        <w:ind w:firstLine="301" w:firstLineChars="200"/>
        <w:rPr>
          <w:rFonts w:ascii="黑体" w:hAnsi="宋体" w:eastAsia="黑体"/>
          <w:sz w:val="15"/>
          <w:szCs w:val="15"/>
          <w:highlight w:val="none"/>
        </w:rPr>
      </w:pPr>
      <w:r>
        <w:rPr>
          <w:rFonts w:hint="eastAsia" w:ascii="黑体" w:hAnsi="宋体" w:eastAsia="黑体"/>
          <w:b/>
          <w:sz w:val="15"/>
          <w:szCs w:val="15"/>
          <w:highlight w:val="none"/>
        </w:rPr>
        <w:t>一、定义。本协议项下的理财产品：是指银行接受客户委托和授权，按照与客户事先约定的投资计划和方式进行投资和资产管理，根据约定条件和实际投资收益情况向客户兑付理财</w:t>
      </w:r>
      <w:r>
        <w:rPr>
          <w:rFonts w:ascii="黑体" w:hAnsi="宋体" w:eastAsia="黑体"/>
          <w:b/>
          <w:sz w:val="15"/>
          <w:szCs w:val="15"/>
          <w:highlight w:val="none"/>
        </w:rPr>
        <w:t>资金</w:t>
      </w:r>
      <w:r>
        <w:rPr>
          <w:rFonts w:hint="eastAsia" w:ascii="黑体" w:hAnsi="宋体" w:eastAsia="黑体"/>
          <w:b/>
          <w:sz w:val="15"/>
          <w:szCs w:val="15"/>
          <w:highlight w:val="none"/>
        </w:rPr>
        <w:t>的产品。</w:t>
      </w:r>
      <w:r>
        <w:rPr>
          <w:rFonts w:hint="eastAsia" w:ascii="黑体" w:hAnsi="宋体" w:eastAsia="黑体"/>
          <w:sz w:val="15"/>
          <w:szCs w:val="15"/>
          <w:highlight w:val="none"/>
        </w:rPr>
        <w:t>理财资金账户：指客户在银行开立的用于完成理财合同项下交易的活期账户。理财</w:t>
      </w:r>
      <w:r>
        <w:rPr>
          <w:rFonts w:ascii="黑体" w:hAnsi="宋体" w:eastAsia="黑体"/>
          <w:sz w:val="15"/>
          <w:szCs w:val="15"/>
          <w:highlight w:val="none"/>
        </w:rPr>
        <w:t>产品销售协议书：</w:t>
      </w:r>
      <w:r>
        <w:rPr>
          <w:rFonts w:hint="eastAsia" w:ascii="黑体" w:hAnsi="宋体" w:eastAsia="黑体"/>
          <w:sz w:val="15"/>
          <w:szCs w:val="15"/>
          <w:highlight w:val="none"/>
        </w:rPr>
        <w:t>指明确协议双方在理财产品销售过程中的权利、义务和相关事项的法律文件。理财产品说明书：指对理财产品具体要素信息、运作方式以及投资安排、有关税费等作出具体约定的文件。风险揭示书：受各种市场波动因素影响，对理财产品可能面临的各类风险作出具体说明的文件。客户权益须知：指对理财产品购买流程、客户风险承受能力评估流程以及适合购买的理财产品等相关内容、信息披露、客户投诉等有关情况作出具体约定的文件。</w:t>
      </w:r>
    </w:p>
    <w:p>
      <w:pPr>
        <w:adjustRightInd w:val="0"/>
        <w:snapToGrid w:val="0"/>
        <w:spacing w:line="170" w:lineRule="exact"/>
        <w:ind w:firstLine="301" w:firstLineChars="200"/>
        <w:rPr>
          <w:rFonts w:ascii="黑体" w:hAnsi="宋体" w:eastAsia="黑体"/>
          <w:sz w:val="15"/>
          <w:szCs w:val="15"/>
          <w:highlight w:val="none"/>
        </w:rPr>
      </w:pPr>
      <w:r>
        <w:rPr>
          <w:rFonts w:hint="eastAsia" w:ascii="黑体" w:hAnsi="宋体" w:eastAsia="黑体"/>
          <w:b/>
          <w:sz w:val="15"/>
          <w:szCs w:val="15"/>
          <w:highlight w:val="none"/>
        </w:rPr>
        <w:t>二、协议的构成和效力。</w:t>
      </w:r>
      <w:r>
        <w:rPr>
          <w:rFonts w:hint="eastAsia" w:ascii="黑体" w:hAnsi="宋体" w:eastAsia="黑体"/>
          <w:sz w:val="15"/>
          <w:szCs w:val="15"/>
          <w:highlight w:val="none"/>
        </w:rPr>
        <w:t>理财产品销售协议书、产品说明书、风险揭示书及客户权益须知等有关法律文件共同构成完整的理财合同。</w:t>
      </w:r>
    </w:p>
    <w:p>
      <w:pPr>
        <w:adjustRightInd w:val="0"/>
        <w:snapToGrid w:val="0"/>
        <w:spacing w:line="170" w:lineRule="exact"/>
        <w:ind w:firstLine="301" w:firstLineChars="200"/>
        <w:rPr>
          <w:rFonts w:ascii="黑体" w:hAnsi="宋体" w:eastAsia="黑体"/>
          <w:b/>
          <w:sz w:val="15"/>
          <w:szCs w:val="15"/>
          <w:highlight w:val="none"/>
        </w:rPr>
      </w:pPr>
      <w:r>
        <w:rPr>
          <w:rFonts w:hint="eastAsia" w:ascii="黑体" w:hAnsi="宋体" w:eastAsia="黑体"/>
          <w:b/>
          <w:sz w:val="15"/>
          <w:szCs w:val="15"/>
          <w:highlight w:val="none"/>
        </w:rPr>
        <w:t>三、双方的声明和保证。客户根据银行理财合同中标明的产品风险等级以及产品适合的客户类别等信息，结合自身风险承受能力谨慎选择投资产品，并保证自己为符合理财产品销售适用性原则的对应投资者，能够自行识别、判断和承担理财产品的相关风险；不存在法律法规、有权机关或主管机关禁止或限制购买理财产品的各种情形，其购买理财产品的行为亦未违反其公司章程或其他文件的任何限制性规定，并熟悉理财产品类型特征及不同销售渠道的相关规定。客户承诺所提供的所有资料真实、完整、合法、有效，如有变更，客户应及时到银行办理变更手续。银行保证自身具有开办理财业务的经营资质，保证以诚实信用、勤勉谨慎的原则管理和运用理财资金。客户声明并保证其用于投资理财产品的资金来源，不涉及以下几种情况：挪用信贷资金购买理财产品；利用信用卡现金分期资金购买理财产品；通过贴现资金回流购买理财。</w:t>
      </w:r>
    </w:p>
    <w:p>
      <w:pPr>
        <w:adjustRightInd w:val="0"/>
        <w:snapToGrid w:val="0"/>
        <w:spacing w:line="170" w:lineRule="exact"/>
        <w:ind w:firstLine="301" w:firstLineChars="200"/>
        <w:rPr>
          <w:rFonts w:ascii="黑体" w:hAnsi="宋体" w:eastAsia="黑体"/>
          <w:b/>
          <w:sz w:val="15"/>
          <w:szCs w:val="15"/>
          <w:highlight w:val="none"/>
        </w:rPr>
      </w:pPr>
      <w:r>
        <w:rPr>
          <w:rFonts w:hint="eastAsia" w:ascii="黑体" w:hAnsi="宋体" w:eastAsia="黑体"/>
          <w:b/>
          <w:sz w:val="15"/>
          <w:szCs w:val="15"/>
          <w:highlight w:val="none"/>
        </w:rPr>
        <w:t>银行及客户均应对本协议及其条款负有保密义务，除法律、法规另有规定或监管机构另有要求外，未经一方事先许可，不得向任何组织、个人提供或泄露与对方有关的业务资料及信息。客户同意并授权银行有权根据客户所勾选的业务申请类型调取收集客户本人开户留存的有效身份证件或者其他身份证明文件信息，并留存办理理财业务所需的个人金融信息。</w:t>
      </w:r>
    </w:p>
    <w:p>
      <w:pPr>
        <w:adjustRightInd w:val="0"/>
        <w:snapToGrid w:val="0"/>
        <w:spacing w:line="170" w:lineRule="exact"/>
        <w:ind w:firstLine="301" w:firstLineChars="200"/>
        <w:rPr>
          <w:rFonts w:ascii="黑体" w:hAnsi="宋体" w:eastAsia="黑体"/>
          <w:b/>
          <w:sz w:val="15"/>
          <w:szCs w:val="15"/>
          <w:highlight w:val="none"/>
        </w:rPr>
      </w:pPr>
      <w:r>
        <w:rPr>
          <w:rFonts w:hint="eastAsia" w:ascii="黑体" w:hAnsi="宋体" w:eastAsia="黑体"/>
          <w:b/>
          <w:sz w:val="15"/>
          <w:szCs w:val="15"/>
          <w:highlight w:val="none"/>
        </w:rPr>
        <w:t>根据相关法律</w:t>
      </w:r>
      <w:r>
        <w:rPr>
          <w:rFonts w:ascii="黑体" w:hAnsi="宋体" w:eastAsia="黑体"/>
          <w:b/>
          <w:sz w:val="15"/>
          <w:szCs w:val="15"/>
          <w:highlight w:val="none"/>
        </w:rPr>
        <w:t>、法规规定及监管部门要求，银行在</w:t>
      </w:r>
      <w:r>
        <w:rPr>
          <w:rFonts w:hint="eastAsia" w:ascii="黑体" w:hAnsi="宋体" w:eastAsia="黑体"/>
          <w:b/>
          <w:sz w:val="15"/>
          <w:szCs w:val="15"/>
          <w:highlight w:val="none"/>
        </w:rPr>
        <w:t>向</w:t>
      </w:r>
      <w:r>
        <w:rPr>
          <w:rFonts w:ascii="黑体" w:hAnsi="宋体" w:eastAsia="黑体"/>
          <w:b/>
          <w:sz w:val="15"/>
          <w:szCs w:val="15"/>
          <w:highlight w:val="none"/>
        </w:rPr>
        <w:t>客户销售理财产品时，会对产品销售过程</w:t>
      </w:r>
      <w:r>
        <w:rPr>
          <w:rFonts w:hint="eastAsia" w:ascii="黑体" w:hAnsi="宋体" w:eastAsia="黑体"/>
          <w:b/>
          <w:sz w:val="15"/>
          <w:szCs w:val="15"/>
          <w:highlight w:val="none"/>
        </w:rPr>
        <w:t>以及</w:t>
      </w:r>
      <w:r>
        <w:rPr>
          <w:rFonts w:ascii="黑体" w:hAnsi="宋体" w:eastAsia="黑体"/>
          <w:b/>
          <w:sz w:val="15"/>
          <w:szCs w:val="15"/>
          <w:highlight w:val="none"/>
        </w:rPr>
        <w:t>销售记录进行客观审慎的记录；其中，客户通过银行营业网点销售专区购买</w:t>
      </w:r>
      <w:r>
        <w:rPr>
          <w:rFonts w:hint="eastAsia" w:ascii="黑体" w:hAnsi="宋体" w:eastAsia="黑体"/>
          <w:b/>
          <w:sz w:val="15"/>
          <w:szCs w:val="15"/>
          <w:highlight w:val="none"/>
        </w:rPr>
        <w:t>理财</w:t>
      </w:r>
      <w:r>
        <w:rPr>
          <w:rFonts w:ascii="黑体" w:hAnsi="宋体" w:eastAsia="黑体"/>
          <w:b/>
          <w:sz w:val="15"/>
          <w:szCs w:val="15"/>
          <w:highlight w:val="none"/>
        </w:rPr>
        <w:t>产品的，即授权银行对销售行为进行</w:t>
      </w:r>
      <w:r>
        <w:rPr>
          <w:rFonts w:hint="eastAsia" w:ascii="黑体" w:hAnsi="宋体" w:eastAsia="黑体"/>
          <w:b/>
          <w:sz w:val="15"/>
          <w:szCs w:val="15"/>
          <w:highlight w:val="none"/>
        </w:rPr>
        <w:t>音像</w:t>
      </w:r>
      <w:r>
        <w:rPr>
          <w:rFonts w:ascii="黑体" w:hAnsi="宋体" w:eastAsia="黑体"/>
          <w:b/>
          <w:sz w:val="15"/>
          <w:szCs w:val="15"/>
          <w:highlight w:val="none"/>
        </w:rPr>
        <w:t>采集。</w:t>
      </w:r>
      <w:r>
        <w:rPr>
          <w:rFonts w:hint="eastAsia" w:ascii="黑体" w:hAnsi="宋体" w:eastAsia="黑体"/>
          <w:b/>
          <w:sz w:val="15"/>
          <w:szCs w:val="15"/>
          <w:highlight w:val="none"/>
        </w:rPr>
        <w:t>客户通过</w:t>
      </w:r>
      <w:r>
        <w:rPr>
          <w:rFonts w:ascii="黑体" w:hAnsi="宋体" w:eastAsia="黑体"/>
          <w:b/>
          <w:sz w:val="15"/>
          <w:szCs w:val="15"/>
          <w:highlight w:val="none"/>
        </w:rPr>
        <w:t>电子渠道（</w:t>
      </w:r>
      <w:r>
        <w:rPr>
          <w:rFonts w:hint="eastAsia" w:ascii="黑体" w:hAnsi="宋体" w:eastAsia="黑体"/>
          <w:b/>
          <w:sz w:val="15"/>
          <w:szCs w:val="15"/>
          <w:highlight w:val="none"/>
        </w:rPr>
        <w:t>含</w:t>
      </w:r>
      <w:r>
        <w:rPr>
          <w:rFonts w:ascii="黑体" w:hAnsi="宋体" w:eastAsia="黑体"/>
          <w:b/>
          <w:sz w:val="15"/>
          <w:szCs w:val="15"/>
          <w:highlight w:val="none"/>
        </w:rPr>
        <w:t>自助终端渠道）</w:t>
      </w:r>
      <w:r>
        <w:rPr>
          <w:rFonts w:hint="eastAsia" w:ascii="黑体" w:hAnsi="宋体" w:eastAsia="黑体"/>
          <w:b/>
          <w:sz w:val="15"/>
          <w:szCs w:val="15"/>
          <w:highlight w:val="none"/>
        </w:rPr>
        <w:t>购买</w:t>
      </w:r>
      <w:r>
        <w:rPr>
          <w:rFonts w:ascii="黑体" w:hAnsi="宋体" w:eastAsia="黑体"/>
          <w:b/>
          <w:sz w:val="15"/>
          <w:szCs w:val="15"/>
          <w:highlight w:val="none"/>
        </w:rPr>
        <w:t>银行销售的理财</w:t>
      </w:r>
      <w:r>
        <w:rPr>
          <w:rFonts w:hint="eastAsia" w:ascii="黑体" w:hAnsi="宋体" w:eastAsia="黑体"/>
          <w:b/>
          <w:sz w:val="15"/>
          <w:szCs w:val="15"/>
          <w:highlight w:val="none"/>
        </w:rPr>
        <w:t>产品</w:t>
      </w:r>
      <w:r>
        <w:rPr>
          <w:rFonts w:ascii="黑体" w:hAnsi="宋体" w:eastAsia="黑体"/>
          <w:b/>
          <w:sz w:val="15"/>
          <w:szCs w:val="15"/>
          <w:highlight w:val="none"/>
        </w:rPr>
        <w:t>的，即</w:t>
      </w:r>
      <w:r>
        <w:rPr>
          <w:rFonts w:hint="eastAsia" w:ascii="黑体" w:hAnsi="宋体" w:eastAsia="黑体"/>
          <w:b/>
          <w:sz w:val="15"/>
          <w:szCs w:val="15"/>
          <w:highlight w:val="none"/>
        </w:rPr>
        <w:t>客户</w:t>
      </w:r>
      <w:r>
        <w:rPr>
          <w:rFonts w:ascii="黑体" w:hAnsi="宋体" w:eastAsia="黑体"/>
          <w:b/>
          <w:sz w:val="15"/>
          <w:szCs w:val="15"/>
          <w:highlight w:val="none"/>
        </w:rPr>
        <w:t>授权银行完整客观记录营销推介、产品风险和相关提示、确认和反馈</w:t>
      </w:r>
      <w:r>
        <w:rPr>
          <w:rFonts w:hint="eastAsia" w:ascii="黑体" w:hAnsi="宋体" w:eastAsia="黑体"/>
          <w:b/>
          <w:sz w:val="15"/>
          <w:szCs w:val="15"/>
          <w:highlight w:val="none"/>
        </w:rPr>
        <w:t>等</w:t>
      </w:r>
      <w:r>
        <w:rPr>
          <w:rFonts w:ascii="黑体" w:hAnsi="宋体" w:eastAsia="黑体"/>
          <w:b/>
          <w:sz w:val="15"/>
          <w:szCs w:val="15"/>
          <w:highlight w:val="none"/>
        </w:rPr>
        <w:t>重点销售环节，用于回溯检查和核查取证用途</w:t>
      </w:r>
      <w:r>
        <w:rPr>
          <w:rFonts w:hint="eastAsia" w:ascii="黑体" w:hAnsi="宋体" w:eastAsia="黑体"/>
          <w:b/>
          <w:sz w:val="15"/>
          <w:szCs w:val="15"/>
          <w:highlight w:val="none"/>
        </w:rPr>
        <w:t>，并且在客户和银行发生争议时可以作为合法有效的证据使用。</w:t>
      </w:r>
    </w:p>
    <w:p>
      <w:pPr>
        <w:adjustRightInd w:val="0"/>
        <w:snapToGrid w:val="0"/>
        <w:spacing w:line="170" w:lineRule="exact"/>
        <w:ind w:firstLine="301" w:firstLineChars="200"/>
        <w:rPr>
          <w:rFonts w:ascii="黑体" w:hAnsi="宋体" w:eastAsia="黑体"/>
          <w:b/>
          <w:sz w:val="15"/>
          <w:szCs w:val="15"/>
          <w:highlight w:val="none"/>
        </w:rPr>
      </w:pPr>
      <w:r>
        <w:rPr>
          <w:rFonts w:hint="eastAsia" w:ascii="黑体" w:hAnsi="宋体" w:eastAsia="黑体"/>
          <w:b/>
          <w:sz w:val="15"/>
          <w:szCs w:val="15"/>
          <w:highlight w:val="none"/>
        </w:rPr>
        <w:t>客户</w:t>
      </w:r>
      <w:r>
        <w:rPr>
          <w:rFonts w:ascii="黑体" w:hAnsi="宋体" w:eastAsia="黑体"/>
          <w:b/>
          <w:sz w:val="15"/>
          <w:szCs w:val="15"/>
          <w:highlight w:val="none"/>
        </w:rPr>
        <w:t>授权银行可根据法律、法规规定或监管部门等有权机关要求，为履行反洗钱义务、开展非居民金融账户尽职调查、或为理财产品登记及向客户提供约定服务等需要，可将</w:t>
      </w:r>
      <w:r>
        <w:rPr>
          <w:rFonts w:hint="eastAsia" w:ascii="黑体" w:hAnsi="宋体" w:eastAsia="黑体"/>
          <w:b/>
          <w:sz w:val="15"/>
          <w:szCs w:val="15"/>
          <w:highlight w:val="none"/>
        </w:rPr>
        <w:t>客户</w:t>
      </w:r>
      <w:r>
        <w:rPr>
          <w:rFonts w:ascii="黑体" w:hAnsi="宋体" w:eastAsia="黑体"/>
          <w:b/>
          <w:sz w:val="15"/>
          <w:szCs w:val="15"/>
          <w:highlight w:val="none"/>
        </w:rPr>
        <w:t>在银行营业网点销售专区内购买</w:t>
      </w:r>
      <w:r>
        <w:rPr>
          <w:rFonts w:hint="eastAsia" w:ascii="黑体" w:hAnsi="宋体" w:eastAsia="黑体"/>
          <w:b/>
          <w:sz w:val="15"/>
          <w:szCs w:val="15"/>
          <w:highlight w:val="none"/>
        </w:rPr>
        <w:t>理财</w:t>
      </w:r>
      <w:r>
        <w:rPr>
          <w:rFonts w:ascii="黑体" w:hAnsi="宋体" w:eastAsia="黑体"/>
          <w:b/>
          <w:sz w:val="15"/>
          <w:szCs w:val="15"/>
          <w:highlight w:val="none"/>
        </w:rPr>
        <w:t>产品的录音录像、电子渠道（</w:t>
      </w:r>
      <w:r>
        <w:rPr>
          <w:rFonts w:hint="eastAsia" w:ascii="黑体" w:hAnsi="宋体" w:eastAsia="黑体"/>
          <w:b/>
          <w:sz w:val="15"/>
          <w:szCs w:val="15"/>
          <w:highlight w:val="none"/>
        </w:rPr>
        <w:t>含自助</w:t>
      </w:r>
      <w:r>
        <w:rPr>
          <w:rFonts w:ascii="黑体" w:hAnsi="宋体" w:eastAsia="黑体"/>
          <w:b/>
          <w:sz w:val="15"/>
          <w:szCs w:val="15"/>
          <w:highlight w:val="none"/>
        </w:rPr>
        <w:t>终端渠道）</w:t>
      </w:r>
      <w:r>
        <w:rPr>
          <w:rFonts w:hint="eastAsia" w:ascii="黑体" w:hAnsi="宋体" w:eastAsia="黑体"/>
          <w:b/>
          <w:sz w:val="15"/>
          <w:szCs w:val="15"/>
          <w:highlight w:val="none"/>
        </w:rPr>
        <w:t>重点</w:t>
      </w:r>
      <w:r>
        <w:rPr>
          <w:rFonts w:ascii="黑体" w:hAnsi="宋体" w:eastAsia="黑体"/>
          <w:b/>
          <w:sz w:val="15"/>
          <w:szCs w:val="15"/>
          <w:highlight w:val="none"/>
        </w:rPr>
        <w:t>销售记录、交易凭证</w:t>
      </w:r>
      <w:r>
        <w:rPr>
          <w:rFonts w:hint="eastAsia" w:ascii="黑体" w:hAnsi="宋体" w:eastAsia="黑体"/>
          <w:b/>
          <w:sz w:val="15"/>
          <w:szCs w:val="15"/>
          <w:highlight w:val="none"/>
        </w:rPr>
        <w:t>影像</w:t>
      </w:r>
      <w:r>
        <w:rPr>
          <w:rFonts w:ascii="黑体" w:hAnsi="宋体" w:eastAsia="黑体"/>
          <w:b/>
          <w:sz w:val="15"/>
          <w:szCs w:val="15"/>
          <w:highlight w:val="none"/>
        </w:rPr>
        <w:t>、交易明细数据等资料</w:t>
      </w:r>
      <w:r>
        <w:rPr>
          <w:rFonts w:hint="eastAsia" w:ascii="黑体" w:hAnsi="宋体" w:eastAsia="黑体"/>
          <w:b/>
          <w:sz w:val="15"/>
          <w:szCs w:val="15"/>
          <w:highlight w:val="none"/>
        </w:rPr>
        <w:t>传递至</w:t>
      </w:r>
      <w:r>
        <w:rPr>
          <w:rFonts w:ascii="黑体" w:hAnsi="宋体" w:eastAsia="黑体"/>
          <w:b/>
          <w:sz w:val="15"/>
          <w:szCs w:val="15"/>
          <w:highlight w:val="none"/>
        </w:rPr>
        <w:t>监管机构、理财产品登记机构</w:t>
      </w:r>
      <w:r>
        <w:rPr>
          <w:rFonts w:hint="eastAsia" w:ascii="黑体" w:hAnsi="宋体" w:eastAsia="黑体"/>
          <w:b/>
          <w:sz w:val="15"/>
          <w:szCs w:val="15"/>
          <w:highlight w:val="none"/>
        </w:rPr>
        <w:t>。</w:t>
      </w:r>
    </w:p>
    <w:p>
      <w:pPr>
        <w:adjustRightInd w:val="0"/>
        <w:snapToGrid w:val="0"/>
        <w:spacing w:line="170" w:lineRule="exact"/>
        <w:ind w:firstLine="301" w:firstLineChars="200"/>
        <w:rPr>
          <w:rFonts w:ascii="黑体" w:hAnsi="宋体" w:eastAsia="黑体"/>
          <w:b/>
          <w:sz w:val="15"/>
          <w:szCs w:val="15"/>
          <w:highlight w:val="none"/>
        </w:rPr>
      </w:pPr>
      <w:r>
        <w:rPr>
          <w:rFonts w:hint="eastAsia" w:ascii="黑体" w:hAnsi="宋体" w:eastAsia="黑体"/>
          <w:b/>
          <w:sz w:val="15"/>
          <w:szCs w:val="15"/>
          <w:highlight w:val="none"/>
        </w:rPr>
        <w:t>四、理财产品的认购。</w:t>
      </w:r>
      <w:r>
        <w:rPr>
          <w:rFonts w:hint="eastAsia" w:ascii="黑体" w:hAnsi="宋体" w:eastAsia="黑体"/>
          <w:sz w:val="15"/>
          <w:szCs w:val="15"/>
          <w:highlight w:val="none"/>
        </w:rPr>
        <w:t>银行于产品说明书列明的募集开始日起至募集结束日止受理客户的认购，并根据法律法规变化、市场状况、资金募集情况或在出现其他可能影响理财产品正常运作或投资目标实现的情形时，做出暂停／恢复募集、延长募集期限、提前结束募集宣布产品成立、或者终止募集宣布募集失败的决定，并通过约定信息披露途径予以通知。</w:t>
      </w:r>
      <w:r>
        <w:rPr>
          <w:rFonts w:hint="eastAsia" w:ascii="黑体" w:hAnsi="宋体" w:eastAsia="黑体"/>
          <w:b/>
          <w:sz w:val="15"/>
          <w:szCs w:val="15"/>
          <w:highlight w:val="none"/>
        </w:rPr>
        <w:t>客户投资本</w:t>
      </w:r>
      <w:r>
        <w:rPr>
          <w:rFonts w:ascii="黑体" w:hAnsi="宋体" w:eastAsia="黑体"/>
          <w:b/>
          <w:sz w:val="15"/>
          <w:szCs w:val="15"/>
          <w:highlight w:val="none"/>
        </w:rPr>
        <w:t>理财产品并签署</w:t>
      </w:r>
      <w:r>
        <w:rPr>
          <w:rFonts w:hint="eastAsia" w:ascii="黑体" w:hAnsi="宋体" w:eastAsia="黑体"/>
          <w:b/>
          <w:sz w:val="15"/>
          <w:szCs w:val="15"/>
          <w:highlight w:val="none"/>
        </w:rPr>
        <w:t>本协议后</w:t>
      </w:r>
      <w:r>
        <w:rPr>
          <w:rFonts w:ascii="黑体" w:hAnsi="宋体" w:eastAsia="黑体"/>
          <w:b/>
          <w:sz w:val="15"/>
          <w:szCs w:val="15"/>
          <w:highlight w:val="none"/>
        </w:rPr>
        <w:t>，</w:t>
      </w:r>
      <w:r>
        <w:rPr>
          <w:rFonts w:hint="eastAsia" w:ascii="黑体" w:hAnsi="宋体" w:eastAsia="黑体"/>
          <w:b/>
          <w:sz w:val="15"/>
          <w:szCs w:val="15"/>
          <w:highlight w:val="none"/>
        </w:rPr>
        <w:t>即</w:t>
      </w:r>
      <w:r>
        <w:rPr>
          <w:rFonts w:ascii="黑体" w:hAnsi="宋体" w:eastAsia="黑体"/>
          <w:b/>
          <w:sz w:val="15"/>
          <w:szCs w:val="15"/>
          <w:highlight w:val="none"/>
        </w:rPr>
        <w:t>授权银行</w:t>
      </w:r>
      <w:r>
        <w:rPr>
          <w:rFonts w:hint="eastAsia" w:ascii="黑体" w:hAnsi="宋体" w:eastAsia="黑体"/>
          <w:b/>
          <w:sz w:val="15"/>
          <w:szCs w:val="15"/>
          <w:highlight w:val="none"/>
        </w:rPr>
        <w:t>在</w:t>
      </w:r>
      <w:r>
        <w:rPr>
          <w:rFonts w:ascii="黑体" w:hAnsi="宋体" w:eastAsia="黑体"/>
          <w:b/>
          <w:sz w:val="15"/>
          <w:szCs w:val="15"/>
          <w:highlight w:val="none"/>
        </w:rPr>
        <w:t>客户理财资金</w:t>
      </w:r>
      <w:r>
        <w:rPr>
          <w:rFonts w:hint="eastAsia" w:ascii="黑体" w:hAnsi="宋体" w:eastAsia="黑体"/>
          <w:b/>
          <w:sz w:val="15"/>
          <w:szCs w:val="15"/>
          <w:highlight w:val="none"/>
        </w:rPr>
        <w:t>账户</w:t>
      </w:r>
      <w:r>
        <w:rPr>
          <w:rFonts w:ascii="黑体" w:hAnsi="宋体" w:eastAsia="黑体"/>
          <w:b/>
          <w:sz w:val="15"/>
          <w:szCs w:val="15"/>
          <w:highlight w:val="none"/>
        </w:rPr>
        <w:t>中</w:t>
      </w:r>
      <w:r>
        <w:rPr>
          <w:rFonts w:hint="eastAsia" w:ascii="黑体" w:hAnsi="宋体" w:eastAsia="黑体"/>
          <w:b/>
          <w:sz w:val="15"/>
          <w:szCs w:val="15"/>
          <w:highlight w:val="none"/>
        </w:rPr>
        <w:t>扣划客户</w:t>
      </w:r>
      <w:r>
        <w:rPr>
          <w:rFonts w:ascii="黑体" w:hAnsi="宋体" w:eastAsia="黑体"/>
          <w:b/>
          <w:sz w:val="15"/>
          <w:szCs w:val="15"/>
          <w:highlight w:val="none"/>
        </w:rPr>
        <w:t>本协议项下</w:t>
      </w:r>
      <w:r>
        <w:rPr>
          <w:rFonts w:hint="eastAsia" w:ascii="黑体" w:hAnsi="宋体" w:eastAsia="黑体"/>
          <w:b/>
          <w:sz w:val="15"/>
          <w:szCs w:val="15"/>
          <w:highlight w:val="none"/>
        </w:rPr>
        <w:t>的</w:t>
      </w:r>
      <w:r>
        <w:rPr>
          <w:rFonts w:ascii="黑体" w:hAnsi="宋体" w:eastAsia="黑体"/>
          <w:b/>
          <w:sz w:val="15"/>
          <w:szCs w:val="15"/>
          <w:highlight w:val="none"/>
        </w:rPr>
        <w:t>理财款项</w:t>
      </w:r>
      <w:r>
        <w:rPr>
          <w:rFonts w:hint="eastAsia" w:ascii="黑体" w:hAnsi="宋体" w:eastAsia="黑体"/>
          <w:b/>
          <w:sz w:val="15"/>
          <w:szCs w:val="15"/>
          <w:highlight w:val="none"/>
        </w:rPr>
        <w:t>，</w:t>
      </w:r>
      <w:r>
        <w:rPr>
          <w:rFonts w:ascii="黑体" w:hAnsi="宋体" w:eastAsia="黑体"/>
          <w:b/>
          <w:sz w:val="15"/>
          <w:szCs w:val="15"/>
          <w:highlight w:val="none"/>
        </w:rPr>
        <w:t>银行划款</w:t>
      </w:r>
      <w:r>
        <w:rPr>
          <w:rFonts w:hint="eastAsia" w:ascii="黑体" w:hAnsi="宋体" w:eastAsia="黑体"/>
          <w:b/>
          <w:sz w:val="15"/>
          <w:szCs w:val="15"/>
          <w:highlight w:val="none"/>
        </w:rPr>
        <w:t>前</w:t>
      </w:r>
      <w:r>
        <w:rPr>
          <w:rFonts w:ascii="黑体" w:hAnsi="宋体" w:eastAsia="黑体"/>
          <w:b/>
          <w:sz w:val="15"/>
          <w:szCs w:val="15"/>
          <w:highlight w:val="none"/>
        </w:rPr>
        <w:t>无需</w:t>
      </w:r>
      <w:r>
        <w:rPr>
          <w:rFonts w:hint="eastAsia" w:ascii="黑体" w:hAnsi="宋体" w:eastAsia="黑体"/>
          <w:b/>
          <w:sz w:val="15"/>
          <w:szCs w:val="15"/>
          <w:highlight w:val="none"/>
        </w:rPr>
        <w:t>再同</w:t>
      </w:r>
      <w:r>
        <w:rPr>
          <w:rFonts w:ascii="黑体" w:hAnsi="宋体" w:eastAsia="黑体"/>
          <w:b/>
          <w:sz w:val="15"/>
          <w:szCs w:val="15"/>
          <w:highlight w:val="none"/>
        </w:rPr>
        <w:t>客户进行确认。</w:t>
      </w:r>
      <w:r>
        <w:rPr>
          <w:rFonts w:hint="eastAsia" w:ascii="黑体" w:hAnsi="宋体" w:eastAsia="黑体"/>
          <w:b/>
          <w:sz w:val="15"/>
          <w:szCs w:val="15"/>
          <w:highlight w:val="none"/>
        </w:rPr>
        <w:t>如因客户相关账户可用余额不足、被查封、冻结、止付、扣划、账户状态异常等非银行原因导致投资本金不能足额划转，由此导致客户未成功购买本产品的，客户自行承担相应后果和责任，银行对此不承担责任。</w:t>
      </w:r>
    </w:p>
    <w:p>
      <w:pPr>
        <w:tabs>
          <w:tab w:val="left" w:pos="1722"/>
        </w:tabs>
        <w:adjustRightInd w:val="0"/>
        <w:snapToGrid w:val="0"/>
        <w:spacing w:line="170" w:lineRule="exact"/>
        <w:ind w:firstLine="301" w:firstLineChars="200"/>
        <w:rPr>
          <w:rFonts w:ascii="黑体" w:hAnsi="宋体" w:eastAsia="黑体"/>
          <w:sz w:val="15"/>
          <w:szCs w:val="15"/>
          <w:highlight w:val="none"/>
        </w:rPr>
      </w:pPr>
      <w:r>
        <w:rPr>
          <w:rFonts w:hint="eastAsia" w:ascii="黑体" w:hAnsi="宋体" w:eastAsia="黑体"/>
          <w:b/>
          <w:sz w:val="15"/>
          <w:szCs w:val="15"/>
          <w:highlight w:val="none"/>
        </w:rPr>
        <w:t>五、理财产品的起息。</w:t>
      </w:r>
      <w:r>
        <w:rPr>
          <w:rFonts w:hint="eastAsia" w:ascii="黑体" w:hAnsi="宋体" w:eastAsia="黑体"/>
          <w:sz w:val="15"/>
          <w:szCs w:val="15"/>
          <w:highlight w:val="none"/>
        </w:rPr>
        <w:t>银行可根据相关法律法规变化、市场状况或其他可能影响理财产品正常运行或投资目标实现的情形决定理财产品能否按照产品说明书列明的起息日开始投资运作。</w:t>
      </w:r>
    </w:p>
    <w:p>
      <w:pPr>
        <w:adjustRightInd w:val="0"/>
        <w:snapToGrid w:val="0"/>
        <w:spacing w:line="170" w:lineRule="exact"/>
        <w:ind w:firstLine="301" w:firstLineChars="200"/>
        <w:rPr>
          <w:rFonts w:ascii="黑体" w:hAnsi="宋体" w:eastAsia="黑体"/>
          <w:sz w:val="15"/>
          <w:szCs w:val="15"/>
          <w:highlight w:val="none"/>
        </w:rPr>
      </w:pPr>
      <w:r>
        <w:rPr>
          <w:rFonts w:hint="eastAsia" w:ascii="黑体" w:hAnsi="宋体" w:eastAsia="黑体"/>
          <w:b/>
          <w:sz w:val="15"/>
          <w:szCs w:val="15"/>
          <w:highlight w:val="none"/>
        </w:rPr>
        <w:t>六、理财产品的投资管理。银行按照法律法规和产品说明书的约定诚实信用、谨慎勤勉地实施投资管理行为，以专业技能管理理财产品资产，依法维护理财产品全体客户的利益。银行不对任何理财产品的收益情况作出承诺或保证，亦不会承诺或保证最低收益或本金安全。银行应依照产品说明书载明的投资范围、资产种类和比例进行投资，并确保在理财产品存续期间按约定比例合理浮动。如市场发生重大变化导致投资比例暂时超出浮动区间且可能对客户收益产生重大影响，银行将通过约定的披露方式及时进行信息披露。</w:t>
      </w:r>
    </w:p>
    <w:p>
      <w:pPr>
        <w:adjustRightInd w:val="0"/>
        <w:snapToGrid w:val="0"/>
        <w:spacing w:line="170" w:lineRule="exact"/>
        <w:ind w:firstLine="301" w:firstLineChars="200"/>
        <w:rPr>
          <w:rFonts w:ascii="黑体" w:hAnsi="宋体" w:eastAsia="黑体"/>
          <w:sz w:val="15"/>
          <w:szCs w:val="15"/>
          <w:highlight w:val="none"/>
        </w:rPr>
      </w:pPr>
      <w:r>
        <w:rPr>
          <w:rFonts w:hint="eastAsia" w:ascii="黑体" w:hAnsi="宋体" w:eastAsia="黑体"/>
          <w:b/>
          <w:sz w:val="15"/>
          <w:szCs w:val="15"/>
          <w:highlight w:val="none"/>
        </w:rPr>
        <w:t>七、理财产品申购和赎回。银行根据各款理财产品的投资管理需要决定是否受理客户的申购和赎回。</w:t>
      </w:r>
      <w:r>
        <w:rPr>
          <w:rFonts w:hint="eastAsia" w:ascii="黑体" w:hAnsi="宋体" w:eastAsia="黑体"/>
          <w:sz w:val="15"/>
          <w:szCs w:val="15"/>
          <w:highlight w:val="none"/>
        </w:rPr>
        <w:t>如理财产品可以申购或赎回，其场所、时间、程序、金额限制、价格计算方法、费用费率等按照产品说明书的约定执行。</w:t>
      </w:r>
    </w:p>
    <w:p>
      <w:pPr>
        <w:adjustRightInd w:val="0"/>
        <w:snapToGrid w:val="0"/>
        <w:spacing w:line="170" w:lineRule="exact"/>
        <w:ind w:firstLine="301" w:firstLineChars="200"/>
        <w:rPr>
          <w:rFonts w:ascii="黑体" w:hAnsi="宋体" w:eastAsia="黑体"/>
          <w:b/>
          <w:sz w:val="15"/>
          <w:szCs w:val="15"/>
          <w:highlight w:val="none"/>
        </w:rPr>
      </w:pPr>
      <w:r>
        <w:rPr>
          <w:rFonts w:hint="eastAsia" w:ascii="黑体" w:hAnsi="宋体" w:eastAsia="黑体"/>
          <w:b/>
          <w:sz w:val="15"/>
          <w:szCs w:val="15"/>
          <w:highlight w:val="none"/>
        </w:rPr>
        <w:t>八、理财产品的终止。客户同意在出现下列情形之一时，银行可单方面提前终止理财产品。银行决定提前终止理财产品的，应提前通过约定的信息披露途径通知：</w:t>
      </w:r>
    </w:p>
    <w:p>
      <w:pPr>
        <w:adjustRightInd w:val="0"/>
        <w:snapToGrid w:val="0"/>
        <w:spacing w:line="170" w:lineRule="exact"/>
        <w:ind w:firstLine="301" w:firstLineChars="200"/>
        <w:rPr>
          <w:rFonts w:ascii="黑体" w:hAnsi="宋体" w:eastAsia="黑体"/>
          <w:b/>
          <w:sz w:val="15"/>
          <w:szCs w:val="15"/>
          <w:highlight w:val="none"/>
        </w:rPr>
      </w:pPr>
      <w:r>
        <w:rPr>
          <w:rFonts w:ascii="黑体" w:hAnsi="宋体" w:eastAsia="黑体"/>
          <w:b/>
          <w:sz w:val="15"/>
          <w:szCs w:val="15"/>
          <w:highlight w:val="none"/>
        </w:rPr>
        <w:t>1</w:t>
      </w:r>
      <w:r>
        <w:rPr>
          <w:rFonts w:hint="eastAsia" w:ascii="黑体" w:hAnsi="宋体" w:eastAsia="黑体"/>
          <w:b/>
          <w:sz w:val="15"/>
          <w:szCs w:val="15"/>
          <w:highlight w:val="none"/>
        </w:rPr>
        <w:t>.</w:t>
      </w:r>
      <w:r>
        <w:rPr>
          <w:rFonts w:ascii="黑体" w:hAnsi="宋体" w:eastAsia="黑体"/>
          <w:b/>
          <w:sz w:val="15"/>
          <w:szCs w:val="15"/>
          <w:highlight w:val="none"/>
        </w:rPr>
        <w:t>产品说明书列明的提前终止情形出现或提前终止条件成立；</w:t>
      </w:r>
    </w:p>
    <w:p>
      <w:pPr>
        <w:adjustRightInd w:val="0"/>
        <w:snapToGrid w:val="0"/>
        <w:spacing w:line="170" w:lineRule="exact"/>
        <w:ind w:firstLine="301" w:firstLineChars="200"/>
        <w:rPr>
          <w:rFonts w:ascii="黑体" w:hAnsi="宋体" w:eastAsia="黑体"/>
          <w:b/>
          <w:sz w:val="15"/>
          <w:szCs w:val="15"/>
          <w:highlight w:val="none"/>
        </w:rPr>
      </w:pPr>
      <w:r>
        <w:rPr>
          <w:rFonts w:ascii="黑体" w:hAnsi="宋体" w:eastAsia="黑体"/>
          <w:b/>
          <w:sz w:val="15"/>
          <w:szCs w:val="15"/>
          <w:highlight w:val="none"/>
        </w:rPr>
        <w:t>2</w:t>
      </w:r>
      <w:r>
        <w:rPr>
          <w:rFonts w:hint="eastAsia" w:ascii="黑体" w:hAnsi="宋体" w:eastAsia="黑体"/>
          <w:b/>
          <w:sz w:val="15"/>
          <w:szCs w:val="15"/>
          <w:highlight w:val="none"/>
        </w:rPr>
        <w:t>.</w:t>
      </w:r>
      <w:r>
        <w:rPr>
          <w:rFonts w:ascii="黑体" w:hAnsi="宋体" w:eastAsia="黑体"/>
          <w:b/>
          <w:sz w:val="15"/>
          <w:szCs w:val="15"/>
          <w:highlight w:val="none"/>
        </w:rPr>
        <w:t>因不可抗力原因导致理财产品无法继续运作；</w:t>
      </w:r>
    </w:p>
    <w:p>
      <w:pPr>
        <w:adjustRightInd w:val="0"/>
        <w:snapToGrid w:val="0"/>
        <w:spacing w:line="170" w:lineRule="exact"/>
        <w:ind w:firstLine="301" w:firstLineChars="200"/>
        <w:rPr>
          <w:rFonts w:ascii="黑体" w:hAnsi="宋体" w:eastAsia="黑体"/>
          <w:b/>
          <w:sz w:val="15"/>
          <w:szCs w:val="15"/>
          <w:highlight w:val="none"/>
        </w:rPr>
      </w:pPr>
      <w:r>
        <w:rPr>
          <w:rFonts w:ascii="黑体" w:hAnsi="宋体" w:eastAsia="黑体"/>
          <w:b/>
          <w:sz w:val="15"/>
          <w:szCs w:val="15"/>
          <w:highlight w:val="none"/>
        </w:rPr>
        <w:t>3</w:t>
      </w:r>
      <w:r>
        <w:rPr>
          <w:rFonts w:hint="eastAsia" w:ascii="黑体" w:hAnsi="宋体" w:eastAsia="黑体"/>
          <w:b/>
          <w:sz w:val="15"/>
          <w:szCs w:val="15"/>
          <w:highlight w:val="none"/>
        </w:rPr>
        <w:t>.</w:t>
      </w:r>
      <w:r>
        <w:rPr>
          <w:rFonts w:ascii="黑体" w:hAnsi="宋体" w:eastAsia="黑体"/>
          <w:b/>
          <w:sz w:val="15"/>
          <w:szCs w:val="15"/>
          <w:highlight w:val="none"/>
        </w:rPr>
        <w:t>遇有市场剧烈波动、异常风险事件等情形导致理财产品净值出现大幅波动或严重影响理财产品的资产安全；</w:t>
      </w:r>
    </w:p>
    <w:p>
      <w:pPr>
        <w:adjustRightInd w:val="0"/>
        <w:snapToGrid w:val="0"/>
        <w:spacing w:line="170" w:lineRule="exact"/>
        <w:ind w:firstLine="301" w:firstLineChars="200"/>
        <w:rPr>
          <w:rFonts w:ascii="黑体" w:hAnsi="宋体" w:eastAsia="黑体"/>
          <w:b/>
          <w:sz w:val="15"/>
          <w:szCs w:val="15"/>
          <w:highlight w:val="none"/>
        </w:rPr>
      </w:pPr>
      <w:r>
        <w:rPr>
          <w:rFonts w:ascii="黑体" w:hAnsi="宋体" w:eastAsia="黑体"/>
          <w:b/>
          <w:sz w:val="15"/>
          <w:szCs w:val="15"/>
          <w:highlight w:val="none"/>
        </w:rPr>
        <w:t>4</w:t>
      </w:r>
      <w:r>
        <w:rPr>
          <w:rFonts w:hint="eastAsia" w:ascii="黑体" w:hAnsi="宋体" w:eastAsia="黑体"/>
          <w:b/>
          <w:sz w:val="15"/>
          <w:szCs w:val="15"/>
          <w:highlight w:val="none"/>
        </w:rPr>
        <w:t>.</w:t>
      </w:r>
      <w:r>
        <w:rPr>
          <w:rFonts w:ascii="黑体" w:hAnsi="宋体" w:eastAsia="黑体"/>
          <w:b/>
          <w:sz w:val="15"/>
          <w:szCs w:val="15"/>
          <w:highlight w:val="none"/>
        </w:rPr>
        <w:t>因</w:t>
      </w:r>
      <w:r>
        <w:rPr>
          <w:rFonts w:hint="eastAsia" w:ascii="黑体" w:hAnsi="宋体" w:eastAsia="黑体"/>
          <w:b/>
          <w:sz w:val="15"/>
          <w:szCs w:val="15"/>
          <w:highlight w:val="none"/>
        </w:rPr>
        <w:t>客户</w:t>
      </w:r>
      <w:r>
        <w:rPr>
          <w:rFonts w:ascii="黑体" w:hAnsi="宋体" w:eastAsia="黑体"/>
          <w:b/>
          <w:sz w:val="15"/>
          <w:szCs w:val="15"/>
          <w:highlight w:val="none"/>
        </w:rPr>
        <w:t>赎回导致理财产品剩余资产无法满足相关法律法规规定、所投资市场要求或协议等相关法律文件约定，或者继续存续无法实现投资目标；</w:t>
      </w:r>
    </w:p>
    <w:p>
      <w:pPr>
        <w:adjustRightInd w:val="0"/>
        <w:snapToGrid w:val="0"/>
        <w:spacing w:line="170" w:lineRule="exact"/>
        <w:ind w:firstLine="301" w:firstLineChars="200"/>
        <w:rPr>
          <w:rFonts w:ascii="黑体" w:hAnsi="宋体" w:eastAsia="黑体"/>
          <w:b/>
          <w:sz w:val="15"/>
          <w:szCs w:val="15"/>
          <w:highlight w:val="none"/>
        </w:rPr>
      </w:pPr>
      <w:r>
        <w:rPr>
          <w:rFonts w:ascii="黑体" w:hAnsi="宋体" w:eastAsia="黑体"/>
          <w:b/>
          <w:sz w:val="15"/>
          <w:szCs w:val="15"/>
          <w:highlight w:val="none"/>
        </w:rPr>
        <w:t>5</w:t>
      </w:r>
      <w:r>
        <w:rPr>
          <w:rFonts w:hint="eastAsia" w:ascii="黑体" w:hAnsi="宋体" w:eastAsia="黑体"/>
          <w:b/>
          <w:sz w:val="15"/>
          <w:szCs w:val="15"/>
          <w:highlight w:val="none"/>
        </w:rPr>
        <w:t>.</w:t>
      </w:r>
      <w:r>
        <w:rPr>
          <w:rFonts w:ascii="黑体" w:hAnsi="宋体" w:eastAsia="黑体"/>
          <w:b/>
          <w:sz w:val="15"/>
          <w:szCs w:val="15"/>
          <w:highlight w:val="none"/>
        </w:rPr>
        <w:t>因相关投资管理机构解散、破产、撤销、被取消业务资格等原因无法继续履行相关职责导致产品无法继续运作；</w:t>
      </w:r>
    </w:p>
    <w:p>
      <w:pPr>
        <w:adjustRightInd w:val="0"/>
        <w:snapToGrid w:val="0"/>
        <w:spacing w:line="170" w:lineRule="exact"/>
        <w:ind w:firstLine="301" w:firstLineChars="200"/>
        <w:rPr>
          <w:rFonts w:ascii="黑体" w:hAnsi="宋体" w:eastAsia="黑体"/>
          <w:b/>
          <w:sz w:val="15"/>
          <w:szCs w:val="15"/>
          <w:highlight w:val="none"/>
        </w:rPr>
      </w:pPr>
      <w:r>
        <w:rPr>
          <w:rFonts w:ascii="黑体" w:hAnsi="宋体" w:eastAsia="黑体"/>
          <w:b/>
          <w:sz w:val="15"/>
          <w:szCs w:val="15"/>
          <w:highlight w:val="none"/>
        </w:rPr>
        <w:t>6</w:t>
      </w:r>
      <w:r>
        <w:rPr>
          <w:rFonts w:hint="eastAsia" w:ascii="黑体" w:hAnsi="宋体" w:eastAsia="黑体"/>
          <w:b/>
          <w:sz w:val="15"/>
          <w:szCs w:val="15"/>
          <w:highlight w:val="none"/>
        </w:rPr>
        <w:t>.</w:t>
      </w:r>
      <w:r>
        <w:rPr>
          <w:rFonts w:ascii="黑体" w:hAnsi="宋体" w:eastAsia="黑体"/>
          <w:b/>
          <w:sz w:val="15"/>
          <w:szCs w:val="15"/>
          <w:highlight w:val="none"/>
        </w:rPr>
        <w:t>相关投资管理机构或运用理财资金的第三方主体实施符合法律法规规定或协议等相关法律文件约定的行为导致理财产品被动提前终止；</w:t>
      </w:r>
    </w:p>
    <w:p>
      <w:pPr>
        <w:adjustRightInd w:val="0"/>
        <w:snapToGrid w:val="0"/>
        <w:spacing w:line="170" w:lineRule="exact"/>
        <w:ind w:firstLine="301" w:firstLineChars="200"/>
        <w:rPr>
          <w:rFonts w:ascii="黑体" w:hAnsi="宋体" w:eastAsia="黑体"/>
          <w:b/>
          <w:sz w:val="15"/>
          <w:szCs w:val="15"/>
          <w:highlight w:val="none"/>
        </w:rPr>
      </w:pPr>
      <w:r>
        <w:rPr>
          <w:rFonts w:ascii="黑体" w:hAnsi="宋体" w:eastAsia="黑体"/>
          <w:b/>
          <w:sz w:val="15"/>
          <w:szCs w:val="15"/>
          <w:highlight w:val="none"/>
        </w:rPr>
        <w:t>7</w:t>
      </w:r>
      <w:r>
        <w:rPr>
          <w:rFonts w:hint="eastAsia" w:ascii="黑体" w:hAnsi="宋体" w:eastAsia="黑体"/>
          <w:b/>
          <w:sz w:val="15"/>
          <w:szCs w:val="15"/>
          <w:highlight w:val="none"/>
        </w:rPr>
        <w:t>.</w:t>
      </w:r>
      <w:r>
        <w:rPr>
          <w:rFonts w:ascii="黑体" w:hAnsi="宋体" w:eastAsia="黑体"/>
          <w:b/>
          <w:sz w:val="15"/>
          <w:szCs w:val="15"/>
          <w:highlight w:val="none"/>
        </w:rPr>
        <w:t>因法律法规变化或国家金融政策调整、紧急措施出台影响产品继续正常运作；</w:t>
      </w:r>
    </w:p>
    <w:p>
      <w:pPr>
        <w:adjustRightInd w:val="0"/>
        <w:snapToGrid w:val="0"/>
        <w:spacing w:line="170" w:lineRule="exact"/>
        <w:ind w:firstLine="301" w:firstLineChars="200"/>
        <w:rPr>
          <w:rFonts w:ascii="黑体" w:hAnsi="宋体" w:eastAsia="黑体"/>
          <w:b/>
          <w:sz w:val="15"/>
          <w:szCs w:val="15"/>
          <w:highlight w:val="none"/>
        </w:rPr>
      </w:pPr>
      <w:r>
        <w:rPr>
          <w:rFonts w:ascii="黑体" w:hAnsi="宋体" w:eastAsia="黑体"/>
          <w:b/>
          <w:sz w:val="15"/>
          <w:szCs w:val="15"/>
          <w:highlight w:val="none"/>
        </w:rPr>
        <w:t>8.法律法规规定或监管部门认定的其他情形。</w:t>
      </w:r>
    </w:p>
    <w:p>
      <w:pPr>
        <w:adjustRightInd w:val="0"/>
        <w:snapToGrid w:val="0"/>
        <w:spacing w:line="170" w:lineRule="exact"/>
        <w:ind w:firstLine="300" w:firstLineChars="200"/>
        <w:rPr>
          <w:rFonts w:ascii="黑体" w:hAnsi="宋体" w:eastAsia="黑体"/>
          <w:sz w:val="15"/>
          <w:szCs w:val="15"/>
          <w:highlight w:val="none"/>
        </w:rPr>
      </w:pPr>
      <w:r>
        <w:rPr>
          <w:rFonts w:hint="eastAsia" w:ascii="黑体" w:hAnsi="宋体" w:eastAsia="黑体"/>
          <w:sz w:val="15"/>
          <w:szCs w:val="15"/>
          <w:highlight w:val="none"/>
        </w:rPr>
        <w:t>客户承诺在理财产品到期日前，除非按照产品说明书约定能够提前终止或提前赎回理财产品，否则不得要求银行提前退还被扣划款项，且不得将理财资金账户销户。</w:t>
      </w:r>
    </w:p>
    <w:p>
      <w:pPr>
        <w:adjustRightInd w:val="0"/>
        <w:snapToGrid w:val="0"/>
        <w:spacing w:line="170" w:lineRule="exact"/>
        <w:ind w:firstLine="301" w:firstLineChars="200"/>
        <w:rPr>
          <w:rFonts w:ascii="黑体" w:hAnsi="宋体" w:eastAsia="黑体"/>
          <w:sz w:val="15"/>
          <w:szCs w:val="15"/>
          <w:highlight w:val="none"/>
        </w:rPr>
      </w:pPr>
      <w:r>
        <w:rPr>
          <w:rFonts w:hint="eastAsia" w:ascii="黑体" w:hAnsi="宋体" w:eastAsia="黑体"/>
          <w:b/>
          <w:sz w:val="15"/>
          <w:szCs w:val="15"/>
          <w:highlight w:val="none"/>
        </w:rPr>
        <w:t>九、理财产品的延期和转换。出现不可抗力、市场停市或管制等异常事件、交易对手违约或其他非由银行主导、仅能被动接受的外部事件或客观情形，导致理财产品无法按约定到期日清算时，或根据产品说明书约定银行需要对理财产品进行延期或转换时，银行将于理财产品原定到期日前通过约定信息披露途径及时通知，并根据该产品的实际情况进行后续处理。</w:t>
      </w:r>
    </w:p>
    <w:p>
      <w:pPr>
        <w:adjustRightInd w:val="0"/>
        <w:snapToGrid w:val="0"/>
        <w:spacing w:line="170" w:lineRule="exact"/>
        <w:ind w:firstLine="301" w:firstLineChars="200"/>
        <w:rPr>
          <w:rFonts w:ascii="黑体" w:hAnsi="宋体" w:eastAsia="黑体"/>
          <w:sz w:val="15"/>
          <w:szCs w:val="15"/>
          <w:highlight w:val="none"/>
        </w:rPr>
      </w:pPr>
      <w:r>
        <w:rPr>
          <w:rFonts w:hint="eastAsia" w:ascii="黑体" w:hAnsi="宋体" w:eastAsia="黑体"/>
          <w:b/>
          <w:sz w:val="15"/>
          <w:szCs w:val="15"/>
          <w:highlight w:val="none"/>
        </w:rPr>
        <w:t>十、资金清算和收益分配。</w:t>
      </w:r>
      <w:r>
        <w:rPr>
          <w:rFonts w:hint="eastAsia" w:ascii="黑体" w:hAnsi="宋体" w:eastAsia="黑体"/>
          <w:sz w:val="15"/>
          <w:szCs w:val="15"/>
          <w:highlight w:val="none"/>
        </w:rPr>
        <w:t>银行按照产品说明书的约定计算和支付收益（如有）。收益一般以原投资币种支付，但产品说明书另有约定的除外。理财产品客户收益的分配原则为：每份理财产品享有同等分配权，但法律法规另有规定或产品说明书另有约定的除外。</w:t>
      </w:r>
    </w:p>
    <w:p>
      <w:pPr>
        <w:adjustRightInd w:val="0"/>
        <w:snapToGrid w:val="0"/>
        <w:spacing w:line="170" w:lineRule="exact"/>
        <w:ind w:firstLine="301" w:firstLineChars="200"/>
        <w:rPr>
          <w:rFonts w:ascii="黑体" w:hAnsi="宋体" w:eastAsia="黑体"/>
          <w:b/>
          <w:sz w:val="15"/>
          <w:szCs w:val="15"/>
          <w:highlight w:val="none"/>
        </w:rPr>
      </w:pPr>
      <w:r>
        <w:rPr>
          <w:rFonts w:hint="eastAsia" w:ascii="黑体" w:hAnsi="宋体" w:eastAsia="黑体"/>
          <w:b/>
          <w:sz w:val="15"/>
          <w:szCs w:val="15"/>
          <w:highlight w:val="none"/>
        </w:rPr>
        <w:t>十一、费用支出和业绩报酬。银行依据产品说明书约定的费用项目、收费条件、收费方式、费率标准等要素收取相关费用，依据产品说明书的约定提取业绩报酬。其费用和业绩报酬可由银行从客户理财资金或应分配款项中直接扣除。银行根据相关法律和国家政策规定调整已约定的收费项目、条件、标准和方式时，将按约定信息披露方式予以披露。客户如不接受，可按约定的期限和方式申请赎回理财产品。</w:t>
      </w:r>
    </w:p>
    <w:p>
      <w:pPr>
        <w:adjustRightInd w:val="0"/>
        <w:snapToGrid w:val="0"/>
        <w:spacing w:line="170" w:lineRule="exact"/>
        <w:ind w:firstLine="301" w:firstLineChars="200"/>
        <w:rPr>
          <w:rFonts w:ascii="黑体" w:hAnsi="宋体" w:eastAsia="黑体"/>
          <w:sz w:val="15"/>
          <w:szCs w:val="15"/>
          <w:highlight w:val="none"/>
        </w:rPr>
      </w:pPr>
      <w:r>
        <w:rPr>
          <w:rFonts w:hint="eastAsia" w:ascii="黑体" w:hAnsi="宋体" w:eastAsia="黑体"/>
          <w:b/>
          <w:sz w:val="15"/>
          <w:szCs w:val="15"/>
          <w:highlight w:val="none"/>
        </w:rPr>
        <w:t>十二、税收处理。</w:t>
      </w:r>
      <w:r>
        <w:rPr>
          <w:rFonts w:hint="eastAsia" w:ascii="黑体" w:hAnsi="宋体" w:eastAsia="黑体"/>
          <w:sz w:val="15"/>
          <w:szCs w:val="15"/>
          <w:highlight w:val="none"/>
        </w:rPr>
        <w:t>客户所得收益的税负由客户自行按照相关法律法规向税务机关申报、缴纳。若法律法规规定或税务机关要求银行对客户所得收益代扣代缴的，届时银行将按有关规定执行。</w:t>
      </w:r>
    </w:p>
    <w:p>
      <w:pPr>
        <w:adjustRightInd w:val="0"/>
        <w:snapToGrid w:val="0"/>
        <w:spacing w:line="170" w:lineRule="exact"/>
        <w:ind w:firstLine="301" w:firstLineChars="200"/>
        <w:rPr>
          <w:rFonts w:ascii="黑体" w:hAnsi="宋体" w:eastAsia="黑体"/>
          <w:b/>
          <w:sz w:val="15"/>
          <w:szCs w:val="15"/>
          <w:highlight w:val="none"/>
        </w:rPr>
      </w:pPr>
      <w:r>
        <w:rPr>
          <w:rFonts w:hint="eastAsia" w:ascii="黑体" w:hAnsi="宋体" w:eastAsia="黑体"/>
          <w:b/>
          <w:sz w:val="15"/>
          <w:szCs w:val="15"/>
          <w:highlight w:val="none"/>
        </w:rPr>
        <w:t>十三、信息披露。</w:t>
      </w:r>
    </w:p>
    <w:p>
      <w:pPr>
        <w:adjustRightInd w:val="0"/>
        <w:snapToGrid w:val="0"/>
        <w:spacing w:line="170" w:lineRule="exact"/>
        <w:ind w:firstLine="301" w:firstLineChars="200"/>
        <w:rPr>
          <w:rFonts w:ascii="黑体" w:hAnsi="宋体" w:eastAsia="黑体"/>
          <w:b/>
          <w:sz w:val="15"/>
          <w:szCs w:val="15"/>
          <w:highlight w:val="none"/>
        </w:rPr>
      </w:pPr>
      <w:r>
        <w:rPr>
          <w:rFonts w:hint="eastAsia" w:ascii="黑体" w:hAnsi="宋体" w:eastAsia="黑体"/>
          <w:b/>
          <w:sz w:val="15"/>
          <w:szCs w:val="15"/>
          <w:highlight w:val="none"/>
        </w:rPr>
        <w:t>产品相关信息披露的渠道，包括但不限于银行官网、电子渠道、营业网点等。具体信息披露的方式、渠道和频率，以相应理财产品说明书的约定为准。相关信息在发布或发出之日视为通知送达，请您及时查询。</w:t>
      </w:r>
    </w:p>
    <w:p>
      <w:pPr>
        <w:adjustRightInd w:val="0"/>
        <w:snapToGrid w:val="0"/>
        <w:spacing w:line="170" w:lineRule="exact"/>
        <w:ind w:firstLine="301" w:firstLineChars="200"/>
        <w:rPr>
          <w:rFonts w:ascii="黑体" w:hAnsi="宋体" w:eastAsia="黑体"/>
          <w:sz w:val="15"/>
          <w:szCs w:val="15"/>
          <w:highlight w:val="none"/>
        </w:rPr>
      </w:pPr>
      <w:r>
        <w:rPr>
          <w:rFonts w:hint="eastAsia" w:ascii="黑体" w:hAnsi="宋体" w:eastAsia="黑体"/>
          <w:b/>
          <w:sz w:val="15"/>
          <w:szCs w:val="15"/>
          <w:highlight w:val="none"/>
        </w:rPr>
        <w:t>十四、违约责任。客户违反本协议第三条所作声明或保证的，应承担相应违约责任。银行对由此导致的理财业务交易延误、中断、终止及客户损失不承担任何责任，并有权单方终止双方的理财业务关系。因客户违反双方约定解除本协议或赎回理财产品给银行或理财产品全体客户造成损失的，客户应承担相应的赔偿责任，银行有权提前终止本协议。</w:t>
      </w:r>
    </w:p>
    <w:p>
      <w:pPr>
        <w:adjustRightInd w:val="0"/>
        <w:snapToGrid w:val="0"/>
        <w:spacing w:line="170" w:lineRule="exact"/>
        <w:ind w:firstLine="301" w:firstLineChars="200"/>
        <w:rPr>
          <w:rFonts w:ascii="黑体" w:hAnsi="宋体" w:eastAsia="黑体"/>
          <w:b/>
          <w:sz w:val="15"/>
          <w:szCs w:val="15"/>
          <w:highlight w:val="none"/>
        </w:rPr>
      </w:pPr>
      <w:r>
        <w:rPr>
          <w:rFonts w:hint="eastAsia" w:ascii="黑体" w:hAnsi="宋体" w:eastAsia="黑体"/>
          <w:b/>
          <w:sz w:val="15"/>
          <w:szCs w:val="15"/>
          <w:highlight w:val="none"/>
        </w:rPr>
        <w:t>十五、其他约定。</w:t>
      </w:r>
    </w:p>
    <w:p>
      <w:pPr>
        <w:adjustRightInd w:val="0"/>
        <w:snapToGrid w:val="0"/>
        <w:spacing w:line="170" w:lineRule="exact"/>
        <w:ind w:firstLine="300" w:firstLineChars="200"/>
        <w:rPr>
          <w:rFonts w:ascii="黑体" w:hAnsi="宋体" w:eastAsia="黑体"/>
          <w:sz w:val="15"/>
          <w:szCs w:val="15"/>
          <w:highlight w:val="none"/>
        </w:rPr>
      </w:pPr>
      <w:r>
        <w:rPr>
          <w:rFonts w:hint="eastAsia" w:ascii="黑体" w:hAnsi="宋体" w:eastAsia="黑体"/>
          <w:sz w:val="15"/>
          <w:szCs w:val="15"/>
          <w:highlight w:val="none"/>
        </w:rPr>
        <w:t>1.理财产品存续期间内，中国和理财产品涉及的外币发行国（地区）、投资市场所在国（地区）的法定节假日、理财产品规定的节假日及周六和周日为非银行工作日，如本协议项下相关日期为非银行工作日，则应顺延至下一个银行工作日。</w:t>
      </w:r>
    </w:p>
    <w:p>
      <w:pPr>
        <w:adjustRightInd w:val="0"/>
        <w:snapToGrid w:val="0"/>
        <w:spacing w:line="170" w:lineRule="exact"/>
        <w:ind w:firstLine="301" w:firstLineChars="200"/>
        <w:rPr>
          <w:rFonts w:ascii="黑体" w:hAnsi="宋体" w:eastAsia="黑体"/>
          <w:b/>
          <w:sz w:val="15"/>
          <w:szCs w:val="15"/>
          <w:highlight w:val="none"/>
        </w:rPr>
      </w:pPr>
      <w:r>
        <w:rPr>
          <w:rFonts w:ascii="黑体" w:hAnsi="宋体" w:eastAsia="黑体"/>
          <w:b/>
          <w:sz w:val="15"/>
          <w:szCs w:val="15"/>
          <w:highlight w:val="none"/>
        </w:rPr>
        <w:t>2</w:t>
      </w:r>
      <w:r>
        <w:rPr>
          <w:rFonts w:hint="eastAsia" w:ascii="黑体" w:hAnsi="宋体" w:eastAsia="黑体"/>
          <w:b/>
          <w:sz w:val="15"/>
          <w:szCs w:val="15"/>
          <w:highlight w:val="none"/>
        </w:rPr>
        <w:t>.</w:t>
      </w:r>
      <w:r>
        <w:rPr>
          <w:rFonts w:ascii="黑体" w:hAnsi="宋体" w:eastAsia="黑体"/>
          <w:b/>
          <w:sz w:val="15"/>
          <w:szCs w:val="15"/>
          <w:highlight w:val="none"/>
        </w:rPr>
        <w:t>客户所持有理财产品设定担保时，须经银行事先书面同意，双方按有关法律法规和银行的有关规定办理。</w:t>
      </w:r>
    </w:p>
    <w:p>
      <w:pPr>
        <w:adjustRightInd w:val="0"/>
        <w:snapToGrid w:val="0"/>
        <w:spacing w:line="170" w:lineRule="exact"/>
        <w:ind w:firstLine="301" w:firstLineChars="200"/>
        <w:rPr>
          <w:rFonts w:ascii="黑体" w:hAnsi="宋体" w:eastAsia="黑体"/>
          <w:b/>
          <w:sz w:val="15"/>
          <w:szCs w:val="15"/>
          <w:highlight w:val="none"/>
        </w:rPr>
      </w:pPr>
      <w:r>
        <w:rPr>
          <w:rFonts w:ascii="黑体" w:hAnsi="宋体" w:eastAsia="黑体"/>
          <w:b/>
          <w:sz w:val="15"/>
          <w:szCs w:val="15"/>
          <w:highlight w:val="none"/>
        </w:rPr>
        <w:t>3</w:t>
      </w:r>
      <w:r>
        <w:rPr>
          <w:rFonts w:hint="eastAsia" w:ascii="黑体" w:hAnsi="宋体" w:eastAsia="黑体"/>
          <w:b/>
          <w:sz w:val="15"/>
          <w:szCs w:val="15"/>
          <w:highlight w:val="none"/>
        </w:rPr>
        <w:t>.</w:t>
      </w:r>
      <w:r>
        <w:rPr>
          <w:rFonts w:ascii="黑体" w:hAnsi="宋体" w:eastAsia="黑体"/>
          <w:b/>
          <w:sz w:val="15"/>
          <w:szCs w:val="15"/>
          <w:highlight w:val="none"/>
        </w:rPr>
        <w:t>未经银行事先书面同意，客户不得转让认购／申购成功的理财产品份额。</w:t>
      </w:r>
    </w:p>
    <w:p>
      <w:pPr>
        <w:adjustRightInd w:val="0"/>
        <w:snapToGrid w:val="0"/>
        <w:spacing w:line="170" w:lineRule="exact"/>
        <w:ind w:firstLine="301" w:firstLineChars="200"/>
        <w:rPr>
          <w:rFonts w:ascii="黑体" w:hAnsi="宋体" w:eastAsia="黑体"/>
          <w:b/>
          <w:sz w:val="15"/>
          <w:szCs w:val="15"/>
          <w:highlight w:val="none"/>
        </w:rPr>
      </w:pPr>
      <w:r>
        <w:rPr>
          <w:rFonts w:ascii="黑体" w:hAnsi="宋体" w:eastAsia="黑体"/>
          <w:b/>
          <w:sz w:val="15"/>
          <w:szCs w:val="15"/>
          <w:highlight w:val="none"/>
        </w:rPr>
        <w:t>4</w:t>
      </w:r>
      <w:r>
        <w:rPr>
          <w:rFonts w:hint="eastAsia" w:ascii="黑体" w:hAnsi="宋体" w:eastAsia="黑体"/>
          <w:b/>
          <w:sz w:val="15"/>
          <w:szCs w:val="15"/>
          <w:highlight w:val="none"/>
        </w:rPr>
        <w:t>.</w:t>
      </w:r>
      <w:r>
        <w:rPr>
          <w:rFonts w:ascii="黑体" w:hAnsi="宋体" w:eastAsia="黑体"/>
          <w:b/>
          <w:sz w:val="15"/>
          <w:szCs w:val="15"/>
          <w:highlight w:val="none"/>
        </w:rPr>
        <w:t>本协议项下的理财资金涉及司法部门等有权机关查询、冻结、扣划的，由银行按照相关规定和有权机关要求执行。</w:t>
      </w:r>
    </w:p>
    <w:p>
      <w:pPr>
        <w:adjustRightInd w:val="0"/>
        <w:snapToGrid w:val="0"/>
        <w:spacing w:line="170" w:lineRule="exact"/>
        <w:ind w:firstLine="301" w:firstLineChars="200"/>
        <w:rPr>
          <w:rFonts w:ascii="黑体" w:hAnsi="宋体" w:eastAsia="黑体"/>
          <w:b/>
          <w:sz w:val="15"/>
          <w:szCs w:val="15"/>
          <w:highlight w:val="none"/>
        </w:rPr>
      </w:pPr>
      <w:r>
        <w:rPr>
          <w:rFonts w:ascii="黑体" w:hAnsi="宋体" w:eastAsia="黑体"/>
          <w:b/>
          <w:sz w:val="15"/>
          <w:szCs w:val="15"/>
          <w:highlight w:val="none"/>
        </w:rPr>
        <w:t>5</w:t>
      </w:r>
      <w:r>
        <w:rPr>
          <w:rFonts w:hint="eastAsia" w:ascii="黑体" w:hAnsi="宋体" w:eastAsia="黑体"/>
          <w:b/>
          <w:sz w:val="15"/>
          <w:szCs w:val="15"/>
          <w:highlight w:val="none"/>
        </w:rPr>
        <w:t>.</w:t>
      </w:r>
      <w:r>
        <w:rPr>
          <w:rFonts w:ascii="黑体" w:hAnsi="宋体" w:eastAsia="黑体"/>
          <w:b/>
          <w:sz w:val="15"/>
          <w:szCs w:val="15"/>
          <w:highlight w:val="none"/>
        </w:rPr>
        <w:t>客户因投资理财产品与银行及分支机构发生争议的，由双方协商解决；协商不成，以诉讼方式解决，由协议书上所载的</w:t>
      </w:r>
      <w:r>
        <w:rPr>
          <w:rFonts w:hint="eastAsia" w:ascii="黑体" w:hAnsi="宋体" w:eastAsia="黑体"/>
          <w:b/>
          <w:sz w:val="15"/>
          <w:szCs w:val="15"/>
          <w:highlight w:val="none"/>
        </w:rPr>
        <w:t>银行</w:t>
      </w:r>
      <w:r>
        <w:rPr>
          <w:rFonts w:ascii="黑体" w:hAnsi="宋体" w:eastAsia="黑体"/>
          <w:b/>
          <w:sz w:val="15"/>
          <w:szCs w:val="15"/>
          <w:highlight w:val="none"/>
        </w:rPr>
        <w:t>所在地人民法院管辖。诉讼期间，未涉及争议的条款仍需继续履行。</w:t>
      </w:r>
    </w:p>
    <w:p>
      <w:pPr>
        <w:adjustRightInd w:val="0"/>
        <w:snapToGrid w:val="0"/>
        <w:spacing w:line="170" w:lineRule="exact"/>
        <w:ind w:firstLine="300" w:firstLineChars="200"/>
        <w:rPr>
          <w:rFonts w:ascii="黑体" w:hAnsi="宋体" w:eastAsia="黑体"/>
          <w:sz w:val="15"/>
          <w:szCs w:val="15"/>
          <w:highlight w:val="none"/>
        </w:rPr>
      </w:pPr>
      <w:r>
        <w:rPr>
          <w:rFonts w:hint="eastAsia" w:ascii="黑体" w:hAnsi="宋体" w:eastAsia="黑体"/>
          <w:sz w:val="15"/>
          <w:szCs w:val="15"/>
          <w:highlight w:val="none"/>
        </w:rPr>
        <w:t>6.其他需补充的条款。</w:t>
      </w:r>
    </w:p>
    <w:p>
      <w:pPr>
        <w:adjustRightInd w:val="0"/>
        <w:snapToGrid w:val="0"/>
        <w:spacing w:line="170" w:lineRule="exact"/>
        <w:ind w:firstLine="301" w:firstLineChars="200"/>
        <w:rPr>
          <w:rFonts w:hint="eastAsia" w:ascii="黑体" w:hAnsi="宋体" w:eastAsia="黑体"/>
          <w:b/>
          <w:sz w:val="15"/>
          <w:szCs w:val="15"/>
          <w:highlight w:val="none"/>
        </w:rPr>
        <w:sectPr>
          <w:headerReference r:id="rId3" w:type="default"/>
          <w:footerReference r:id="rId4" w:type="default"/>
          <w:pgSz w:w="11906" w:h="16838"/>
          <w:pgMar w:top="1418" w:right="1134" w:bottom="567" w:left="1134" w:header="851" w:footer="454" w:gutter="0"/>
          <w:cols w:space="425" w:num="1"/>
          <w:docGrid w:type="lines" w:linePitch="312" w:charSpace="0"/>
        </w:sectPr>
      </w:pPr>
      <w:r>
        <w:rPr>
          <w:rFonts w:hint="eastAsia" w:ascii="黑体" w:hAnsi="宋体" w:eastAsia="黑体"/>
          <w:b/>
          <w:sz w:val="15"/>
          <w:szCs w:val="15"/>
          <w:highlight w:val="none"/>
        </w:rPr>
        <w:t>十六、协议的生效。客户通过销售机构的网点柜面渠道购买本理财产品，本协议经客户签字或盖章且销售机构加盖柜面业务章后生效，协议一式两份，甲乙双方各执一份，每份具有同等法律效力。客户通过销售机构电子渠道进行理财交易的，在相应电子页面点击“确定”或“接受”或“已阅读并同意”或“同意”或“提交”或其他同等含义词语，即视为其已签署，表示其同意接受本协议及对应的产品说明书、风险揭示书、客户权益须知等相关销售文件的全部约定内容，认可以上文本法律约束力。协议各方当事人认可电子渠道所产生电子数据的有效性。</w:t>
      </w:r>
    </w:p>
    <w:p>
      <w:pPr>
        <w:spacing w:line="360" w:lineRule="auto"/>
        <w:jc w:val="center"/>
        <w:rPr>
          <w:rFonts w:ascii="黑体" w:hAnsi="黑体" w:eastAsia="黑体"/>
          <w:b/>
          <w:bCs/>
          <w:sz w:val="28"/>
          <w:szCs w:val="28"/>
          <w:highlight w:val="none"/>
        </w:rPr>
      </w:pPr>
      <w:r>
        <w:rPr>
          <w:rFonts w:hint="eastAsia" w:ascii="黑体" w:hAnsi="黑体" w:eastAsia="黑体"/>
          <w:b/>
          <w:bCs/>
          <w:sz w:val="28"/>
          <w:szCs w:val="28"/>
          <w:highlight w:val="none"/>
        </w:rPr>
        <w:t>风险揭示书</w:t>
      </w:r>
    </w:p>
    <w:p>
      <w:pPr>
        <w:pStyle w:val="22"/>
        <w:jc w:val="center"/>
        <w:rPr>
          <w:b/>
          <w:szCs w:val="21"/>
          <w:highlight w:val="none"/>
        </w:rPr>
      </w:pPr>
      <w:r>
        <w:rPr>
          <w:rFonts w:hint="eastAsia"/>
          <w:b/>
          <w:szCs w:val="21"/>
          <w:highlight w:val="none"/>
        </w:rPr>
        <w:t>理财非存款、产品有风险、投资须谨慎。</w:t>
      </w:r>
    </w:p>
    <w:p>
      <w:pPr>
        <w:spacing w:line="360" w:lineRule="auto"/>
        <w:jc w:val="center"/>
        <w:rPr>
          <w:rFonts w:ascii="黑体" w:hAnsi="黑体" w:eastAsia="黑体"/>
          <w:b/>
          <w:bCs/>
          <w:sz w:val="36"/>
          <w:szCs w:val="28"/>
          <w:highlight w:val="none"/>
        </w:rPr>
      </w:pPr>
      <w:r>
        <w:rPr>
          <w:rFonts w:hint="eastAsia"/>
          <w:b/>
          <w:sz w:val="24"/>
          <w:szCs w:val="21"/>
          <w:highlight w:val="none"/>
        </w:rPr>
        <w:t>理财产品过往业绩不代表其未来表现，不等于理财产品实际收益，投资须谨慎。</w:t>
      </w:r>
    </w:p>
    <w:p>
      <w:pPr>
        <w:jc w:val="left"/>
        <w:rPr>
          <w:rFonts w:ascii="黑体" w:hAnsi="黑体" w:eastAsia="黑体"/>
          <w:bCs/>
          <w:sz w:val="18"/>
          <w:szCs w:val="18"/>
          <w:highlight w:val="none"/>
        </w:rPr>
      </w:pPr>
      <w:r>
        <w:rPr>
          <w:rFonts w:hint="eastAsia" w:ascii="黑体" w:hAnsi="黑体" w:eastAsia="黑体"/>
          <w:bCs/>
          <w:sz w:val="18"/>
          <w:szCs w:val="18"/>
          <w:highlight w:val="none"/>
        </w:rPr>
        <w:t>尊敬的客户：</w:t>
      </w:r>
    </w:p>
    <w:p>
      <w:pPr>
        <w:ind w:firstLine="360"/>
        <w:rPr>
          <w:rFonts w:ascii="黑体" w:hAnsi="黑体" w:eastAsia="黑体"/>
          <w:b/>
          <w:bCs/>
          <w:sz w:val="18"/>
          <w:szCs w:val="18"/>
          <w:highlight w:val="none"/>
        </w:rPr>
      </w:pPr>
      <w:r>
        <w:rPr>
          <w:rFonts w:ascii="黑体" w:hAnsi="黑体" w:eastAsia="黑体"/>
          <w:bCs/>
          <w:sz w:val="18"/>
          <w:szCs w:val="18"/>
          <w:highlight w:val="none"/>
        </w:rPr>
        <w:t>由于理财资金管理运用过程中，可能会面临多种风险因素</w:t>
      </w:r>
      <w:r>
        <w:rPr>
          <w:rFonts w:hint="eastAsia" w:ascii="黑体" w:hAnsi="黑体" w:eastAsia="黑体"/>
          <w:bCs/>
          <w:sz w:val="18"/>
          <w:szCs w:val="18"/>
          <w:highlight w:val="none"/>
        </w:rPr>
        <w:t>。</w:t>
      </w:r>
      <w:r>
        <w:rPr>
          <w:rFonts w:ascii="黑体" w:hAnsi="黑体" w:eastAsia="黑体"/>
          <w:bCs/>
          <w:sz w:val="18"/>
          <w:szCs w:val="18"/>
          <w:highlight w:val="none"/>
        </w:rPr>
        <w:t>因此，根据</w:t>
      </w:r>
      <w:r>
        <w:rPr>
          <w:rFonts w:hint="eastAsia" w:ascii="黑体" w:hAnsi="黑体" w:eastAsia="黑体"/>
          <w:bCs/>
          <w:sz w:val="18"/>
          <w:szCs w:val="18"/>
          <w:highlight w:val="none"/>
        </w:rPr>
        <w:t>相关法律法规、监管规定的要求，</w:t>
      </w:r>
      <w:r>
        <w:rPr>
          <w:rFonts w:ascii="黑体" w:hAnsi="黑体" w:eastAsia="黑体"/>
          <w:bCs/>
          <w:sz w:val="18"/>
          <w:szCs w:val="18"/>
          <w:highlight w:val="none"/>
        </w:rPr>
        <w:t>在您选择购买本理财计划</w:t>
      </w:r>
      <w:r>
        <w:rPr>
          <w:rFonts w:hint="eastAsia" w:ascii="黑体" w:hAnsi="黑体" w:eastAsia="黑体"/>
          <w:bCs/>
          <w:sz w:val="18"/>
          <w:szCs w:val="18"/>
          <w:highlight w:val="none"/>
        </w:rPr>
        <w:t>前，请仔细阅读对应期次的理财销售文件和以下重要内容。</w:t>
      </w:r>
      <w:r>
        <w:rPr>
          <w:rFonts w:hint="eastAsia" w:ascii="黑体" w:hAnsi="黑体" w:eastAsia="黑体"/>
          <w:b/>
          <w:bCs/>
          <w:sz w:val="18"/>
          <w:szCs w:val="18"/>
          <w:highlight w:val="none"/>
        </w:rPr>
        <w:t>本理财产品是非保本浮动收益型理财产品，不保证本金和收益，发生重大不利情况下有可能造成本金部分或全部损失及收益全部损失。业绩比较基准由产品管理人依据理财产品的投资范围及比例、投资策略，并综合考虑市场环境因素测算。业绩比较基准不是理财产品预期收益率，仅作为产品投资管理的业绩比较基础，不构成对产品实际投资收益率的承诺或担保。</w:t>
      </w:r>
      <w:r>
        <w:rPr>
          <w:rFonts w:hint="eastAsia" w:ascii="黑体" w:hAnsi="黑体" w:eastAsia="黑体"/>
          <w:bCs/>
          <w:sz w:val="18"/>
          <w:szCs w:val="18"/>
          <w:highlight w:val="none"/>
        </w:rPr>
        <w:t>您在进行投资时，应严格遵守反逃税、反洗钱及反恐怖融资等相关法律法规、监管规定，切实履行反逃税、反洗钱及反恐怖融资义务，配合开展非居民金融账户涉税信息、反洗钱和反恐怖融资尽职调查工作。</w:t>
      </w:r>
      <w:r>
        <w:rPr>
          <w:rFonts w:hint="eastAsia" w:ascii="黑体" w:hAnsi="黑体" w:eastAsia="黑体"/>
          <w:b/>
          <w:bCs/>
          <w:sz w:val="18"/>
          <w:szCs w:val="18"/>
          <w:highlight w:val="none"/>
        </w:rPr>
        <w:t>您应当充分认识投资风险，谨慎投资：</w:t>
      </w:r>
    </w:p>
    <w:p>
      <w:pPr>
        <w:rPr>
          <w:rFonts w:ascii="黑体" w:hAnsi="黑体" w:eastAsia="黑体"/>
          <w:b/>
          <w:sz w:val="18"/>
          <w:szCs w:val="18"/>
          <w:highlight w:val="none"/>
        </w:rPr>
      </w:pPr>
      <w:r>
        <w:rPr>
          <w:rFonts w:ascii="黑体" w:hAnsi="黑体" w:eastAsia="黑体"/>
          <w:b/>
          <w:sz w:val="18"/>
          <w:szCs w:val="18"/>
          <w:highlight w:val="none"/>
        </w:rPr>
        <w:t>1.</w:t>
      </w:r>
      <w:r>
        <w:rPr>
          <w:rFonts w:hint="eastAsia" w:ascii="黑体" w:hAnsi="黑体" w:eastAsia="黑体"/>
          <w:b/>
          <w:sz w:val="18"/>
          <w:szCs w:val="18"/>
          <w:highlight w:val="none"/>
        </w:rPr>
        <w:t>法律和政策风险：本理财产品是针对当前的相关法律法规、监管要求和政策设计的，如国家宏观政策以及相关法律法规、监管要求发生变化，将影响本理财产品发行、投资、兑付等工作的正常进行，进而可能造成本理财产品的收益降低或本金损失，则客户可能面临本金和收益遭受部分甚至全部损失的风险。</w:t>
      </w:r>
    </w:p>
    <w:p>
      <w:pPr>
        <w:rPr>
          <w:rFonts w:ascii="黑体" w:hAnsi="黑体" w:eastAsia="黑体"/>
          <w:b/>
          <w:sz w:val="18"/>
          <w:szCs w:val="18"/>
          <w:highlight w:val="none"/>
        </w:rPr>
      </w:pPr>
      <w:r>
        <w:rPr>
          <w:rFonts w:ascii="黑体" w:hAnsi="黑体" w:eastAsia="黑体"/>
          <w:b/>
          <w:sz w:val="18"/>
          <w:szCs w:val="18"/>
          <w:highlight w:val="none"/>
        </w:rPr>
        <w:t>2.信用风险：</w:t>
      </w:r>
      <w:r>
        <w:rPr>
          <w:rFonts w:hint="eastAsia" w:ascii="黑体" w:hAnsi="黑体" w:eastAsia="黑体"/>
          <w:b/>
          <w:sz w:val="18"/>
          <w:szCs w:val="18"/>
          <w:highlight w:val="none"/>
        </w:rPr>
        <w:t>由于本产品主要投资于符合监管机构要求各种市场投资工具。客户面临所投资的资产或资产组合涉及的用款人和债券发行人的信用违约。若出现上述情况，投资本金及收益可能遭受损失。</w:t>
      </w:r>
    </w:p>
    <w:p>
      <w:pPr>
        <w:rPr>
          <w:rFonts w:ascii="黑体" w:hAnsi="黑体" w:eastAsia="黑体"/>
          <w:b/>
          <w:sz w:val="18"/>
          <w:szCs w:val="18"/>
          <w:highlight w:val="none"/>
        </w:rPr>
      </w:pPr>
      <w:r>
        <w:rPr>
          <w:rFonts w:ascii="黑体" w:hAnsi="黑体" w:eastAsia="黑体"/>
          <w:b/>
          <w:sz w:val="18"/>
          <w:szCs w:val="18"/>
          <w:highlight w:val="none"/>
        </w:rPr>
        <w:t>3.市场风险：</w:t>
      </w:r>
      <w:r>
        <w:rPr>
          <w:rFonts w:hint="eastAsia" w:ascii="黑体" w:hAnsi="黑体" w:eastAsia="黑体"/>
          <w:b/>
          <w:sz w:val="18"/>
          <w:szCs w:val="18"/>
          <w:highlight w:val="none"/>
        </w:rPr>
        <w:t>本产品投资的基础资产价值受未来市场的不确定影响可能出现波动，从而导致客户收益波动、收益为零甚至本产品份额净值跌破面值、本金损失的情况。本产品投资非本币币种资产，由于海外市场因素如基础利率、汇率、股票价格和商品价格的变化可能引起证券价格的非预期变化，并进而影响投资者收益。客户如需换汇投资外币理财产品，可能面临汇率波动风险，请谨慎投资</w:t>
      </w:r>
      <w:r>
        <w:rPr>
          <w:rFonts w:ascii="黑体" w:hAnsi="黑体" w:eastAsia="黑体"/>
          <w:b/>
          <w:sz w:val="18"/>
          <w:szCs w:val="18"/>
          <w:highlight w:val="none"/>
        </w:rPr>
        <w:t>。</w:t>
      </w:r>
    </w:p>
    <w:p>
      <w:pPr>
        <w:rPr>
          <w:rFonts w:ascii="黑体" w:hAnsi="黑体" w:eastAsia="黑体"/>
          <w:b/>
          <w:sz w:val="18"/>
          <w:szCs w:val="18"/>
          <w:highlight w:val="none"/>
        </w:rPr>
      </w:pPr>
      <w:r>
        <w:rPr>
          <w:rFonts w:ascii="黑体" w:hAnsi="黑体" w:eastAsia="黑体"/>
          <w:b/>
          <w:sz w:val="18"/>
          <w:szCs w:val="18"/>
          <w:highlight w:val="none"/>
        </w:rPr>
        <mc:AlternateContent>
          <mc:Choice Requires="wps">
            <w:drawing>
              <wp:anchor distT="0" distB="0" distL="114300" distR="114300" simplePos="0" relativeHeight="251661312" behindDoc="0" locked="0" layoutInCell="1" allowOverlap="1">
                <wp:simplePos x="0" y="0"/>
                <wp:positionH relativeFrom="rightMargin">
                  <wp:align>left</wp:align>
                </wp:positionH>
                <wp:positionV relativeFrom="paragraph">
                  <wp:posOffset>6985</wp:posOffset>
                </wp:positionV>
                <wp:extent cx="552450" cy="1057275"/>
                <wp:effectExtent l="0" t="0" r="0" b="9525"/>
                <wp:wrapNone/>
                <wp:docPr id="8" name="文本框 4"/>
                <wp:cNvGraphicFramePr/>
                <a:graphic xmlns:a="http://schemas.openxmlformats.org/drawingml/2006/main">
                  <a:graphicData uri="http://schemas.microsoft.com/office/word/2010/wordprocessingShape">
                    <wps:wsp>
                      <wps:cNvSpPr txBox="1"/>
                      <wps:spPr>
                        <a:xfrm>
                          <a:off x="0" y="0"/>
                          <a:ext cx="552450" cy="1057275"/>
                        </a:xfrm>
                        <a:prstGeom prst="rect">
                          <a:avLst/>
                        </a:prstGeom>
                        <a:solidFill>
                          <a:srgbClr val="FFFFFF"/>
                        </a:solidFill>
                        <a:ln w="9525">
                          <a:noFill/>
                        </a:ln>
                      </wps:spPr>
                      <wps:txbx>
                        <w:txbxContent>
                          <w:p>
                            <w:pPr>
                              <w:rPr>
                                <w:sz w:val="18"/>
                              </w:rPr>
                            </w:pPr>
                            <w:r>
                              <w:rPr>
                                <w:rFonts w:hint="eastAsia"/>
                                <w:sz w:val="18"/>
                              </w:rPr>
                              <w:t>第二联　客户留存</w:t>
                            </w:r>
                          </w:p>
                          <w:p>
                            <w:pPr>
                              <w:rPr>
                                <w:sz w:val="18"/>
                              </w:rPr>
                            </w:pPr>
                            <w:r>
                              <w:rPr>
                                <w:rFonts w:hint="eastAsia"/>
                                <w:sz w:val="18"/>
                              </w:rPr>
                              <w:t>第一联　银行留存</w:t>
                            </w:r>
                          </w:p>
                          <w:p/>
                        </w:txbxContent>
                      </wps:txbx>
                      <wps:bodyPr vert="eaVert" wrap="square" upright="1">
                        <a:noAutofit/>
                      </wps:bodyPr>
                    </wps:wsp>
                  </a:graphicData>
                </a:graphic>
              </wp:anchor>
            </w:drawing>
          </mc:Choice>
          <mc:Fallback>
            <w:pict>
              <v:shape id="文本框 4" o:spid="_x0000_s1026" o:spt="202" type="#_x0000_t202" style="position:absolute;left:0pt;margin-left:564.1pt;margin-top:373.75pt;height:83.25pt;width:43.5pt;mso-position-horizontal-relative:page;mso-position-vertical-relative:page;z-index:251661312;mso-width-relative:page;mso-height-relative:page;" fillcolor="#FFFFFF" filled="t" stroked="f" coordsize="21600,21600" o:gfxdata="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pg0JO9QAAAAFAQAADwAAAAAAAAABACAAAAAiAAAAZHJzL2Rvd25y&#10;ZXYueG1sUEsBAhQAFAAAAAgAh07iQBPo35fJAQAAaAMAAA4AAAAAAAAAAQAgAAAAIwEAAGRycy9l&#10;Mm9Eb2MueG1sUEsFBgAAAAAGAAYAWQEAAF4FAAAAAA==&#10;">
                <v:fill on="t" focussize="0,0"/>
                <v:stroke on="f"/>
                <v:imagedata o:title=""/>
                <o:lock v:ext="edit" aspectratio="f"/>
                <v:textbox style="layout-flow:vertical-ideographic;">
                  <w:txbxContent>
                    <w:p>
                      <w:pPr>
                        <w:rPr>
                          <w:sz w:val="18"/>
                        </w:rPr>
                      </w:pPr>
                      <w:r>
                        <w:rPr>
                          <w:rFonts w:hint="eastAsia"/>
                          <w:sz w:val="18"/>
                        </w:rPr>
                        <w:t>第二联　客户留存</w:t>
                      </w:r>
                    </w:p>
                    <w:p>
                      <w:pPr>
                        <w:rPr>
                          <w:sz w:val="18"/>
                        </w:rPr>
                      </w:pPr>
                      <w:r>
                        <w:rPr>
                          <w:rFonts w:hint="eastAsia"/>
                          <w:sz w:val="18"/>
                        </w:rPr>
                        <w:t>第一联　银行留存</w:t>
                      </w:r>
                    </w:p>
                    <w:p/>
                  </w:txbxContent>
                </v:textbox>
              </v:shape>
            </w:pict>
          </mc:Fallback>
        </mc:AlternateContent>
      </w:r>
      <w:r>
        <w:rPr>
          <w:rFonts w:ascii="黑体" w:hAnsi="黑体" w:eastAsia="黑体"/>
          <w:b/>
          <w:sz w:val="18"/>
          <w:szCs w:val="18"/>
          <w:highlight w:val="none"/>
        </w:rPr>
        <w:t>4.管理风险：</w:t>
      </w:r>
      <w:r>
        <w:rPr>
          <w:rFonts w:hint="eastAsia" w:ascii="黑体" w:hAnsi="黑体" w:eastAsia="黑体"/>
          <w:b/>
          <w:sz w:val="18"/>
          <w:szCs w:val="18"/>
          <w:highlight w:val="none"/>
        </w:rPr>
        <w:t>基础资产管理方受经验、技能、判断力、执行力等方面的限制，可能对本产品的运作及管理造成一定影响，并因此影响投资收益。</w:t>
      </w:r>
    </w:p>
    <w:p>
      <w:pPr>
        <w:rPr>
          <w:rFonts w:ascii="黑体" w:hAnsi="黑体" w:eastAsia="黑体"/>
          <w:b/>
          <w:sz w:val="18"/>
          <w:szCs w:val="18"/>
          <w:highlight w:val="none"/>
        </w:rPr>
      </w:pPr>
      <w:r>
        <w:rPr>
          <w:rFonts w:hint="eastAsia" w:ascii="黑体" w:hAnsi="黑体" w:eastAsia="黑体"/>
          <w:b/>
          <w:sz w:val="18"/>
          <w:szCs w:val="18"/>
          <w:highlight w:val="none"/>
        </w:rPr>
        <w:t>5.操作风险</w:t>
      </w:r>
      <w:r>
        <w:rPr>
          <w:rFonts w:ascii="黑体" w:hAnsi="黑体" w:eastAsia="黑体"/>
          <w:b/>
          <w:sz w:val="18"/>
          <w:szCs w:val="18"/>
          <w:highlight w:val="none"/>
        </w:rPr>
        <w:t>：</w:t>
      </w:r>
      <w:r>
        <w:rPr>
          <w:rFonts w:hint="eastAsia" w:ascii="黑体" w:hAnsi="黑体" w:eastAsia="黑体"/>
          <w:b/>
          <w:sz w:val="18"/>
          <w:szCs w:val="18"/>
          <w:highlight w:val="none"/>
        </w:rPr>
        <w:t>如本理财产品的产品管理人由于内部作业、人员管理、系统操作及事务处理不当或失误等，则客户可能面临本金和收益遭受部分甚至全部损失的风险。</w:t>
      </w:r>
    </w:p>
    <w:p>
      <w:pPr>
        <w:rPr>
          <w:rFonts w:ascii="黑体" w:hAnsi="黑体" w:eastAsia="黑体"/>
          <w:b/>
          <w:sz w:val="18"/>
          <w:szCs w:val="18"/>
          <w:highlight w:val="none"/>
        </w:rPr>
      </w:pPr>
      <w:r>
        <w:rPr>
          <w:rFonts w:ascii="黑体" w:hAnsi="黑体" w:eastAsia="黑体"/>
          <w:b/>
          <w:sz w:val="18"/>
          <w:szCs w:val="18"/>
          <w:highlight w:val="none"/>
        </w:rPr>
        <w:t>6.</w:t>
      </w:r>
      <w:r>
        <w:rPr>
          <w:rFonts w:hint="eastAsia" w:ascii="黑体" w:hAnsi="黑体" w:eastAsia="黑体"/>
          <w:b/>
          <w:sz w:val="18"/>
          <w:szCs w:val="18"/>
          <w:highlight w:val="none"/>
        </w:rPr>
        <w:t>税务</w:t>
      </w:r>
      <w:r>
        <w:rPr>
          <w:rFonts w:ascii="黑体" w:hAnsi="黑体" w:eastAsia="黑体"/>
          <w:b/>
          <w:sz w:val="18"/>
          <w:szCs w:val="18"/>
          <w:highlight w:val="none"/>
        </w:rPr>
        <w:t>风险：</w:t>
      </w:r>
      <w:r>
        <w:rPr>
          <w:rFonts w:hint="eastAsia" w:ascii="黑体" w:hAnsi="黑体" w:eastAsia="黑体"/>
          <w:b/>
          <w:sz w:val="18"/>
          <w:szCs w:val="18"/>
          <w:highlight w:val="none"/>
        </w:rPr>
        <w:t>根据国家相关法律法规，本理财产品运营过程中发生的应由本理财产品承担的增值税应税行为，由我行申报和缴纳增值税及附加税费。该等税款将直接从本理财产品中扣付缴纳，本理财产品将因为前述增值税等税负承担导致税费支出增加、理财产品净值或实际收益降低，从而降低客户的收益水平。</w:t>
      </w:r>
    </w:p>
    <w:p>
      <w:pPr>
        <w:rPr>
          <w:rFonts w:ascii="黑体" w:hAnsi="黑体" w:eastAsia="黑体"/>
          <w:b/>
          <w:sz w:val="18"/>
          <w:szCs w:val="18"/>
          <w:highlight w:val="none"/>
        </w:rPr>
      </w:pPr>
      <w:r>
        <w:rPr>
          <w:rFonts w:ascii="黑体" w:hAnsi="黑体" w:eastAsia="黑体"/>
          <w:b/>
          <w:sz w:val="18"/>
          <w:szCs w:val="18"/>
          <w:highlight w:val="none"/>
        </w:rPr>
        <w:t>7.</w:t>
      </w:r>
      <w:r>
        <w:rPr>
          <w:rFonts w:hint="eastAsia" w:ascii="黑体" w:hAnsi="黑体" w:eastAsia="黑体"/>
          <w:b/>
          <w:sz w:val="18"/>
          <w:szCs w:val="18"/>
          <w:highlight w:val="none"/>
        </w:rPr>
        <w:t>提前终止或延期风险：产品存续期内，若发生本理财产品说明书约定的情形，我行决定提前终止本产品的，本产品存在提前终止的风险。若本产品提前终止，客户面临不能按预定期限进行投资，需要自行再投资的风险。如产品到期后出现资产无法及时变现或其他客观原因导致产品无法按时终止的情形，我行有权对本产品进行延期或延迟兑付，如我行决定对产品进行延期或延迟兑付的，客户将面临不能按预定期限取得本金及收益的风险，从而影响客户的资金安排。</w:t>
      </w:r>
    </w:p>
    <w:p>
      <w:pPr>
        <w:rPr>
          <w:rFonts w:ascii="黑体" w:hAnsi="黑体" w:eastAsia="黑体"/>
          <w:b/>
          <w:sz w:val="18"/>
          <w:szCs w:val="18"/>
          <w:highlight w:val="none"/>
        </w:rPr>
      </w:pPr>
      <w:r>
        <w:rPr>
          <w:rFonts w:hint="eastAsia" w:ascii="黑体" w:hAnsi="黑体" w:eastAsia="黑体"/>
          <w:b/>
          <w:sz w:val="18"/>
          <w:szCs w:val="18"/>
          <w:highlight w:val="none"/>
        </w:rPr>
        <w:t>8.代销风险</w:t>
      </w:r>
      <w:r>
        <w:rPr>
          <w:rFonts w:ascii="黑体" w:hAnsi="黑体" w:eastAsia="黑体"/>
          <w:b/>
          <w:sz w:val="18"/>
          <w:szCs w:val="18"/>
          <w:highlight w:val="none"/>
        </w:rPr>
        <w:t>：</w:t>
      </w:r>
      <w:r>
        <w:rPr>
          <w:rFonts w:hint="eastAsia" w:ascii="黑体" w:hAnsi="黑体" w:eastAsia="黑体"/>
          <w:b/>
          <w:sz w:val="18"/>
          <w:szCs w:val="18"/>
          <w:highlight w:val="none"/>
        </w:rPr>
        <w:t>本理财产品通过</w:t>
      </w:r>
      <w:r>
        <w:rPr>
          <w:rFonts w:ascii="黑体" w:hAnsi="黑体" w:eastAsia="黑体"/>
          <w:b/>
          <w:sz w:val="18"/>
          <w:szCs w:val="18"/>
          <w:highlight w:val="none"/>
        </w:rPr>
        <w:t>代销</w:t>
      </w:r>
      <w:r>
        <w:rPr>
          <w:rFonts w:hint="eastAsia" w:ascii="黑体" w:hAnsi="黑体" w:eastAsia="黑体"/>
          <w:b/>
          <w:sz w:val="18"/>
          <w:szCs w:val="18"/>
          <w:highlight w:val="none"/>
        </w:rPr>
        <w:t>渠道</w:t>
      </w:r>
      <w:r>
        <w:rPr>
          <w:rFonts w:ascii="黑体" w:hAnsi="黑体" w:eastAsia="黑体"/>
          <w:b/>
          <w:sz w:val="18"/>
          <w:szCs w:val="18"/>
          <w:highlight w:val="none"/>
        </w:rPr>
        <w:t>销售，</w:t>
      </w:r>
      <w:r>
        <w:rPr>
          <w:rFonts w:hint="eastAsia" w:ascii="黑体" w:hAnsi="黑体" w:eastAsia="黑体"/>
          <w:b/>
          <w:sz w:val="18"/>
          <w:szCs w:val="18"/>
          <w:highlight w:val="none"/>
        </w:rPr>
        <w:t>客户购买理财产品的资金由代理销售机构从客户指定账户扣收并划付我行，赎回理财产品份额时相应款项由我行按约定划付至代理销售机构，并由代理销售机构向客户支付应得收益。不同代理销售机构的认购/申购／赎回确认时效可能存在差异。如因客户指定账户余额不足，或代理销售机构未及时足额划付资金，或代理销售机构清算账户内资金被依法冻结或扣划，或代理销售机构清算账户处于被挂失、冻结、注销或其他非正常状态等原因而导致交易失败，由代理销售机构与客户依法协商解决，但前述约定不免除因代理销售机构过错依法应由代理销售机构承担的责任。</w:t>
      </w:r>
    </w:p>
    <w:p>
      <w:pPr>
        <w:rPr>
          <w:rFonts w:ascii="黑体" w:hAnsi="黑体" w:eastAsia="黑体"/>
          <w:b/>
          <w:sz w:val="18"/>
          <w:szCs w:val="18"/>
          <w:highlight w:val="none"/>
        </w:rPr>
      </w:pPr>
      <w:r>
        <w:rPr>
          <w:rFonts w:ascii="黑体" w:hAnsi="黑体" w:eastAsia="黑体"/>
          <w:b/>
          <w:sz w:val="18"/>
          <w:szCs w:val="18"/>
          <w:highlight w:val="none"/>
        </w:rPr>
        <w:t>9.</w:t>
      </w:r>
      <w:r>
        <w:rPr>
          <w:rFonts w:hint="eastAsia" w:ascii="黑体" w:hAnsi="黑体" w:eastAsia="黑体"/>
          <w:b/>
          <w:sz w:val="18"/>
          <w:szCs w:val="18"/>
          <w:highlight w:val="none"/>
        </w:rPr>
        <w:t>强制赎回风险：产品存续期内，如出现客户不符合本产品投资者资质条件时，我行有权退回购买资金、对客户持有的理财产品份额进行强制赎回或采取其他相应控制措施。</w:t>
      </w:r>
      <w:r>
        <w:rPr>
          <w:rFonts w:ascii="黑体" w:hAnsi="黑体" w:eastAsia="黑体"/>
          <w:b/>
          <w:sz w:val="18"/>
          <w:szCs w:val="18"/>
          <w:highlight w:val="none"/>
        </w:rPr>
        <w:t xml:space="preserve">                                                             </w:t>
      </w:r>
    </w:p>
    <w:p>
      <w:pPr>
        <w:rPr>
          <w:rFonts w:ascii="黑体" w:hAnsi="黑体" w:eastAsia="黑体"/>
          <w:b/>
          <w:sz w:val="18"/>
          <w:szCs w:val="18"/>
          <w:highlight w:val="none"/>
        </w:rPr>
      </w:pPr>
      <w:r>
        <w:rPr>
          <w:rFonts w:ascii="黑体" w:hAnsi="黑体" w:eastAsia="黑体"/>
          <w:b/>
          <w:sz w:val="18"/>
          <w:szCs w:val="18"/>
          <w:highlight w:val="none"/>
        </w:rPr>
        <w:t>10.流动性风险：</w:t>
      </w:r>
      <w:r>
        <w:rPr>
          <w:rFonts w:hint="eastAsia" w:ascii="黑体" w:hAnsi="黑体" w:eastAsia="黑体"/>
          <w:b/>
          <w:sz w:val="18"/>
          <w:szCs w:val="18"/>
          <w:highlight w:val="none"/>
        </w:rPr>
        <w:t>若本产品投资的基础资产成交少，流动性低，或对于非公开发行债券等流动和/或转让存在一定的限制的资产，即使在市场流动性比较好的情况下，个别资产的流动性可能较差，均可能造成无法以合理价格买入或卖出的情形，并因此影响客户收益，甚至使本产品遭受损失。对于流动性好的基础资产，可能在一些时期受市场行情、投资群体等诸多因素的影响，出现成交少，流动性低的情况，在市场流动性相对不足时，可能增加变现成本或出现变现困难，对投资造成不利影响。</w:t>
      </w:r>
    </w:p>
    <w:p>
      <w:pPr>
        <w:rPr>
          <w:rFonts w:ascii="黑体" w:hAnsi="黑体" w:eastAsia="黑体"/>
          <w:b/>
          <w:sz w:val="18"/>
          <w:szCs w:val="18"/>
          <w:highlight w:val="none"/>
        </w:rPr>
      </w:pPr>
      <w:r>
        <w:rPr>
          <w:rFonts w:ascii="黑体" w:hAnsi="黑体" w:eastAsia="黑体"/>
          <w:b/>
          <w:sz w:val="18"/>
          <w:szCs w:val="18"/>
          <w:highlight w:val="none"/>
        </w:rPr>
        <w:t>11.信息传递风险：</w:t>
      </w:r>
      <w:r>
        <w:rPr>
          <w:rFonts w:hint="eastAsia" w:ascii="黑体" w:hAnsi="黑体" w:eastAsia="黑体"/>
          <w:b/>
          <w:sz w:val="18"/>
          <w:szCs w:val="18"/>
          <w:highlight w:val="none"/>
        </w:rPr>
        <w:t>我行将最迟在到期日后</w:t>
      </w:r>
      <w:r>
        <w:rPr>
          <w:rFonts w:ascii="黑体" w:hAnsi="黑体" w:eastAsia="黑体"/>
          <w:b/>
          <w:sz w:val="18"/>
          <w:szCs w:val="18"/>
          <w:highlight w:val="none"/>
        </w:rPr>
        <w:t>5个工作日内，在我行营业网点或网站等渠道发布到期相关信息公告。如本产品需延期清算，将最迟于到期日后5个工作日内在我行网站或网点等渠道发布相关信息公告。本理财产品持续期间内，我行有权通过我行营业网点或网站等渠道，对说明书条款进行补充、说明和修改，客户应定期通过上述渠道获知有关本理财产品相关信息。上述披露的信息视为已送达客户。如客户未及时查询，或者由于通讯故障以及其他不可抗力等因素影响使得客户无法及时了解产品信息，因此产生的风险由客户自行承担。另外，客户预留在天津银行的有效联系方式需要变更的，应及时通知天津银行，如因客户未履行及时告知义务，造成天津银行无法将信息准确及时的传递给客户的，因此产生的责任和风险由客户自行承担。</w:t>
      </w:r>
    </w:p>
    <w:p>
      <w:pPr>
        <w:rPr>
          <w:rFonts w:ascii="黑体" w:hAnsi="黑体" w:eastAsia="黑体"/>
          <w:b/>
          <w:sz w:val="18"/>
          <w:szCs w:val="18"/>
          <w:highlight w:val="none"/>
        </w:rPr>
      </w:pPr>
      <w:r>
        <w:rPr>
          <w:rFonts w:ascii="黑体" w:hAnsi="黑体" w:eastAsia="黑体"/>
          <w:b/>
          <w:sz w:val="18"/>
          <w:szCs w:val="18"/>
          <w:highlight w:val="none"/>
        </w:rPr>
        <w:t>12</w:t>
      </w:r>
      <w:r>
        <w:rPr>
          <w:rFonts w:hint="eastAsia" w:ascii="黑体" w:hAnsi="黑体" w:eastAsia="黑体"/>
          <w:b/>
          <w:sz w:val="18"/>
          <w:szCs w:val="18"/>
          <w:highlight w:val="none"/>
        </w:rPr>
        <w:t>．产品不成立风险：如因募集规模低于说明书约定的最低规模或其他因素导致我行宣布本理财产品不成立的情形，客户将面临再投资风险。</w:t>
      </w:r>
    </w:p>
    <w:p>
      <w:pPr>
        <w:rPr>
          <w:rFonts w:ascii="黑体" w:hAnsi="黑体" w:eastAsia="黑体"/>
          <w:b/>
          <w:sz w:val="18"/>
          <w:szCs w:val="18"/>
          <w:highlight w:val="none"/>
        </w:rPr>
      </w:pPr>
      <w:r>
        <w:rPr>
          <w:rFonts w:ascii="黑体" w:hAnsi="黑体" w:eastAsia="黑体"/>
          <w:b/>
          <w:sz w:val="18"/>
          <w:szCs w:val="18"/>
          <w:highlight w:val="none"/>
        </w:rPr>
        <w:t>13.不可抗力风险：</w:t>
      </w:r>
      <w:r>
        <w:rPr>
          <w:rFonts w:hint="eastAsia" w:ascii="黑体" w:hAnsi="黑体" w:eastAsia="黑体"/>
          <w:b/>
          <w:sz w:val="18"/>
          <w:szCs w:val="18"/>
          <w:highlight w:val="none"/>
        </w:rPr>
        <w:t>指由于自然灾害、战争等不可抗力因素的出现，将严重影响金融市场的正常运行，从而导致理财资产收益降低或损失，甚至影响理财产品的受理、投资、偿还等的正常进行，进而影响理财产品的资金安全。“不可抗力”是指交易各方不能合理控制、不可预见或即使预见亦无法避免的事件，该事件妨碍、影响或延误任何一方根据本产品说明书履行其全部或部分义务，该事件包括但不限于地震、台风、洪水、水灾、其他天灾、战争、骚乱、罢工或其他类似事件、新法规颁布或对原法规的修改等政策因素。</w:t>
      </w:r>
    </w:p>
    <w:p>
      <w:pPr>
        <w:rPr>
          <w:rFonts w:ascii="黑体" w:hAnsi="黑体" w:eastAsia="黑体"/>
          <w:b/>
          <w:sz w:val="18"/>
          <w:szCs w:val="18"/>
          <w:highlight w:val="none"/>
        </w:rPr>
      </w:pPr>
      <w:r>
        <w:rPr>
          <w:rFonts w:ascii="黑体" w:hAnsi="黑体" w:eastAsia="黑体"/>
          <w:b/>
          <w:sz w:val="18"/>
          <w:szCs w:val="18"/>
          <w:highlight w:val="none"/>
        </w:rPr>
        <w:t>14.最不利的投资情形：</w:t>
      </w:r>
      <w:r>
        <w:rPr>
          <w:rFonts w:hint="eastAsia" w:ascii="黑体" w:hAnsi="黑体" w:eastAsia="黑体"/>
          <w:b/>
          <w:sz w:val="18"/>
          <w:szCs w:val="18"/>
          <w:highlight w:val="none"/>
        </w:rPr>
        <w:t>如因金融市场发生重大不利变动，或交易对手、债券发行主体到期无力兑付本息，则有可能造成本金部分或全部损失及收益全部损失。</w:t>
      </w:r>
    </w:p>
    <w:p>
      <w:pPr>
        <w:ind w:firstLine="361" w:firstLineChars="200"/>
        <w:rPr>
          <w:rFonts w:ascii="黑体" w:hAnsi="黑体" w:eastAsia="黑体"/>
          <w:b/>
          <w:sz w:val="18"/>
          <w:szCs w:val="18"/>
          <w:highlight w:val="none"/>
        </w:rPr>
      </w:pPr>
      <w:r>
        <w:rPr>
          <w:rFonts w:hint="eastAsia" w:ascii="黑体" w:hAnsi="黑体" w:eastAsia="黑体"/>
          <w:b/>
          <w:sz w:val="18"/>
          <w:szCs w:val="18"/>
          <w:highlight w:val="none"/>
        </w:rPr>
        <w:t>本风险揭示书所揭示风险皆为列举性质，未能详尽列明客户参与本产品所面临的全部风险和可能导致客户资产损失的所有因素，请客户充分评估投资风险。</w:t>
      </w:r>
    </w:p>
    <w:p>
      <w:pPr>
        <w:spacing w:line="440" w:lineRule="exact"/>
        <w:rPr>
          <w:rFonts w:ascii="黑体" w:hAnsi="黑体" w:eastAsia="黑体"/>
          <w:b/>
          <w:sz w:val="18"/>
          <w:szCs w:val="18"/>
          <w:highlight w:val="none"/>
        </w:rPr>
      </w:pPr>
      <w:r>
        <w:rPr>
          <w:rFonts w:hint="eastAsia" w:ascii="黑体" w:hAnsi="黑体" w:eastAsia="黑体"/>
          <w:sz w:val="18"/>
          <w:szCs w:val="18"/>
          <w:highlight w:val="none"/>
        </w:rPr>
        <w:t>本理财产品编号</w:t>
      </w:r>
      <w:r>
        <w:rPr>
          <w:rFonts w:hint="eastAsia" w:ascii="黑体" w:hAnsi="黑体" w:eastAsia="黑体"/>
          <w:sz w:val="18"/>
          <w:szCs w:val="18"/>
          <w:highlight w:val="none"/>
          <w:u w:val="single"/>
        </w:rPr>
        <w:t xml:space="preserve"> </w:t>
      </w:r>
      <w:r>
        <w:rPr>
          <w:rFonts w:hint="eastAsia" w:ascii="黑体" w:hAnsi="黑体" w:eastAsia="黑体"/>
          <w:sz w:val="18"/>
          <w:szCs w:val="18"/>
          <w:highlight w:val="none"/>
          <w:u w:val="single"/>
          <w:lang w:val="en-US" w:eastAsia="zh-CN"/>
        </w:rPr>
        <w:t xml:space="preserve">2026HY122D  </w:t>
      </w:r>
      <w:r>
        <w:rPr>
          <w:rFonts w:hint="eastAsia" w:ascii="黑体" w:hAnsi="黑体" w:eastAsia="黑体"/>
          <w:sz w:val="18"/>
          <w:szCs w:val="18"/>
          <w:highlight w:val="none"/>
          <w:u w:val="single"/>
        </w:rPr>
        <w:t xml:space="preserve"> </w:t>
      </w:r>
      <w:r>
        <w:rPr>
          <w:rFonts w:hint="eastAsia" w:ascii="黑体" w:hAnsi="黑体" w:eastAsia="黑体"/>
          <w:sz w:val="18"/>
          <w:szCs w:val="18"/>
          <w:highlight w:val="none"/>
        </w:rPr>
        <w:t>，产品内部评价为</w:t>
      </w:r>
      <w:r>
        <w:rPr>
          <w:rFonts w:hint="eastAsia" w:ascii="黑体" w:hAnsi="黑体" w:eastAsia="黑体"/>
          <w:sz w:val="18"/>
          <w:szCs w:val="18"/>
          <w:highlight w:val="none"/>
          <w:u w:val="single"/>
        </w:rPr>
        <w:t xml:space="preserve"> </w:t>
      </w:r>
      <w:r>
        <w:rPr>
          <w:rFonts w:hint="eastAsia" w:ascii="黑体" w:hAnsi="黑体" w:eastAsia="黑体"/>
          <w:sz w:val="18"/>
          <w:szCs w:val="18"/>
          <w:highlight w:val="none"/>
          <w:u w:val="single"/>
          <w:lang w:eastAsia="zh-CN"/>
        </w:rPr>
        <w:t>中低</w:t>
      </w:r>
      <w:r>
        <w:rPr>
          <w:rFonts w:hint="eastAsia" w:ascii="黑体" w:hAnsi="黑体" w:eastAsia="黑体"/>
          <w:sz w:val="18"/>
          <w:szCs w:val="18"/>
          <w:highlight w:val="none"/>
          <w:u w:val="single"/>
        </w:rPr>
        <w:t xml:space="preserve"> </w:t>
      </w:r>
      <w:r>
        <w:rPr>
          <w:rFonts w:hint="eastAsia" w:ascii="黑体" w:hAnsi="黑体" w:eastAsia="黑体"/>
          <w:sz w:val="18"/>
          <w:szCs w:val="18"/>
          <w:highlight w:val="none"/>
        </w:rPr>
        <w:t>风险级别，产品期限为□最短持有期</w:t>
      </w:r>
      <w:r>
        <w:rPr>
          <w:rFonts w:ascii="黑体" w:hAnsi="黑体" w:eastAsia="黑体"/>
          <w:sz w:val="18"/>
          <w:szCs w:val="18"/>
          <w:highlight w:val="none"/>
          <w:u w:val="single"/>
        </w:rPr>
        <w:t xml:space="preserve">    </w:t>
      </w:r>
      <w:r>
        <w:rPr>
          <w:rFonts w:hint="eastAsia" w:ascii="黑体" w:hAnsi="黑体" w:eastAsia="黑体"/>
          <w:sz w:val="18"/>
          <w:szCs w:val="18"/>
          <w:highlight w:val="none"/>
        </w:rPr>
        <w:t>天型产品，</w:t>
      </w:r>
      <w:r>
        <w:rPr>
          <w:rFonts w:hint="eastAsia" w:ascii="黑体" w:hAnsi="黑体" w:eastAsia="黑体"/>
          <w:sz w:val="18"/>
          <w:szCs w:val="18"/>
          <w:highlight w:val="none"/>
        </w:rPr>
        <w:sym w:font="Wingdings 2" w:char="00A3"/>
      </w:r>
      <w:r>
        <w:rPr>
          <w:rFonts w:hint="eastAsia" w:ascii="黑体" w:hAnsi="黑体" w:eastAsia="黑体"/>
          <w:sz w:val="18"/>
          <w:szCs w:val="18"/>
          <w:highlight w:val="none"/>
        </w:rPr>
        <w:t>周期型产品以</w:t>
      </w:r>
      <w:r>
        <w:rPr>
          <w:rFonts w:hint="eastAsia" w:ascii="黑体" w:hAnsi="黑体" w:eastAsia="黑体"/>
          <w:sz w:val="18"/>
          <w:szCs w:val="18"/>
          <w:highlight w:val="none"/>
          <w:u w:val="single"/>
        </w:rPr>
        <w:t xml:space="preserve">   </w:t>
      </w:r>
      <w:r>
        <w:rPr>
          <w:rFonts w:hint="eastAsia" w:ascii="黑体" w:hAnsi="黑体" w:eastAsia="黑体"/>
          <w:sz w:val="18"/>
          <w:szCs w:val="18"/>
          <w:highlight w:val="none"/>
        </w:rPr>
        <w:t>天为周期开放，</w:t>
      </w:r>
      <w:r>
        <w:rPr>
          <w:rFonts w:hint="eastAsia" w:ascii="黑体" w:hAnsi="黑体" w:eastAsia="黑体"/>
          <w:sz w:val="18"/>
          <w:szCs w:val="18"/>
          <w:highlight w:val="none"/>
        </w:rPr>
        <w:sym w:font="Wingdings 2" w:char="0052"/>
      </w:r>
      <w:r>
        <w:rPr>
          <w:rFonts w:hint="eastAsia" w:ascii="黑体" w:hAnsi="黑体" w:eastAsia="黑体"/>
          <w:sz w:val="18"/>
          <w:szCs w:val="18"/>
          <w:highlight w:val="none"/>
        </w:rPr>
        <w:t>封闭型产品封闭期</w:t>
      </w:r>
      <w:r>
        <w:rPr>
          <w:rFonts w:hint="eastAsia" w:ascii="黑体" w:hAnsi="黑体" w:eastAsia="黑体"/>
          <w:sz w:val="18"/>
          <w:szCs w:val="18"/>
          <w:highlight w:val="none"/>
          <w:u w:val="single"/>
        </w:rPr>
        <w:t xml:space="preserve"> </w:t>
      </w:r>
      <w:r>
        <w:rPr>
          <w:rFonts w:hint="eastAsia" w:ascii="黑体" w:hAnsi="黑体" w:eastAsia="黑体"/>
          <w:sz w:val="18"/>
          <w:szCs w:val="18"/>
          <w:highlight w:val="none"/>
          <w:u w:val="single"/>
          <w:lang w:val="en-US" w:eastAsia="zh-CN"/>
        </w:rPr>
        <w:t xml:space="preserve">176 </w:t>
      </w:r>
      <w:r>
        <w:rPr>
          <w:rFonts w:hint="eastAsia" w:ascii="黑体" w:hAnsi="黑体" w:eastAsia="黑体"/>
          <w:sz w:val="18"/>
          <w:szCs w:val="18"/>
          <w:highlight w:val="none"/>
        </w:rPr>
        <w:t>天，产品类型为</w:t>
      </w:r>
      <w:r>
        <w:rPr>
          <w:rFonts w:hint="eastAsia" w:ascii="黑体" w:hAnsi="黑体" w:eastAsia="黑体"/>
          <w:sz w:val="18"/>
          <w:szCs w:val="18"/>
          <w:highlight w:val="none"/>
        </w:rPr>
        <w:sym w:font="Wingdings 2" w:char="0052"/>
      </w:r>
      <w:r>
        <w:rPr>
          <w:rFonts w:hint="eastAsia" w:ascii="黑体" w:hAnsi="黑体" w:eastAsia="黑体"/>
          <w:sz w:val="18"/>
          <w:szCs w:val="18"/>
          <w:highlight w:val="none"/>
        </w:rPr>
        <w:t>固定收益类□权益类□商品及金融衍生品类</w:t>
      </w:r>
      <w:r>
        <w:rPr>
          <w:rFonts w:hint="eastAsia" w:ascii="黑体" w:hAnsi="黑体" w:eastAsia="黑体"/>
          <w:sz w:val="18"/>
          <w:szCs w:val="18"/>
          <w:highlight w:val="none"/>
        </w:rPr>
        <w:sym w:font="Wingdings 2" w:char="00A3"/>
      </w:r>
      <w:r>
        <w:rPr>
          <w:rFonts w:hint="eastAsia" w:ascii="黑体" w:hAnsi="黑体" w:eastAsia="黑体"/>
          <w:sz w:val="18"/>
          <w:szCs w:val="18"/>
          <w:highlight w:val="none"/>
        </w:rPr>
        <w:t>混合类非保本浮动收益</w:t>
      </w:r>
      <w:r>
        <w:rPr>
          <w:rFonts w:hint="eastAsia" w:ascii="黑体" w:hAnsi="黑体" w:eastAsia="黑体"/>
          <w:sz w:val="18"/>
          <w:szCs w:val="18"/>
          <w:highlight w:val="none"/>
        </w:rPr>
        <w:sym w:font="Wingdings 2" w:char="0052"/>
      </w:r>
      <w:r>
        <w:rPr>
          <w:rFonts w:hint="eastAsia" w:ascii="黑体" w:hAnsi="黑体" w:eastAsia="黑体"/>
          <w:sz w:val="18"/>
          <w:szCs w:val="18"/>
          <w:highlight w:val="none"/>
        </w:rPr>
        <w:t>封闭式</w:t>
      </w:r>
      <w:r>
        <w:rPr>
          <w:rFonts w:hint="eastAsia" w:ascii="黑体" w:hAnsi="黑体" w:eastAsia="黑体"/>
          <w:sz w:val="18"/>
          <w:szCs w:val="18"/>
          <w:highlight w:val="none"/>
        </w:rPr>
        <w:sym w:font="Wingdings 2" w:char="00A3"/>
      </w:r>
      <w:r>
        <w:rPr>
          <w:rFonts w:hint="eastAsia" w:ascii="黑体" w:hAnsi="黑体" w:eastAsia="黑体"/>
          <w:sz w:val="18"/>
          <w:szCs w:val="18"/>
          <w:highlight w:val="none"/>
        </w:rPr>
        <w:t>开放式净值型，适合□保守型</w:t>
      </w:r>
      <w:r>
        <w:rPr>
          <w:rFonts w:hint="eastAsia" w:ascii="黑体" w:hAnsi="黑体" w:eastAsia="黑体"/>
          <w:sz w:val="18"/>
          <w:szCs w:val="18"/>
          <w:highlight w:val="none"/>
        </w:rPr>
        <w:sym w:font="Wingdings 2" w:char="0052"/>
      </w:r>
      <w:r>
        <w:rPr>
          <w:rFonts w:hint="eastAsia" w:ascii="黑体" w:hAnsi="黑体" w:eastAsia="黑体"/>
          <w:sz w:val="18"/>
          <w:szCs w:val="18"/>
          <w:highlight w:val="none"/>
        </w:rPr>
        <w:t>谨慎型</w:t>
      </w:r>
      <w:r>
        <w:rPr>
          <w:rFonts w:hint="eastAsia" w:ascii="黑体" w:hAnsi="黑体" w:eastAsia="黑体"/>
          <w:sz w:val="18"/>
          <w:szCs w:val="18"/>
          <w:highlight w:val="none"/>
        </w:rPr>
        <w:sym w:font="Wingdings 2" w:char="0052"/>
      </w:r>
      <w:r>
        <w:rPr>
          <w:rFonts w:hint="eastAsia" w:ascii="黑体" w:hAnsi="黑体" w:eastAsia="黑体"/>
          <w:sz w:val="18"/>
          <w:szCs w:val="18"/>
          <w:highlight w:val="none"/>
        </w:rPr>
        <w:t>稳健型</w:t>
      </w:r>
      <w:r>
        <w:rPr>
          <w:rFonts w:hint="eastAsia" w:ascii="黑体" w:hAnsi="黑体" w:eastAsia="黑体"/>
          <w:sz w:val="18"/>
          <w:szCs w:val="18"/>
          <w:highlight w:val="none"/>
        </w:rPr>
        <w:sym w:font="Wingdings 2" w:char="0052"/>
      </w:r>
      <w:r>
        <w:rPr>
          <w:rFonts w:hint="eastAsia" w:ascii="黑体" w:hAnsi="黑体" w:eastAsia="黑体"/>
          <w:sz w:val="18"/>
          <w:szCs w:val="18"/>
          <w:highlight w:val="none"/>
        </w:rPr>
        <w:t>进取型</w:t>
      </w:r>
      <w:r>
        <w:rPr>
          <w:rFonts w:hint="eastAsia" w:ascii="黑体" w:hAnsi="黑体" w:eastAsia="黑体"/>
          <w:sz w:val="18"/>
          <w:szCs w:val="18"/>
          <w:highlight w:val="none"/>
        </w:rPr>
        <w:sym w:font="Wingdings 2" w:char="0052"/>
      </w:r>
      <w:r>
        <w:rPr>
          <w:rFonts w:hint="eastAsia" w:ascii="黑体" w:hAnsi="黑体" w:eastAsia="黑体"/>
          <w:sz w:val="18"/>
          <w:szCs w:val="18"/>
          <w:highlight w:val="none"/>
        </w:rPr>
        <w:t>激进型的客户认购。</w:t>
      </w:r>
      <w:r>
        <w:rPr>
          <w:rFonts w:ascii="黑体" w:hAnsi="黑体" w:eastAsia="黑体"/>
          <w:b/>
          <w:sz w:val="18"/>
          <w:szCs w:val="18"/>
          <w:highlight w:val="none"/>
        </w:rPr>
        <mc:AlternateContent>
          <mc:Choice Requires="wps">
            <w:drawing>
              <wp:anchor distT="0" distB="0" distL="114300" distR="114300" simplePos="0" relativeHeight="251662336" behindDoc="0" locked="0" layoutInCell="1" allowOverlap="1">
                <wp:simplePos x="0" y="0"/>
                <wp:positionH relativeFrom="rightMargin">
                  <wp:align>left</wp:align>
                </wp:positionH>
                <wp:positionV relativeFrom="paragraph">
                  <wp:posOffset>504825</wp:posOffset>
                </wp:positionV>
                <wp:extent cx="552450" cy="1057275"/>
                <wp:effectExtent l="0" t="0" r="0" b="9525"/>
                <wp:wrapNone/>
                <wp:docPr id="5" name="文本框 4"/>
                <wp:cNvGraphicFramePr/>
                <a:graphic xmlns:a="http://schemas.openxmlformats.org/drawingml/2006/main">
                  <a:graphicData uri="http://schemas.microsoft.com/office/word/2010/wordprocessingShape">
                    <wps:wsp>
                      <wps:cNvSpPr txBox="1"/>
                      <wps:spPr>
                        <a:xfrm>
                          <a:off x="0" y="0"/>
                          <a:ext cx="552450" cy="1057275"/>
                        </a:xfrm>
                        <a:prstGeom prst="rect">
                          <a:avLst/>
                        </a:prstGeom>
                        <a:solidFill>
                          <a:srgbClr val="FFFFFF"/>
                        </a:solidFill>
                        <a:ln w="9525">
                          <a:noFill/>
                        </a:ln>
                      </wps:spPr>
                      <wps:txbx>
                        <w:txbxContent>
                          <w:p>
                            <w:pPr>
                              <w:rPr>
                                <w:sz w:val="18"/>
                              </w:rPr>
                            </w:pPr>
                            <w:r>
                              <w:rPr>
                                <w:rFonts w:hint="eastAsia"/>
                                <w:sz w:val="18"/>
                              </w:rPr>
                              <w:t>第二联　客户留存</w:t>
                            </w:r>
                          </w:p>
                          <w:p>
                            <w:pPr>
                              <w:rPr>
                                <w:sz w:val="18"/>
                              </w:rPr>
                            </w:pPr>
                            <w:r>
                              <w:rPr>
                                <w:rFonts w:hint="eastAsia"/>
                                <w:sz w:val="18"/>
                              </w:rPr>
                              <w:t>第一联　银行留存</w:t>
                            </w:r>
                          </w:p>
                          <w:p/>
                        </w:txbxContent>
                      </wps:txbx>
                      <wps:bodyPr vert="eaVert" wrap="square" upright="1">
                        <a:noAutofit/>
                      </wps:bodyPr>
                    </wps:wsp>
                  </a:graphicData>
                </a:graphic>
              </wp:anchor>
            </w:drawing>
          </mc:Choice>
          <mc:Fallback>
            <w:pict>
              <v:shape id="文本框 4" o:spid="_x0000_s1026" o:spt="202" type="#_x0000_t202" style="position:absolute;left:0pt;margin-left:564.1pt;margin-top:295.95pt;height:83.25pt;width:43.5pt;mso-position-horizontal-relative:page;mso-position-vertical-relative:page;z-index:251662336;mso-width-relative:page;mso-height-relative:page;" fillcolor="#FFFFFF" filled="t" stroked="f" coordsize="21600,21600" o:gfxdata="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U0BoOtcAAAAGAQAADwAAAAAAAAABACAAAAAiAAAAZHJzL2Rv&#10;d25yZXYueG1sUEsBAhQAFAAAAAgAh07iQGgIwPXJAQAAaAMAAA4AAAAAAAAAAQAgAAAAJgEAAGRy&#10;cy9lMm9Eb2MueG1sUEsFBgAAAAAGAAYAWQEAAGEFAAAAAA==&#10;">
                <v:fill on="t" focussize="0,0"/>
                <v:stroke on="f"/>
                <v:imagedata o:title=""/>
                <o:lock v:ext="edit" aspectratio="f"/>
                <v:textbox style="layout-flow:vertical-ideographic;">
                  <w:txbxContent>
                    <w:p>
                      <w:pPr>
                        <w:rPr>
                          <w:sz w:val="18"/>
                        </w:rPr>
                      </w:pPr>
                      <w:r>
                        <w:rPr>
                          <w:rFonts w:hint="eastAsia"/>
                          <w:sz w:val="18"/>
                        </w:rPr>
                        <w:t>第二联　客户留存</w:t>
                      </w:r>
                    </w:p>
                    <w:p>
                      <w:pPr>
                        <w:rPr>
                          <w:sz w:val="18"/>
                        </w:rPr>
                      </w:pPr>
                      <w:r>
                        <w:rPr>
                          <w:rFonts w:hint="eastAsia"/>
                          <w:sz w:val="18"/>
                        </w:rPr>
                        <w:t>第一联　银行留存</w:t>
                      </w:r>
                    </w:p>
                    <w:p/>
                  </w:txbxContent>
                </v:textbox>
              </v:shape>
            </w:pict>
          </mc:Fallback>
        </mc:AlternateContent>
      </w:r>
      <w:r>
        <w:rPr>
          <w:rFonts w:hint="eastAsia" w:ascii="黑体" w:hAnsi="黑体" w:eastAsia="黑体"/>
          <w:b/>
          <w:sz w:val="18"/>
          <w:szCs w:val="18"/>
          <w:highlight w:val="none"/>
        </w:rPr>
        <w:t>特别提示：周期型理财产品分为周期到期时理财资金自动兑付到账型和周期到期时客户未申请赎回则理财资金将自动进入下一个周期型两类，前述周期型产品期限按照单个周期天数填写，</w:t>
      </w:r>
      <w:r>
        <w:rPr>
          <w:rFonts w:ascii="黑体" w:hAnsi="黑体" w:eastAsia="黑体"/>
          <w:b/>
          <w:sz w:val="18"/>
          <w:szCs w:val="18"/>
          <w:highlight w:val="none"/>
        </w:rPr>
        <w:t>客户可根据实际需求选择持续持有多个周期，</w:t>
      </w:r>
      <w:r>
        <w:rPr>
          <w:rFonts w:hint="eastAsia" w:ascii="黑体" w:hAnsi="黑体" w:eastAsia="黑体"/>
          <w:b/>
          <w:sz w:val="18"/>
          <w:szCs w:val="18"/>
          <w:highlight w:val="none"/>
        </w:rPr>
        <w:t>理财</w:t>
      </w:r>
      <w:r>
        <w:rPr>
          <w:rFonts w:ascii="黑体" w:hAnsi="黑体" w:eastAsia="黑体"/>
          <w:b/>
          <w:sz w:val="18"/>
          <w:szCs w:val="18"/>
          <w:highlight w:val="none"/>
        </w:rPr>
        <w:t>天数</w:t>
      </w:r>
      <w:r>
        <w:rPr>
          <w:rFonts w:hint="eastAsia" w:ascii="黑体" w:hAnsi="黑体" w:eastAsia="黑体"/>
          <w:b/>
          <w:sz w:val="18"/>
          <w:szCs w:val="18"/>
          <w:highlight w:val="none"/>
        </w:rPr>
        <w:t>最终</w:t>
      </w:r>
      <w:r>
        <w:rPr>
          <w:rFonts w:ascii="黑体" w:hAnsi="黑体" w:eastAsia="黑体"/>
          <w:b/>
          <w:sz w:val="18"/>
          <w:szCs w:val="18"/>
          <w:highlight w:val="none"/>
        </w:rPr>
        <w:t>以实际持有天数为准。</w:t>
      </w:r>
    </w:p>
    <w:p>
      <w:pPr>
        <w:spacing w:line="440" w:lineRule="exact"/>
        <w:rPr>
          <w:rFonts w:ascii="黑体" w:hAnsi="黑体" w:eastAsia="黑体"/>
          <w:b/>
          <w:sz w:val="18"/>
          <w:szCs w:val="18"/>
          <w:highlight w:val="none"/>
        </w:rPr>
      </w:pPr>
    </w:p>
    <w:p>
      <w:pPr>
        <w:spacing w:line="440" w:lineRule="exact"/>
        <w:rPr>
          <w:rFonts w:ascii="仿宋_GB2312" w:hAnsi="Calibri"/>
          <w:sz w:val="24"/>
          <w:szCs w:val="24"/>
          <w:highlight w:val="none"/>
          <w:u w:val="single"/>
        </w:rPr>
      </w:pPr>
      <w:r>
        <w:rPr>
          <w:rFonts w:ascii="仿宋_GB2312" w:hAnsi="Calibri"/>
          <w:sz w:val="24"/>
          <w:szCs w:val="24"/>
          <w:highlight w:val="none"/>
        </w:rPr>
        <w:t>客户投资风险承受能力评级结果（客户本人填写）：</w:t>
      </w:r>
      <w:r>
        <w:rPr>
          <w:rFonts w:ascii="仿宋_GB2312" w:hAnsi="Calibri"/>
          <w:sz w:val="24"/>
          <w:szCs w:val="24"/>
          <w:highlight w:val="none"/>
          <w:u w:val="single"/>
        </w:rPr>
        <w:t xml:space="preserve">              </w:t>
      </w:r>
    </w:p>
    <w:p>
      <w:pPr>
        <w:spacing w:line="440" w:lineRule="exact"/>
        <w:rPr>
          <w:rFonts w:ascii="黑体" w:hAnsi="黑体" w:eastAsia="黑体"/>
          <w:b/>
          <w:sz w:val="18"/>
          <w:szCs w:val="18"/>
          <w:highlight w:val="none"/>
        </w:rPr>
      </w:pPr>
      <w:r>
        <w:rPr>
          <w:rFonts w:hint="eastAsia" w:ascii="黑体" w:hAnsi="黑体" w:eastAsia="黑体"/>
          <w:b/>
          <w:sz w:val="18"/>
          <w:szCs w:val="18"/>
          <w:highlight w:val="none"/>
        </w:rPr>
        <w:t>（如影响您风险承受能力的因素发生变化，请您再次购买理财产品时主动要求我行重新进行风险承受能力评估。）</w:t>
      </w:r>
    </w:p>
    <w:p>
      <w:pPr>
        <w:spacing w:line="440" w:lineRule="exact"/>
        <w:rPr>
          <w:rFonts w:ascii="仿宋_GB2312" w:hAnsi="Calibri"/>
          <w:sz w:val="24"/>
          <w:szCs w:val="24"/>
          <w:highlight w:val="none"/>
        </w:rPr>
      </w:pPr>
      <w:r>
        <w:rPr>
          <w:rFonts w:ascii="仿宋_GB2312" w:hAnsi="Calibri"/>
          <w:sz w:val="24"/>
          <w:szCs w:val="24"/>
          <w:highlight w:val="none"/>
        </w:rPr>
        <w:t>请您抄录以下语句：</w:t>
      </w:r>
      <w:r>
        <w:rPr>
          <w:rFonts w:ascii="仿宋_GB2312" w:hAnsi="Calibri"/>
          <w:b/>
          <w:sz w:val="24"/>
          <w:szCs w:val="24"/>
          <w:highlight w:val="none"/>
        </w:rPr>
        <w:t>“本人已经阅读风险揭示，愿意承担投资风险。”</w:t>
      </w:r>
    </w:p>
    <w:p>
      <w:pPr>
        <w:spacing w:line="440" w:lineRule="exact"/>
        <w:rPr>
          <w:rFonts w:ascii="仿宋_GB2312" w:hAnsi="Calibri"/>
          <w:sz w:val="24"/>
          <w:szCs w:val="24"/>
          <w:highlight w:val="none"/>
        </w:rPr>
      </w:pPr>
    </w:p>
    <w:p>
      <w:pPr>
        <w:spacing w:line="440" w:lineRule="exact"/>
        <w:rPr>
          <w:rFonts w:ascii="仿宋_GB2312" w:hAnsi="宋体" w:cs="宋体"/>
          <w:sz w:val="28"/>
          <w:szCs w:val="28"/>
          <w:highlight w:val="none"/>
        </w:rPr>
      </w:pPr>
      <w:r>
        <w:rPr>
          <w:rFonts w:ascii="仿宋_GB2312" w:hAnsi="Calibri"/>
          <w:sz w:val="24"/>
          <w:szCs w:val="24"/>
          <w:highlight w:val="none"/>
        </w:rPr>
        <w:t>本人郑重声明：＿＿＿＿＿＿＿＿＿＿＿＿＿＿＿＿＿＿＿＿＿＿＿＿＿＿＿＿＿＿＿＿</w:t>
      </w:r>
    </w:p>
    <w:p>
      <w:pPr>
        <w:autoSpaceDE w:val="0"/>
        <w:ind w:right="1120"/>
        <w:rPr>
          <w:rFonts w:ascii="仿宋_GB2312" w:hAnsi="Calibri"/>
          <w:szCs w:val="21"/>
          <w:highlight w:val="none"/>
        </w:rPr>
      </w:pPr>
    </w:p>
    <w:p>
      <w:pPr>
        <w:autoSpaceDE w:val="0"/>
        <w:ind w:right="1120"/>
        <w:rPr>
          <w:rFonts w:ascii="仿宋_GB2312" w:hAnsi="Calibri"/>
          <w:szCs w:val="21"/>
          <w:highlight w:val="none"/>
        </w:rPr>
      </w:pPr>
      <w:r>
        <w:rPr>
          <w:rFonts w:ascii="仿宋_GB2312" w:hAnsi="Calibri"/>
          <w:szCs w:val="21"/>
          <w:highlight w:val="none"/>
        </w:rPr>
        <w:t>客户签字：                            日期：</w:t>
      </w:r>
      <w:r>
        <w:rPr>
          <w:rFonts w:hint="eastAsia" w:ascii="仿宋_GB2312" w:hAnsi="Calibri"/>
          <w:szCs w:val="21"/>
          <w:highlight w:val="none"/>
        </w:rPr>
        <w:t xml:space="preserve">  年  月  日</w:t>
      </w:r>
    </w:p>
    <w:p>
      <w:pPr>
        <w:rPr>
          <w:rFonts w:ascii="仿宋_GB2312" w:hAnsi="Calibri"/>
          <w:szCs w:val="21"/>
          <w:highlight w:val="none"/>
        </w:rPr>
      </w:pPr>
    </w:p>
    <w:p>
      <w:pPr>
        <w:rPr>
          <w:rFonts w:ascii="黑体" w:hAnsi="黑体" w:eastAsia="黑体"/>
          <w:b/>
          <w:bCs/>
          <w:sz w:val="18"/>
          <w:szCs w:val="18"/>
          <w:highlight w:val="none"/>
        </w:rPr>
      </w:pPr>
      <w:r>
        <w:rPr>
          <w:rFonts w:ascii="仿宋_GB2312" w:hAnsi="Calibri"/>
          <w:szCs w:val="21"/>
          <w:highlight w:val="none"/>
        </w:rPr>
        <w:t>银行签章：</w:t>
      </w:r>
      <w:r>
        <w:rPr>
          <w:rFonts w:hint="eastAsia" w:ascii="黑体" w:hAnsi="黑体" w:eastAsia="黑体"/>
          <w:b/>
          <w:bCs/>
          <w:sz w:val="18"/>
          <w:szCs w:val="18"/>
          <w:highlight w:val="none"/>
        </w:rPr>
        <w:t xml:space="preserve">                                </w:t>
      </w:r>
      <w:r>
        <w:rPr>
          <w:rFonts w:hint="eastAsia" w:ascii="仿宋_GB2312" w:hAnsi="Calibri"/>
          <w:szCs w:val="21"/>
          <w:highlight w:val="none"/>
        </w:rPr>
        <w:t xml:space="preserve">销售人员：     </w:t>
      </w:r>
      <w:r>
        <w:rPr>
          <w:rFonts w:hint="eastAsia" w:ascii="黑体" w:hAnsi="黑体" w:eastAsia="黑体"/>
          <w:b/>
          <w:bCs/>
          <w:sz w:val="18"/>
          <w:szCs w:val="18"/>
          <w:highlight w:val="none"/>
        </w:rPr>
        <w:t xml:space="preserve">            </w:t>
      </w:r>
    </w:p>
    <w:p>
      <w:pPr>
        <w:rPr>
          <w:rFonts w:ascii="黑体" w:hAnsi="黑体" w:eastAsia="黑体"/>
          <w:b/>
          <w:bCs/>
          <w:sz w:val="18"/>
          <w:szCs w:val="18"/>
          <w:highlight w:val="none"/>
        </w:rPr>
      </w:pPr>
    </w:p>
    <w:p>
      <w:pPr>
        <w:jc w:val="right"/>
        <w:rPr>
          <w:rFonts w:ascii="黑体" w:hAnsi="黑体" w:eastAsia="黑体"/>
          <w:b/>
          <w:bCs/>
          <w:sz w:val="18"/>
          <w:szCs w:val="18"/>
          <w:highlight w:val="none"/>
        </w:rPr>
      </w:pPr>
      <w:r>
        <w:rPr>
          <w:rFonts w:hint="eastAsia" w:ascii="黑体" w:hAnsi="黑体" w:eastAsia="黑体"/>
          <w:b/>
          <w:bCs/>
          <w:sz w:val="18"/>
          <w:szCs w:val="18"/>
          <w:highlight w:val="none"/>
        </w:rPr>
        <w:t>风险提示方：天津银行股份有限公司</w:t>
      </w:r>
    </w:p>
    <w:p>
      <w:pPr>
        <w:spacing w:line="360" w:lineRule="auto"/>
        <w:jc w:val="center"/>
        <w:rPr>
          <w:rFonts w:ascii="宋体" w:hAnsi="宋体"/>
          <w:b/>
          <w:sz w:val="24"/>
          <w:szCs w:val="24"/>
          <w:highlight w:val="none"/>
        </w:rPr>
      </w:pPr>
    </w:p>
    <w:p>
      <w:pPr>
        <w:spacing w:line="360" w:lineRule="auto"/>
        <w:jc w:val="center"/>
        <w:rPr>
          <w:rFonts w:ascii="宋体" w:hAnsi="宋体"/>
          <w:b/>
          <w:sz w:val="24"/>
          <w:szCs w:val="24"/>
          <w:highlight w:val="none"/>
        </w:rPr>
      </w:pPr>
    </w:p>
    <w:p>
      <w:pPr>
        <w:spacing w:line="360" w:lineRule="auto"/>
        <w:jc w:val="center"/>
        <w:rPr>
          <w:rFonts w:ascii="宋体" w:hAnsi="宋体"/>
          <w:b/>
          <w:sz w:val="24"/>
          <w:szCs w:val="24"/>
          <w:highlight w:val="none"/>
        </w:rPr>
      </w:pPr>
    </w:p>
    <w:p>
      <w:pPr>
        <w:spacing w:line="360" w:lineRule="auto"/>
        <w:jc w:val="center"/>
        <w:rPr>
          <w:rFonts w:ascii="宋体" w:hAnsi="宋体"/>
          <w:b/>
          <w:sz w:val="24"/>
          <w:szCs w:val="24"/>
          <w:highlight w:val="none"/>
        </w:rPr>
      </w:pPr>
    </w:p>
    <w:p>
      <w:pPr>
        <w:spacing w:line="360" w:lineRule="auto"/>
        <w:jc w:val="center"/>
        <w:rPr>
          <w:rFonts w:ascii="宋体" w:hAnsi="宋体"/>
          <w:b/>
          <w:sz w:val="24"/>
          <w:szCs w:val="24"/>
          <w:highlight w:val="none"/>
        </w:rPr>
      </w:pPr>
    </w:p>
    <w:p>
      <w:pPr>
        <w:spacing w:line="360" w:lineRule="auto"/>
        <w:jc w:val="center"/>
        <w:rPr>
          <w:rFonts w:ascii="宋体" w:hAnsi="宋体"/>
          <w:b/>
          <w:sz w:val="24"/>
          <w:szCs w:val="24"/>
          <w:highlight w:val="none"/>
        </w:rPr>
      </w:pPr>
    </w:p>
    <w:p>
      <w:pPr>
        <w:spacing w:line="360" w:lineRule="auto"/>
        <w:jc w:val="center"/>
        <w:rPr>
          <w:rFonts w:ascii="宋体" w:hAnsi="宋体"/>
          <w:b/>
          <w:sz w:val="24"/>
          <w:szCs w:val="24"/>
          <w:highlight w:val="none"/>
        </w:rPr>
      </w:pPr>
    </w:p>
    <w:p>
      <w:pPr>
        <w:spacing w:line="360" w:lineRule="auto"/>
        <w:jc w:val="center"/>
        <w:rPr>
          <w:rFonts w:ascii="宋体" w:hAnsi="宋体"/>
          <w:b/>
          <w:sz w:val="24"/>
          <w:szCs w:val="24"/>
          <w:highlight w:val="none"/>
        </w:rPr>
      </w:pPr>
    </w:p>
    <w:p>
      <w:pPr>
        <w:spacing w:line="360" w:lineRule="auto"/>
        <w:jc w:val="center"/>
        <w:rPr>
          <w:rFonts w:ascii="宋体" w:hAnsi="宋体"/>
          <w:b/>
          <w:sz w:val="24"/>
          <w:szCs w:val="24"/>
          <w:highlight w:val="none"/>
        </w:rPr>
      </w:pPr>
      <w:r>
        <w:rPr>
          <w:rFonts w:hint="eastAsia" w:ascii="宋体" w:hAnsi="宋体"/>
          <w:b/>
          <w:sz w:val="24"/>
          <w:szCs w:val="24"/>
          <w:highlight w:val="none"/>
        </w:rPr>
        <w:t>客户权益须知</w:t>
      </w:r>
    </w:p>
    <w:p>
      <w:pPr>
        <w:adjustRightInd w:val="0"/>
        <w:snapToGrid w:val="0"/>
        <w:ind w:firstLine="360" w:firstLineChars="200"/>
        <w:rPr>
          <w:rFonts w:ascii="黑体" w:hAnsi="宋体" w:eastAsia="黑体"/>
          <w:sz w:val="18"/>
          <w:szCs w:val="18"/>
          <w:highlight w:val="none"/>
        </w:rPr>
      </w:pPr>
      <w:r>
        <w:rPr>
          <w:rFonts w:hint="eastAsia" w:ascii="黑体" w:hAnsi="宋体" w:eastAsia="黑体"/>
          <w:sz w:val="18"/>
          <w:szCs w:val="18"/>
          <w:highlight w:val="none"/>
        </w:rPr>
        <w:t>尊敬的客户：</w:t>
      </w:r>
    </w:p>
    <w:p>
      <w:pPr>
        <w:adjustRightInd w:val="0"/>
        <w:snapToGrid w:val="0"/>
        <w:ind w:firstLine="360" w:firstLineChars="200"/>
        <w:rPr>
          <w:rFonts w:ascii="黑体" w:hAnsi="宋体" w:eastAsia="黑体"/>
          <w:sz w:val="18"/>
          <w:szCs w:val="18"/>
          <w:highlight w:val="none"/>
        </w:rPr>
      </w:pPr>
      <w:r>
        <w:rPr>
          <w:rFonts w:hint="eastAsia" w:ascii="黑体" w:hAnsi="宋体" w:eastAsia="黑体"/>
          <w:sz w:val="18"/>
          <w:szCs w:val="18"/>
          <w:highlight w:val="none"/>
        </w:rPr>
        <w:t>您在购买理财产品获取收益的同时存在投资风险。理财产品过往业绩不代表其未来表现，不等于理财产品实际收益，投资须谨慎。为了保护您的合法权益，请在投资前认真阅读以下内容：</w:t>
      </w:r>
    </w:p>
    <w:p>
      <w:pPr>
        <w:adjustRightInd w:val="0"/>
        <w:snapToGrid w:val="0"/>
        <w:ind w:firstLine="361" w:firstLineChars="200"/>
        <w:rPr>
          <w:rFonts w:ascii="黑体" w:hAnsi="宋体" w:eastAsia="黑体"/>
          <w:b/>
          <w:sz w:val="18"/>
          <w:szCs w:val="18"/>
          <w:highlight w:val="none"/>
        </w:rPr>
      </w:pPr>
      <w:r>
        <w:rPr>
          <w:rFonts w:hint="eastAsia" w:ascii="黑体" w:hAnsi="宋体" w:eastAsia="黑体"/>
          <w:b/>
          <w:sz w:val="18"/>
          <w:szCs w:val="18"/>
          <w:highlight w:val="none"/>
        </w:rPr>
        <w:t>一、客户购买理财产品的流程：</w:t>
      </w:r>
    </w:p>
    <w:p>
      <w:pPr>
        <w:adjustRightInd w:val="0"/>
        <w:snapToGrid w:val="0"/>
        <w:ind w:firstLine="360" w:firstLineChars="200"/>
        <w:rPr>
          <w:rFonts w:ascii="黑体" w:hAnsi="宋体" w:eastAsia="黑体"/>
          <w:sz w:val="18"/>
          <w:szCs w:val="18"/>
          <w:highlight w:val="none"/>
        </w:rPr>
      </w:pPr>
      <w:r>
        <w:rPr>
          <w:rFonts w:hint="eastAsia" w:ascii="黑体" w:hAnsi="宋体" w:eastAsia="黑体"/>
          <w:sz w:val="18"/>
          <w:szCs w:val="18"/>
          <w:highlight w:val="none"/>
        </w:rPr>
        <w:t>（一）开立结算账户。在天津银行办理理财业务，需提供个人银行结算账户，如您没有账户请到天津银行任意网点开立。</w:t>
      </w:r>
    </w:p>
    <w:p>
      <w:pPr>
        <w:adjustRightInd w:val="0"/>
        <w:snapToGrid w:val="0"/>
        <w:ind w:firstLine="360" w:firstLineChars="200"/>
        <w:rPr>
          <w:rFonts w:ascii="黑体" w:hAnsi="宋体" w:eastAsia="黑体"/>
          <w:sz w:val="18"/>
          <w:szCs w:val="18"/>
          <w:highlight w:val="none"/>
        </w:rPr>
      </w:pPr>
      <w:r>
        <w:rPr>
          <w:rFonts w:hint="eastAsia" w:ascii="黑体" w:hAnsi="宋体" w:eastAsia="黑体"/>
          <w:sz w:val="18"/>
          <w:szCs w:val="18"/>
          <w:highlight w:val="none"/>
        </w:rPr>
        <w:t>（二）投资者风险承受能力等级评估。您在首次购买理财产品之前，应进行投资风险承受能力评估。请您根据自身财务状况、投资经验、投资目的、收益预期、风险偏好、流动性要求、风险认识以及风险损失承受能力等情况，填写《天津银行个人客户投资（投保）风险承受能力评估问卷》，确认评估结果，并根据风险评估结果选择合适的理财产品。</w:t>
      </w:r>
    </w:p>
    <w:p>
      <w:pPr>
        <w:adjustRightInd w:val="0"/>
        <w:snapToGrid w:val="0"/>
        <w:ind w:firstLine="360" w:firstLineChars="200"/>
        <w:rPr>
          <w:rFonts w:ascii="黑体" w:hAnsi="宋体" w:eastAsia="黑体"/>
          <w:sz w:val="18"/>
          <w:szCs w:val="18"/>
          <w:highlight w:val="none"/>
        </w:rPr>
      </w:pPr>
      <w:r>
        <w:rPr>
          <w:rFonts w:hint="eastAsia" w:ascii="黑体" w:hAnsi="宋体" w:eastAsia="黑体"/>
          <w:sz w:val="18"/>
          <w:szCs w:val="18"/>
          <w:highlight w:val="none"/>
        </w:rPr>
        <w:t>（三）理财产品购买。理财产品销售协议书、产品说明书、风险揭示书及客户权益须知等有关法律文件共同构成完整的理财合同。您购买理财产品需认真阅读全部理财合同，并填写《天津银行个人人民币理财产品销售协议书》及《风险揭示书》，确认《天津银行个人人民币理财产品说明书》以及《客户权益须知》。同时还需提供本人身份证件原件、个人银行结算账户。您在电子渠道销售页面的购买、赎回及撤单等操作将被记录。</w:t>
      </w:r>
    </w:p>
    <w:p>
      <w:pPr>
        <w:adjustRightInd w:val="0"/>
        <w:snapToGrid w:val="0"/>
        <w:ind w:firstLine="361" w:firstLineChars="200"/>
        <w:rPr>
          <w:rFonts w:ascii="黑体" w:hAnsi="宋体" w:eastAsia="黑体"/>
          <w:b/>
          <w:sz w:val="18"/>
          <w:szCs w:val="18"/>
          <w:highlight w:val="none"/>
        </w:rPr>
      </w:pPr>
      <w:r>
        <w:rPr>
          <w:rFonts w:hint="eastAsia" w:ascii="黑体" w:hAnsi="宋体" w:eastAsia="黑体"/>
          <w:b/>
          <w:sz w:val="18"/>
          <w:szCs w:val="18"/>
          <w:highlight w:val="none"/>
        </w:rPr>
        <w:t>二、客户风险承受能力评估流程及评级。</w:t>
      </w:r>
    </w:p>
    <w:p>
      <w:pPr>
        <w:adjustRightInd w:val="0"/>
        <w:snapToGrid w:val="0"/>
        <w:ind w:firstLine="360" w:firstLineChars="200"/>
        <w:rPr>
          <w:rFonts w:ascii="黑体" w:hAnsi="宋体" w:eastAsia="黑体"/>
          <w:sz w:val="18"/>
          <w:szCs w:val="18"/>
          <w:highlight w:val="none"/>
        </w:rPr>
      </w:pPr>
      <w:r>
        <w:rPr>
          <w:rFonts w:hint="eastAsia" w:ascii="黑体" w:hAnsi="宋体" w:eastAsia="黑体"/>
          <w:sz w:val="18"/>
          <w:szCs w:val="18"/>
          <w:highlight w:val="none"/>
        </w:rPr>
        <w:t>1.</w:t>
      </w:r>
      <w:r>
        <w:rPr>
          <w:rFonts w:hint="eastAsia"/>
          <w:highlight w:val="none"/>
        </w:rPr>
        <w:t xml:space="preserve"> </w:t>
      </w:r>
      <w:r>
        <w:rPr>
          <w:rFonts w:hint="eastAsia" w:ascii="黑体" w:hAnsi="宋体" w:eastAsia="黑体"/>
          <w:sz w:val="18"/>
          <w:szCs w:val="18"/>
          <w:highlight w:val="none"/>
        </w:rPr>
        <w:t>您需知晓并理解《天津银行个人客户投资（投保）风险承受能力评估问卷》全部内容，如您填写的信息不准确、不完整，则可能对您投资风险承受能力的评估以及理财产品推荐带来影响。</w:t>
      </w:r>
    </w:p>
    <w:p>
      <w:pPr>
        <w:adjustRightInd w:val="0"/>
        <w:snapToGrid w:val="0"/>
        <w:ind w:firstLine="360" w:firstLineChars="200"/>
        <w:rPr>
          <w:rFonts w:ascii="黑体" w:hAnsi="宋体" w:eastAsia="黑体"/>
          <w:sz w:val="18"/>
          <w:szCs w:val="18"/>
          <w:highlight w:val="none"/>
        </w:rPr>
      </w:pPr>
      <w:r>
        <w:rPr>
          <w:rFonts w:hint="eastAsia" w:ascii="黑体" w:hAnsi="宋体" w:eastAsia="黑体"/>
          <w:sz w:val="18"/>
          <w:szCs w:val="18"/>
          <w:highlight w:val="none"/>
        </w:rPr>
        <w:t>2.</w:t>
      </w:r>
      <w:r>
        <w:rPr>
          <w:rFonts w:hint="eastAsia"/>
          <w:highlight w:val="none"/>
        </w:rPr>
        <w:t xml:space="preserve"> </w:t>
      </w:r>
      <w:r>
        <w:rPr>
          <w:rFonts w:hint="eastAsia" w:ascii="黑体" w:hAnsi="宋体" w:eastAsia="黑体"/>
          <w:sz w:val="18"/>
          <w:szCs w:val="18"/>
          <w:highlight w:val="none"/>
        </w:rPr>
        <w:t>在您首次购买理财产品前，应填写《天津银行个人客户投资（投保）风险承受能力评估问卷》，评估自身投资风险承受能力。风险承受能力分为保守型、谨慎型、稳健型、进取型、激进型。</w:t>
      </w:r>
    </w:p>
    <w:p>
      <w:pPr>
        <w:adjustRightInd w:val="0"/>
        <w:snapToGrid w:val="0"/>
        <w:ind w:firstLine="361" w:firstLineChars="200"/>
        <w:rPr>
          <w:rFonts w:ascii="黑体" w:hAnsi="宋体" w:eastAsia="黑体"/>
          <w:sz w:val="18"/>
          <w:szCs w:val="18"/>
          <w:highlight w:val="none"/>
        </w:rPr>
      </w:pPr>
      <w:r>
        <w:rPr>
          <w:rFonts w:hint="eastAsia" w:ascii="黑体" w:hAnsi="宋体" w:eastAsia="黑体"/>
          <w:b/>
          <w:sz w:val="18"/>
          <w:szCs w:val="18"/>
          <w:highlight w:val="none"/>
        </w:rPr>
        <w:t>3.</w:t>
      </w:r>
      <w:r>
        <w:rPr>
          <w:rFonts w:hint="eastAsia"/>
          <w:b/>
          <w:highlight w:val="none"/>
        </w:rPr>
        <w:t xml:space="preserve"> </w:t>
      </w:r>
      <w:r>
        <w:rPr>
          <w:rFonts w:hint="eastAsia" w:ascii="黑体" w:hAnsi="宋体" w:eastAsia="黑体"/>
          <w:b/>
          <w:sz w:val="18"/>
          <w:szCs w:val="18"/>
          <w:highlight w:val="none"/>
        </w:rPr>
        <w:t>根据投资者风险承受能力与理财产品风险等级相匹配的原则，您只能购买不超过自身风险承受能力的理财产品。</w:t>
      </w:r>
      <w:r>
        <w:rPr>
          <w:rFonts w:hint="eastAsia" w:ascii="黑体" w:hAnsi="宋体" w:eastAsia="黑体"/>
          <w:sz w:val="18"/>
          <w:szCs w:val="18"/>
          <w:highlight w:val="none"/>
        </w:rPr>
        <w:t>（详见下表）</w:t>
      </w:r>
    </w:p>
    <w:p>
      <w:pPr>
        <w:adjustRightInd w:val="0"/>
        <w:snapToGrid w:val="0"/>
        <w:ind w:firstLine="360" w:firstLineChars="200"/>
        <w:rPr>
          <w:rFonts w:ascii="黑体" w:hAnsi="宋体" w:eastAsia="黑体"/>
          <w:sz w:val="18"/>
          <w:szCs w:val="18"/>
          <w:highlight w:val="none"/>
        </w:rPr>
      </w:pPr>
      <w:r>
        <w:rPr>
          <w:rFonts w:hint="eastAsia" w:ascii="黑体" w:hAnsi="宋体" w:eastAsia="黑体"/>
          <w:sz w:val="18"/>
          <w:szCs w:val="18"/>
          <w:highlight w:val="none"/>
        </w:rPr>
        <w:t>4.</w:t>
      </w:r>
      <w:r>
        <w:rPr>
          <w:rFonts w:hint="eastAsia"/>
          <w:highlight w:val="none"/>
        </w:rPr>
        <w:t xml:space="preserve"> </w:t>
      </w:r>
      <w:r>
        <w:rPr>
          <w:rFonts w:hint="eastAsia" w:ascii="黑体" w:hAnsi="宋体" w:eastAsia="黑体"/>
          <w:sz w:val="18"/>
          <w:szCs w:val="18"/>
          <w:highlight w:val="none"/>
        </w:rPr>
        <w:t>您如需购买中高风险（R4）以上理财产品，请到天津银行营业网点进行购买。</w:t>
      </w:r>
    </w:p>
    <w:p>
      <w:pPr>
        <w:adjustRightInd w:val="0"/>
        <w:snapToGrid w:val="0"/>
        <w:ind w:firstLine="360" w:firstLineChars="200"/>
        <w:rPr>
          <w:rFonts w:ascii="黑体" w:hAnsi="宋体" w:eastAsia="黑体"/>
          <w:sz w:val="18"/>
          <w:szCs w:val="18"/>
          <w:highlight w:val="none"/>
        </w:rPr>
      </w:pPr>
      <w:r>
        <w:rPr>
          <w:rFonts w:ascii="黑体" w:hAnsi="宋体" w:eastAsia="黑体"/>
          <w:sz w:val="18"/>
          <w:szCs w:val="18"/>
          <w:highlight w:val="none"/>
        </w:rPr>
        <w:t>5</w:t>
      </w:r>
      <w:r>
        <w:rPr>
          <w:rFonts w:hint="eastAsia" w:ascii="黑体" w:hAnsi="宋体" w:eastAsia="黑体"/>
          <w:sz w:val="18"/>
          <w:szCs w:val="18"/>
          <w:highlight w:val="none"/>
        </w:rPr>
        <w:t>.</w:t>
      </w:r>
      <w:r>
        <w:rPr>
          <w:rFonts w:hint="eastAsia"/>
          <w:highlight w:val="none"/>
        </w:rPr>
        <w:t xml:space="preserve"> </w:t>
      </w:r>
      <w:r>
        <w:rPr>
          <w:rFonts w:hint="eastAsia" w:ascii="黑体" w:hAnsi="宋体" w:eastAsia="黑体"/>
          <w:sz w:val="18"/>
          <w:szCs w:val="18"/>
          <w:highlight w:val="none"/>
        </w:rPr>
        <w:t>您的投资风险承受能力评估结果自评估日起有效期为1年。您可通过天津银行营业网点或电子渠道进行风险承受能力持续评估，如影响您的风险承受能力的因素发生变化，请及时重新完成风险承受能力评估。</w:t>
      </w:r>
    </w:p>
    <w:tbl>
      <w:tblPr>
        <w:tblStyle w:val="12"/>
        <w:tblpPr w:leftFromText="180" w:rightFromText="180" w:vertAnchor="text" w:horzAnchor="margin" w:tblpXSpec="center" w:tblpY="48"/>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7"/>
        <w:gridCol w:w="1547"/>
        <w:gridCol w:w="1548"/>
        <w:gridCol w:w="1548"/>
        <w:gridCol w:w="1548"/>
        <w:gridCol w:w="15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0" w:hRule="atLeast"/>
        </w:trPr>
        <w:tc>
          <w:tcPr>
            <w:tcW w:w="1547" w:type="dxa"/>
            <w:tcBorders>
              <w:top w:val="single" w:color="auto" w:sz="4" w:space="0"/>
              <w:left w:val="single" w:color="auto" w:sz="4" w:space="0"/>
              <w:bottom w:val="single" w:color="auto" w:sz="4" w:space="0"/>
              <w:right w:val="single" w:color="auto" w:sz="4" w:space="0"/>
              <w:tl2br w:val="single" w:color="auto" w:sz="4" w:space="0"/>
            </w:tcBorders>
            <w:vAlign w:val="center"/>
          </w:tcPr>
          <w:p>
            <w:pPr>
              <w:adjustRightInd w:val="0"/>
              <w:snapToGrid w:val="0"/>
              <w:jc w:val="right"/>
              <w:rPr>
                <w:rFonts w:ascii="黑体" w:hAnsi="宋体" w:eastAsia="黑体"/>
                <w:kern w:val="0"/>
                <w:sz w:val="13"/>
                <w:szCs w:val="13"/>
                <w:highlight w:val="none"/>
              </w:rPr>
            </w:pPr>
            <w:r>
              <w:rPr>
                <w:rFonts w:hint="eastAsia" w:ascii="黑体" w:hAnsi="宋体" w:eastAsia="黑体"/>
                <w:kern w:val="0"/>
                <w:sz w:val="13"/>
                <w:szCs w:val="13"/>
                <w:highlight w:val="none"/>
              </w:rPr>
              <w:t>产品风险情况</w:t>
            </w:r>
          </w:p>
          <w:p>
            <w:pPr>
              <w:adjustRightInd w:val="0"/>
              <w:snapToGrid w:val="0"/>
              <w:rPr>
                <w:rFonts w:ascii="黑体" w:hAnsi="宋体" w:eastAsia="黑体"/>
                <w:kern w:val="0"/>
                <w:sz w:val="13"/>
                <w:szCs w:val="13"/>
                <w:highlight w:val="none"/>
              </w:rPr>
            </w:pPr>
            <w:r>
              <w:rPr>
                <w:rFonts w:hint="eastAsia" w:ascii="黑体" w:hAnsi="宋体" w:eastAsia="黑体"/>
                <w:kern w:val="0"/>
                <w:sz w:val="13"/>
                <w:szCs w:val="13"/>
                <w:highlight w:val="none"/>
              </w:rPr>
              <w:t>客户</w:t>
            </w:r>
          </w:p>
          <w:p>
            <w:pPr>
              <w:adjustRightInd w:val="0"/>
              <w:snapToGrid w:val="0"/>
              <w:rPr>
                <w:rFonts w:ascii="黑体" w:hAnsi="宋体" w:eastAsia="黑体"/>
                <w:kern w:val="0"/>
                <w:sz w:val="13"/>
                <w:szCs w:val="13"/>
                <w:highlight w:val="none"/>
              </w:rPr>
            </w:pPr>
            <w:r>
              <w:rPr>
                <w:rFonts w:hint="eastAsia" w:ascii="黑体" w:hAnsi="宋体" w:eastAsia="黑体"/>
                <w:kern w:val="0"/>
                <w:sz w:val="13"/>
                <w:szCs w:val="13"/>
                <w:highlight w:val="none"/>
              </w:rPr>
              <w:t>风险类型</w:t>
            </w:r>
          </w:p>
        </w:tc>
        <w:tc>
          <w:tcPr>
            <w:tcW w:w="154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黑体" w:hAnsi="宋体" w:eastAsia="黑体"/>
                <w:kern w:val="0"/>
                <w:sz w:val="18"/>
                <w:szCs w:val="18"/>
                <w:highlight w:val="none"/>
              </w:rPr>
            </w:pPr>
            <w:r>
              <w:rPr>
                <w:rFonts w:hint="eastAsia" w:ascii="黑体" w:hAnsi="宋体" w:eastAsia="黑体"/>
                <w:kern w:val="0"/>
                <w:sz w:val="18"/>
                <w:szCs w:val="18"/>
                <w:highlight w:val="none"/>
              </w:rPr>
              <w:t>低风险</w:t>
            </w:r>
          </w:p>
        </w:tc>
        <w:tc>
          <w:tcPr>
            <w:tcW w:w="154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黑体" w:hAnsi="宋体" w:eastAsia="黑体"/>
                <w:kern w:val="0"/>
                <w:sz w:val="18"/>
                <w:szCs w:val="18"/>
                <w:highlight w:val="none"/>
              </w:rPr>
            </w:pPr>
            <w:r>
              <w:rPr>
                <w:rFonts w:hint="eastAsia" w:ascii="黑体" w:hAnsi="宋体" w:eastAsia="黑体"/>
                <w:kern w:val="0"/>
                <w:sz w:val="18"/>
                <w:szCs w:val="18"/>
                <w:highlight w:val="none"/>
              </w:rPr>
              <w:t>中低风险</w:t>
            </w:r>
          </w:p>
        </w:tc>
        <w:tc>
          <w:tcPr>
            <w:tcW w:w="154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黑体" w:hAnsi="宋体" w:eastAsia="黑体"/>
                <w:kern w:val="0"/>
                <w:sz w:val="18"/>
                <w:szCs w:val="18"/>
                <w:highlight w:val="none"/>
              </w:rPr>
            </w:pPr>
            <w:r>
              <w:rPr>
                <w:rFonts w:hint="eastAsia" w:ascii="黑体" w:hAnsi="宋体" w:eastAsia="黑体"/>
                <w:kern w:val="0"/>
                <w:sz w:val="18"/>
                <w:szCs w:val="18"/>
                <w:highlight w:val="none"/>
              </w:rPr>
              <w:t>中等风险</w:t>
            </w:r>
          </w:p>
        </w:tc>
        <w:tc>
          <w:tcPr>
            <w:tcW w:w="154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黑体" w:hAnsi="宋体" w:eastAsia="黑体"/>
                <w:kern w:val="0"/>
                <w:sz w:val="18"/>
                <w:szCs w:val="18"/>
                <w:highlight w:val="none"/>
              </w:rPr>
            </w:pPr>
            <w:r>
              <w:rPr>
                <w:rFonts w:hint="eastAsia" w:ascii="黑体" w:hAnsi="宋体" w:eastAsia="黑体"/>
                <w:kern w:val="0"/>
                <w:sz w:val="18"/>
                <w:szCs w:val="18"/>
                <w:highlight w:val="none"/>
              </w:rPr>
              <w:t>中高风险</w:t>
            </w:r>
          </w:p>
        </w:tc>
        <w:tc>
          <w:tcPr>
            <w:tcW w:w="154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黑体" w:hAnsi="宋体" w:eastAsia="黑体"/>
                <w:kern w:val="0"/>
                <w:sz w:val="18"/>
                <w:szCs w:val="18"/>
                <w:highlight w:val="none"/>
              </w:rPr>
            </w:pPr>
            <w:r>
              <w:rPr>
                <w:rFonts w:hint="eastAsia" w:ascii="黑体" w:hAnsi="宋体" w:eastAsia="黑体"/>
                <w:kern w:val="0"/>
                <w:sz w:val="18"/>
                <w:szCs w:val="18"/>
                <w:highlight w:val="none"/>
              </w:rPr>
              <w:t>高风险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1" w:hRule="atLeast"/>
        </w:trPr>
        <w:tc>
          <w:tcPr>
            <w:tcW w:w="154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黑体" w:hAnsi="宋体" w:eastAsia="黑体"/>
                <w:kern w:val="0"/>
                <w:sz w:val="18"/>
                <w:szCs w:val="18"/>
                <w:highlight w:val="none"/>
              </w:rPr>
            </w:pPr>
            <w:r>
              <w:rPr>
                <w:rFonts w:hint="eastAsia" w:ascii="黑体" w:hAnsi="宋体" w:eastAsia="黑体"/>
                <w:kern w:val="0"/>
                <w:sz w:val="18"/>
                <w:szCs w:val="18"/>
                <w:highlight w:val="none"/>
              </w:rPr>
              <w:t>激进型</w:t>
            </w:r>
          </w:p>
        </w:tc>
        <w:tc>
          <w:tcPr>
            <w:tcW w:w="154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黑体" w:hAnsi="宋体" w:eastAsia="黑体"/>
                <w:kern w:val="0"/>
                <w:sz w:val="18"/>
                <w:szCs w:val="18"/>
                <w:highlight w:val="none"/>
              </w:rPr>
            </w:pPr>
            <w:r>
              <w:rPr>
                <w:rFonts w:hint="eastAsia" w:ascii="黑体" w:hAnsi="宋体" w:eastAsia="黑体"/>
                <w:kern w:val="0"/>
                <w:sz w:val="18"/>
                <w:szCs w:val="18"/>
                <w:highlight w:val="none"/>
              </w:rPr>
              <w:t>适合</w:t>
            </w:r>
          </w:p>
        </w:tc>
        <w:tc>
          <w:tcPr>
            <w:tcW w:w="154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黑体" w:hAnsi="宋体" w:eastAsia="黑体"/>
                <w:kern w:val="0"/>
                <w:sz w:val="18"/>
                <w:szCs w:val="18"/>
                <w:highlight w:val="none"/>
              </w:rPr>
            </w:pPr>
            <w:r>
              <w:rPr>
                <w:rFonts w:hint="eastAsia" w:ascii="黑体" w:hAnsi="宋体" w:eastAsia="黑体"/>
                <w:kern w:val="0"/>
                <w:sz w:val="18"/>
                <w:szCs w:val="18"/>
                <w:highlight w:val="none"/>
              </w:rPr>
              <w:t>适合</w:t>
            </w:r>
          </w:p>
        </w:tc>
        <w:tc>
          <w:tcPr>
            <w:tcW w:w="154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黑体" w:hAnsi="宋体" w:eastAsia="黑体"/>
                <w:kern w:val="0"/>
                <w:sz w:val="18"/>
                <w:szCs w:val="18"/>
                <w:highlight w:val="none"/>
              </w:rPr>
            </w:pPr>
            <w:r>
              <w:rPr>
                <w:rFonts w:hint="eastAsia" w:ascii="黑体" w:hAnsi="宋体" w:eastAsia="黑体"/>
                <w:kern w:val="0"/>
                <w:sz w:val="18"/>
                <w:szCs w:val="18"/>
                <w:highlight w:val="none"/>
              </w:rPr>
              <w:t>适合</w:t>
            </w:r>
          </w:p>
        </w:tc>
        <w:tc>
          <w:tcPr>
            <w:tcW w:w="154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黑体" w:hAnsi="宋体" w:eastAsia="黑体"/>
                <w:kern w:val="0"/>
                <w:sz w:val="18"/>
                <w:szCs w:val="18"/>
                <w:highlight w:val="none"/>
              </w:rPr>
            </w:pPr>
            <w:r>
              <w:rPr>
                <w:rFonts w:hint="eastAsia" w:ascii="黑体" w:hAnsi="宋体" w:eastAsia="黑体"/>
                <w:kern w:val="0"/>
                <w:sz w:val="18"/>
                <w:szCs w:val="18"/>
                <w:highlight w:val="none"/>
              </w:rPr>
              <w:t>适合</w:t>
            </w:r>
          </w:p>
        </w:tc>
        <w:tc>
          <w:tcPr>
            <w:tcW w:w="154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黑体" w:hAnsi="宋体" w:eastAsia="黑体"/>
                <w:kern w:val="0"/>
                <w:sz w:val="18"/>
                <w:szCs w:val="18"/>
                <w:highlight w:val="none"/>
              </w:rPr>
            </w:pPr>
            <w:r>
              <w:rPr>
                <w:rFonts w:hint="eastAsia" w:ascii="黑体" w:hAnsi="宋体" w:eastAsia="黑体"/>
                <w:kern w:val="0"/>
                <w:sz w:val="18"/>
                <w:szCs w:val="18"/>
                <w:highlight w:val="none"/>
              </w:rPr>
              <w:t>适合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1" w:hRule="atLeast"/>
        </w:trPr>
        <w:tc>
          <w:tcPr>
            <w:tcW w:w="154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黑体" w:hAnsi="宋体" w:eastAsia="黑体"/>
                <w:kern w:val="0"/>
                <w:sz w:val="18"/>
                <w:szCs w:val="18"/>
                <w:highlight w:val="none"/>
              </w:rPr>
            </w:pPr>
            <w:r>
              <w:rPr>
                <w:rFonts w:hint="eastAsia" w:ascii="黑体" w:hAnsi="宋体" w:eastAsia="黑体"/>
                <w:kern w:val="0"/>
                <w:sz w:val="18"/>
                <w:szCs w:val="18"/>
                <w:highlight w:val="none"/>
              </w:rPr>
              <w:t>进取型</w:t>
            </w:r>
          </w:p>
        </w:tc>
        <w:tc>
          <w:tcPr>
            <w:tcW w:w="154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黑体" w:hAnsi="宋体" w:eastAsia="黑体"/>
                <w:kern w:val="0"/>
                <w:sz w:val="18"/>
                <w:szCs w:val="18"/>
                <w:highlight w:val="none"/>
              </w:rPr>
            </w:pPr>
            <w:r>
              <w:rPr>
                <w:rFonts w:hint="eastAsia" w:ascii="黑体" w:hAnsi="宋体" w:eastAsia="黑体"/>
                <w:kern w:val="0"/>
                <w:sz w:val="18"/>
                <w:szCs w:val="18"/>
                <w:highlight w:val="none"/>
              </w:rPr>
              <w:t>适合</w:t>
            </w:r>
          </w:p>
        </w:tc>
        <w:tc>
          <w:tcPr>
            <w:tcW w:w="154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黑体" w:hAnsi="宋体" w:eastAsia="黑体"/>
                <w:kern w:val="0"/>
                <w:sz w:val="18"/>
                <w:szCs w:val="18"/>
                <w:highlight w:val="none"/>
              </w:rPr>
            </w:pPr>
            <w:r>
              <w:rPr>
                <w:rFonts w:hint="eastAsia" w:ascii="黑体" w:hAnsi="宋体" w:eastAsia="黑体"/>
                <w:kern w:val="0"/>
                <w:sz w:val="18"/>
                <w:szCs w:val="18"/>
                <w:highlight w:val="none"/>
              </w:rPr>
              <w:t>适合</w:t>
            </w:r>
          </w:p>
        </w:tc>
        <w:tc>
          <w:tcPr>
            <w:tcW w:w="154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黑体" w:hAnsi="宋体" w:eastAsia="黑体"/>
                <w:kern w:val="0"/>
                <w:sz w:val="18"/>
                <w:szCs w:val="18"/>
                <w:highlight w:val="none"/>
              </w:rPr>
            </w:pPr>
            <w:r>
              <w:rPr>
                <w:rFonts w:hint="eastAsia" w:ascii="黑体" w:hAnsi="宋体" w:eastAsia="黑体"/>
                <w:kern w:val="0"/>
                <w:sz w:val="18"/>
                <w:szCs w:val="18"/>
                <w:highlight w:val="none"/>
              </w:rPr>
              <w:t>适合</w:t>
            </w:r>
          </w:p>
        </w:tc>
        <w:tc>
          <w:tcPr>
            <w:tcW w:w="154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黑体" w:hAnsi="宋体" w:eastAsia="黑体"/>
                <w:kern w:val="0"/>
                <w:sz w:val="18"/>
                <w:szCs w:val="18"/>
                <w:highlight w:val="none"/>
              </w:rPr>
            </w:pPr>
            <w:r>
              <w:rPr>
                <w:rFonts w:hint="eastAsia" w:ascii="黑体" w:hAnsi="宋体" w:eastAsia="黑体"/>
                <w:kern w:val="0"/>
                <w:sz w:val="18"/>
                <w:szCs w:val="18"/>
                <w:highlight w:val="none"/>
              </w:rPr>
              <w:t>适合</w:t>
            </w:r>
          </w:p>
        </w:tc>
        <w:tc>
          <w:tcPr>
            <w:tcW w:w="1548" w:type="dxa"/>
            <w:tcBorders>
              <w:top w:val="single" w:color="auto" w:sz="4" w:space="0"/>
              <w:left w:val="single" w:color="auto" w:sz="4" w:space="0"/>
              <w:bottom w:val="single" w:color="auto" w:sz="4" w:space="0"/>
              <w:right w:val="single" w:color="auto" w:sz="4" w:space="0"/>
            </w:tcBorders>
            <w:shd w:val="clear" w:color="auto" w:fill="E0E0E0"/>
            <w:vAlign w:val="center"/>
          </w:tcPr>
          <w:p>
            <w:pPr>
              <w:adjustRightInd w:val="0"/>
              <w:snapToGrid w:val="0"/>
              <w:jc w:val="center"/>
              <w:rPr>
                <w:rFonts w:ascii="黑体" w:hAnsi="宋体" w:eastAsia="黑体"/>
                <w:kern w:val="0"/>
                <w:sz w:val="18"/>
                <w:szCs w:val="18"/>
                <w:highlight w:val="none"/>
              </w:rPr>
            </w:pPr>
            <w:r>
              <w:rPr>
                <w:rFonts w:hint="eastAsia" w:ascii="黑体" w:hAnsi="宋体" w:eastAsia="黑体"/>
                <w:kern w:val="0"/>
                <w:sz w:val="18"/>
                <w:szCs w:val="18"/>
                <w:highlight w:val="none"/>
              </w:rPr>
              <w:t>不适合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0" w:hRule="atLeast"/>
        </w:trPr>
        <w:tc>
          <w:tcPr>
            <w:tcW w:w="154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黑体" w:hAnsi="宋体" w:eastAsia="黑体"/>
                <w:kern w:val="0"/>
                <w:sz w:val="18"/>
                <w:szCs w:val="18"/>
                <w:highlight w:val="none"/>
              </w:rPr>
            </w:pPr>
            <w:r>
              <w:rPr>
                <w:rFonts w:hint="eastAsia" w:ascii="黑体" w:hAnsi="宋体" w:eastAsia="黑体"/>
                <w:kern w:val="0"/>
                <w:sz w:val="18"/>
                <w:szCs w:val="18"/>
                <w:highlight w:val="none"/>
              </w:rPr>
              <w:t>稳健型</w:t>
            </w:r>
          </w:p>
        </w:tc>
        <w:tc>
          <w:tcPr>
            <w:tcW w:w="154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黑体" w:hAnsi="宋体" w:eastAsia="黑体"/>
                <w:kern w:val="0"/>
                <w:sz w:val="18"/>
                <w:szCs w:val="18"/>
                <w:highlight w:val="none"/>
              </w:rPr>
            </w:pPr>
            <w:r>
              <w:rPr>
                <w:rFonts w:hint="eastAsia" w:ascii="黑体" w:hAnsi="宋体" w:eastAsia="黑体"/>
                <w:kern w:val="0"/>
                <w:sz w:val="18"/>
                <w:szCs w:val="18"/>
                <w:highlight w:val="none"/>
              </w:rPr>
              <w:t>适合</w:t>
            </w:r>
          </w:p>
        </w:tc>
        <w:tc>
          <w:tcPr>
            <w:tcW w:w="154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黑体" w:hAnsi="宋体" w:eastAsia="黑体"/>
                <w:kern w:val="0"/>
                <w:sz w:val="18"/>
                <w:szCs w:val="18"/>
                <w:highlight w:val="none"/>
              </w:rPr>
            </w:pPr>
            <w:r>
              <w:rPr>
                <w:rFonts w:hint="eastAsia" w:ascii="黑体" w:hAnsi="宋体" w:eastAsia="黑体"/>
                <w:kern w:val="0"/>
                <w:sz w:val="18"/>
                <w:szCs w:val="18"/>
                <w:highlight w:val="none"/>
              </w:rPr>
              <w:t>适合</w:t>
            </w:r>
          </w:p>
        </w:tc>
        <w:tc>
          <w:tcPr>
            <w:tcW w:w="154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黑体" w:hAnsi="宋体" w:eastAsia="黑体"/>
                <w:kern w:val="0"/>
                <w:sz w:val="18"/>
                <w:szCs w:val="18"/>
                <w:highlight w:val="none"/>
              </w:rPr>
            </w:pPr>
            <w:r>
              <w:rPr>
                <w:rFonts w:hint="eastAsia" w:ascii="黑体" w:hAnsi="宋体" w:eastAsia="黑体"/>
                <w:kern w:val="0"/>
                <w:sz w:val="18"/>
                <w:szCs w:val="18"/>
                <w:highlight w:val="none"/>
              </w:rPr>
              <w:t>适合</w:t>
            </w:r>
          </w:p>
        </w:tc>
        <w:tc>
          <w:tcPr>
            <w:tcW w:w="1548" w:type="dxa"/>
            <w:tcBorders>
              <w:top w:val="single" w:color="auto" w:sz="4" w:space="0"/>
              <w:left w:val="single" w:color="auto" w:sz="4" w:space="0"/>
              <w:bottom w:val="single" w:color="auto" w:sz="4" w:space="0"/>
              <w:right w:val="single" w:color="auto" w:sz="4" w:space="0"/>
            </w:tcBorders>
            <w:shd w:val="clear" w:color="auto" w:fill="E0E0E0"/>
            <w:vAlign w:val="center"/>
          </w:tcPr>
          <w:p>
            <w:pPr>
              <w:adjustRightInd w:val="0"/>
              <w:snapToGrid w:val="0"/>
              <w:jc w:val="center"/>
              <w:rPr>
                <w:rFonts w:ascii="黑体" w:hAnsi="宋体" w:eastAsia="黑体"/>
                <w:kern w:val="0"/>
                <w:sz w:val="18"/>
                <w:szCs w:val="18"/>
                <w:highlight w:val="none"/>
              </w:rPr>
            </w:pPr>
            <w:r>
              <w:rPr>
                <w:rFonts w:hint="eastAsia" w:ascii="黑体" w:hAnsi="宋体" w:eastAsia="黑体"/>
                <w:kern w:val="0"/>
                <w:sz w:val="18"/>
                <w:szCs w:val="18"/>
                <w:highlight w:val="none"/>
              </w:rPr>
              <w:t>不适合</w:t>
            </w:r>
          </w:p>
        </w:tc>
        <w:tc>
          <w:tcPr>
            <w:tcW w:w="1548" w:type="dxa"/>
            <w:tcBorders>
              <w:top w:val="single" w:color="auto" w:sz="4" w:space="0"/>
              <w:left w:val="single" w:color="auto" w:sz="4" w:space="0"/>
              <w:bottom w:val="single" w:color="auto" w:sz="4" w:space="0"/>
              <w:right w:val="single" w:color="auto" w:sz="4" w:space="0"/>
            </w:tcBorders>
            <w:shd w:val="clear" w:color="auto" w:fill="E0E0E0"/>
            <w:vAlign w:val="center"/>
          </w:tcPr>
          <w:p>
            <w:pPr>
              <w:adjustRightInd w:val="0"/>
              <w:snapToGrid w:val="0"/>
              <w:jc w:val="center"/>
              <w:rPr>
                <w:rFonts w:ascii="黑体" w:hAnsi="宋体" w:eastAsia="黑体"/>
                <w:kern w:val="0"/>
                <w:sz w:val="18"/>
                <w:szCs w:val="18"/>
                <w:highlight w:val="none"/>
              </w:rPr>
            </w:pPr>
            <w:r>
              <w:rPr>
                <w:rFonts w:hint="eastAsia" w:ascii="黑体" w:hAnsi="宋体" w:eastAsia="黑体"/>
                <w:kern w:val="0"/>
                <w:sz w:val="18"/>
                <w:szCs w:val="18"/>
                <w:highlight w:val="none"/>
              </w:rPr>
              <w:t>不适合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1" w:hRule="atLeast"/>
        </w:trPr>
        <w:tc>
          <w:tcPr>
            <w:tcW w:w="154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黑体" w:hAnsi="宋体" w:eastAsia="黑体"/>
                <w:kern w:val="0"/>
                <w:sz w:val="18"/>
                <w:szCs w:val="18"/>
                <w:highlight w:val="none"/>
              </w:rPr>
            </w:pPr>
            <w:r>
              <w:rPr>
                <w:rFonts w:hint="eastAsia" w:ascii="黑体" w:hAnsi="宋体" w:eastAsia="黑体"/>
                <w:kern w:val="0"/>
                <w:sz w:val="18"/>
                <w:szCs w:val="18"/>
                <w:highlight w:val="none"/>
              </w:rPr>
              <w:t>谨慎型</w:t>
            </w:r>
          </w:p>
        </w:tc>
        <w:tc>
          <w:tcPr>
            <w:tcW w:w="154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黑体" w:hAnsi="宋体" w:eastAsia="黑体"/>
                <w:kern w:val="0"/>
                <w:sz w:val="18"/>
                <w:szCs w:val="18"/>
                <w:highlight w:val="none"/>
              </w:rPr>
            </w:pPr>
            <w:r>
              <w:rPr>
                <w:rFonts w:hint="eastAsia" w:ascii="黑体" w:hAnsi="宋体" w:eastAsia="黑体"/>
                <w:kern w:val="0"/>
                <w:sz w:val="18"/>
                <w:szCs w:val="18"/>
                <w:highlight w:val="none"/>
              </w:rPr>
              <w:t>适合</w:t>
            </w:r>
          </w:p>
        </w:tc>
        <w:tc>
          <w:tcPr>
            <w:tcW w:w="154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黑体" w:hAnsi="宋体" w:eastAsia="黑体"/>
                <w:kern w:val="0"/>
                <w:sz w:val="18"/>
                <w:szCs w:val="18"/>
                <w:highlight w:val="none"/>
              </w:rPr>
            </w:pPr>
            <w:r>
              <w:rPr>
                <w:rFonts w:hint="eastAsia" w:ascii="黑体" w:hAnsi="宋体" w:eastAsia="黑体"/>
                <w:kern w:val="0"/>
                <w:sz w:val="18"/>
                <w:szCs w:val="18"/>
                <w:highlight w:val="none"/>
              </w:rPr>
              <w:t>适合</w:t>
            </w:r>
          </w:p>
        </w:tc>
        <w:tc>
          <w:tcPr>
            <w:tcW w:w="1548" w:type="dxa"/>
            <w:tcBorders>
              <w:top w:val="single" w:color="auto" w:sz="4" w:space="0"/>
              <w:left w:val="single" w:color="auto" w:sz="4" w:space="0"/>
              <w:bottom w:val="single" w:color="auto" w:sz="4" w:space="0"/>
              <w:right w:val="single" w:color="auto" w:sz="4" w:space="0"/>
            </w:tcBorders>
            <w:shd w:val="clear" w:color="auto" w:fill="E0E0E0"/>
            <w:vAlign w:val="center"/>
          </w:tcPr>
          <w:p>
            <w:pPr>
              <w:adjustRightInd w:val="0"/>
              <w:snapToGrid w:val="0"/>
              <w:jc w:val="center"/>
              <w:rPr>
                <w:rFonts w:ascii="黑体" w:hAnsi="宋体" w:eastAsia="黑体"/>
                <w:kern w:val="0"/>
                <w:sz w:val="18"/>
                <w:szCs w:val="18"/>
                <w:highlight w:val="none"/>
              </w:rPr>
            </w:pPr>
            <w:r>
              <w:rPr>
                <w:rFonts w:hint="eastAsia" w:ascii="黑体" w:hAnsi="宋体" w:eastAsia="黑体"/>
                <w:kern w:val="0"/>
                <w:sz w:val="18"/>
                <w:szCs w:val="18"/>
                <w:highlight w:val="none"/>
              </w:rPr>
              <w:t>不适合</w:t>
            </w:r>
          </w:p>
        </w:tc>
        <w:tc>
          <w:tcPr>
            <w:tcW w:w="1548" w:type="dxa"/>
            <w:tcBorders>
              <w:top w:val="single" w:color="auto" w:sz="4" w:space="0"/>
              <w:left w:val="single" w:color="auto" w:sz="4" w:space="0"/>
              <w:bottom w:val="single" w:color="auto" w:sz="4" w:space="0"/>
              <w:right w:val="single" w:color="auto" w:sz="4" w:space="0"/>
            </w:tcBorders>
            <w:shd w:val="clear" w:color="auto" w:fill="E0E0E0"/>
            <w:vAlign w:val="center"/>
          </w:tcPr>
          <w:p>
            <w:pPr>
              <w:adjustRightInd w:val="0"/>
              <w:snapToGrid w:val="0"/>
              <w:jc w:val="center"/>
              <w:rPr>
                <w:rFonts w:ascii="黑体" w:hAnsi="宋体" w:eastAsia="黑体"/>
                <w:kern w:val="0"/>
                <w:sz w:val="18"/>
                <w:szCs w:val="18"/>
                <w:highlight w:val="none"/>
              </w:rPr>
            </w:pPr>
            <w:r>
              <w:rPr>
                <w:rFonts w:hint="eastAsia" w:ascii="黑体" w:hAnsi="宋体" w:eastAsia="黑体"/>
                <w:kern w:val="0"/>
                <w:sz w:val="18"/>
                <w:szCs w:val="18"/>
                <w:highlight w:val="none"/>
              </w:rPr>
              <w:t>不适合</w:t>
            </w:r>
          </w:p>
        </w:tc>
        <w:tc>
          <w:tcPr>
            <w:tcW w:w="1548" w:type="dxa"/>
            <w:tcBorders>
              <w:top w:val="single" w:color="auto" w:sz="4" w:space="0"/>
              <w:left w:val="single" w:color="auto" w:sz="4" w:space="0"/>
              <w:bottom w:val="single" w:color="auto" w:sz="4" w:space="0"/>
              <w:right w:val="single" w:color="auto" w:sz="4" w:space="0"/>
            </w:tcBorders>
            <w:shd w:val="clear" w:color="auto" w:fill="E0E0E0"/>
            <w:vAlign w:val="center"/>
          </w:tcPr>
          <w:p>
            <w:pPr>
              <w:adjustRightInd w:val="0"/>
              <w:snapToGrid w:val="0"/>
              <w:jc w:val="center"/>
              <w:rPr>
                <w:rFonts w:ascii="黑体" w:hAnsi="宋体" w:eastAsia="黑体"/>
                <w:kern w:val="0"/>
                <w:sz w:val="18"/>
                <w:szCs w:val="18"/>
                <w:highlight w:val="none"/>
              </w:rPr>
            </w:pPr>
            <w:r>
              <w:rPr>
                <w:rFonts w:hint="eastAsia" w:ascii="黑体" w:hAnsi="宋体" w:eastAsia="黑体"/>
                <w:kern w:val="0"/>
                <w:sz w:val="18"/>
                <w:szCs w:val="18"/>
                <w:highlight w:val="none"/>
              </w:rPr>
              <w:t>不适合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1" w:hRule="atLeast"/>
        </w:trPr>
        <w:tc>
          <w:tcPr>
            <w:tcW w:w="154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黑体" w:hAnsi="宋体" w:eastAsia="黑体"/>
                <w:kern w:val="0"/>
                <w:sz w:val="18"/>
                <w:szCs w:val="18"/>
                <w:highlight w:val="none"/>
              </w:rPr>
            </w:pPr>
            <w:r>
              <w:rPr>
                <w:rFonts w:hint="eastAsia" w:ascii="黑体" w:hAnsi="宋体" w:eastAsia="黑体"/>
                <w:kern w:val="0"/>
                <w:sz w:val="18"/>
                <w:szCs w:val="18"/>
                <w:highlight w:val="none"/>
              </w:rPr>
              <w:t>保守型</w:t>
            </w:r>
          </w:p>
        </w:tc>
        <w:tc>
          <w:tcPr>
            <w:tcW w:w="154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黑体" w:hAnsi="宋体" w:eastAsia="黑体"/>
                <w:kern w:val="0"/>
                <w:sz w:val="18"/>
                <w:szCs w:val="18"/>
                <w:highlight w:val="none"/>
              </w:rPr>
            </w:pPr>
            <w:r>
              <w:rPr>
                <w:rFonts w:hint="eastAsia" w:ascii="黑体" w:hAnsi="宋体" w:eastAsia="黑体"/>
                <w:kern w:val="0"/>
                <w:sz w:val="18"/>
                <w:szCs w:val="18"/>
                <w:highlight w:val="none"/>
              </w:rPr>
              <w:t>适合</w:t>
            </w:r>
          </w:p>
        </w:tc>
        <w:tc>
          <w:tcPr>
            <w:tcW w:w="1548" w:type="dxa"/>
            <w:tcBorders>
              <w:top w:val="single" w:color="auto" w:sz="4" w:space="0"/>
              <w:left w:val="single" w:color="auto" w:sz="4" w:space="0"/>
              <w:bottom w:val="single" w:color="auto" w:sz="4" w:space="0"/>
              <w:right w:val="single" w:color="auto" w:sz="4" w:space="0"/>
            </w:tcBorders>
            <w:shd w:val="clear" w:color="auto" w:fill="E0E0E0"/>
            <w:vAlign w:val="center"/>
          </w:tcPr>
          <w:p>
            <w:pPr>
              <w:adjustRightInd w:val="0"/>
              <w:snapToGrid w:val="0"/>
              <w:jc w:val="center"/>
              <w:rPr>
                <w:rFonts w:ascii="黑体" w:hAnsi="宋体" w:eastAsia="黑体"/>
                <w:kern w:val="0"/>
                <w:sz w:val="18"/>
                <w:szCs w:val="18"/>
                <w:highlight w:val="none"/>
              </w:rPr>
            </w:pPr>
            <w:r>
              <w:rPr>
                <w:rFonts w:hint="eastAsia" w:ascii="黑体" w:hAnsi="宋体" w:eastAsia="黑体"/>
                <w:kern w:val="0"/>
                <w:sz w:val="18"/>
                <w:szCs w:val="18"/>
                <w:highlight w:val="none"/>
              </w:rPr>
              <w:t>不适合</w:t>
            </w:r>
          </w:p>
        </w:tc>
        <w:tc>
          <w:tcPr>
            <w:tcW w:w="1548" w:type="dxa"/>
            <w:tcBorders>
              <w:top w:val="single" w:color="auto" w:sz="4" w:space="0"/>
              <w:left w:val="single" w:color="auto" w:sz="4" w:space="0"/>
              <w:bottom w:val="single" w:color="auto" w:sz="4" w:space="0"/>
              <w:right w:val="single" w:color="auto" w:sz="4" w:space="0"/>
            </w:tcBorders>
            <w:shd w:val="clear" w:color="auto" w:fill="E0E0E0"/>
            <w:vAlign w:val="center"/>
          </w:tcPr>
          <w:p>
            <w:pPr>
              <w:adjustRightInd w:val="0"/>
              <w:snapToGrid w:val="0"/>
              <w:jc w:val="center"/>
              <w:rPr>
                <w:rFonts w:ascii="黑体" w:hAnsi="宋体" w:eastAsia="黑体"/>
                <w:kern w:val="0"/>
                <w:sz w:val="18"/>
                <w:szCs w:val="18"/>
                <w:highlight w:val="none"/>
              </w:rPr>
            </w:pPr>
            <w:r>
              <w:rPr>
                <w:rFonts w:hint="eastAsia" w:ascii="黑体" w:hAnsi="宋体" w:eastAsia="黑体"/>
                <w:kern w:val="0"/>
                <w:sz w:val="18"/>
                <w:szCs w:val="18"/>
                <w:highlight w:val="none"/>
              </w:rPr>
              <w:t>不适合</w:t>
            </w:r>
          </w:p>
        </w:tc>
        <w:tc>
          <w:tcPr>
            <w:tcW w:w="1548" w:type="dxa"/>
            <w:tcBorders>
              <w:top w:val="single" w:color="auto" w:sz="4" w:space="0"/>
              <w:left w:val="single" w:color="auto" w:sz="4" w:space="0"/>
              <w:bottom w:val="single" w:color="auto" w:sz="4" w:space="0"/>
              <w:right w:val="single" w:color="auto" w:sz="4" w:space="0"/>
            </w:tcBorders>
            <w:shd w:val="clear" w:color="auto" w:fill="E0E0E0"/>
            <w:vAlign w:val="center"/>
          </w:tcPr>
          <w:p>
            <w:pPr>
              <w:adjustRightInd w:val="0"/>
              <w:snapToGrid w:val="0"/>
              <w:jc w:val="center"/>
              <w:rPr>
                <w:rFonts w:ascii="黑体" w:hAnsi="宋体" w:eastAsia="黑体"/>
                <w:kern w:val="0"/>
                <w:sz w:val="18"/>
                <w:szCs w:val="18"/>
                <w:highlight w:val="none"/>
              </w:rPr>
            </w:pPr>
            <w:r>
              <w:rPr>
                <w:rFonts w:hint="eastAsia" w:ascii="黑体" w:hAnsi="宋体" w:eastAsia="黑体"/>
                <w:kern w:val="0"/>
                <w:sz w:val="18"/>
                <w:szCs w:val="18"/>
                <w:highlight w:val="none"/>
              </w:rPr>
              <w:t>不适合</w:t>
            </w:r>
          </w:p>
        </w:tc>
        <w:tc>
          <w:tcPr>
            <w:tcW w:w="1548" w:type="dxa"/>
            <w:tcBorders>
              <w:top w:val="single" w:color="auto" w:sz="4" w:space="0"/>
              <w:left w:val="single" w:color="auto" w:sz="4" w:space="0"/>
              <w:bottom w:val="single" w:color="auto" w:sz="4" w:space="0"/>
              <w:right w:val="single" w:color="auto" w:sz="4" w:space="0"/>
            </w:tcBorders>
            <w:shd w:val="clear" w:color="auto" w:fill="E0E0E0"/>
            <w:vAlign w:val="center"/>
          </w:tcPr>
          <w:p>
            <w:pPr>
              <w:adjustRightInd w:val="0"/>
              <w:snapToGrid w:val="0"/>
              <w:jc w:val="center"/>
              <w:rPr>
                <w:rFonts w:ascii="黑体" w:hAnsi="宋体" w:eastAsia="黑体"/>
                <w:kern w:val="0"/>
                <w:sz w:val="18"/>
                <w:szCs w:val="18"/>
                <w:highlight w:val="none"/>
              </w:rPr>
            </w:pPr>
            <w:r>
              <w:rPr>
                <w:rFonts w:hint="eastAsia" w:ascii="黑体" w:hAnsi="宋体" w:eastAsia="黑体"/>
                <w:kern w:val="0"/>
                <w:sz w:val="18"/>
                <w:szCs w:val="18"/>
                <w:highlight w:val="none"/>
              </w:rPr>
              <w:t>不适合</w:t>
            </w:r>
          </w:p>
        </w:tc>
      </w:tr>
    </w:tbl>
    <w:p>
      <w:pPr>
        <w:adjustRightInd w:val="0"/>
        <w:snapToGrid w:val="0"/>
        <w:ind w:firstLine="360" w:firstLineChars="200"/>
        <w:rPr>
          <w:rFonts w:ascii="黑体" w:hAnsi="宋体" w:eastAsia="黑体"/>
          <w:sz w:val="18"/>
          <w:szCs w:val="18"/>
          <w:highlight w:val="none"/>
        </w:rPr>
      </w:pPr>
    </w:p>
    <w:p>
      <w:pPr>
        <w:adjustRightInd w:val="0"/>
        <w:snapToGrid w:val="0"/>
        <w:ind w:firstLine="360" w:firstLineChars="200"/>
        <w:rPr>
          <w:rFonts w:ascii="黑体" w:hAnsi="宋体" w:eastAsia="黑体"/>
          <w:sz w:val="18"/>
          <w:szCs w:val="18"/>
          <w:highlight w:val="none"/>
        </w:rPr>
      </w:pPr>
      <w:r>
        <w:rPr>
          <w:rFonts w:hint="eastAsia" w:ascii="黑体" w:hAnsi="宋体" w:eastAsia="黑体"/>
          <w:sz w:val="18"/>
          <w:szCs w:val="18"/>
          <w:highlight w:val="none"/>
        </w:rPr>
        <w:t>（一）低风险（R1）：理财产品整体风险低，投资风格保守。本金和收益受风险因素影响很小。</w:t>
      </w:r>
    </w:p>
    <w:p>
      <w:pPr>
        <w:adjustRightInd w:val="0"/>
        <w:snapToGrid w:val="0"/>
        <w:ind w:firstLine="360" w:firstLineChars="200"/>
        <w:rPr>
          <w:rFonts w:ascii="黑体" w:hAnsi="宋体" w:eastAsia="黑体"/>
          <w:sz w:val="18"/>
          <w:szCs w:val="18"/>
          <w:highlight w:val="none"/>
        </w:rPr>
      </w:pPr>
      <w:r>
        <w:rPr>
          <w:rFonts w:hint="eastAsia" w:ascii="黑体" w:hAnsi="宋体" w:eastAsia="黑体"/>
          <w:sz w:val="18"/>
          <w:szCs w:val="18"/>
          <w:highlight w:val="none"/>
        </w:rPr>
        <w:t>（二）中低风险（R2）：理财产品整体风险较低，投资风格谨慎。本金和收益受风险因素影响较小。</w:t>
      </w:r>
    </w:p>
    <w:p>
      <w:pPr>
        <w:adjustRightInd w:val="0"/>
        <w:snapToGrid w:val="0"/>
        <w:ind w:firstLine="360" w:firstLineChars="200"/>
        <w:rPr>
          <w:rFonts w:ascii="黑体" w:hAnsi="宋体" w:eastAsia="黑体"/>
          <w:sz w:val="18"/>
          <w:szCs w:val="18"/>
          <w:highlight w:val="none"/>
        </w:rPr>
      </w:pPr>
      <w:r>
        <w:rPr>
          <w:rFonts w:hint="eastAsia" w:ascii="黑体" w:hAnsi="宋体" w:eastAsia="黑体"/>
          <w:sz w:val="18"/>
          <w:szCs w:val="18"/>
          <w:highlight w:val="none"/>
        </w:rPr>
        <w:t>（三）中等风险（R3）：理财产品整体风险适中，投资风格稳健。风险因素可能对本金和收益产生一定影响。</w:t>
      </w:r>
    </w:p>
    <w:p>
      <w:pPr>
        <w:adjustRightInd w:val="0"/>
        <w:snapToGrid w:val="0"/>
        <w:ind w:firstLine="360" w:firstLineChars="200"/>
        <w:rPr>
          <w:rFonts w:ascii="黑体" w:hAnsi="宋体" w:eastAsia="黑体"/>
          <w:sz w:val="18"/>
          <w:szCs w:val="18"/>
          <w:highlight w:val="none"/>
        </w:rPr>
      </w:pPr>
      <w:r>
        <w:rPr>
          <w:rFonts w:hint="eastAsia" w:ascii="黑体" w:hAnsi="宋体" w:eastAsia="黑体"/>
          <w:sz w:val="18"/>
          <w:szCs w:val="18"/>
          <w:highlight w:val="none"/>
        </w:rPr>
        <w:t>（四）中高风险（R4）：理财产品整体风险程度较高，投资风格积极。风险因素可能对本金和收益产生较大影响。</w:t>
      </w:r>
    </w:p>
    <w:p>
      <w:pPr>
        <w:adjustRightInd w:val="0"/>
        <w:snapToGrid w:val="0"/>
        <w:ind w:firstLine="360" w:firstLineChars="200"/>
        <w:rPr>
          <w:rFonts w:ascii="黑体" w:hAnsi="宋体" w:eastAsia="黑体"/>
          <w:sz w:val="18"/>
          <w:szCs w:val="18"/>
          <w:highlight w:val="none"/>
        </w:rPr>
      </w:pPr>
      <w:r>
        <w:rPr>
          <w:rFonts w:hint="eastAsia" w:ascii="黑体" w:hAnsi="宋体" w:eastAsia="黑体"/>
          <w:sz w:val="18"/>
          <w:szCs w:val="18"/>
          <w:highlight w:val="none"/>
        </w:rPr>
        <w:t>（五）高风险（R5）：理财产品整体风险程度高，投资风格激进。风险因素可能对本金造成重大影响。</w:t>
      </w:r>
    </w:p>
    <w:p>
      <w:pPr>
        <w:adjustRightInd w:val="0"/>
        <w:snapToGrid w:val="0"/>
        <w:ind w:firstLine="361" w:firstLineChars="200"/>
        <w:rPr>
          <w:rFonts w:ascii="黑体" w:hAnsi="宋体" w:eastAsia="黑体"/>
          <w:b/>
          <w:sz w:val="18"/>
          <w:szCs w:val="18"/>
          <w:highlight w:val="none"/>
        </w:rPr>
      </w:pPr>
      <w:r>
        <w:rPr>
          <w:rFonts w:hint="eastAsia" w:ascii="黑体" w:hAnsi="宋体" w:eastAsia="黑体"/>
          <w:b/>
          <w:sz w:val="18"/>
          <w:szCs w:val="18"/>
          <w:highlight w:val="none"/>
        </w:rPr>
        <w:t>三、信息披露的方式、渠道和频率。</w:t>
      </w:r>
    </w:p>
    <w:p>
      <w:pPr>
        <w:adjustRightInd w:val="0"/>
        <w:snapToGrid w:val="0"/>
        <w:ind w:firstLine="360" w:firstLineChars="200"/>
        <w:rPr>
          <w:rFonts w:ascii="黑体" w:hAnsi="宋体" w:eastAsia="黑体"/>
          <w:sz w:val="18"/>
          <w:szCs w:val="18"/>
          <w:highlight w:val="none"/>
        </w:rPr>
      </w:pPr>
      <w:r>
        <w:rPr>
          <w:rFonts w:hint="eastAsia" w:ascii="黑体" w:hAnsi="宋体" w:eastAsia="黑体"/>
          <w:sz w:val="18"/>
          <w:szCs w:val="18"/>
          <w:highlight w:val="none"/>
        </w:rPr>
        <w:t>产品相关信息披露的渠道，包括但不限于天津银行官网、电子渠道、营业网点和代销机构等。具体信息披露的方式、渠道和频率，以相应理财产品说明书的约定为准。相关信息在发布或发出之日视为通知送达，请您及时查询。</w:t>
      </w:r>
    </w:p>
    <w:p>
      <w:pPr>
        <w:adjustRightInd w:val="0"/>
        <w:snapToGrid w:val="0"/>
        <w:ind w:firstLine="361" w:firstLineChars="200"/>
        <w:rPr>
          <w:rFonts w:ascii="黑体" w:hAnsi="宋体" w:eastAsia="黑体"/>
          <w:b/>
          <w:sz w:val="18"/>
          <w:szCs w:val="18"/>
          <w:highlight w:val="none"/>
        </w:rPr>
      </w:pPr>
      <w:r>
        <w:rPr>
          <w:rFonts w:hint="eastAsia" w:ascii="黑体" w:hAnsi="宋体" w:eastAsia="黑体"/>
          <w:b/>
          <w:sz w:val="18"/>
          <w:szCs w:val="18"/>
          <w:highlight w:val="none"/>
        </w:rPr>
        <w:t>四、因金融</w:t>
      </w:r>
      <w:r>
        <w:rPr>
          <w:rFonts w:ascii="黑体" w:hAnsi="宋体" w:eastAsia="黑体"/>
          <w:b/>
          <w:sz w:val="18"/>
          <w:szCs w:val="18"/>
          <w:highlight w:val="none"/>
        </w:rPr>
        <w:t>产品或者服务</w:t>
      </w:r>
      <w:r>
        <w:rPr>
          <w:rFonts w:hint="eastAsia" w:ascii="黑体" w:hAnsi="宋体" w:eastAsia="黑体"/>
          <w:b/>
          <w:sz w:val="18"/>
          <w:szCs w:val="18"/>
          <w:highlight w:val="none"/>
        </w:rPr>
        <w:t>产生</w:t>
      </w:r>
      <w:r>
        <w:rPr>
          <w:rFonts w:ascii="黑体" w:hAnsi="宋体" w:eastAsia="黑体"/>
          <w:b/>
          <w:sz w:val="18"/>
          <w:szCs w:val="18"/>
          <w:highlight w:val="none"/>
        </w:rPr>
        <w:t>纠纷的处理</w:t>
      </w:r>
      <w:r>
        <w:rPr>
          <w:rFonts w:hint="eastAsia" w:ascii="黑体" w:hAnsi="宋体" w:eastAsia="黑体"/>
          <w:b/>
          <w:sz w:val="18"/>
          <w:szCs w:val="18"/>
          <w:highlight w:val="none"/>
        </w:rPr>
        <w:t>及</w:t>
      </w:r>
      <w:r>
        <w:rPr>
          <w:rFonts w:ascii="黑体" w:hAnsi="宋体" w:eastAsia="黑体"/>
          <w:b/>
          <w:sz w:val="18"/>
          <w:szCs w:val="18"/>
          <w:highlight w:val="none"/>
        </w:rPr>
        <w:t>投诉途径</w:t>
      </w:r>
    </w:p>
    <w:p>
      <w:pPr>
        <w:adjustRightInd w:val="0"/>
        <w:snapToGrid w:val="0"/>
        <w:ind w:firstLine="360" w:firstLineChars="200"/>
        <w:rPr>
          <w:rFonts w:ascii="黑体" w:hAnsi="宋体" w:eastAsia="黑体"/>
          <w:sz w:val="18"/>
          <w:szCs w:val="18"/>
          <w:highlight w:val="none"/>
        </w:rPr>
      </w:pPr>
      <w:r>
        <w:rPr>
          <w:rFonts w:hint="eastAsia" w:ascii="黑体" w:hAnsi="宋体" w:eastAsia="黑体"/>
          <w:sz w:val="18"/>
          <w:szCs w:val="18"/>
          <w:highlight w:val="none"/>
        </w:rPr>
        <w:t>客户可以到天津银行营业网点或通过拨打本行客户服务中心电话等方式对本行所提供的服务提出意见或建议。</w:t>
      </w:r>
    </w:p>
    <w:p>
      <w:pPr>
        <w:adjustRightInd w:val="0"/>
        <w:snapToGrid w:val="0"/>
        <w:ind w:firstLine="361" w:firstLineChars="200"/>
        <w:rPr>
          <w:rFonts w:ascii="黑体" w:hAnsi="宋体" w:eastAsia="黑体"/>
          <w:b/>
          <w:sz w:val="18"/>
          <w:szCs w:val="18"/>
          <w:highlight w:val="none"/>
        </w:rPr>
      </w:pPr>
      <w:r>
        <w:rPr>
          <w:rFonts w:hint="eastAsia" w:ascii="黑体" w:hAnsi="宋体" w:eastAsia="黑体"/>
          <w:b/>
          <w:sz w:val="18"/>
          <w:szCs w:val="18"/>
          <w:highlight w:val="none"/>
        </w:rPr>
        <w:t>五、天津银行联络方式及其他需要向客户说明的内容</w:t>
      </w:r>
    </w:p>
    <w:p>
      <w:pPr>
        <w:adjustRightInd w:val="0"/>
        <w:snapToGrid w:val="0"/>
        <w:ind w:firstLine="360" w:firstLineChars="200"/>
        <w:rPr>
          <w:rFonts w:ascii="黑体" w:hAnsi="宋体" w:eastAsia="黑体"/>
          <w:sz w:val="18"/>
          <w:szCs w:val="18"/>
          <w:highlight w:val="none"/>
        </w:rPr>
      </w:pPr>
      <w:r>
        <w:rPr>
          <w:rFonts w:hint="eastAsia" w:ascii="黑体" w:hAnsi="宋体" w:eastAsia="黑体"/>
          <w:sz w:val="18"/>
          <w:szCs w:val="18"/>
          <w:highlight w:val="none"/>
        </w:rPr>
        <w:t>网址：www.bankoftianjin.com</w:t>
      </w:r>
    </w:p>
    <w:p>
      <w:pPr>
        <w:adjustRightInd w:val="0"/>
        <w:snapToGrid w:val="0"/>
        <w:ind w:firstLine="360" w:firstLineChars="200"/>
        <w:rPr>
          <w:rFonts w:ascii="黑体" w:hAnsi="宋体" w:eastAsia="黑体"/>
          <w:sz w:val="18"/>
          <w:szCs w:val="18"/>
          <w:highlight w:val="none"/>
        </w:rPr>
      </w:pPr>
      <w:r>
        <w:rPr>
          <w:rFonts w:hint="eastAsia" w:ascii="黑体" w:hAnsi="宋体" w:eastAsia="黑体"/>
          <w:sz w:val="18"/>
          <w:szCs w:val="18"/>
          <w:highlight w:val="none"/>
        </w:rPr>
        <w:t>24小时客服电话：</w:t>
      </w:r>
      <w:r>
        <w:rPr>
          <w:rFonts w:ascii="黑体" w:hAnsi="宋体" w:eastAsia="黑体"/>
          <w:sz w:val="18"/>
          <w:szCs w:val="18"/>
          <w:highlight w:val="none"/>
        </w:rPr>
        <w:t>956056</w:t>
      </w:r>
    </w:p>
    <w:p>
      <w:pPr>
        <w:adjustRightInd w:val="0"/>
        <w:snapToGrid w:val="0"/>
        <w:ind w:firstLine="360" w:firstLineChars="200"/>
        <w:rPr>
          <w:rFonts w:ascii="黑体" w:hAnsi="宋体" w:eastAsia="黑体"/>
          <w:sz w:val="18"/>
          <w:szCs w:val="18"/>
          <w:highlight w:val="none"/>
        </w:rPr>
      </w:pPr>
      <w:r>
        <w:rPr>
          <w:rFonts w:hint="eastAsia" w:ascii="黑体" w:hAnsi="宋体" w:eastAsia="黑体"/>
          <w:sz w:val="18"/>
          <w:szCs w:val="18"/>
          <w:highlight w:val="none"/>
        </w:rPr>
        <w:t>注：销售文本均一式两联，由银行与客户分别保管。</w:t>
      </w:r>
    </w:p>
    <w:p>
      <w:pPr>
        <w:jc w:val="left"/>
        <w:rPr>
          <w:rFonts w:ascii="黑体" w:hAnsi="黑体" w:eastAsia="黑体"/>
          <w:b/>
          <w:szCs w:val="21"/>
          <w:highlight w:val="none"/>
        </w:rPr>
      </w:pPr>
    </w:p>
    <w:p>
      <w:pPr>
        <w:adjustRightInd w:val="0"/>
        <w:snapToGrid w:val="0"/>
        <w:spacing w:line="170" w:lineRule="exact"/>
        <w:ind w:firstLine="301" w:firstLineChars="200"/>
        <w:rPr>
          <w:rFonts w:hint="eastAsia" w:ascii="黑体" w:hAnsi="宋体" w:eastAsia="黑体"/>
          <w:b/>
          <w:sz w:val="15"/>
          <w:szCs w:val="15"/>
          <w:highlight w:val="none"/>
          <w:lang w:eastAsia="zh-CN"/>
        </w:rPr>
        <w:sectPr>
          <w:headerReference r:id="rId5" w:type="default"/>
          <w:footerReference r:id="rId6" w:type="default"/>
          <w:pgSz w:w="11906" w:h="16838"/>
          <w:pgMar w:top="624" w:right="624" w:bottom="624" w:left="624" w:header="510" w:footer="397" w:gutter="0"/>
          <w:cols w:space="720" w:num="1"/>
          <w:docGrid w:type="lines" w:linePitch="312" w:charSpace="0"/>
        </w:sectPr>
      </w:pPr>
    </w:p>
    <w:p>
      <w:pPr>
        <w:ind w:left="-178" w:leftChars="-85" w:right="-120" w:rightChars="-57"/>
        <w:jc w:val="center"/>
        <w:rPr>
          <w:rFonts w:hint="eastAsia" w:ascii="仿宋" w:hAnsi="仿宋" w:eastAsia="仿宋"/>
          <w:b/>
          <w:kern w:val="0"/>
          <w:sz w:val="32"/>
          <w:szCs w:val="32"/>
          <w:highlight w:val="none"/>
          <w:lang w:val="en-US" w:eastAsia="zh-CN"/>
        </w:rPr>
      </w:pPr>
      <w:r>
        <w:rPr>
          <w:rFonts w:hint="eastAsia" w:ascii="仿宋" w:hAnsi="仿宋" w:eastAsia="仿宋"/>
          <w:b/>
          <w:kern w:val="0"/>
          <w:sz w:val="32"/>
          <w:szCs w:val="32"/>
          <w:highlight w:val="none"/>
          <w:lang w:val="en-US" w:eastAsia="zh-CN"/>
        </w:rPr>
        <w:t>2026年涵屿财富122期封闭式净值型理财产品说明书</w:t>
      </w:r>
    </w:p>
    <w:p>
      <w:pPr>
        <w:ind w:left="-178" w:leftChars="-85" w:right="-120" w:rightChars="-57"/>
        <w:jc w:val="center"/>
        <w:rPr>
          <w:rFonts w:hint="eastAsia" w:ascii="仿宋" w:hAnsi="仿宋" w:eastAsia="仿宋"/>
          <w:b/>
          <w:sz w:val="24"/>
          <w:highlight w:val="none"/>
        </w:rPr>
      </w:pPr>
      <w:r>
        <w:rPr>
          <w:rFonts w:hint="eastAsia" w:ascii="仿宋" w:hAnsi="仿宋" w:eastAsia="仿宋"/>
          <w:b/>
          <w:sz w:val="24"/>
          <w:highlight w:val="none"/>
        </w:rPr>
        <w:t>理财非存款 产品有风险 投资须谨慎</w:t>
      </w:r>
    </w:p>
    <w:tbl>
      <w:tblPr>
        <w:tblStyle w:val="11"/>
        <w:tblW w:w="104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1599"/>
        <w:gridCol w:w="198"/>
        <w:gridCol w:w="164"/>
        <w:gridCol w:w="1785"/>
        <w:gridCol w:w="85"/>
        <w:gridCol w:w="1358"/>
        <w:gridCol w:w="3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6" w:hRule="atLeast"/>
        </w:trPr>
        <w:tc>
          <w:tcPr>
            <w:tcW w:w="1951" w:type="dxa"/>
            <w:vAlign w:val="center"/>
          </w:tcPr>
          <w:p>
            <w:pPr>
              <w:keepNext w:val="0"/>
              <w:keepLines w:val="0"/>
              <w:pageBreakBefore w:val="0"/>
              <w:kinsoku/>
              <w:wordWrap/>
              <w:overflowPunct/>
              <w:topLinePunct w:val="0"/>
              <w:bidi w:val="0"/>
              <w:snapToGrid/>
              <w:spacing w:line="320" w:lineRule="exact"/>
              <w:jc w:val="center"/>
              <w:textAlignment w:val="auto"/>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b/>
                <w:kern w:val="0"/>
                <w:sz w:val="24"/>
                <w:szCs w:val="24"/>
                <w:highlight w:val="none"/>
              </w:rPr>
              <w:t>产品名称</w:t>
            </w:r>
          </w:p>
        </w:tc>
        <w:tc>
          <w:tcPr>
            <w:tcW w:w="1961" w:type="dxa"/>
            <w:gridSpan w:val="3"/>
            <w:vAlign w:val="center"/>
          </w:tcPr>
          <w:p>
            <w:pPr>
              <w:keepNext w:val="0"/>
              <w:keepLines w:val="0"/>
              <w:pageBreakBefore w:val="0"/>
              <w:kinsoku/>
              <w:wordWrap/>
              <w:overflowPunct/>
              <w:topLinePunct w:val="0"/>
              <w:bidi w:val="0"/>
              <w:snapToGrid/>
              <w:spacing w:line="320" w:lineRule="exact"/>
              <w:jc w:val="center"/>
              <w:textAlignment w:val="auto"/>
              <w:outlineLvl w:val="9"/>
              <w:rPr>
                <w:rFonts w:ascii="仿宋" w:hAnsi="仿宋" w:eastAsia="仿宋"/>
                <w:kern w:val="0"/>
                <w:szCs w:val="21"/>
                <w:highlight w:val="none"/>
              </w:rPr>
            </w:pPr>
            <w:r>
              <w:rPr>
                <w:rFonts w:hint="eastAsia" w:ascii="仿宋" w:hAnsi="仿宋" w:eastAsia="仿宋"/>
                <w:color w:val="000000"/>
                <w:kern w:val="0"/>
                <w:szCs w:val="21"/>
                <w:highlight w:val="none"/>
                <w:lang w:val="en-US" w:eastAsia="zh-CN"/>
              </w:rPr>
              <w:t>2026涵屿财富122期-D</w:t>
            </w:r>
          </w:p>
        </w:tc>
        <w:tc>
          <w:tcPr>
            <w:tcW w:w="1785" w:type="dxa"/>
            <w:vAlign w:val="center"/>
          </w:tcPr>
          <w:p>
            <w:pPr>
              <w:keepNext w:val="0"/>
              <w:keepLines w:val="0"/>
              <w:pageBreakBefore w:val="0"/>
              <w:kinsoku/>
              <w:wordWrap/>
              <w:overflowPunct/>
              <w:topLinePunct w:val="0"/>
              <w:bidi w:val="0"/>
              <w:snapToGrid/>
              <w:spacing w:line="320" w:lineRule="exact"/>
              <w:jc w:val="center"/>
              <w:textAlignment w:val="auto"/>
              <w:outlineLvl w:val="9"/>
              <w:rPr>
                <w:rFonts w:ascii="仿宋" w:hAnsi="仿宋" w:eastAsia="仿宋"/>
                <w:b/>
                <w:kern w:val="0"/>
                <w:sz w:val="24"/>
                <w:szCs w:val="24"/>
                <w:highlight w:val="none"/>
              </w:rPr>
            </w:pPr>
            <w:r>
              <w:rPr>
                <w:rFonts w:hint="eastAsia" w:ascii="仿宋" w:hAnsi="仿宋" w:eastAsia="仿宋"/>
                <w:b/>
                <w:kern w:val="0"/>
                <w:sz w:val="24"/>
                <w:szCs w:val="24"/>
                <w:highlight w:val="none"/>
              </w:rPr>
              <w:t>产品币种</w:t>
            </w:r>
          </w:p>
          <w:p>
            <w:pPr>
              <w:keepNext w:val="0"/>
              <w:keepLines w:val="0"/>
              <w:pageBreakBefore w:val="0"/>
              <w:kinsoku/>
              <w:wordWrap/>
              <w:overflowPunct/>
              <w:topLinePunct w:val="0"/>
              <w:bidi w:val="0"/>
              <w:snapToGrid/>
              <w:spacing w:line="320" w:lineRule="exact"/>
              <w:jc w:val="center"/>
              <w:textAlignment w:val="auto"/>
              <w:outlineLvl w:val="9"/>
              <w:rPr>
                <w:rFonts w:ascii="仿宋" w:hAnsi="仿宋" w:eastAsia="仿宋"/>
                <w:b/>
                <w:kern w:val="0"/>
                <w:sz w:val="24"/>
                <w:szCs w:val="24"/>
                <w:highlight w:val="none"/>
              </w:rPr>
            </w:pPr>
            <w:r>
              <w:rPr>
                <w:rFonts w:hint="eastAsia" w:ascii="仿宋" w:hAnsi="仿宋" w:eastAsia="仿宋"/>
                <w:b/>
                <w:kern w:val="0"/>
                <w:sz w:val="24"/>
                <w:szCs w:val="24"/>
                <w:highlight w:val="none"/>
              </w:rPr>
              <w:t>类型及流动性</w:t>
            </w:r>
          </w:p>
        </w:tc>
        <w:tc>
          <w:tcPr>
            <w:tcW w:w="4711" w:type="dxa"/>
            <w:gridSpan w:val="3"/>
            <w:vAlign w:val="center"/>
          </w:tcPr>
          <w:p>
            <w:pPr>
              <w:keepNext w:val="0"/>
              <w:keepLines w:val="0"/>
              <w:pageBreakBefore w:val="0"/>
              <w:kinsoku/>
              <w:wordWrap/>
              <w:overflowPunct/>
              <w:topLinePunct w:val="0"/>
              <w:bidi w:val="0"/>
              <w:snapToGrid/>
              <w:spacing w:line="320" w:lineRule="exact"/>
              <w:jc w:val="center"/>
              <w:textAlignment w:val="auto"/>
              <w:outlineLvl w:val="9"/>
              <w:rPr>
                <w:rFonts w:ascii="仿宋" w:hAnsi="仿宋" w:eastAsia="仿宋"/>
                <w:kern w:val="0"/>
                <w:szCs w:val="21"/>
                <w:highlight w:val="none"/>
              </w:rPr>
            </w:pPr>
            <w:r>
              <w:rPr>
                <w:rFonts w:hint="eastAsia" w:ascii="仿宋" w:hAnsi="仿宋" w:eastAsia="仿宋"/>
                <w:kern w:val="0"/>
                <w:szCs w:val="21"/>
                <w:highlight w:val="none"/>
              </w:rPr>
              <w:t>人民币</w:t>
            </w:r>
          </w:p>
          <w:p>
            <w:pPr>
              <w:keepNext w:val="0"/>
              <w:keepLines w:val="0"/>
              <w:pageBreakBefore w:val="0"/>
              <w:kinsoku/>
              <w:wordWrap/>
              <w:overflowPunct/>
              <w:topLinePunct w:val="0"/>
              <w:bidi w:val="0"/>
              <w:snapToGrid/>
              <w:spacing w:line="320" w:lineRule="exact"/>
              <w:jc w:val="center"/>
              <w:textAlignment w:val="auto"/>
              <w:outlineLvl w:val="9"/>
              <w:rPr>
                <w:rFonts w:ascii="仿宋" w:hAnsi="仿宋" w:eastAsia="仿宋"/>
                <w:kern w:val="0"/>
                <w:szCs w:val="21"/>
                <w:highlight w:val="none"/>
                <w:u w:val="wave"/>
              </w:rPr>
            </w:pPr>
            <w:r>
              <w:rPr>
                <w:rFonts w:hint="eastAsia" w:ascii="仿宋" w:hAnsi="仿宋" w:eastAsia="仿宋"/>
                <w:kern w:val="0"/>
                <w:szCs w:val="21"/>
                <w:highlight w:val="none"/>
              </w:rPr>
              <w:t>固定收益类-非保本浮动收益封闭式净值型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4" w:hRule="atLeast"/>
        </w:trPr>
        <w:tc>
          <w:tcPr>
            <w:tcW w:w="1951" w:type="dxa"/>
            <w:vAlign w:val="center"/>
          </w:tcPr>
          <w:p>
            <w:pPr>
              <w:keepNext w:val="0"/>
              <w:keepLines w:val="0"/>
              <w:pageBreakBefore w:val="0"/>
              <w:kinsoku/>
              <w:wordWrap/>
              <w:overflowPunct/>
              <w:topLinePunct w:val="0"/>
              <w:bidi w:val="0"/>
              <w:snapToGrid/>
              <w:spacing w:line="320" w:lineRule="exact"/>
              <w:jc w:val="center"/>
              <w:textAlignment w:val="auto"/>
              <w:outlineLvl w:val="9"/>
              <w:rPr>
                <w:rFonts w:hint="eastAsia" w:ascii="仿宋_GB2312" w:hAnsi="仿宋_GB2312" w:eastAsia="仿宋_GB2312" w:cs="仿宋_GB2312"/>
                <w:b/>
                <w:kern w:val="0"/>
                <w:sz w:val="24"/>
                <w:szCs w:val="24"/>
                <w:highlight w:val="none"/>
              </w:rPr>
            </w:pPr>
            <w:r>
              <w:rPr>
                <w:rFonts w:hint="eastAsia" w:ascii="仿宋_GB2312" w:hAnsi="仿宋_GB2312" w:eastAsia="仿宋_GB2312" w:cs="仿宋_GB2312"/>
                <w:b/>
                <w:kern w:val="0"/>
                <w:sz w:val="24"/>
                <w:szCs w:val="24"/>
                <w:highlight w:val="none"/>
              </w:rPr>
              <w:t>产品编号</w:t>
            </w:r>
          </w:p>
        </w:tc>
        <w:tc>
          <w:tcPr>
            <w:tcW w:w="1961" w:type="dxa"/>
            <w:gridSpan w:val="3"/>
            <w:vAlign w:val="center"/>
          </w:tcPr>
          <w:p>
            <w:pPr>
              <w:keepNext w:val="0"/>
              <w:keepLines w:val="0"/>
              <w:pageBreakBefore w:val="0"/>
              <w:kinsoku/>
              <w:wordWrap/>
              <w:overflowPunct/>
              <w:topLinePunct w:val="0"/>
              <w:bidi w:val="0"/>
              <w:snapToGrid/>
              <w:spacing w:line="320" w:lineRule="exact"/>
              <w:jc w:val="center"/>
              <w:textAlignment w:val="auto"/>
              <w:outlineLvl w:val="9"/>
              <w:rPr>
                <w:rFonts w:hint="default" w:ascii="仿宋" w:hAnsi="仿宋" w:eastAsia="仿宋"/>
                <w:color w:val="000000"/>
                <w:kern w:val="0"/>
                <w:szCs w:val="21"/>
                <w:highlight w:val="none"/>
                <w:lang w:val="en-US"/>
              </w:rPr>
            </w:pPr>
            <w:r>
              <w:rPr>
                <w:rFonts w:hint="eastAsia" w:ascii="仿宋" w:hAnsi="仿宋" w:eastAsia="仿宋"/>
                <w:color w:val="000000"/>
                <w:kern w:val="0"/>
                <w:szCs w:val="21"/>
                <w:highlight w:val="none"/>
                <w:lang w:val="en-US" w:eastAsia="zh-CN"/>
              </w:rPr>
              <w:t>2026HY122D</w:t>
            </w:r>
          </w:p>
        </w:tc>
        <w:tc>
          <w:tcPr>
            <w:tcW w:w="1785" w:type="dxa"/>
            <w:vAlign w:val="center"/>
          </w:tcPr>
          <w:p>
            <w:pPr>
              <w:keepNext w:val="0"/>
              <w:keepLines w:val="0"/>
              <w:pageBreakBefore w:val="0"/>
              <w:kinsoku/>
              <w:wordWrap/>
              <w:overflowPunct/>
              <w:topLinePunct w:val="0"/>
              <w:bidi w:val="0"/>
              <w:snapToGrid/>
              <w:spacing w:line="320" w:lineRule="exact"/>
              <w:jc w:val="center"/>
              <w:textAlignment w:val="auto"/>
              <w:outlineLvl w:val="9"/>
              <w:rPr>
                <w:rFonts w:ascii="仿宋" w:hAnsi="仿宋" w:eastAsia="仿宋"/>
                <w:b/>
                <w:kern w:val="0"/>
                <w:sz w:val="24"/>
                <w:szCs w:val="24"/>
                <w:highlight w:val="none"/>
              </w:rPr>
            </w:pPr>
            <w:r>
              <w:rPr>
                <w:rFonts w:hint="eastAsia" w:ascii="仿宋" w:hAnsi="仿宋" w:eastAsia="仿宋"/>
                <w:b/>
                <w:kern w:val="0"/>
                <w:sz w:val="24"/>
                <w:szCs w:val="24"/>
                <w:highlight w:val="none"/>
              </w:rPr>
              <w:t>产品登记编码</w:t>
            </w:r>
          </w:p>
        </w:tc>
        <w:tc>
          <w:tcPr>
            <w:tcW w:w="4711" w:type="dxa"/>
            <w:gridSpan w:val="3"/>
            <w:vAlign w:val="center"/>
          </w:tcPr>
          <w:p>
            <w:pPr>
              <w:keepNext w:val="0"/>
              <w:keepLines w:val="0"/>
              <w:pageBreakBefore w:val="0"/>
              <w:kinsoku/>
              <w:wordWrap/>
              <w:overflowPunct/>
              <w:topLinePunct w:val="0"/>
              <w:bidi w:val="0"/>
              <w:snapToGrid/>
              <w:spacing w:line="320" w:lineRule="exact"/>
              <w:jc w:val="center"/>
              <w:textAlignment w:val="auto"/>
              <w:outlineLvl w:val="9"/>
              <w:rPr>
                <w:rFonts w:hint="eastAsia" w:ascii="仿宋" w:hAnsi="仿宋" w:eastAsia="仿宋"/>
                <w:color w:val="000000"/>
                <w:kern w:val="0"/>
                <w:szCs w:val="21"/>
                <w:highlight w:val="none"/>
                <w:lang w:val="en-US" w:eastAsia="zh-CN"/>
              </w:rPr>
            </w:pPr>
            <w:r>
              <w:rPr>
                <w:rFonts w:hint="eastAsia" w:ascii="仿宋" w:hAnsi="仿宋" w:eastAsia="仿宋"/>
                <w:color w:val="000000"/>
                <w:kern w:val="0"/>
                <w:szCs w:val="21"/>
                <w:highlight w:val="none"/>
                <w:lang w:val="en-US" w:eastAsia="zh-CN"/>
              </w:rPr>
              <w:t>C1080326000265</w:t>
            </w:r>
          </w:p>
          <w:p>
            <w:pPr>
              <w:keepNext w:val="0"/>
              <w:keepLines w:val="0"/>
              <w:pageBreakBefore w:val="0"/>
              <w:kinsoku/>
              <w:wordWrap/>
              <w:overflowPunct/>
              <w:topLinePunct w:val="0"/>
              <w:bidi w:val="0"/>
              <w:snapToGrid/>
              <w:spacing w:line="320" w:lineRule="exact"/>
              <w:jc w:val="center"/>
              <w:textAlignment w:val="auto"/>
              <w:outlineLvl w:val="9"/>
              <w:rPr>
                <w:rFonts w:ascii="仿宋" w:hAnsi="仿宋" w:eastAsia="仿宋"/>
                <w:kern w:val="0"/>
                <w:szCs w:val="21"/>
                <w:highlight w:val="none"/>
              </w:rPr>
            </w:pPr>
            <w:r>
              <w:rPr>
                <w:rFonts w:hint="eastAsia" w:eastAsia="仿宋_GB2312"/>
                <w:szCs w:val="16"/>
                <w:highlight w:val="none"/>
              </w:rPr>
              <w:t>可登陆中国理财网</w:t>
            </w:r>
            <w:r>
              <w:rPr>
                <w:rFonts w:eastAsia="仿宋_GB2312"/>
                <w:szCs w:val="16"/>
                <w:highlight w:val="none"/>
              </w:rPr>
              <w:t>www.chinawealth.com.cn</w:t>
            </w:r>
            <w:r>
              <w:rPr>
                <w:rFonts w:hint="eastAsia" w:eastAsia="仿宋_GB2312"/>
                <w:szCs w:val="16"/>
                <w:highlight w:val="none"/>
              </w:rPr>
              <w:t>查询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trPr>
        <w:tc>
          <w:tcPr>
            <w:tcW w:w="1951" w:type="dxa"/>
            <w:vAlign w:val="center"/>
          </w:tcPr>
          <w:p>
            <w:pPr>
              <w:keepNext w:val="0"/>
              <w:keepLines w:val="0"/>
              <w:pageBreakBefore w:val="0"/>
              <w:kinsoku/>
              <w:wordWrap/>
              <w:overflowPunct/>
              <w:topLinePunct w:val="0"/>
              <w:bidi w:val="0"/>
              <w:snapToGrid/>
              <w:spacing w:line="320" w:lineRule="exact"/>
              <w:jc w:val="center"/>
              <w:textAlignment w:val="auto"/>
              <w:outlineLvl w:val="9"/>
              <w:rPr>
                <w:rFonts w:hint="eastAsia" w:ascii="仿宋_GB2312" w:hAnsi="仿宋_GB2312" w:eastAsia="仿宋_GB2312" w:cs="仿宋_GB2312"/>
                <w:b/>
                <w:kern w:val="0"/>
                <w:sz w:val="24"/>
                <w:szCs w:val="24"/>
                <w:highlight w:val="none"/>
              </w:rPr>
            </w:pPr>
            <w:r>
              <w:rPr>
                <w:rFonts w:hint="eastAsia" w:ascii="仿宋_GB2312" w:hAnsi="仿宋_GB2312" w:eastAsia="仿宋_GB2312" w:cs="仿宋_GB2312"/>
                <w:b/>
                <w:kern w:val="0"/>
                <w:sz w:val="24"/>
                <w:szCs w:val="24"/>
                <w:highlight w:val="none"/>
              </w:rPr>
              <w:t>募集方式</w:t>
            </w:r>
          </w:p>
        </w:tc>
        <w:tc>
          <w:tcPr>
            <w:tcW w:w="8457" w:type="dxa"/>
            <w:gridSpan w:val="7"/>
            <w:vAlign w:val="center"/>
          </w:tcPr>
          <w:p>
            <w:pPr>
              <w:keepNext w:val="0"/>
              <w:keepLines w:val="0"/>
              <w:pageBreakBefore w:val="0"/>
              <w:kinsoku/>
              <w:wordWrap/>
              <w:overflowPunct/>
              <w:topLinePunct w:val="0"/>
              <w:bidi w:val="0"/>
              <w:snapToGrid/>
              <w:spacing w:line="320" w:lineRule="exact"/>
              <w:jc w:val="center"/>
              <w:textAlignment w:val="auto"/>
              <w:outlineLvl w:val="9"/>
              <w:rPr>
                <w:rFonts w:ascii="仿宋" w:hAnsi="仿宋" w:eastAsia="仿宋"/>
                <w:bCs/>
                <w:color w:val="000000"/>
                <w:szCs w:val="21"/>
                <w:highlight w:val="none"/>
              </w:rPr>
            </w:pPr>
            <w:r>
              <w:rPr>
                <w:rFonts w:hint="eastAsia" w:ascii="仿宋" w:hAnsi="仿宋" w:eastAsia="仿宋"/>
                <w:bCs/>
                <w:color w:val="000000"/>
                <w:szCs w:val="21"/>
                <w:highlight w:val="none"/>
              </w:rPr>
              <w:t>公募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4" w:hRule="atLeast"/>
        </w:trPr>
        <w:tc>
          <w:tcPr>
            <w:tcW w:w="1951" w:type="dxa"/>
            <w:vAlign w:val="center"/>
          </w:tcPr>
          <w:p>
            <w:pPr>
              <w:keepNext w:val="0"/>
              <w:keepLines w:val="0"/>
              <w:pageBreakBefore w:val="0"/>
              <w:kinsoku/>
              <w:wordWrap/>
              <w:overflowPunct/>
              <w:topLinePunct w:val="0"/>
              <w:bidi w:val="0"/>
              <w:snapToGrid/>
              <w:spacing w:line="320" w:lineRule="exact"/>
              <w:jc w:val="center"/>
              <w:textAlignment w:val="auto"/>
              <w:outlineLvl w:val="9"/>
              <w:rPr>
                <w:rFonts w:hint="eastAsia" w:ascii="仿宋_GB2312" w:hAnsi="仿宋_GB2312" w:eastAsia="仿宋_GB2312" w:cs="仿宋_GB2312"/>
                <w:b/>
                <w:kern w:val="0"/>
                <w:sz w:val="24"/>
                <w:szCs w:val="24"/>
                <w:highlight w:val="none"/>
              </w:rPr>
            </w:pPr>
            <w:r>
              <w:rPr>
                <w:rFonts w:hint="eastAsia" w:ascii="仿宋_GB2312" w:hAnsi="仿宋_GB2312" w:eastAsia="仿宋_GB2312" w:cs="仿宋_GB2312"/>
                <w:b/>
                <w:kern w:val="0"/>
                <w:sz w:val="24"/>
                <w:szCs w:val="24"/>
                <w:highlight w:val="none"/>
              </w:rPr>
              <w:t>产品风险等级</w:t>
            </w:r>
          </w:p>
          <w:p>
            <w:pPr>
              <w:keepNext w:val="0"/>
              <w:keepLines w:val="0"/>
              <w:pageBreakBefore w:val="0"/>
              <w:kinsoku/>
              <w:wordWrap/>
              <w:overflowPunct/>
              <w:topLinePunct w:val="0"/>
              <w:bidi w:val="0"/>
              <w:snapToGrid/>
              <w:spacing w:line="320" w:lineRule="exact"/>
              <w:jc w:val="center"/>
              <w:textAlignment w:val="auto"/>
              <w:outlineLvl w:val="9"/>
              <w:rPr>
                <w:rFonts w:hint="eastAsia" w:ascii="仿宋_GB2312" w:hAnsi="仿宋_GB2312" w:eastAsia="仿宋_GB2312" w:cs="仿宋_GB2312"/>
                <w:b/>
                <w:kern w:val="0"/>
                <w:sz w:val="24"/>
                <w:szCs w:val="24"/>
                <w:highlight w:val="none"/>
              </w:rPr>
            </w:pPr>
            <w:r>
              <w:rPr>
                <w:rFonts w:hint="eastAsia" w:ascii="仿宋_GB2312" w:hAnsi="仿宋_GB2312" w:eastAsia="仿宋_GB2312" w:cs="仿宋_GB2312"/>
                <w:b/>
                <w:kern w:val="0"/>
                <w:sz w:val="24"/>
                <w:szCs w:val="24"/>
                <w:highlight w:val="none"/>
              </w:rPr>
              <w:t>及适合客户</w:t>
            </w:r>
          </w:p>
        </w:tc>
        <w:tc>
          <w:tcPr>
            <w:tcW w:w="8457" w:type="dxa"/>
            <w:gridSpan w:val="7"/>
            <w:vAlign w:val="center"/>
          </w:tcPr>
          <w:p>
            <w:pPr>
              <w:keepNext w:val="0"/>
              <w:keepLines w:val="0"/>
              <w:pageBreakBefore w:val="0"/>
              <w:kinsoku/>
              <w:wordWrap/>
              <w:overflowPunct/>
              <w:topLinePunct w:val="0"/>
              <w:bidi w:val="0"/>
              <w:snapToGrid/>
              <w:spacing w:line="320" w:lineRule="exact"/>
              <w:textAlignment w:val="auto"/>
              <w:outlineLvl w:val="9"/>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本产品内部评价为</w:t>
            </w:r>
            <w:r>
              <w:rPr>
                <w:rFonts w:hint="eastAsia" w:ascii="仿宋" w:hAnsi="仿宋" w:eastAsia="仿宋"/>
                <w:color w:val="000000"/>
                <w:kern w:val="0"/>
                <w:szCs w:val="21"/>
                <w:highlight w:val="none"/>
                <w:lang w:val="en-US" w:eastAsia="zh-CN"/>
              </w:rPr>
              <w:t>R2</w:t>
            </w:r>
            <w:r>
              <w:rPr>
                <w:rFonts w:hint="eastAsia" w:ascii="仿宋_GB2312" w:hAnsi="仿宋_GB2312" w:eastAsia="仿宋_GB2312" w:cs="仿宋_GB2312"/>
                <w:kern w:val="0"/>
                <w:sz w:val="21"/>
                <w:szCs w:val="21"/>
                <w:highlight w:val="none"/>
              </w:rPr>
              <w:t>(</w:t>
            </w:r>
            <w:r>
              <w:rPr>
                <w:rFonts w:hint="eastAsia" w:ascii="仿宋_GB2312" w:hAnsi="仿宋_GB2312" w:eastAsia="仿宋_GB2312" w:cs="仿宋_GB2312"/>
                <w:kern w:val="0"/>
                <w:sz w:val="21"/>
                <w:szCs w:val="21"/>
                <w:highlight w:val="none"/>
                <w:lang w:val="en-US" w:eastAsia="zh-CN"/>
              </w:rPr>
              <w:t>中低</w:t>
            </w:r>
            <w:r>
              <w:rPr>
                <w:rFonts w:hint="eastAsia" w:ascii="仿宋_GB2312" w:hAnsi="仿宋_GB2312" w:eastAsia="仿宋_GB2312" w:cs="仿宋_GB2312"/>
                <w:kern w:val="0"/>
                <w:sz w:val="21"/>
                <w:szCs w:val="21"/>
                <w:highlight w:val="none"/>
              </w:rPr>
              <w:t>风险)</w:t>
            </w:r>
            <w:r>
              <w:rPr>
                <w:rFonts w:hint="eastAsia" w:ascii="仿宋_GB2312" w:hAnsi="仿宋_GB2312" w:eastAsia="仿宋_GB2312" w:cs="仿宋_GB2312"/>
                <w:kern w:val="0"/>
                <w:sz w:val="21"/>
                <w:szCs w:val="21"/>
                <w:highlight w:val="none"/>
                <w:lang w:val="en-US" w:eastAsia="zh-CN"/>
              </w:rPr>
              <w:t>级别</w:t>
            </w:r>
            <w:r>
              <w:rPr>
                <w:rFonts w:hint="eastAsia" w:ascii="仿宋_GB2312" w:hAnsi="仿宋_GB2312" w:eastAsia="仿宋_GB2312" w:cs="仿宋_GB2312"/>
                <w:kern w:val="0"/>
                <w:sz w:val="21"/>
                <w:szCs w:val="21"/>
                <w:highlight w:val="none"/>
              </w:rPr>
              <w:t>，适合谨慎型、稳健型、进取型和激进型客户认购。</w:t>
            </w:r>
          </w:p>
          <w:p>
            <w:pPr>
              <w:keepNext w:val="0"/>
              <w:keepLines w:val="0"/>
              <w:pageBreakBefore w:val="0"/>
              <w:kinsoku/>
              <w:wordWrap/>
              <w:overflowPunct/>
              <w:topLinePunct w:val="0"/>
              <w:bidi w:val="0"/>
              <w:snapToGrid/>
              <w:spacing w:line="320" w:lineRule="exact"/>
              <w:textAlignment w:val="auto"/>
              <w:outlineLvl w:val="9"/>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b/>
                <w:kern w:val="0"/>
                <w:sz w:val="21"/>
                <w:szCs w:val="21"/>
                <w:highlight w:val="none"/>
              </w:rPr>
              <w:t>本产品通过代理销售机构渠道销售的，理财产品评级应当以代理销售机构最终披露的评级结果为准。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3" w:hRule="atLeast"/>
        </w:trPr>
        <w:tc>
          <w:tcPr>
            <w:tcW w:w="1951" w:type="dxa"/>
            <w:vAlign w:val="center"/>
          </w:tcPr>
          <w:p>
            <w:pPr>
              <w:keepNext w:val="0"/>
              <w:keepLines w:val="0"/>
              <w:pageBreakBefore w:val="0"/>
              <w:kinsoku/>
              <w:wordWrap/>
              <w:overflowPunct/>
              <w:topLinePunct w:val="0"/>
              <w:bidi w:val="0"/>
              <w:snapToGrid/>
              <w:spacing w:line="320" w:lineRule="exact"/>
              <w:jc w:val="center"/>
              <w:textAlignment w:val="auto"/>
              <w:outlineLvl w:val="9"/>
              <w:rPr>
                <w:rFonts w:hint="eastAsia" w:ascii="仿宋_GB2312" w:hAnsi="仿宋_GB2312" w:eastAsia="仿宋_GB2312" w:cs="仿宋_GB2312"/>
                <w:b/>
                <w:kern w:val="0"/>
                <w:sz w:val="24"/>
                <w:szCs w:val="24"/>
                <w:highlight w:val="none"/>
              </w:rPr>
            </w:pPr>
            <w:r>
              <w:rPr>
                <w:rFonts w:hint="eastAsia" w:ascii="仿宋_GB2312" w:hAnsi="仿宋_GB2312" w:eastAsia="仿宋_GB2312" w:cs="仿宋_GB2312"/>
                <w:b/>
                <w:kern w:val="0"/>
                <w:sz w:val="24"/>
                <w:szCs w:val="24"/>
                <w:highlight w:val="none"/>
              </w:rPr>
              <w:t>产品规模及认购起点</w:t>
            </w:r>
          </w:p>
        </w:tc>
        <w:tc>
          <w:tcPr>
            <w:tcW w:w="8457" w:type="dxa"/>
            <w:gridSpan w:val="7"/>
            <w:vAlign w:val="center"/>
          </w:tcPr>
          <w:p>
            <w:pPr>
              <w:keepNext w:val="0"/>
              <w:keepLines w:val="0"/>
              <w:pageBreakBefore w:val="0"/>
              <w:kinsoku/>
              <w:wordWrap/>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初始计划发行量</w:t>
            </w:r>
            <w:r>
              <w:rPr>
                <w:rFonts w:hint="eastAsia" w:ascii="仿宋" w:hAnsi="仿宋" w:eastAsia="仿宋"/>
                <w:color w:val="000000"/>
                <w:kern w:val="0"/>
                <w:szCs w:val="21"/>
                <w:highlight w:val="none"/>
                <w:lang w:val="en-US" w:eastAsia="zh-CN"/>
              </w:rPr>
              <w:t>1亿</w:t>
            </w:r>
            <w:r>
              <w:rPr>
                <w:rFonts w:hint="eastAsia" w:ascii="仿宋_GB2312" w:hAnsi="仿宋_GB2312" w:eastAsia="仿宋_GB2312" w:cs="仿宋_GB2312"/>
                <w:bCs/>
                <w:sz w:val="21"/>
                <w:szCs w:val="21"/>
                <w:highlight w:val="none"/>
              </w:rPr>
              <w:t>，天津银行有权根据实际情况进行调整，本产品最终发行规模以实际发行金额为准。</w:t>
            </w:r>
          </w:p>
          <w:p>
            <w:pPr>
              <w:keepNext w:val="0"/>
              <w:keepLines w:val="0"/>
              <w:pageBreakBefore w:val="0"/>
              <w:kinsoku/>
              <w:wordWrap/>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首次认购起点金额</w:t>
            </w:r>
            <w:r>
              <w:rPr>
                <w:rFonts w:hint="eastAsia" w:ascii="仿宋" w:hAnsi="仿宋" w:eastAsia="仿宋"/>
                <w:color w:val="000000"/>
                <w:kern w:val="0"/>
                <w:szCs w:val="21"/>
                <w:highlight w:val="none"/>
                <w:lang w:val="en-US" w:eastAsia="zh-CN"/>
              </w:rPr>
              <w:t>1万</w:t>
            </w:r>
            <w:r>
              <w:rPr>
                <w:rFonts w:hint="eastAsia" w:ascii="仿宋_GB2312" w:hAnsi="仿宋_GB2312" w:eastAsia="仿宋_GB2312" w:cs="仿宋_GB2312"/>
                <w:bCs/>
                <w:sz w:val="21"/>
                <w:szCs w:val="21"/>
                <w:highlight w:val="none"/>
              </w:rPr>
              <w:t>元，高于起点金额以</w:t>
            </w:r>
            <w:r>
              <w:rPr>
                <w:rFonts w:hint="eastAsia" w:ascii="仿宋_GB2312" w:hAnsi="仿宋_GB2312" w:eastAsia="仿宋_GB2312" w:cs="仿宋_GB2312"/>
                <w:bCs/>
                <w:sz w:val="21"/>
                <w:szCs w:val="21"/>
                <w:highlight w:val="none"/>
                <w:lang w:val="en-US" w:eastAsia="zh-CN"/>
              </w:rPr>
              <w:t>1000</w:t>
            </w:r>
            <w:r>
              <w:rPr>
                <w:rFonts w:hint="eastAsia" w:ascii="仿宋_GB2312" w:hAnsi="仿宋_GB2312" w:eastAsia="仿宋_GB2312" w:cs="仿宋_GB2312"/>
                <w:bCs/>
                <w:sz w:val="21"/>
                <w:szCs w:val="21"/>
                <w:highlight w:val="none"/>
              </w:rPr>
              <w:t>元整数倍递增；追加投资时，追加申购金额按照</w:t>
            </w:r>
            <w:r>
              <w:rPr>
                <w:rFonts w:hint="eastAsia" w:ascii="仿宋_GB2312" w:hAnsi="仿宋_GB2312" w:eastAsia="仿宋_GB2312" w:cs="仿宋_GB2312"/>
                <w:bCs/>
                <w:sz w:val="21"/>
                <w:szCs w:val="21"/>
                <w:highlight w:val="none"/>
                <w:lang w:val="en-US" w:eastAsia="zh-CN"/>
              </w:rPr>
              <w:t>1000</w:t>
            </w:r>
            <w:r>
              <w:rPr>
                <w:rFonts w:hint="eastAsia" w:ascii="仿宋_GB2312" w:hAnsi="仿宋_GB2312" w:eastAsia="仿宋_GB2312" w:cs="仿宋_GB2312"/>
                <w:bCs/>
                <w:sz w:val="21"/>
                <w:szCs w:val="21"/>
                <w:highlight w:val="none"/>
              </w:rPr>
              <w:t>元的整数倍递增。</w:t>
            </w:r>
          </w:p>
          <w:p>
            <w:pPr>
              <w:keepNext w:val="0"/>
              <w:keepLines w:val="0"/>
              <w:pageBreakBefore w:val="0"/>
              <w:kinsoku/>
              <w:wordWrap/>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本产品单一投资者持有份额不得超过产品总份额50%。投资者认购确认后可能导致其持有份额超过产品总份额50%的，天津银行有权拒绝或暂停认购、申购。非因天津银行主观因素导致突破该比例限制的，在单一投资者持有比例降至50%以下之前，天津银行不再接受该投资者对本产品的认购申请。</w:t>
            </w:r>
          </w:p>
          <w:p>
            <w:pPr>
              <w:keepNext w:val="0"/>
              <w:keepLines w:val="0"/>
              <w:pageBreakBefore w:val="0"/>
              <w:kinsoku/>
              <w:wordWrap/>
              <w:overflowPunct/>
              <w:topLinePunct w:val="0"/>
              <w:bidi w:val="0"/>
              <w:snapToGrid/>
              <w:spacing w:line="320" w:lineRule="exact"/>
              <w:textAlignment w:val="auto"/>
              <w:outlineLvl w:val="9"/>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bCs/>
                <w:sz w:val="21"/>
                <w:szCs w:val="21"/>
                <w:highlight w:val="none"/>
              </w:rPr>
              <w:t>如果产品募集期结束前认购规模达到</w:t>
            </w:r>
            <w:r>
              <w:rPr>
                <w:rFonts w:hint="eastAsia" w:ascii="仿宋_GB2312" w:hAnsi="仿宋_GB2312" w:eastAsia="仿宋_GB2312" w:cs="仿宋_GB2312"/>
                <w:bCs/>
                <w:sz w:val="21"/>
                <w:szCs w:val="21"/>
                <w:highlight w:val="none"/>
                <w:lang w:val="en-US" w:eastAsia="zh-CN"/>
              </w:rPr>
              <w:t>1亿</w:t>
            </w:r>
            <w:r>
              <w:rPr>
                <w:rFonts w:hint="eastAsia" w:ascii="仿宋_GB2312" w:hAnsi="仿宋_GB2312" w:eastAsia="仿宋_GB2312" w:cs="仿宋_GB2312"/>
                <w:bCs/>
                <w:sz w:val="21"/>
                <w:szCs w:val="21"/>
                <w:highlight w:val="none"/>
              </w:rPr>
              <w:t>,天津银行有权提前结束认购并调整相关日期,天津银行将通过官方网站（www.bankoftianjin.com，下同）或相关营业网点发布产品提前成立信息，产品最终规模以天津银行实际募集规模为准。天津银行有权但无义务宣布本理财产品不成立，亦有权调整产品规模。天津银行宣布本理财产品不成立的，于原定成立日后2个工作日内通过官方网站或相关营业网点发布产品不成立信息，客户资金将于原定成立日（含）2个工作日内划转至客户账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3" w:hRule="atLeast"/>
        </w:trPr>
        <w:tc>
          <w:tcPr>
            <w:tcW w:w="1951" w:type="dxa"/>
            <w:vMerge w:val="restart"/>
            <w:vAlign w:val="center"/>
          </w:tcPr>
          <w:p>
            <w:pPr>
              <w:keepNext w:val="0"/>
              <w:keepLines w:val="0"/>
              <w:pageBreakBefore w:val="0"/>
              <w:kinsoku/>
              <w:wordWrap/>
              <w:overflowPunct/>
              <w:topLinePunct w:val="0"/>
              <w:bidi w:val="0"/>
              <w:snapToGrid/>
              <w:spacing w:line="320" w:lineRule="exact"/>
              <w:jc w:val="center"/>
              <w:textAlignment w:val="auto"/>
              <w:outlineLvl w:val="9"/>
              <w:rPr>
                <w:rFonts w:hint="eastAsia" w:ascii="仿宋_GB2312" w:hAnsi="仿宋_GB2312" w:eastAsia="仿宋_GB2312" w:cs="仿宋_GB2312"/>
                <w:b/>
                <w:kern w:val="0"/>
                <w:sz w:val="24"/>
                <w:szCs w:val="24"/>
                <w:highlight w:val="none"/>
              </w:rPr>
            </w:pPr>
            <w:r>
              <w:rPr>
                <w:rFonts w:hint="eastAsia" w:ascii="仿宋_GB2312" w:hAnsi="仿宋_GB2312" w:eastAsia="仿宋_GB2312" w:cs="仿宋_GB2312"/>
                <w:b/>
                <w:kern w:val="0"/>
                <w:sz w:val="24"/>
                <w:szCs w:val="24"/>
                <w:highlight w:val="none"/>
              </w:rPr>
              <w:t>名词解释</w:t>
            </w:r>
          </w:p>
        </w:tc>
        <w:tc>
          <w:tcPr>
            <w:tcW w:w="3831" w:type="dxa"/>
            <w:gridSpan w:val="5"/>
            <w:vAlign w:val="center"/>
          </w:tcPr>
          <w:p>
            <w:pPr>
              <w:keepNext w:val="0"/>
              <w:keepLines w:val="0"/>
              <w:pageBreakBefore w:val="0"/>
              <w:kinsoku/>
              <w:wordWrap/>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募集期：投资者认购产品的时间段。</w:t>
            </w:r>
          </w:p>
        </w:tc>
        <w:tc>
          <w:tcPr>
            <w:tcW w:w="4626" w:type="dxa"/>
            <w:gridSpan w:val="2"/>
            <w:vAlign w:val="center"/>
          </w:tcPr>
          <w:p>
            <w:pPr>
              <w:keepNext w:val="0"/>
              <w:keepLines w:val="0"/>
              <w:pageBreakBefore w:val="0"/>
              <w:kinsoku/>
              <w:wordWrap/>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产品成立日：产品开始运作的日期。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3" w:hRule="atLeast"/>
        </w:trPr>
        <w:tc>
          <w:tcPr>
            <w:tcW w:w="1951" w:type="dxa"/>
            <w:vMerge w:val="continue"/>
            <w:vAlign w:val="center"/>
          </w:tcPr>
          <w:p>
            <w:pPr>
              <w:keepNext w:val="0"/>
              <w:keepLines w:val="0"/>
              <w:pageBreakBefore w:val="0"/>
              <w:kinsoku/>
              <w:wordWrap/>
              <w:overflowPunct/>
              <w:topLinePunct w:val="0"/>
              <w:bidi w:val="0"/>
              <w:snapToGrid/>
              <w:spacing w:line="320" w:lineRule="exact"/>
              <w:jc w:val="center"/>
              <w:textAlignment w:val="auto"/>
              <w:outlineLvl w:val="9"/>
              <w:rPr>
                <w:rFonts w:hint="eastAsia" w:ascii="仿宋_GB2312" w:hAnsi="仿宋_GB2312" w:eastAsia="仿宋_GB2312" w:cs="仿宋_GB2312"/>
                <w:b/>
                <w:kern w:val="0"/>
                <w:sz w:val="24"/>
                <w:szCs w:val="24"/>
                <w:highlight w:val="none"/>
              </w:rPr>
            </w:pPr>
          </w:p>
        </w:tc>
        <w:tc>
          <w:tcPr>
            <w:tcW w:w="8457" w:type="dxa"/>
            <w:gridSpan w:val="7"/>
            <w:vAlign w:val="center"/>
          </w:tcPr>
          <w:p>
            <w:pPr>
              <w:keepNext w:val="0"/>
              <w:keepLines w:val="0"/>
              <w:pageBreakBefore w:val="0"/>
              <w:kinsoku/>
              <w:wordWrap/>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到期日：产品终止运作的日期。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 w:hRule="atLeast"/>
        </w:trPr>
        <w:tc>
          <w:tcPr>
            <w:tcW w:w="1951" w:type="dxa"/>
            <w:vMerge w:val="restart"/>
            <w:vAlign w:val="center"/>
          </w:tcPr>
          <w:p>
            <w:pPr>
              <w:keepNext w:val="0"/>
              <w:keepLines w:val="0"/>
              <w:pageBreakBefore w:val="0"/>
              <w:kinsoku/>
              <w:wordWrap/>
              <w:overflowPunct/>
              <w:topLinePunct w:val="0"/>
              <w:bidi w:val="0"/>
              <w:snapToGrid/>
              <w:spacing w:line="320" w:lineRule="exact"/>
              <w:jc w:val="center"/>
              <w:textAlignment w:val="auto"/>
              <w:outlineLvl w:val="9"/>
              <w:rPr>
                <w:rFonts w:hint="eastAsia" w:ascii="仿宋_GB2312" w:hAnsi="仿宋_GB2312" w:eastAsia="仿宋_GB2312" w:cs="仿宋_GB2312"/>
                <w:b/>
                <w:kern w:val="0"/>
                <w:sz w:val="24"/>
                <w:szCs w:val="24"/>
                <w:highlight w:val="none"/>
              </w:rPr>
            </w:pPr>
            <w:r>
              <w:rPr>
                <w:rFonts w:hint="eastAsia" w:ascii="仿宋_GB2312" w:hAnsi="仿宋_GB2312" w:eastAsia="仿宋_GB2312" w:cs="仿宋_GB2312"/>
                <w:b/>
                <w:kern w:val="0"/>
                <w:sz w:val="24"/>
                <w:szCs w:val="24"/>
                <w:highlight w:val="none"/>
              </w:rPr>
              <w:t>产品期限</w:t>
            </w:r>
          </w:p>
        </w:tc>
        <w:tc>
          <w:tcPr>
            <w:tcW w:w="1599" w:type="dxa"/>
            <w:vAlign w:val="center"/>
          </w:tcPr>
          <w:p>
            <w:pPr>
              <w:jc w:val="center"/>
              <w:rPr>
                <w:rFonts w:hint="eastAsia" w:ascii="仿宋_GB2312" w:hAnsi="仿宋_GB2312" w:eastAsia="仿宋_GB2312" w:cs="仿宋_GB2312"/>
                <w:b/>
                <w:kern w:val="0"/>
                <w:sz w:val="21"/>
                <w:szCs w:val="21"/>
                <w:highlight w:val="none"/>
              </w:rPr>
            </w:pPr>
            <w:r>
              <w:rPr>
                <w:rFonts w:hint="eastAsia" w:ascii="仿宋_GB2312" w:hAnsi="仿宋_GB2312" w:eastAsia="仿宋_GB2312" w:cs="仿宋_GB2312"/>
                <w:b/>
                <w:kern w:val="0"/>
                <w:sz w:val="21"/>
                <w:szCs w:val="21"/>
                <w:highlight w:val="none"/>
              </w:rPr>
              <w:t>募集期</w:t>
            </w:r>
          </w:p>
        </w:tc>
        <w:tc>
          <w:tcPr>
            <w:tcW w:w="6858" w:type="dxa"/>
            <w:gridSpan w:val="6"/>
            <w:vAlign w:val="center"/>
          </w:tcPr>
          <w:p>
            <w:pPr>
              <w:jc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bCs/>
                <w:sz w:val="21"/>
                <w:szCs w:val="21"/>
                <w:highlight w:val="none"/>
                <w:lang w:val="en-US" w:eastAsia="zh-CN"/>
              </w:rPr>
              <w:t>2026年5月7日起至2026年5月12日止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7" w:hRule="atLeast"/>
        </w:trPr>
        <w:tc>
          <w:tcPr>
            <w:tcW w:w="1951" w:type="dxa"/>
            <w:vMerge w:val="continue"/>
            <w:vAlign w:val="center"/>
          </w:tcPr>
          <w:p>
            <w:pPr>
              <w:keepNext w:val="0"/>
              <w:keepLines w:val="0"/>
              <w:pageBreakBefore w:val="0"/>
              <w:kinsoku/>
              <w:wordWrap/>
              <w:overflowPunct/>
              <w:topLinePunct w:val="0"/>
              <w:bidi w:val="0"/>
              <w:snapToGrid/>
              <w:spacing w:line="320" w:lineRule="exact"/>
              <w:jc w:val="center"/>
              <w:textAlignment w:val="auto"/>
              <w:outlineLvl w:val="9"/>
              <w:rPr>
                <w:rFonts w:hint="eastAsia" w:ascii="仿宋_GB2312" w:hAnsi="仿宋_GB2312" w:eastAsia="仿宋_GB2312" w:cs="仿宋_GB2312"/>
                <w:b/>
                <w:kern w:val="0"/>
                <w:sz w:val="24"/>
                <w:szCs w:val="24"/>
                <w:highlight w:val="none"/>
              </w:rPr>
            </w:pPr>
          </w:p>
        </w:tc>
        <w:tc>
          <w:tcPr>
            <w:tcW w:w="1599" w:type="dxa"/>
            <w:vAlign w:val="center"/>
          </w:tcPr>
          <w:p>
            <w:pPr>
              <w:jc w:val="center"/>
              <w:rPr>
                <w:rFonts w:hint="eastAsia" w:ascii="仿宋_GB2312" w:hAnsi="仿宋_GB2312" w:eastAsia="仿宋_GB2312" w:cs="仿宋_GB2312"/>
                <w:b/>
                <w:sz w:val="21"/>
                <w:szCs w:val="21"/>
                <w:highlight w:val="none"/>
              </w:rPr>
            </w:pPr>
            <w:r>
              <w:rPr>
                <w:rFonts w:hint="eastAsia" w:ascii="仿宋_GB2312" w:hAnsi="仿宋_GB2312" w:eastAsia="仿宋_GB2312" w:cs="仿宋_GB2312"/>
                <w:b/>
                <w:sz w:val="21"/>
                <w:szCs w:val="21"/>
                <w:highlight w:val="none"/>
              </w:rPr>
              <w:t>产品成立日</w:t>
            </w:r>
          </w:p>
        </w:tc>
        <w:tc>
          <w:tcPr>
            <w:tcW w:w="2232" w:type="dxa"/>
            <w:gridSpan w:val="4"/>
            <w:vAlign w:val="center"/>
          </w:tcPr>
          <w:p>
            <w:pPr>
              <w:jc w:val="left"/>
              <w:rPr>
                <w:rFonts w:hint="eastAsia" w:ascii="仿宋_GB2312" w:hAnsi="仿宋_GB2312" w:eastAsia="仿宋_GB2312" w:cs="仿宋_GB2312"/>
                <w:sz w:val="21"/>
                <w:szCs w:val="21"/>
                <w:highlight w:val="none"/>
                <w:lang w:eastAsia="zh-CN"/>
              </w:rPr>
            </w:pPr>
            <w:r>
              <w:rPr>
                <w:rFonts w:hint="eastAsia" w:ascii="仿宋_GB2312" w:hAnsi="仿宋_GB2312" w:eastAsia="仿宋_GB2312" w:cs="仿宋_GB2312"/>
                <w:bCs/>
                <w:sz w:val="21"/>
                <w:szCs w:val="21"/>
                <w:highlight w:val="none"/>
                <w:lang w:val="en-US" w:eastAsia="zh-CN"/>
              </w:rPr>
              <w:t>2026年5月13日</w:t>
            </w:r>
          </w:p>
        </w:tc>
        <w:tc>
          <w:tcPr>
            <w:tcW w:w="1358" w:type="dxa"/>
            <w:vAlign w:val="center"/>
          </w:tcPr>
          <w:p>
            <w:pPr>
              <w:rPr>
                <w:rFonts w:hint="eastAsia" w:ascii="仿宋_GB2312" w:hAnsi="仿宋_GB2312" w:eastAsia="仿宋_GB2312" w:cs="仿宋_GB2312"/>
                <w:b/>
                <w:sz w:val="21"/>
                <w:szCs w:val="21"/>
                <w:highlight w:val="none"/>
              </w:rPr>
            </w:pPr>
            <w:r>
              <w:rPr>
                <w:rFonts w:hint="eastAsia" w:ascii="仿宋_GB2312" w:hAnsi="仿宋_GB2312" w:eastAsia="仿宋_GB2312" w:cs="仿宋_GB2312"/>
                <w:b/>
                <w:sz w:val="21"/>
                <w:szCs w:val="21"/>
                <w:highlight w:val="none"/>
              </w:rPr>
              <w:t>产品到期日</w:t>
            </w:r>
          </w:p>
        </w:tc>
        <w:tc>
          <w:tcPr>
            <w:tcW w:w="3268" w:type="dxa"/>
            <w:vAlign w:val="center"/>
          </w:tcPr>
          <w:p>
            <w:pPr>
              <w:ind w:firstLine="420" w:firstLineChars="0"/>
              <w:jc w:val="both"/>
              <w:rPr>
                <w:rFonts w:hint="eastAsia" w:ascii="仿宋_GB2312" w:hAnsi="仿宋_GB2312" w:eastAsia="仿宋_GB2312" w:cs="仿宋_GB2312"/>
                <w:sz w:val="21"/>
                <w:szCs w:val="21"/>
                <w:highlight w:val="none"/>
              </w:rPr>
            </w:pPr>
            <w:r>
              <w:rPr>
                <w:rFonts w:hint="eastAsia" w:ascii="仿宋_GB2312" w:hAnsi="仿宋_GB2312" w:eastAsia="仿宋_GB2312" w:cs="仿宋_GB2312"/>
                <w:bCs/>
                <w:sz w:val="21"/>
                <w:szCs w:val="21"/>
                <w:highlight w:val="none"/>
                <w:lang w:val="en-US" w:eastAsia="zh-CN"/>
              </w:rPr>
              <w:t>2026年11月5日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53" w:hRule="atLeast"/>
        </w:trPr>
        <w:tc>
          <w:tcPr>
            <w:tcW w:w="1951" w:type="dxa"/>
            <w:vMerge w:val="continue"/>
            <w:vAlign w:val="center"/>
          </w:tcPr>
          <w:p>
            <w:pPr>
              <w:keepNext w:val="0"/>
              <w:keepLines w:val="0"/>
              <w:pageBreakBefore w:val="0"/>
              <w:kinsoku/>
              <w:wordWrap/>
              <w:overflowPunct/>
              <w:topLinePunct w:val="0"/>
              <w:bidi w:val="0"/>
              <w:snapToGrid/>
              <w:spacing w:line="320" w:lineRule="exact"/>
              <w:jc w:val="center"/>
              <w:textAlignment w:val="auto"/>
              <w:outlineLvl w:val="9"/>
              <w:rPr>
                <w:rFonts w:hint="eastAsia" w:ascii="仿宋_GB2312" w:hAnsi="仿宋_GB2312" w:eastAsia="仿宋_GB2312" w:cs="仿宋_GB2312"/>
                <w:b/>
                <w:kern w:val="0"/>
                <w:sz w:val="24"/>
                <w:szCs w:val="24"/>
                <w:highlight w:val="none"/>
              </w:rPr>
            </w:pPr>
          </w:p>
        </w:tc>
        <w:tc>
          <w:tcPr>
            <w:tcW w:w="1599" w:type="dxa"/>
            <w:vAlign w:val="center"/>
          </w:tcPr>
          <w:p>
            <w:pPr>
              <w:jc w:val="center"/>
              <w:rPr>
                <w:rFonts w:hint="eastAsia" w:ascii="仿宋_GB2312" w:hAnsi="仿宋_GB2312" w:eastAsia="仿宋_GB2312" w:cs="仿宋_GB2312"/>
                <w:b/>
                <w:kern w:val="0"/>
                <w:sz w:val="21"/>
                <w:szCs w:val="21"/>
                <w:highlight w:val="none"/>
              </w:rPr>
            </w:pPr>
            <w:r>
              <w:rPr>
                <w:rFonts w:hint="eastAsia" w:ascii="仿宋_GB2312" w:hAnsi="仿宋_GB2312" w:eastAsia="仿宋_GB2312" w:cs="仿宋_GB2312"/>
                <w:b/>
                <w:kern w:val="0"/>
                <w:sz w:val="21"/>
                <w:szCs w:val="21"/>
                <w:highlight w:val="none"/>
              </w:rPr>
              <w:t>理财期限</w:t>
            </w:r>
          </w:p>
        </w:tc>
        <w:tc>
          <w:tcPr>
            <w:tcW w:w="6858" w:type="dxa"/>
            <w:gridSpan w:val="6"/>
            <w:vAlign w:val="center"/>
          </w:tcPr>
          <w:p>
            <w:pP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bCs/>
                <w:sz w:val="21"/>
                <w:szCs w:val="21"/>
                <w:highlight w:val="none"/>
                <w:lang w:val="en-US" w:eastAsia="zh-CN"/>
              </w:rPr>
              <w:t>176</w:t>
            </w:r>
            <w:r>
              <w:rPr>
                <w:rFonts w:hint="eastAsia" w:ascii="仿宋_GB2312" w:hAnsi="仿宋_GB2312" w:eastAsia="仿宋_GB2312" w:cs="仿宋_GB2312"/>
                <w:szCs w:val="21"/>
                <w:highlight w:val="none"/>
              </w:rPr>
              <w:t>天【理财产品成立日（含）至到期日（不含）期间，产品管理人有权延期或提前终止产品。】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3" w:hRule="atLeast"/>
        </w:trPr>
        <w:tc>
          <w:tcPr>
            <w:tcW w:w="1951" w:type="dxa"/>
            <w:vMerge w:val="continue"/>
            <w:vAlign w:val="center"/>
          </w:tcPr>
          <w:p>
            <w:pPr>
              <w:keepNext w:val="0"/>
              <w:keepLines w:val="0"/>
              <w:pageBreakBefore w:val="0"/>
              <w:kinsoku/>
              <w:wordWrap/>
              <w:overflowPunct/>
              <w:topLinePunct w:val="0"/>
              <w:bidi w:val="0"/>
              <w:snapToGrid/>
              <w:spacing w:line="320" w:lineRule="exact"/>
              <w:jc w:val="center"/>
              <w:textAlignment w:val="auto"/>
              <w:outlineLvl w:val="9"/>
              <w:rPr>
                <w:rFonts w:hint="eastAsia" w:ascii="仿宋_GB2312" w:hAnsi="仿宋_GB2312" w:eastAsia="仿宋_GB2312" w:cs="仿宋_GB2312"/>
                <w:b/>
                <w:kern w:val="0"/>
                <w:sz w:val="24"/>
                <w:szCs w:val="24"/>
                <w:highlight w:val="none"/>
              </w:rPr>
            </w:pPr>
          </w:p>
        </w:tc>
        <w:tc>
          <w:tcPr>
            <w:tcW w:w="1599" w:type="dxa"/>
            <w:vAlign w:val="center"/>
          </w:tcPr>
          <w:p>
            <w:pPr>
              <w:jc w:val="center"/>
              <w:rPr>
                <w:rFonts w:hint="eastAsia" w:ascii="仿宋_GB2312" w:hAnsi="仿宋_GB2312" w:eastAsia="仿宋_GB2312" w:cs="仿宋_GB2312"/>
                <w:b/>
                <w:sz w:val="21"/>
                <w:szCs w:val="21"/>
                <w:highlight w:val="none"/>
              </w:rPr>
            </w:pPr>
            <w:r>
              <w:rPr>
                <w:rFonts w:hint="eastAsia" w:ascii="仿宋_GB2312" w:hAnsi="仿宋_GB2312" w:eastAsia="仿宋_GB2312" w:cs="仿宋_GB2312"/>
                <w:b/>
                <w:sz w:val="21"/>
                <w:szCs w:val="21"/>
                <w:highlight w:val="none"/>
              </w:rPr>
              <w:t>工作日</w:t>
            </w:r>
          </w:p>
        </w:tc>
        <w:tc>
          <w:tcPr>
            <w:tcW w:w="6858" w:type="dxa"/>
            <w:gridSpan w:val="6"/>
            <w:vAlign w:val="center"/>
          </w:tcPr>
          <w:p>
            <w:pPr>
              <w:rPr>
                <w:rFonts w:hint="eastAsia" w:ascii="仿宋_GB2312" w:hAnsi="仿宋_GB2312" w:eastAsia="仿宋_GB2312" w:cs="仿宋_GB2312"/>
                <w:sz w:val="21"/>
                <w:szCs w:val="21"/>
                <w:highlight w:val="none"/>
              </w:rPr>
            </w:pPr>
            <w:r>
              <w:rPr>
                <w:rFonts w:hint="eastAsia" w:ascii="仿宋_GB2312" w:hAnsi="仿宋_GB2312" w:eastAsia="仿宋_GB2312" w:cs="仿宋_GB2312"/>
                <w:szCs w:val="21"/>
                <w:highlight w:val="none"/>
              </w:rPr>
              <w:t>证券市场交易日且为银行法定工作日。天津银行有权在特殊情况下调整，并于调整前三个工作日进行公告。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95" w:hRule="atLeast"/>
        </w:trPr>
        <w:tc>
          <w:tcPr>
            <w:tcW w:w="1951" w:type="dxa"/>
            <w:vMerge w:val="continue"/>
            <w:vAlign w:val="center"/>
          </w:tcPr>
          <w:p>
            <w:pPr>
              <w:keepNext w:val="0"/>
              <w:keepLines w:val="0"/>
              <w:pageBreakBefore w:val="0"/>
              <w:kinsoku/>
              <w:wordWrap/>
              <w:overflowPunct/>
              <w:topLinePunct w:val="0"/>
              <w:bidi w:val="0"/>
              <w:snapToGrid/>
              <w:spacing w:line="320" w:lineRule="exact"/>
              <w:jc w:val="center"/>
              <w:textAlignment w:val="auto"/>
              <w:outlineLvl w:val="9"/>
              <w:rPr>
                <w:rFonts w:hint="eastAsia" w:ascii="仿宋_GB2312" w:hAnsi="仿宋_GB2312" w:eastAsia="仿宋_GB2312" w:cs="仿宋_GB2312"/>
                <w:b/>
                <w:kern w:val="0"/>
                <w:sz w:val="24"/>
                <w:szCs w:val="24"/>
                <w:highlight w:val="none"/>
              </w:rPr>
            </w:pPr>
          </w:p>
        </w:tc>
        <w:tc>
          <w:tcPr>
            <w:tcW w:w="1599" w:type="dxa"/>
            <w:vAlign w:val="center"/>
          </w:tcPr>
          <w:p>
            <w:pPr>
              <w:jc w:val="center"/>
              <w:rPr>
                <w:rFonts w:hint="eastAsia" w:ascii="仿宋_GB2312" w:hAnsi="仿宋_GB2312" w:eastAsia="仿宋_GB2312" w:cs="仿宋_GB2312"/>
                <w:b/>
                <w:sz w:val="21"/>
                <w:szCs w:val="21"/>
                <w:highlight w:val="none"/>
              </w:rPr>
            </w:pPr>
            <w:r>
              <w:rPr>
                <w:rFonts w:hint="eastAsia" w:ascii="仿宋_GB2312" w:hAnsi="仿宋_GB2312" w:eastAsia="仿宋_GB2312" w:cs="仿宋_GB2312"/>
                <w:b/>
                <w:sz w:val="21"/>
                <w:szCs w:val="21"/>
                <w:highlight w:val="none"/>
              </w:rPr>
              <w:t>清算期</w:t>
            </w:r>
          </w:p>
        </w:tc>
        <w:tc>
          <w:tcPr>
            <w:tcW w:w="6858" w:type="dxa"/>
            <w:gridSpan w:val="6"/>
            <w:vAlign w:val="center"/>
          </w:tcPr>
          <w:p>
            <w:pPr>
              <w:spacing w:line="240" w:lineRule="exact"/>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Cs w:val="21"/>
                <w:highlight w:val="none"/>
              </w:rPr>
              <w:t>产品到期日或提前终止日至理财资金返还到账日之间，最迟不超</w:t>
            </w:r>
            <w:r>
              <w:rPr>
                <w:rFonts w:hint="eastAsia" w:ascii="仿宋_GB2312" w:hAnsi="仿宋_GB2312" w:eastAsia="仿宋_GB2312" w:cs="仿宋_GB2312"/>
                <w:bCs/>
                <w:szCs w:val="21"/>
                <w:highlight w:val="none"/>
                <w:lang w:val="en-US" w:eastAsia="zh-CN"/>
              </w:rPr>
              <w:t>过两</w:t>
            </w:r>
            <w:r>
              <w:rPr>
                <w:rFonts w:hint="eastAsia" w:ascii="仿宋_GB2312" w:hAnsi="仿宋_GB2312" w:eastAsia="仿宋_GB2312" w:cs="仿宋_GB2312"/>
                <w:bCs/>
                <w:szCs w:val="21"/>
                <w:highlight w:val="none"/>
              </w:rPr>
              <w:t>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trPr>
        <w:tc>
          <w:tcPr>
            <w:tcW w:w="1951" w:type="dxa"/>
            <w:vAlign w:val="center"/>
          </w:tcPr>
          <w:p>
            <w:pPr>
              <w:keepNext w:val="0"/>
              <w:keepLines w:val="0"/>
              <w:pageBreakBefore w:val="0"/>
              <w:kinsoku/>
              <w:wordWrap/>
              <w:overflowPunct/>
              <w:topLinePunct w:val="0"/>
              <w:bidi w:val="0"/>
              <w:snapToGrid/>
              <w:spacing w:line="320" w:lineRule="exact"/>
              <w:jc w:val="center"/>
              <w:textAlignment w:val="auto"/>
              <w:outlineLvl w:val="9"/>
              <w:rPr>
                <w:rFonts w:hint="eastAsia" w:ascii="仿宋_GB2312" w:hAnsi="仿宋_GB2312" w:eastAsia="仿宋_GB2312" w:cs="仿宋_GB2312"/>
                <w:b/>
                <w:kern w:val="0"/>
                <w:sz w:val="24"/>
                <w:szCs w:val="24"/>
                <w:highlight w:val="none"/>
              </w:rPr>
            </w:pPr>
            <w:r>
              <w:rPr>
                <w:rFonts w:hint="eastAsia" w:ascii="仿宋_GB2312" w:hAnsi="仿宋_GB2312" w:eastAsia="仿宋_GB2312" w:cs="仿宋_GB2312"/>
                <w:b/>
                <w:kern w:val="0"/>
                <w:sz w:val="24"/>
                <w:szCs w:val="24"/>
                <w:highlight w:val="none"/>
              </w:rPr>
              <w:t>计息说明</w:t>
            </w:r>
          </w:p>
        </w:tc>
        <w:tc>
          <w:tcPr>
            <w:tcW w:w="8457" w:type="dxa"/>
            <w:gridSpan w:val="7"/>
            <w:vAlign w:val="center"/>
          </w:tcPr>
          <w:p>
            <w:pPr>
              <w:keepNext w:val="0"/>
              <w:keepLines w:val="0"/>
              <w:pageBreakBefore w:val="0"/>
              <w:kinsoku/>
              <w:wordWrap/>
              <w:overflowPunct/>
              <w:topLinePunct w:val="0"/>
              <w:bidi w:val="0"/>
              <w:snapToGrid/>
              <w:spacing w:line="320" w:lineRule="exact"/>
              <w:textAlignment w:val="auto"/>
              <w:outlineLvl w:val="9"/>
              <w:rPr>
                <w:rFonts w:hint="eastAsia" w:ascii="仿宋_GB2312" w:hAnsi="仿宋_GB2312" w:eastAsia="仿宋_GB2312" w:cs="仿宋_GB2312"/>
                <w:b/>
                <w:bCs/>
                <w:sz w:val="21"/>
                <w:szCs w:val="21"/>
                <w:highlight w:val="none"/>
              </w:rPr>
            </w:pPr>
            <w:r>
              <w:rPr>
                <w:rFonts w:hint="eastAsia" w:ascii="仿宋_GB2312" w:hAnsi="仿宋_GB2312" w:eastAsia="仿宋_GB2312" w:cs="仿宋_GB2312"/>
                <w:b/>
                <w:bCs/>
                <w:sz w:val="21"/>
                <w:szCs w:val="21"/>
                <w:highlight w:val="none"/>
              </w:rPr>
              <w:t>产品在募集期内按照活期存款利率计、结息，产品在清算期内不计付利息。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1" w:hRule="atLeast"/>
        </w:trPr>
        <w:tc>
          <w:tcPr>
            <w:tcW w:w="1951" w:type="dxa"/>
            <w:vAlign w:val="center"/>
          </w:tcPr>
          <w:p>
            <w:pPr>
              <w:keepNext w:val="0"/>
              <w:keepLines w:val="0"/>
              <w:pageBreakBefore w:val="0"/>
              <w:kinsoku/>
              <w:wordWrap/>
              <w:overflowPunct/>
              <w:topLinePunct w:val="0"/>
              <w:bidi w:val="0"/>
              <w:snapToGrid/>
              <w:spacing w:line="320" w:lineRule="exact"/>
              <w:jc w:val="center"/>
              <w:textAlignment w:val="auto"/>
              <w:outlineLvl w:val="9"/>
              <w:rPr>
                <w:rFonts w:hint="eastAsia" w:ascii="仿宋_GB2312" w:hAnsi="仿宋_GB2312" w:eastAsia="仿宋_GB2312" w:cs="仿宋_GB2312"/>
                <w:b/>
                <w:kern w:val="0"/>
                <w:sz w:val="24"/>
                <w:szCs w:val="24"/>
                <w:highlight w:val="none"/>
                <w:u w:val="wave"/>
              </w:rPr>
            </w:pPr>
            <w:r>
              <w:rPr>
                <w:rFonts w:hint="eastAsia" w:ascii="仿宋_GB2312" w:hAnsi="仿宋_GB2312" w:eastAsia="仿宋_GB2312" w:cs="仿宋_GB2312"/>
                <w:b/>
                <w:kern w:val="0"/>
                <w:sz w:val="24"/>
                <w:szCs w:val="24"/>
                <w:highlight w:val="none"/>
              </w:rPr>
              <w:t>产品净值及份额说明</w:t>
            </w:r>
          </w:p>
        </w:tc>
        <w:tc>
          <w:tcPr>
            <w:tcW w:w="8457" w:type="dxa"/>
            <w:gridSpan w:val="7"/>
            <w:vAlign w:val="center"/>
          </w:tcPr>
          <w:p>
            <w:pPr>
              <w:pStyle w:val="23"/>
              <w:keepNext w:val="0"/>
              <w:keepLines w:val="0"/>
              <w:pageBreakBefore w:val="0"/>
              <w:numPr>
                <w:ilvl w:val="0"/>
                <w:numId w:val="1"/>
              </w:numPr>
              <w:kinsoku/>
              <w:wordWrap/>
              <w:overflowPunct/>
              <w:topLinePunct w:val="0"/>
              <w:bidi w:val="0"/>
              <w:snapToGrid/>
              <w:spacing w:line="320" w:lineRule="exact"/>
              <w:ind w:firstLine="0" w:firstLineChars="0"/>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产品单位净值指每份产品单位的净资产价值，此为扣除期间相关税费后的净值，将四舍五入保留至小数点后第六位。计算公式为：产品单位净值=产品净资产÷产品份额。</w:t>
            </w:r>
          </w:p>
          <w:p>
            <w:pPr>
              <w:pStyle w:val="23"/>
              <w:keepNext w:val="0"/>
              <w:keepLines w:val="0"/>
              <w:pageBreakBefore w:val="0"/>
              <w:numPr>
                <w:ilvl w:val="0"/>
                <w:numId w:val="1"/>
              </w:numPr>
              <w:kinsoku/>
              <w:wordWrap/>
              <w:overflowPunct/>
              <w:topLinePunct w:val="0"/>
              <w:bidi w:val="0"/>
              <w:snapToGrid/>
              <w:spacing w:line="320" w:lineRule="exact"/>
              <w:ind w:firstLine="0" w:firstLineChars="0"/>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产品将于成立日对募集期内客户认购产品份额进行确认，初始单位净值1元/份。</w:t>
            </w:r>
          </w:p>
          <w:p>
            <w:pPr>
              <w:pStyle w:val="23"/>
              <w:keepNext w:val="0"/>
              <w:keepLines w:val="0"/>
              <w:pageBreakBefore w:val="0"/>
              <w:numPr>
                <w:ilvl w:val="0"/>
                <w:numId w:val="1"/>
              </w:numPr>
              <w:kinsoku/>
              <w:wordWrap/>
              <w:overflowPunct/>
              <w:topLinePunct w:val="0"/>
              <w:bidi w:val="0"/>
              <w:snapToGrid/>
              <w:spacing w:line="320" w:lineRule="exact"/>
              <w:ind w:firstLine="0" w:firstLineChars="0"/>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认购份额＝认购金额÷1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1" w:hRule="atLeast"/>
        </w:trPr>
        <w:tc>
          <w:tcPr>
            <w:tcW w:w="1951" w:type="dxa"/>
            <w:vAlign w:val="center"/>
          </w:tcPr>
          <w:p>
            <w:pPr>
              <w:keepNext w:val="0"/>
              <w:keepLines w:val="0"/>
              <w:pageBreakBefore w:val="0"/>
              <w:kinsoku/>
              <w:wordWrap/>
              <w:overflowPunct/>
              <w:topLinePunct w:val="0"/>
              <w:bidi w:val="0"/>
              <w:snapToGrid/>
              <w:spacing w:line="320" w:lineRule="exact"/>
              <w:jc w:val="center"/>
              <w:textAlignment w:val="auto"/>
              <w:outlineLvl w:val="9"/>
              <w:rPr>
                <w:rFonts w:hint="eastAsia" w:ascii="仿宋_GB2312" w:hAnsi="仿宋_GB2312" w:eastAsia="仿宋_GB2312" w:cs="仿宋_GB2312"/>
                <w:b/>
                <w:kern w:val="0"/>
                <w:sz w:val="24"/>
                <w:szCs w:val="24"/>
                <w:highlight w:val="none"/>
              </w:rPr>
            </w:pPr>
            <w:r>
              <w:rPr>
                <w:rFonts w:hint="eastAsia" w:ascii="仿宋_GB2312" w:hAnsi="仿宋_GB2312" w:eastAsia="仿宋_GB2312" w:cs="仿宋_GB2312"/>
                <w:b/>
                <w:kern w:val="0"/>
                <w:sz w:val="24"/>
                <w:szCs w:val="24"/>
                <w:highlight w:val="none"/>
              </w:rPr>
              <w:t>客户收益</w:t>
            </w:r>
          </w:p>
          <w:p>
            <w:pPr>
              <w:keepNext w:val="0"/>
              <w:keepLines w:val="0"/>
              <w:pageBreakBefore w:val="0"/>
              <w:kinsoku/>
              <w:wordWrap/>
              <w:overflowPunct/>
              <w:topLinePunct w:val="0"/>
              <w:bidi w:val="0"/>
              <w:snapToGrid/>
              <w:spacing w:line="320" w:lineRule="exact"/>
              <w:jc w:val="center"/>
              <w:textAlignment w:val="auto"/>
              <w:outlineLvl w:val="9"/>
              <w:rPr>
                <w:rFonts w:hint="eastAsia" w:ascii="仿宋_GB2312" w:hAnsi="仿宋_GB2312" w:eastAsia="仿宋_GB2312" w:cs="仿宋_GB2312"/>
                <w:b/>
                <w:kern w:val="0"/>
                <w:sz w:val="24"/>
                <w:szCs w:val="24"/>
                <w:highlight w:val="none"/>
              </w:rPr>
            </w:pPr>
            <w:r>
              <w:rPr>
                <w:rFonts w:hint="eastAsia" w:ascii="仿宋_GB2312" w:hAnsi="仿宋_GB2312" w:eastAsia="仿宋_GB2312" w:cs="仿宋_GB2312"/>
                <w:b/>
                <w:kern w:val="0"/>
                <w:sz w:val="24"/>
                <w:szCs w:val="24"/>
                <w:highlight w:val="none"/>
              </w:rPr>
              <w:t>计算规则</w:t>
            </w:r>
          </w:p>
        </w:tc>
        <w:tc>
          <w:tcPr>
            <w:tcW w:w="8457" w:type="dxa"/>
            <w:gridSpan w:val="7"/>
            <w:vAlign w:val="center"/>
          </w:tcPr>
          <w:p>
            <w:pPr>
              <w:keepNext w:val="0"/>
              <w:keepLines w:val="0"/>
              <w:pageBreakBefore w:val="0"/>
              <w:kinsoku/>
              <w:wordWrap/>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客户收益=客户认购份额X（产品到期日或提前终止日产品单位净值-期初产品单位净值），即客户收益=客户认购份额X（产品到期日或提前终止日产品单位净值-1）。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1" w:hRule="atLeast"/>
        </w:trPr>
        <w:tc>
          <w:tcPr>
            <w:tcW w:w="1951" w:type="dxa"/>
            <w:vAlign w:val="center"/>
          </w:tcPr>
          <w:p>
            <w:pPr>
              <w:keepNext w:val="0"/>
              <w:keepLines w:val="0"/>
              <w:pageBreakBefore w:val="0"/>
              <w:kinsoku/>
              <w:wordWrap/>
              <w:overflowPunct/>
              <w:topLinePunct w:val="0"/>
              <w:bidi w:val="0"/>
              <w:snapToGrid/>
              <w:spacing w:line="320" w:lineRule="exact"/>
              <w:jc w:val="center"/>
              <w:textAlignment w:val="auto"/>
              <w:outlineLvl w:val="9"/>
              <w:rPr>
                <w:rFonts w:hint="eastAsia" w:ascii="仿宋_GB2312" w:hAnsi="仿宋_GB2312" w:eastAsia="仿宋_GB2312" w:cs="仿宋_GB2312"/>
                <w:b/>
                <w:kern w:val="0"/>
                <w:sz w:val="24"/>
                <w:szCs w:val="24"/>
                <w:highlight w:val="none"/>
              </w:rPr>
            </w:pPr>
            <w:r>
              <w:rPr>
                <w:rFonts w:hint="eastAsia" w:ascii="仿宋_GB2312" w:hAnsi="仿宋_GB2312" w:eastAsia="仿宋_GB2312" w:cs="仿宋_GB2312"/>
                <w:b/>
                <w:kern w:val="0"/>
                <w:sz w:val="24"/>
                <w:szCs w:val="24"/>
                <w:highlight w:val="none"/>
              </w:rPr>
              <w:t>投资对象、投资范围及投资团队</w:t>
            </w:r>
          </w:p>
        </w:tc>
        <w:tc>
          <w:tcPr>
            <w:tcW w:w="8457" w:type="dxa"/>
            <w:gridSpan w:val="7"/>
            <w:vAlign w:val="center"/>
          </w:tcPr>
          <w:p>
            <w:pPr>
              <w:pStyle w:val="23"/>
              <w:keepNext w:val="0"/>
              <w:keepLines w:val="0"/>
              <w:pageBreakBefore w:val="0"/>
              <w:numPr>
                <w:ilvl w:val="0"/>
                <w:numId w:val="2"/>
              </w:numPr>
              <w:kinsoku/>
              <w:wordWrap/>
              <w:overflowPunct/>
              <w:topLinePunct w:val="0"/>
              <w:bidi w:val="0"/>
              <w:snapToGrid/>
              <w:spacing w:line="320" w:lineRule="exact"/>
              <w:ind w:firstLine="0" w:firstLineChars="0"/>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本产品主要直接或间接投资于固定收益类资产，包括但不限于各类债券、存款、存单、货币市场工具、资产支持证券、非标准化债权类资产等；权益类资产，包括但不限于股票、公募基金以及其他符合监管要求的权益类资产；符合监管要求的其他资产。</w:t>
            </w:r>
            <w:r>
              <w:rPr>
                <w:rFonts w:hint="eastAsia" w:ascii="仿宋_GB2312" w:hAnsi="仿宋_GB2312" w:eastAsia="仿宋_GB2312" w:cs="仿宋_GB2312"/>
                <w:b/>
                <w:bCs/>
                <w:sz w:val="21"/>
                <w:szCs w:val="21"/>
                <w:highlight w:val="none"/>
              </w:rPr>
              <w:t>产品面临投资债券利率、汇率变化等市场风险以及债券价格波动风险。</w:t>
            </w:r>
          </w:p>
          <w:p>
            <w:pPr>
              <w:pStyle w:val="23"/>
              <w:keepNext w:val="0"/>
              <w:keepLines w:val="0"/>
              <w:pageBreakBefore w:val="0"/>
              <w:kinsoku/>
              <w:wordWrap/>
              <w:overflowPunct/>
              <w:topLinePunct w:val="0"/>
              <w:bidi w:val="0"/>
              <w:snapToGrid/>
              <w:spacing w:line="320" w:lineRule="exact"/>
              <w:ind w:firstLine="0" w:firstLineChars="0"/>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2.投资比例：固定收益类资产、货币市场工具以及以前述资产为投资标的的金融产品占比80%-100%，权益类及其他资产占比0%-20%。本产品杠杆水平上限为200%。</w:t>
            </w:r>
          </w:p>
          <w:p>
            <w:pPr>
              <w:pStyle w:val="23"/>
              <w:keepNext w:val="0"/>
              <w:keepLines w:val="0"/>
              <w:pageBreakBefore w:val="0"/>
              <w:kinsoku/>
              <w:wordWrap/>
              <w:overflowPunct/>
              <w:topLinePunct w:val="0"/>
              <w:bidi w:val="0"/>
              <w:snapToGrid/>
              <w:spacing w:line="320" w:lineRule="exact"/>
              <w:ind w:firstLine="0" w:firstLineChars="0"/>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 xml:space="preserve">3.投资团队为： </w:t>
            </w:r>
          </w:p>
          <w:p>
            <w:pPr>
              <w:pStyle w:val="23"/>
              <w:keepNext w:val="0"/>
              <w:keepLines w:val="0"/>
              <w:pageBreakBefore w:val="0"/>
              <w:kinsoku/>
              <w:wordWrap/>
              <w:overflowPunct/>
              <w:topLinePunct w:val="0"/>
              <w:bidi w:val="0"/>
              <w:snapToGrid/>
              <w:spacing w:line="320" w:lineRule="exact"/>
              <w:ind w:firstLine="0" w:firstLineChars="0"/>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本理财产品的管理人为天津银行。天津银行接受客户的委托和授权，按照本产品说明书约定的投资方向和方式进行投资和资产管理，代表客户签订投资和资产管理过程中涉及到的协议、合同等文本。</w:t>
            </w:r>
          </w:p>
          <w:p>
            <w:pPr>
              <w:pStyle w:val="23"/>
              <w:keepNext w:val="0"/>
              <w:keepLines w:val="0"/>
              <w:pageBreakBefore w:val="0"/>
              <w:kinsoku/>
              <w:wordWrap/>
              <w:overflowPunct/>
              <w:topLinePunct w:val="0"/>
              <w:bidi w:val="0"/>
              <w:snapToGrid/>
              <w:spacing w:line="320" w:lineRule="exact"/>
              <w:ind w:firstLine="0" w:firstLineChars="0"/>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投资人在此授权并同意天津银行享有以下权利：</w:t>
            </w:r>
          </w:p>
          <w:p>
            <w:pPr>
              <w:pStyle w:val="23"/>
              <w:keepNext w:val="0"/>
              <w:keepLines w:val="0"/>
              <w:pageBreakBefore w:val="0"/>
              <w:kinsoku/>
              <w:wordWrap/>
              <w:overflowPunct/>
              <w:topLinePunct w:val="0"/>
              <w:bidi w:val="0"/>
              <w:snapToGrid/>
              <w:spacing w:line="320" w:lineRule="exact"/>
              <w:ind w:firstLine="0" w:firstLineChars="0"/>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以理财产品投资管理人的名义，依照法律法规相关规定以及为理财产品投资人的利益，对被投资的各类投资对象代为行使出资人/投资人权利以及其他相关权利。</w:t>
            </w:r>
          </w:p>
          <w:p>
            <w:pPr>
              <w:pStyle w:val="23"/>
              <w:keepNext w:val="0"/>
              <w:keepLines w:val="0"/>
              <w:pageBreakBefore w:val="0"/>
              <w:kinsoku/>
              <w:wordWrap/>
              <w:overflowPunct/>
              <w:topLinePunct w:val="0"/>
              <w:bidi w:val="0"/>
              <w:snapToGrid/>
              <w:spacing w:line="320" w:lineRule="exact"/>
              <w:ind w:firstLine="0" w:firstLineChars="0"/>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以理财产品投资管理人的名义，依照法律法规相关规定以及代表理财产品投资人的利益行使代为追索的权利（包括但不限于提起诉讼/仲裁、申请保全/执行的权利）或者实施其他法律行为，产生的合理费用由理财产品承担。</w:t>
            </w:r>
          </w:p>
          <w:p>
            <w:pPr>
              <w:pStyle w:val="23"/>
              <w:keepNext w:val="0"/>
              <w:keepLines w:val="0"/>
              <w:pageBreakBefore w:val="0"/>
              <w:kinsoku/>
              <w:wordWrap/>
              <w:overflowPunct/>
              <w:topLinePunct w:val="0"/>
              <w:bidi w:val="0"/>
              <w:snapToGrid/>
              <w:spacing w:line="320" w:lineRule="exact"/>
              <w:ind w:firstLine="0" w:firstLineChars="0"/>
              <w:textAlignment w:val="auto"/>
              <w:outlineLvl w:val="9"/>
              <w:rPr>
                <w:rFonts w:hint="eastAsia" w:ascii="仿宋_GB2312" w:hAnsi="仿宋_GB2312" w:eastAsia="仿宋_GB2312" w:cs="仿宋_GB2312"/>
                <w:sz w:val="21"/>
                <w:szCs w:val="21"/>
                <w:highlight w:val="none"/>
              </w:rPr>
            </w:pPr>
            <w:r>
              <w:rPr>
                <w:rFonts w:hint="eastAsia" w:ascii="仿宋_GB2312" w:hAnsi="仿宋_GB2312" w:eastAsia="仿宋_GB2312" w:cs="仿宋_GB2312"/>
                <w:bCs/>
                <w:sz w:val="21"/>
                <w:szCs w:val="21"/>
                <w:highlight w:val="none"/>
              </w:rPr>
              <w:t>天津银行有权根据相关法律、国家政策规定以及市场情况，依照本说明书的约定予以公告后，在不改变本产品类型的情况下，对本产品的投资范围、投资品种和投资比例进行调整。若超出投资比例投资于低风险资产，则无需征得投资人同意。除此之外，投资人对此无异议且同意在上述调整情况下继续持有本理财产品。若投资人不同意上述调整，可在上述调整生效前赎回所持有理财产品份额。若客户未在规定时间内提前赎回本产品，则视为对相关调整无异议且同意在调整后继续持有本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1" w:hRule="atLeast"/>
        </w:trPr>
        <w:tc>
          <w:tcPr>
            <w:tcW w:w="1951" w:type="dxa"/>
            <w:vAlign w:val="center"/>
          </w:tcPr>
          <w:p>
            <w:pPr>
              <w:keepNext w:val="0"/>
              <w:keepLines w:val="0"/>
              <w:pageBreakBefore w:val="0"/>
              <w:kinsoku/>
              <w:wordWrap/>
              <w:overflowPunct/>
              <w:topLinePunct w:val="0"/>
              <w:bidi w:val="0"/>
              <w:snapToGrid/>
              <w:spacing w:line="320" w:lineRule="exact"/>
              <w:jc w:val="center"/>
              <w:textAlignment w:val="auto"/>
              <w:outlineLvl w:val="9"/>
              <w:rPr>
                <w:rFonts w:hint="eastAsia" w:ascii="仿宋_GB2312" w:hAnsi="仿宋_GB2312" w:eastAsia="仿宋_GB2312" w:cs="仿宋_GB2312"/>
                <w:b/>
                <w:kern w:val="0"/>
                <w:sz w:val="24"/>
                <w:szCs w:val="24"/>
                <w:highlight w:val="none"/>
              </w:rPr>
            </w:pPr>
            <w:r>
              <w:rPr>
                <w:rFonts w:hint="eastAsia" w:ascii="仿宋_GB2312" w:hAnsi="仿宋_GB2312" w:eastAsia="仿宋_GB2312" w:cs="仿宋_GB2312"/>
                <w:b/>
                <w:kern w:val="0"/>
                <w:sz w:val="24"/>
                <w:szCs w:val="24"/>
                <w:highlight w:val="none"/>
              </w:rPr>
              <w:t>业绩比较基准</w:t>
            </w:r>
          </w:p>
        </w:tc>
        <w:tc>
          <w:tcPr>
            <w:tcW w:w="8457" w:type="dxa"/>
            <w:gridSpan w:val="7"/>
            <w:vAlign w:val="center"/>
          </w:tcPr>
          <w:p>
            <w:pPr>
              <w:keepNext w:val="0"/>
              <w:keepLines w:val="0"/>
              <w:pageBreakBefore w:val="0"/>
              <w:kinsoku/>
              <w:wordWrap/>
              <w:overflowPunct/>
              <w:topLinePunct w:val="0"/>
              <w:bidi w:val="0"/>
              <w:snapToGrid/>
              <w:spacing w:line="320" w:lineRule="exact"/>
              <w:textAlignment w:val="auto"/>
              <w:outlineLvl w:val="9"/>
              <w:rPr>
                <w:rFonts w:hint="eastAsia" w:ascii="仿宋_GB2312" w:hAnsi="仿宋_GB2312" w:eastAsia="仿宋_GB2312" w:cs="仿宋_GB2312"/>
                <w:b/>
                <w:bCs/>
                <w:color w:val="000000"/>
                <w:sz w:val="21"/>
                <w:szCs w:val="21"/>
                <w:highlight w:val="none"/>
              </w:rPr>
            </w:pPr>
            <w:r>
              <w:rPr>
                <w:rFonts w:hint="eastAsia" w:ascii="仿宋_GB2312" w:hAnsi="仿宋_GB2312" w:eastAsia="仿宋_GB2312" w:cs="仿宋_GB2312"/>
                <w:b/>
                <w:bCs/>
                <w:color w:val="000000"/>
                <w:sz w:val="21"/>
                <w:szCs w:val="21"/>
                <w:highlight w:val="none"/>
              </w:rPr>
              <w:t>1.本产品为净值型产品，业绩表现将随市场波动，具有不确定性。</w:t>
            </w:r>
          </w:p>
          <w:p>
            <w:pPr>
              <w:keepNext w:val="0"/>
              <w:keepLines w:val="0"/>
              <w:pageBreakBefore w:val="0"/>
              <w:kinsoku/>
              <w:wordWrap/>
              <w:overflowPunct/>
              <w:topLinePunct w:val="0"/>
              <w:bidi w:val="0"/>
              <w:snapToGrid/>
              <w:spacing w:line="320" w:lineRule="exact"/>
              <w:textAlignment w:val="auto"/>
              <w:outlineLvl w:val="9"/>
              <w:rPr>
                <w:rFonts w:hint="eastAsia" w:ascii="仿宋_GB2312" w:hAnsi="仿宋_GB2312" w:eastAsia="仿宋_GB2312" w:cs="仿宋_GB2312"/>
                <w:bCs/>
                <w:color w:val="000000"/>
                <w:sz w:val="21"/>
                <w:szCs w:val="21"/>
                <w:highlight w:val="none"/>
              </w:rPr>
            </w:pPr>
            <w:r>
              <w:rPr>
                <w:rFonts w:hint="eastAsia" w:ascii="仿宋_GB2312" w:hAnsi="仿宋_GB2312" w:eastAsia="仿宋_GB2312" w:cs="仿宋_GB2312"/>
                <w:bCs/>
                <w:color w:val="000000"/>
                <w:sz w:val="21"/>
                <w:szCs w:val="21"/>
                <w:highlight w:val="none"/>
              </w:rPr>
              <w:t>2.本产品业绩比较基准为</w:t>
            </w:r>
            <w:r>
              <w:rPr>
                <w:rFonts w:hint="eastAsia" w:ascii="仿宋_GB2312" w:hAnsi="仿宋_GB2312" w:eastAsia="仿宋_GB2312" w:cs="仿宋_GB2312"/>
                <w:bCs/>
                <w:sz w:val="21"/>
                <w:szCs w:val="21"/>
                <w:highlight w:val="none"/>
                <w:lang w:val="en-US" w:eastAsia="zh-CN"/>
              </w:rPr>
              <w:t>2.10%</w:t>
            </w:r>
            <w:r>
              <w:rPr>
                <w:rFonts w:hint="eastAsia" w:ascii="仿宋_GB2312" w:hAnsi="仿宋_GB2312" w:eastAsia="仿宋_GB2312" w:cs="仿宋_GB2312"/>
                <w:b/>
                <w:bCs w:val="0"/>
                <w:color w:val="000000"/>
                <w:sz w:val="21"/>
                <w:szCs w:val="21"/>
                <w:highlight w:val="none"/>
              </w:rPr>
              <w:t>(年化)</w:t>
            </w:r>
            <w:r>
              <w:rPr>
                <w:rFonts w:hint="eastAsia" w:ascii="仿宋_GB2312" w:hAnsi="仿宋_GB2312" w:eastAsia="仿宋_GB2312" w:cs="仿宋_GB2312"/>
                <w:bCs/>
                <w:color w:val="000000"/>
                <w:sz w:val="21"/>
                <w:szCs w:val="21"/>
                <w:highlight w:val="none"/>
              </w:rPr>
              <w:t>。</w:t>
            </w:r>
            <w:r>
              <w:rPr>
                <w:rFonts w:hint="eastAsia" w:ascii="仿宋_GB2312" w:hAnsi="仿宋_GB2312" w:eastAsia="仿宋_GB2312" w:cs="仿宋_GB2312"/>
                <w:b/>
                <w:bCs/>
                <w:color w:val="000000"/>
                <w:sz w:val="21"/>
                <w:szCs w:val="21"/>
                <w:highlight w:val="none"/>
              </w:rPr>
              <w:t>业绩比较基准由产品管理人依据理财产品的投资范围及比例、投资策略，并综合考虑市场环境因素测算。业绩比较基准不是理财产品预期收益率，仅作为产品投资管理的业绩比较基础，不构成对产品实际投资收益率的承诺或担保。本产品实际收益率将可能低于业绩比较基准，甚至有可能无法取得任何收益。理财产品过往业绩不代表其未来表现，不等于理财产品实际收益，投资须谨慎。</w:t>
            </w:r>
          </w:p>
          <w:p>
            <w:pPr>
              <w:pStyle w:val="23"/>
              <w:keepNext w:val="0"/>
              <w:keepLines w:val="0"/>
              <w:pageBreakBefore w:val="0"/>
              <w:kinsoku/>
              <w:wordWrap/>
              <w:overflowPunct/>
              <w:topLinePunct w:val="0"/>
              <w:bidi w:val="0"/>
              <w:snapToGrid/>
              <w:spacing w:line="320" w:lineRule="exact"/>
              <w:ind w:firstLine="0" w:firstLineChars="0"/>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color w:val="000000"/>
                <w:sz w:val="21"/>
                <w:szCs w:val="21"/>
                <w:highlight w:val="none"/>
              </w:rPr>
              <w:t>3.天津银行作为产品管理人，</w:t>
            </w:r>
            <w:r>
              <w:rPr>
                <w:rFonts w:hint="eastAsia" w:ascii="仿宋_GB2312" w:hAnsi="仿宋_GB2312" w:eastAsia="仿宋_GB2312" w:cs="仿宋_GB2312"/>
                <w:b/>
                <w:bCs/>
                <w:color w:val="000000"/>
                <w:sz w:val="21"/>
                <w:szCs w:val="21"/>
                <w:highlight w:val="none"/>
              </w:rPr>
              <w:t>将根据市场利率变动及资金运作情况不定期调整业绩比较基准，并通过天津银行营业网点或官方网站告知投资人。</w:t>
            </w:r>
            <w:r>
              <w:rPr>
                <w:rFonts w:hint="eastAsia" w:ascii="仿宋_GB2312" w:hAnsi="仿宋_GB2312" w:eastAsia="仿宋_GB2312" w:cs="仿宋_GB2312"/>
                <w:bCs/>
                <w:color w:val="000000"/>
                <w:sz w:val="21"/>
                <w:szCs w:val="21"/>
                <w:highlight w:val="none"/>
              </w:rPr>
              <w:t>如今后法律法规发生变化，或者有其他代表性更强、更科学客观的业绩比较基准适用于本产品时，天津银行有权变更业绩比较基准并及时公告。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1" w:hRule="atLeast"/>
        </w:trPr>
        <w:tc>
          <w:tcPr>
            <w:tcW w:w="1951" w:type="dxa"/>
            <w:vAlign w:val="center"/>
          </w:tcPr>
          <w:p>
            <w:pPr>
              <w:keepNext w:val="0"/>
              <w:keepLines w:val="0"/>
              <w:pageBreakBefore w:val="0"/>
              <w:kinsoku/>
              <w:wordWrap/>
              <w:overflowPunct/>
              <w:topLinePunct w:val="0"/>
              <w:bidi w:val="0"/>
              <w:snapToGrid/>
              <w:spacing w:line="320" w:lineRule="exact"/>
              <w:jc w:val="center"/>
              <w:textAlignment w:val="auto"/>
              <w:outlineLvl w:val="9"/>
              <w:rPr>
                <w:rFonts w:hint="eastAsia" w:ascii="仿宋_GB2312" w:hAnsi="仿宋_GB2312" w:eastAsia="仿宋_GB2312" w:cs="仿宋_GB2312"/>
                <w:b/>
                <w:kern w:val="0"/>
                <w:sz w:val="24"/>
                <w:szCs w:val="24"/>
                <w:highlight w:val="none"/>
              </w:rPr>
            </w:pPr>
            <w:r>
              <w:rPr>
                <w:rFonts w:hint="eastAsia" w:ascii="仿宋_GB2312" w:hAnsi="仿宋_GB2312" w:eastAsia="仿宋_GB2312" w:cs="仿宋_GB2312"/>
                <w:b/>
                <w:kern w:val="0"/>
                <w:sz w:val="24"/>
                <w:szCs w:val="24"/>
                <w:highlight w:val="none"/>
              </w:rPr>
              <w:t>相关税费</w:t>
            </w:r>
          </w:p>
        </w:tc>
        <w:tc>
          <w:tcPr>
            <w:tcW w:w="8457" w:type="dxa"/>
            <w:gridSpan w:val="7"/>
            <w:vAlign w:val="center"/>
          </w:tcPr>
          <w:p>
            <w:pPr>
              <w:pStyle w:val="23"/>
              <w:keepNext w:val="0"/>
              <w:keepLines w:val="0"/>
              <w:pageBreakBefore w:val="0"/>
              <w:numPr>
                <w:ilvl w:val="255"/>
                <w:numId w:val="0"/>
              </w:numPr>
              <w:kinsoku/>
              <w:wordWrap/>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1.期间费用：销售手续费年化费率：</w:t>
            </w:r>
            <w:r>
              <w:rPr>
                <w:rFonts w:hint="eastAsia" w:ascii="仿宋_GB2312" w:hAnsi="仿宋_GB2312" w:eastAsia="仿宋_GB2312" w:cs="仿宋_GB2312"/>
                <w:bCs/>
                <w:sz w:val="21"/>
                <w:szCs w:val="21"/>
                <w:highlight w:val="none"/>
                <w:lang w:val="en-US" w:eastAsia="zh-CN"/>
              </w:rPr>
              <w:t>0.150</w:t>
            </w:r>
            <w:r>
              <w:rPr>
                <w:rFonts w:hint="eastAsia" w:ascii="仿宋_GB2312" w:hAnsi="仿宋_GB2312" w:eastAsia="仿宋_GB2312" w:cs="仿宋_GB2312"/>
                <w:bCs/>
                <w:sz w:val="21"/>
                <w:szCs w:val="21"/>
                <w:highlight w:val="none"/>
              </w:rPr>
              <w:t>%，投资管理费率：</w:t>
            </w:r>
            <w:r>
              <w:rPr>
                <w:rFonts w:hint="eastAsia" w:ascii="仿宋_GB2312" w:hAnsi="仿宋_GB2312" w:eastAsia="仿宋_GB2312" w:cs="仿宋_GB2312"/>
                <w:bCs/>
                <w:sz w:val="21"/>
                <w:szCs w:val="21"/>
                <w:highlight w:val="none"/>
                <w:lang w:val="en-US" w:eastAsia="zh-CN"/>
              </w:rPr>
              <w:t>0.020</w:t>
            </w:r>
            <w:r>
              <w:rPr>
                <w:rFonts w:hint="eastAsia" w:ascii="仿宋_GB2312" w:hAnsi="仿宋_GB2312" w:eastAsia="仿宋_GB2312" w:cs="仿宋_GB2312"/>
                <w:bCs/>
                <w:sz w:val="21"/>
                <w:szCs w:val="21"/>
                <w:highlight w:val="none"/>
              </w:rPr>
              <w:t>%，托管费年化费率：</w:t>
            </w:r>
            <w:r>
              <w:rPr>
                <w:rFonts w:hint="eastAsia" w:ascii="仿宋_GB2312" w:hAnsi="仿宋_GB2312" w:eastAsia="仿宋_GB2312" w:cs="仿宋_GB2312"/>
                <w:bCs/>
                <w:sz w:val="21"/>
                <w:szCs w:val="21"/>
                <w:highlight w:val="none"/>
                <w:lang w:val="en-US" w:eastAsia="zh-CN"/>
              </w:rPr>
              <w:t>0.004</w:t>
            </w:r>
            <w:r>
              <w:rPr>
                <w:rFonts w:hint="eastAsia" w:ascii="仿宋_GB2312" w:hAnsi="仿宋_GB2312" w:eastAsia="仿宋_GB2312" w:cs="仿宋_GB2312"/>
                <w:bCs/>
                <w:sz w:val="21"/>
                <w:szCs w:val="21"/>
                <w:highlight w:val="none"/>
              </w:rPr>
              <w:t>%，产品运营管理费：</w:t>
            </w:r>
            <w:r>
              <w:rPr>
                <w:rFonts w:hint="eastAsia" w:ascii="仿宋_GB2312" w:hAnsi="仿宋_GB2312" w:eastAsia="仿宋_GB2312" w:cs="仿宋_GB2312"/>
                <w:bCs/>
                <w:sz w:val="21"/>
                <w:szCs w:val="21"/>
                <w:highlight w:val="none"/>
                <w:lang w:val="en-US" w:eastAsia="zh-CN"/>
              </w:rPr>
              <w:t>0.005</w:t>
            </w:r>
            <w:r>
              <w:rPr>
                <w:rFonts w:hint="eastAsia" w:ascii="仿宋_GB2312" w:hAnsi="仿宋_GB2312" w:eastAsia="仿宋_GB2312" w:cs="仿宋_GB2312"/>
                <w:bCs/>
                <w:sz w:val="21"/>
                <w:szCs w:val="21"/>
                <w:highlight w:val="none"/>
              </w:rPr>
              <w:t xml:space="preserve">%，期间费用按照产品本金每个自然日从理财财产中计提。[若投资产生的收益扣除各项费用(销售手续费、投资管理费、托管费、产品运营管理费)、运作产品所必须缴纳的税费后未达到业绩比较基准(如业绩比较基准为区间表示,则为区间下限)，天津银行有权以计提的投资管理费为限减少收取投资管理费。] </w:t>
            </w:r>
          </w:p>
          <w:p>
            <w:pPr>
              <w:pStyle w:val="23"/>
              <w:keepNext w:val="0"/>
              <w:keepLines w:val="0"/>
              <w:pageBreakBefore w:val="0"/>
              <w:numPr>
                <w:ilvl w:val="255"/>
                <w:numId w:val="0"/>
              </w:numPr>
              <w:kinsoku/>
              <w:wordWrap/>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公式计算：</w:t>
            </w:r>
          </w:p>
          <w:p>
            <w:pPr>
              <w:pStyle w:val="23"/>
              <w:keepNext w:val="0"/>
              <w:keepLines w:val="0"/>
              <w:pageBreakBefore w:val="0"/>
              <w:kinsoku/>
              <w:wordWrap/>
              <w:overflowPunct/>
              <w:topLinePunct w:val="0"/>
              <w:bidi w:val="0"/>
              <w:snapToGrid/>
              <w:spacing w:line="320" w:lineRule="exact"/>
              <w:ind w:firstLine="0" w:firstLineChars="0"/>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每日销售手续费=产品本金×</w:t>
            </w:r>
            <w:r>
              <w:rPr>
                <w:rFonts w:hint="eastAsia" w:ascii="仿宋_GB2312" w:hAnsi="仿宋_GB2312" w:eastAsia="仿宋_GB2312" w:cs="仿宋_GB2312"/>
                <w:bCs/>
                <w:sz w:val="21"/>
                <w:szCs w:val="21"/>
                <w:highlight w:val="none"/>
                <w:lang w:val="en-US" w:eastAsia="zh-CN"/>
              </w:rPr>
              <w:t>0.150</w:t>
            </w:r>
            <w:r>
              <w:rPr>
                <w:rFonts w:hint="eastAsia" w:ascii="仿宋_GB2312" w:hAnsi="仿宋_GB2312" w:eastAsia="仿宋_GB2312" w:cs="仿宋_GB2312"/>
                <w:bCs/>
                <w:sz w:val="21"/>
                <w:szCs w:val="21"/>
                <w:highlight w:val="none"/>
              </w:rPr>
              <w:t>%/365，按自然日计提；</w:t>
            </w:r>
          </w:p>
          <w:p>
            <w:pPr>
              <w:pStyle w:val="23"/>
              <w:keepNext w:val="0"/>
              <w:keepLines w:val="0"/>
              <w:pageBreakBefore w:val="0"/>
              <w:kinsoku/>
              <w:wordWrap/>
              <w:overflowPunct/>
              <w:topLinePunct w:val="0"/>
              <w:bidi w:val="0"/>
              <w:snapToGrid/>
              <w:spacing w:line="320" w:lineRule="exact"/>
              <w:ind w:firstLine="0" w:firstLineChars="0"/>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每日投资管理费=产品本金×</w:t>
            </w:r>
            <w:r>
              <w:rPr>
                <w:rFonts w:hint="eastAsia" w:ascii="仿宋_GB2312" w:hAnsi="仿宋_GB2312" w:eastAsia="仿宋_GB2312" w:cs="仿宋_GB2312"/>
                <w:bCs/>
                <w:sz w:val="21"/>
                <w:szCs w:val="21"/>
                <w:highlight w:val="none"/>
                <w:lang w:val="en-US" w:eastAsia="zh-CN"/>
              </w:rPr>
              <w:t>0.020</w:t>
            </w:r>
            <w:r>
              <w:rPr>
                <w:rFonts w:hint="eastAsia" w:ascii="仿宋_GB2312" w:hAnsi="仿宋_GB2312" w:eastAsia="仿宋_GB2312" w:cs="仿宋_GB2312"/>
                <w:bCs/>
                <w:sz w:val="21"/>
                <w:szCs w:val="21"/>
                <w:highlight w:val="none"/>
              </w:rPr>
              <w:t>%/365，按自然日计提；</w:t>
            </w:r>
          </w:p>
          <w:p>
            <w:pPr>
              <w:pStyle w:val="23"/>
              <w:keepNext w:val="0"/>
              <w:keepLines w:val="0"/>
              <w:pageBreakBefore w:val="0"/>
              <w:kinsoku/>
              <w:wordWrap/>
              <w:overflowPunct/>
              <w:topLinePunct w:val="0"/>
              <w:bidi w:val="0"/>
              <w:snapToGrid/>
              <w:spacing w:line="320" w:lineRule="exact"/>
              <w:ind w:firstLine="0" w:firstLineChars="0"/>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每日托管费=产品本金×</w:t>
            </w:r>
            <w:r>
              <w:rPr>
                <w:rFonts w:hint="eastAsia" w:ascii="仿宋_GB2312" w:hAnsi="仿宋_GB2312" w:eastAsia="仿宋_GB2312" w:cs="仿宋_GB2312"/>
                <w:bCs/>
                <w:sz w:val="21"/>
                <w:szCs w:val="21"/>
                <w:highlight w:val="none"/>
                <w:lang w:val="en-US" w:eastAsia="zh-CN"/>
              </w:rPr>
              <w:t>0.004</w:t>
            </w:r>
            <w:r>
              <w:rPr>
                <w:rFonts w:hint="eastAsia" w:ascii="仿宋_GB2312" w:hAnsi="仿宋_GB2312" w:eastAsia="仿宋_GB2312" w:cs="仿宋_GB2312"/>
                <w:bCs/>
                <w:sz w:val="21"/>
                <w:szCs w:val="21"/>
                <w:highlight w:val="none"/>
              </w:rPr>
              <w:t>%/365，按自然日计提；</w:t>
            </w:r>
          </w:p>
          <w:p>
            <w:pPr>
              <w:pStyle w:val="23"/>
              <w:keepNext w:val="0"/>
              <w:keepLines w:val="0"/>
              <w:pageBreakBefore w:val="0"/>
              <w:kinsoku/>
              <w:wordWrap/>
              <w:overflowPunct/>
              <w:topLinePunct w:val="0"/>
              <w:bidi w:val="0"/>
              <w:snapToGrid/>
              <w:spacing w:line="320" w:lineRule="exact"/>
              <w:ind w:firstLine="0" w:firstLineChars="0"/>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每日产品运营管理费=产品本金×</w:t>
            </w:r>
            <w:r>
              <w:rPr>
                <w:rFonts w:hint="eastAsia" w:ascii="仿宋_GB2312" w:hAnsi="仿宋_GB2312" w:eastAsia="仿宋_GB2312" w:cs="仿宋_GB2312"/>
                <w:bCs/>
                <w:sz w:val="21"/>
                <w:szCs w:val="21"/>
                <w:highlight w:val="none"/>
                <w:lang w:val="en-US" w:eastAsia="zh-CN"/>
              </w:rPr>
              <w:t>0.005</w:t>
            </w:r>
            <w:r>
              <w:rPr>
                <w:rFonts w:hint="eastAsia" w:ascii="仿宋_GB2312" w:hAnsi="仿宋_GB2312" w:eastAsia="仿宋_GB2312" w:cs="仿宋_GB2312"/>
                <w:bCs/>
                <w:sz w:val="21"/>
                <w:szCs w:val="21"/>
                <w:highlight w:val="none"/>
              </w:rPr>
              <w:t>%/365，按自然日计提。</w:t>
            </w:r>
          </w:p>
          <w:p>
            <w:pPr>
              <w:pStyle w:val="23"/>
              <w:keepNext w:val="0"/>
              <w:keepLines w:val="0"/>
              <w:pageBreakBefore w:val="0"/>
              <w:numPr>
                <w:ilvl w:val="0"/>
                <w:numId w:val="3"/>
              </w:numPr>
              <w:kinsoku/>
              <w:wordWrap/>
              <w:overflowPunct/>
              <w:topLinePunct w:val="0"/>
              <w:bidi w:val="0"/>
              <w:snapToGrid/>
              <w:spacing w:line="320" w:lineRule="exact"/>
              <w:ind w:firstLine="0" w:firstLineChars="0"/>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lang w:eastAsia="zh-CN"/>
              </w:rPr>
              <w:t>超额业绩报酬：理财产品收益扣除期间费用后，若收益未达到业绩基准，产品管理人不收取超额业绩管理费；若收益达到业绩基准，产品管理人按照本理财产品说明书约定的业绩基准支付投资人收益后，将超额部分作为产品管理人超额业绩管理费收取。天津银行有权根据市场情况调整超额业绩分配方案并及时公告。</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firstLine="420" w:firstLineChars="200"/>
              <w:textAlignment w:val="auto"/>
              <w:outlineLvl w:val="9"/>
              <w:rPr>
                <w:rFonts w:hint="eastAsia" w:ascii="仿宋_GB2312" w:hAnsi="仿宋_GB2312" w:eastAsia="仿宋_GB2312" w:cs="仿宋_GB2312"/>
                <w:bCs/>
                <w:kern w:val="2"/>
                <w:sz w:val="21"/>
                <w:szCs w:val="21"/>
                <w:highlight w:val="none"/>
                <w:lang w:val="en-US" w:eastAsia="zh-CN" w:bidi="ar-SA"/>
              </w:rPr>
            </w:pPr>
            <w:r>
              <w:rPr>
                <w:rFonts w:hint="eastAsia" w:ascii="仿宋_GB2312" w:hAnsi="仿宋_GB2312" w:eastAsia="仿宋_GB2312" w:cs="仿宋_GB2312"/>
                <w:bCs/>
                <w:kern w:val="2"/>
                <w:sz w:val="21"/>
                <w:szCs w:val="21"/>
                <w:highlight w:val="none"/>
                <w:lang w:val="en-US" w:eastAsia="zh-CN" w:bidi="ar-SA"/>
              </w:rPr>
              <w:t>超额业绩报酬每日计提。产品存续期内每个估值日，如果产品成立日至估值日的扣除超额业绩报酬前的期间年化收益率大于本区间超额业绩报酬计提基准，则据此计算本期间超额业绩报酬，本产品超额业绩报酬在披露的产品单位净值中扣除，披露的单位净值即可反映客户本期间真实的损益情况。计算期间超额业绩报酬的公式如下：</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firstLine="420" w:firstLineChars="200"/>
              <w:textAlignment w:val="auto"/>
              <w:outlineLvl w:val="9"/>
              <w:rPr>
                <w:rFonts w:hint="eastAsia" w:ascii="仿宋_GB2312" w:hAnsi="仿宋_GB2312" w:eastAsia="仿宋_GB2312" w:cs="仿宋_GB2312"/>
                <w:bCs/>
                <w:kern w:val="2"/>
                <w:sz w:val="21"/>
                <w:szCs w:val="21"/>
                <w:highlight w:val="none"/>
                <w:lang w:val="en-US" w:eastAsia="zh-CN" w:bidi="ar-SA"/>
              </w:rPr>
            </w:pPr>
            <w:r>
              <w:rPr>
                <w:rFonts w:hint="eastAsia" w:ascii="仿宋_GB2312" w:hAnsi="仿宋_GB2312" w:eastAsia="仿宋_GB2312" w:cs="仿宋_GB2312"/>
                <w:bCs/>
                <w:kern w:val="2"/>
                <w:sz w:val="21"/>
                <w:szCs w:val="21"/>
                <w:highlight w:val="none"/>
                <w:lang w:val="en-US" w:eastAsia="zh-CN" w:bidi="ar-SA"/>
              </w:rPr>
              <w:t>K=L*（M-N）*P/365*R</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firstLine="420" w:firstLineChars="200"/>
              <w:textAlignment w:val="auto"/>
              <w:outlineLvl w:val="9"/>
              <w:rPr>
                <w:rFonts w:hint="eastAsia" w:ascii="仿宋_GB2312" w:hAnsi="仿宋_GB2312" w:eastAsia="仿宋_GB2312" w:cs="仿宋_GB2312"/>
                <w:bCs/>
                <w:kern w:val="2"/>
                <w:sz w:val="21"/>
                <w:szCs w:val="21"/>
                <w:highlight w:val="none"/>
                <w:lang w:val="en-US" w:eastAsia="zh-CN" w:bidi="ar-SA"/>
              </w:rPr>
            </w:pPr>
            <w:r>
              <w:rPr>
                <w:rFonts w:hint="eastAsia" w:ascii="仿宋_GB2312" w:hAnsi="仿宋_GB2312" w:eastAsia="仿宋_GB2312" w:cs="仿宋_GB2312"/>
                <w:bCs/>
                <w:kern w:val="2"/>
                <w:sz w:val="21"/>
                <w:szCs w:val="21"/>
                <w:highlight w:val="none"/>
                <w:lang w:val="en-US" w:eastAsia="zh-CN" w:bidi="ar-SA"/>
              </w:rPr>
              <w:t>K为产品成立日至估值日的期间超额业绩报酬；</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firstLine="420" w:firstLineChars="200"/>
              <w:textAlignment w:val="auto"/>
              <w:outlineLvl w:val="9"/>
              <w:rPr>
                <w:rFonts w:hint="eastAsia" w:ascii="仿宋_GB2312" w:hAnsi="仿宋_GB2312" w:eastAsia="仿宋_GB2312" w:cs="仿宋_GB2312"/>
                <w:bCs/>
                <w:kern w:val="2"/>
                <w:sz w:val="21"/>
                <w:szCs w:val="21"/>
                <w:highlight w:val="none"/>
                <w:lang w:val="en-US" w:eastAsia="zh-CN" w:bidi="ar-SA"/>
              </w:rPr>
            </w:pPr>
            <w:r>
              <w:rPr>
                <w:rFonts w:hint="eastAsia" w:ascii="仿宋_GB2312" w:hAnsi="仿宋_GB2312" w:eastAsia="仿宋_GB2312" w:cs="仿宋_GB2312"/>
                <w:bCs/>
                <w:kern w:val="2"/>
                <w:sz w:val="21"/>
                <w:szCs w:val="21"/>
                <w:highlight w:val="none"/>
                <w:lang w:val="en-US" w:eastAsia="zh-CN" w:bidi="ar-SA"/>
              </w:rPr>
              <w:t>L为本产品总份额；</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firstLine="420" w:firstLineChars="200"/>
              <w:textAlignment w:val="auto"/>
              <w:outlineLvl w:val="9"/>
              <w:rPr>
                <w:rFonts w:hint="eastAsia" w:ascii="仿宋_GB2312" w:hAnsi="仿宋_GB2312" w:eastAsia="仿宋_GB2312" w:cs="仿宋_GB2312"/>
                <w:bCs/>
                <w:kern w:val="2"/>
                <w:sz w:val="21"/>
                <w:szCs w:val="21"/>
                <w:highlight w:val="none"/>
                <w:lang w:val="en-US" w:eastAsia="zh-CN" w:bidi="ar-SA"/>
              </w:rPr>
            </w:pPr>
            <w:r>
              <w:rPr>
                <w:rFonts w:hint="eastAsia" w:ascii="仿宋_GB2312" w:hAnsi="仿宋_GB2312" w:eastAsia="仿宋_GB2312" w:cs="仿宋_GB2312"/>
                <w:bCs/>
                <w:kern w:val="2"/>
                <w:sz w:val="21"/>
                <w:szCs w:val="21"/>
                <w:highlight w:val="none"/>
                <w:lang w:val="en-US" w:eastAsia="zh-CN" w:bidi="ar-SA"/>
              </w:rPr>
              <w:t>M为产品成立日至估值日的扣除超额业绩报酬前的期间年化收益率，根据产品成立日前一自然日产品单位净值和估值日的扣除超额业绩报酬前单位净值计算得出。如果本期间内有分红，应将分红金额加回再计算估值日单位净值；</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firstLine="420" w:firstLineChars="200"/>
              <w:textAlignment w:val="auto"/>
              <w:outlineLvl w:val="9"/>
              <w:rPr>
                <w:rFonts w:hint="eastAsia" w:ascii="仿宋_GB2312" w:hAnsi="仿宋_GB2312" w:eastAsia="仿宋_GB2312" w:cs="仿宋_GB2312"/>
                <w:bCs/>
                <w:kern w:val="2"/>
                <w:sz w:val="21"/>
                <w:szCs w:val="21"/>
                <w:highlight w:val="none"/>
                <w:lang w:val="en-US" w:eastAsia="zh-CN" w:bidi="ar-SA"/>
              </w:rPr>
            </w:pPr>
            <w:r>
              <w:rPr>
                <w:rFonts w:hint="eastAsia" w:ascii="仿宋_GB2312" w:hAnsi="仿宋_GB2312" w:eastAsia="仿宋_GB2312" w:cs="仿宋_GB2312"/>
                <w:bCs/>
                <w:kern w:val="2"/>
                <w:sz w:val="21"/>
                <w:szCs w:val="21"/>
                <w:highlight w:val="none"/>
                <w:lang w:val="en-US" w:eastAsia="zh-CN" w:bidi="ar-SA"/>
              </w:rPr>
              <w:t>N为超额业绩报酬计提基准；</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firstLine="420" w:firstLineChars="200"/>
              <w:textAlignment w:val="auto"/>
              <w:outlineLvl w:val="9"/>
              <w:rPr>
                <w:rFonts w:hint="eastAsia" w:ascii="仿宋_GB2312" w:hAnsi="仿宋_GB2312" w:eastAsia="仿宋_GB2312" w:cs="仿宋_GB2312"/>
                <w:bCs/>
                <w:kern w:val="2"/>
                <w:sz w:val="21"/>
                <w:szCs w:val="21"/>
                <w:highlight w:val="none"/>
                <w:lang w:val="en-US" w:eastAsia="zh-CN" w:bidi="ar-SA"/>
              </w:rPr>
            </w:pPr>
            <w:r>
              <w:rPr>
                <w:rFonts w:hint="eastAsia" w:ascii="仿宋_GB2312" w:hAnsi="仿宋_GB2312" w:eastAsia="仿宋_GB2312" w:cs="仿宋_GB2312"/>
                <w:bCs/>
                <w:kern w:val="2"/>
                <w:sz w:val="21"/>
                <w:szCs w:val="21"/>
                <w:highlight w:val="none"/>
                <w:lang w:val="en-US" w:eastAsia="zh-CN" w:bidi="ar-SA"/>
              </w:rPr>
              <w:t>P为产品成立日（含）至估值日（含）的期间天数；</w:t>
            </w:r>
          </w:p>
          <w:p>
            <w:pPr>
              <w:pStyle w:val="23"/>
              <w:keepNext w:val="0"/>
              <w:keepLines w:val="0"/>
              <w:pageBreakBefore w:val="0"/>
              <w:kinsoku/>
              <w:wordWrap/>
              <w:overflowPunct/>
              <w:topLinePunct w:val="0"/>
              <w:bidi w:val="0"/>
              <w:snapToGrid/>
              <w:spacing w:line="320" w:lineRule="exact"/>
              <w:ind w:firstLine="0" w:firstLineChars="0"/>
              <w:textAlignment w:val="auto"/>
              <w:outlineLvl w:val="9"/>
              <w:rPr>
                <w:rFonts w:hint="eastAsia" w:ascii="仿宋_GB2312" w:hAnsi="仿宋_GB2312" w:eastAsia="仿宋_GB2312" w:cs="仿宋_GB2312"/>
                <w:b/>
                <w:bCs/>
                <w:sz w:val="21"/>
                <w:szCs w:val="21"/>
                <w:highlight w:val="none"/>
              </w:rPr>
            </w:pPr>
            <w:r>
              <w:rPr>
                <w:rFonts w:hint="eastAsia" w:ascii="仿宋_GB2312" w:hAnsi="仿宋_GB2312" w:eastAsia="仿宋_GB2312" w:cs="仿宋_GB2312"/>
                <w:bCs/>
                <w:kern w:val="2"/>
                <w:sz w:val="21"/>
                <w:szCs w:val="21"/>
                <w:highlight w:val="none"/>
                <w:lang w:val="en-US" w:eastAsia="zh-CN" w:bidi="ar-SA"/>
              </w:rPr>
              <w:t>R为产品管理人收取超额业绩报酬的比例</w:t>
            </w:r>
            <w:r>
              <w:rPr>
                <w:rFonts w:hint="eastAsia" w:ascii="仿宋_GB2312" w:hAnsi="仿宋_GB2312" w:eastAsia="仿宋_GB2312" w:cs="仿宋_GB2312"/>
                <w:bCs/>
                <w:sz w:val="21"/>
                <w:szCs w:val="21"/>
                <w:highlight w:val="none"/>
              </w:rPr>
              <w:t>。</w:t>
            </w:r>
          </w:p>
          <w:p>
            <w:pPr>
              <w:pStyle w:val="23"/>
              <w:keepNext w:val="0"/>
              <w:keepLines w:val="0"/>
              <w:pageBreakBefore w:val="0"/>
              <w:kinsoku/>
              <w:wordWrap/>
              <w:overflowPunct/>
              <w:topLinePunct w:val="0"/>
              <w:bidi w:val="0"/>
              <w:snapToGrid/>
              <w:spacing w:line="320" w:lineRule="exact"/>
              <w:ind w:firstLine="0" w:firstLineChars="0"/>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3．本产品运作过程中涉及的各纳税主体，其纳税义务按国家税收法律、法规执行。本产品运营过程中发生的增值税应税行为，由天津银行申报和缴纳增值税及附加税费，税款从本产品资产总值中扣除。投资者从理财产品取得的收益应缴纳的税款，由投资者自行申报和缴纳。若相关法律法规、税收政策规定产品管理人应代扣代缴相关税款，天津银行有权依法履行代扣代缴义务。</w:t>
            </w:r>
          </w:p>
          <w:p>
            <w:pPr>
              <w:pStyle w:val="23"/>
              <w:keepNext w:val="0"/>
              <w:keepLines w:val="0"/>
              <w:pageBreakBefore w:val="0"/>
              <w:kinsoku/>
              <w:wordWrap/>
              <w:overflowPunct/>
              <w:topLinePunct w:val="0"/>
              <w:bidi w:val="0"/>
              <w:snapToGrid/>
              <w:spacing w:line="320" w:lineRule="exact"/>
              <w:ind w:firstLine="0" w:firstLineChars="0"/>
              <w:textAlignment w:val="auto"/>
              <w:outlineLvl w:val="9"/>
              <w:rPr>
                <w:rFonts w:hint="eastAsia" w:ascii="仿宋_GB2312" w:hAnsi="仿宋_GB2312" w:eastAsia="仿宋_GB2312" w:cs="仿宋_GB2312"/>
                <w:b/>
                <w:kern w:val="0"/>
                <w:sz w:val="21"/>
                <w:szCs w:val="21"/>
                <w:highlight w:val="none"/>
              </w:rPr>
            </w:pPr>
            <w:r>
              <w:rPr>
                <w:rFonts w:hint="eastAsia" w:ascii="仿宋_GB2312" w:hAnsi="仿宋_GB2312" w:eastAsia="仿宋_GB2312" w:cs="仿宋_GB2312"/>
                <w:b/>
                <w:kern w:val="0"/>
                <w:sz w:val="21"/>
                <w:szCs w:val="21"/>
                <w:highlight w:val="none"/>
              </w:rPr>
              <w:t>4.天津银行有权根据相关法律、国家政策规定以及市场情况，依照本说明书的约定予以公告后，对本理财产品收费项目、条件、标准和方式进行调整。投资人对此无异议且同意在上述调整情况下继续持有本理财产品。若投资人不同意上述调整，可在上述调整生效前赎回所持有理财产品份额。若客户未在规定时间内提前赎回本产品，则视为对相关调整无异议且同意在调整后继续持有本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3" w:hRule="atLeast"/>
        </w:trPr>
        <w:tc>
          <w:tcPr>
            <w:tcW w:w="1951" w:type="dxa"/>
            <w:vAlign w:val="center"/>
          </w:tcPr>
          <w:p>
            <w:pPr>
              <w:keepNext w:val="0"/>
              <w:keepLines w:val="0"/>
              <w:pageBreakBefore w:val="0"/>
              <w:kinsoku/>
              <w:wordWrap/>
              <w:overflowPunct/>
              <w:topLinePunct w:val="0"/>
              <w:bidi w:val="0"/>
              <w:snapToGrid/>
              <w:spacing w:line="320" w:lineRule="exact"/>
              <w:jc w:val="center"/>
              <w:textAlignment w:val="auto"/>
              <w:outlineLvl w:val="9"/>
              <w:rPr>
                <w:rFonts w:hint="eastAsia" w:ascii="仿宋_GB2312" w:hAnsi="仿宋_GB2312" w:eastAsia="仿宋_GB2312" w:cs="仿宋_GB2312"/>
                <w:b/>
                <w:kern w:val="0"/>
                <w:sz w:val="24"/>
                <w:szCs w:val="24"/>
                <w:highlight w:val="none"/>
              </w:rPr>
            </w:pPr>
            <w:r>
              <w:rPr>
                <w:rFonts w:hint="eastAsia" w:ascii="仿宋_GB2312" w:hAnsi="仿宋_GB2312" w:eastAsia="仿宋_GB2312" w:cs="仿宋_GB2312"/>
                <w:b/>
                <w:kern w:val="0"/>
                <w:sz w:val="24"/>
                <w:szCs w:val="24"/>
                <w:highlight w:val="none"/>
              </w:rPr>
              <w:t>理财产品</w:t>
            </w:r>
          </w:p>
          <w:p>
            <w:pPr>
              <w:keepNext w:val="0"/>
              <w:keepLines w:val="0"/>
              <w:pageBreakBefore w:val="0"/>
              <w:kinsoku/>
              <w:wordWrap/>
              <w:overflowPunct/>
              <w:topLinePunct w:val="0"/>
              <w:bidi w:val="0"/>
              <w:snapToGrid/>
              <w:spacing w:line="320" w:lineRule="exact"/>
              <w:jc w:val="center"/>
              <w:textAlignment w:val="auto"/>
              <w:outlineLvl w:val="9"/>
              <w:rPr>
                <w:rFonts w:hint="eastAsia" w:ascii="仿宋_GB2312" w:hAnsi="仿宋_GB2312" w:eastAsia="仿宋_GB2312" w:cs="仿宋_GB2312"/>
                <w:b/>
                <w:kern w:val="0"/>
                <w:sz w:val="24"/>
                <w:szCs w:val="24"/>
                <w:highlight w:val="none"/>
              </w:rPr>
            </w:pPr>
            <w:r>
              <w:rPr>
                <w:rFonts w:hint="eastAsia" w:ascii="仿宋_GB2312" w:hAnsi="仿宋_GB2312" w:eastAsia="仿宋_GB2312" w:cs="仿宋_GB2312"/>
                <w:b/>
                <w:kern w:val="0"/>
                <w:sz w:val="24"/>
                <w:szCs w:val="24"/>
                <w:highlight w:val="none"/>
              </w:rPr>
              <w:t>份额转让</w:t>
            </w:r>
          </w:p>
        </w:tc>
        <w:tc>
          <w:tcPr>
            <w:tcW w:w="8457" w:type="dxa"/>
            <w:gridSpan w:val="7"/>
            <w:vAlign w:val="center"/>
          </w:tcPr>
          <w:p>
            <w:pPr>
              <w:pStyle w:val="23"/>
              <w:keepNext w:val="0"/>
              <w:keepLines w:val="0"/>
              <w:pageBreakBefore w:val="0"/>
              <w:kinsoku/>
              <w:wordWrap/>
              <w:overflowPunct/>
              <w:topLinePunct w:val="0"/>
              <w:bidi w:val="0"/>
              <w:snapToGrid/>
              <w:spacing w:line="320" w:lineRule="exact"/>
              <w:ind w:firstLine="0" w:firstLineChars="0"/>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kern w:val="0"/>
                <w:sz w:val="21"/>
                <w:szCs w:val="21"/>
                <w:highlight w:val="none"/>
              </w:rPr>
              <w:t>本产品不支持份额转让。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14" w:hRule="atLeast"/>
        </w:trPr>
        <w:tc>
          <w:tcPr>
            <w:tcW w:w="1951" w:type="dxa"/>
            <w:vAlign w:val="center"/>
          </w:tcPr>
          <w:p>
            <w:pPr>
              <w:keepNext w:val="0"/>
              <w:keepLines w:val="0"/>
              <w:pageBreakBefore w:val="0"/>
              <w:kinsoku/>
              <w:wordWrap/>
              <w:overflowPunct/>
              <w:topLinePunct w:val="0"/>
              <w:bidi w:val="0"/>
              <w:snapToGrid/>
              <w:spacing w:line="320" w:lineRule="exact"/>
              <w:jc w:val="center"/>
              <w:textAlignment w:val="auto"/>
              <w:outlineLvl w:val="9"/>
              <w:rPr>
                <w:rFonts w:hint="eastAsia" w:ascii="仿宋_GB2312" w:hAnsi="仿宋_GB2312" w:eastAsia="仿宋_GB2312" w:cs="仿宋_GB2312"/>
                <w:b/>
                <w:kern w:val="0"/>
                <w:sz w:val="24"/>
                <w:szCs w:val="24"/>
                <w:highlight w:val="none"/>
                <w:u w:val="wave"/>
              </w:rPr>
            </w:pPr>
            <w:r>
              <w:rPr>
                <w:rFonts w:hint="eastAsia" w:ascii="仿宋_GB2312" w:hAnsi="仿宋_GB2312" w:eastAsia="仿宋_GB2312" w:cs="仿宋_GB2312"/>
                <w:b/>
                <w:kern w:val="0"/>
                <w:sz w:val="24"/>
                <w:szCs w:val="24"/>
                <w:highlight w:val="none"/>
              </w:rPr>
              <w:t>收益测算</w:t>
            </w:r>
          </w:p>
        </w:tc>
        <w:tc>
          <w:tcPr>
            <w:tcW w:w="8457" w:type="dxa"/>
            <w:gridSpan w:val="7"/>
            <w:vAlign w:val="center"/>
          </w:tcPr>
          <w:p>
            <w:pPr>
              <w:keepNext w:val="0"/>
              <w:keepLines w:val="0"/>
              <w:pageBreakBefore w:val="0"/>
              <w:kinsoku/>
              <w:wordWrap/>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1.客户收益=客户认购份额×（产品到期日或提前终止日产品单位净值-期初产品单位净值），即客户收益=客户认购份额×（产品到期日或提前终止日产品单位净值-1）</w:t>
            </w:r>
          </w:p>
          <w:p>
            <w:pPr>
              <w:keepNext w:val="0"/>
              <w:keepLines w:val="0"/>
              <w:pageBreakBefore w:val="0"/>
              <w:kinsoku/>
              <w:wordWrap/>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2.收益测算示例（测算结果精确到分位）：</w:t>
            </w:r>
          </w:p>
          <w:p>
            <w:pPr>
              <w:keepNext w:val="0"/>
              <w:keepLines w:val="0"/>
              <w:pageBreakBefore w:val="0"/>
              <w:kinsoku/>
              <w:wordWrap/>
              <w:overflowPunct/>
              <w:topLinePunct w:val="0"/>
              <w:bidi w:val="0"/>
              <w:snapToGrid/>
              <w:spacing w:line="320" w:lineRule="exact"/>
              <w:textAlignment w:val="auto"/>
              <w:outlineLvl w:val="9"/>
              <w:rPr>
                <w:rFonts w:hint="eastAsia" w:ascii="仿宋_GB2312" w:hAnsi="仿宋_GB2312" w:eastAsia="仿宋_GB2312" w:cs="仿宋_GB2312"/>
                <w:b/>
                <w:bCs/>
                <w:sz w:val="21"/>
                <w:szCs w:val="21"/>
                <w:highlight w:val="none"/>
              </w:rPr>
            </w:pPr>
            <w:r>
              <w:rPr>
                <w:rFonts w:hint="eastAsia" w:ascii="仿宋_GB2312" w:hAnsi="仿宋_GB2312" w:eastAsia="仿宋_GB2312" w:cs="仿宋_GB2312"/>
                <w:b/>
                <w:bCs/>
                <w:sz w:val="21"/>
                <w:szCs w:val="21"/>
                <w:highlight w:val="none"/>
                <w:lang w:eastAsia="zh-CN"/>
              </w:rPr>
              <w:t>情景一：扣除销售手续费、投资管理费、托管费、产品运营管理费后，年化收益率为业绩比较基准</w:t>
            </w:r>
            <w:r>
              <w:rPr>
                <w:rFonts w:hint="eastAsia" w:ascii="仿宋_GB2312" w:hAnsi="仿宋_GB2312" w:eastAsia="仿宋_GB2312" w:cs="仿宋_GB2312"/>
                <w:b/>
                <w:bCs/>
                <w:sz w:val="21"/>
                <w:szCs w:val="21"/>
                <w:highlight w:val="none"/>
              </w:rPr>
              <w:t>。</w:t>
            </w:r>
          </w:p>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以客户投资1万元为例，购买时产品净值为1.00元，折算份额为10000份。产品到期时，扣除销售手续费、投资管理费、托管费、产品运营管理费后，若产品净值为</w:t>
            </w:r>
            <w:r>
              <w:rPr>
                <w:rFonts w:hint="eastAsia" w:ascii="仿宋_GB2312" w:hAnsi="仿宋_GB2312" w:eastAsia="仿宋_GB2312" w:cs="仿宋_GB2312"/>
                <w:bCs/>
                <w:sz w:val="21"/>
                <w:szCs w:val="21"/>
                <w:highlight w:val="none"/>
                <w:lang w:val="en-US" w:eastAsia="zh-CN"/>
              </w:rPr>
              <w:t>1.010126</w:t>
            </w:r>
            <w:r>
              <w:rPr>
                <w:rFonts w:hint="eastAsia" w:ascii="仿宋_GB2312" w:hAnsi="仿宋_GB2312" w:eastAsia="仿宋_GB2312" w:cs="仿宋_GB2312"/>
                <w:bCs/>
                <w:sz w:val="21"/>
                <w:szCs w:val="21"/>
                <w:highlight w:val="none"/>
              </w:rPr>
              <w:t>，此时年化收益率为(</w:t>
            </w:r>
            <w:r>
              <w:rPr>
                <w:rFonts w:hint="eastAsia" w:ascii="仿宋_GB2312" w:hAnsi="仿宋_GB2312" w:eastAsia="仿宋_GB2312" w:cs="仿宋_GB2312"/>
                <w:bCs/>
                <w:sz w:val="21"/>
                <w:szCs w:val="21"/>
                <w:highlight w:val="none"/>
                <w:lang w:val="en-US" w:eastAsia="zh-CN"/>
              </w:rPr>
              <w:t>1.010126</w:t>
            </w:r>
            <w:r>
              <w:rPr>
                <w:rFonts w:hint="eastAsia" w:ascii="仿宋_GB2312" w:hAnsi="仿宋_GB2312" w:eastAsia="仿宋_GB2312" w:cs="仿宋_GB2312"/>
                <w:bCs/>
                <w:sz w:val="21"/>
                <w:szCs w:val="21"/>
                <w:highlight w:val="none"/>
              </w:rPr>
              <w:t>-1)×365</w:t>
            </w:r>
            <w:r>
              <w:rPr>
                <w:rFonts w:hint="eastAsia" w:ascii="仿宋_GB2312" w:hAnsi="仿宋_GB2312" w:eastAsia="仿宋_GB2312" w:cs="仿宋_GB2312"/>
                <w:bCs/>
                <w:sz w:val="21"/>
                <w:szCs w:val="21"/>
                <w:highlight w:val="none"/>
                <w:lang w:val="en-US" w:eastAsia="zh-CN"/>
              </w:rPr>
              <w:t>/176</w:t>
            </w:r>
            <w:r>
              <w:rPr>
                <w:rFonts w:hint="eastAsia" w:ascii="仿宋_GB2312" w:hAnsi="仿宋_GB2312" w:eastAsia="仿宋_GB2312" w:cs="仿宋_GB2312"/>
                <w:bCs/>
                <w:sz w:val="21"/>
                <w:szCs w:val="21"/>
                <w:highlight w:val="none"/>
              </w:rPr>
              <w:t>=</w:t>
            </w:r>
            <w:r>
              <w:rPr>
                <w:rFonts w:hint="eastAsia" w:ascii="仿宋_GB2312" w:hAnsi="仿宋_GB2312" w:eastAsia="仿宋_GB2312" w:cs="仿宋_GB2312"/>
                <w:bCs/>
                <w:sz w:val="21"/>
                <w:szCs w:val="21"/>
                <w:highlight w:val="none"/>
                <w:lang w:val="en-US" w:eastAsia="zh-CN"/>
              </w:rPr>
              <w:t>2.10%</w:t>
            </w:r>
            <w:r>
              <w:rPr>
                <w:rFonts w:hint="eastAsia" w:ascii="仿宋_GB2312" w:hAnsi="仿宋_GB2312" w:eastAsia="仿宋_GB2312" w:cs="仿宋_GB2312"/>
                <w:bCs/>
                <w:sz w:val="21"/>
                <w:szCs w:val="21"/>
                <w:highlight w:val="none"/>
              </w:rPr>
              <w:t>，客户最终收益为：</w:t>
            </w:r>
          </w:p>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10000×(</w:t>
            </w:r>
            <w:r>
              <w:rPr>
                <w:rFonts w:hint="eastAsia" w:ascii="仿宋_GB2312" w:hAnsi="仿宋_GB2312" w:eastAsia="仿宋_GB2312" w:cs="仿宋_GB2312"/>
                <w:bCs/>
                <w:sz w:val="21"/>
                <w:szCs w:val="21"/>
                <w:highlight w:val="none"/>
                <w:lang w:val="en-US" w:eastAsia="zh-CN"/>
              </w:rPr>
              <w:t>1.010126</w:t>
            </w:r>
            <w:r>
              <w:rPr>
                <w:rFonts w:hint="eastAsia" w:ascii="仿宋_GB2312" w:hAnsi="仿宋_GB2312" w:eastAsia="仿宋_GB2312" w:cs="仿宋_GB2312"/>
                <w:bCs/>
                <w:sz w:val="21"/>
                <w:szCs w:val="21"/>
                <w:highlight w:val="none"/>
              </w:rPr>
              <w:t>-1）=</w:t>
            </w:r>
            <w:r>
              <w:rPr>
                <w:rFonts w:hint="eastAsia" w:ascii="仿宋_GB2312" w:hAnsi="仿宋_GB2312" w:eastAsia="仿宋_GB2312" w:cs="仿宋_GB2312"/>
                <w:bCs/>
                <w:sz w:val="21"/>
                <w:szCs w:val="21"/>
                <w:highlight w:val="none"/>
                <w:lang w:val="en-US" w:eastAsia="zh-CN"/>
              </w:rPr>
              <w:t>101.26</w:t>
            </w:r>
            <w:r>
              <w:rPr>
                <w:rFonts w:hint="eastAsia" w:ascii="仿宋_GB2312" w:hAnsi="仿宋_GB2312" w:eastAsia="仿宋_GB2312" w:cs="仿宋_GB2312"/>
                <w:bCs/>
                <w:sz w:val="21"/>
                <w:szCs w:val="21"/>
                <w:highlight w:val="none"/>
              </w:rPr>
              <w:t>（元）</w:t>
            </w:r>
          </w:p>
          <w:p>
            <w:pPr>
              <w:keepNext w:val="0"/>
              <w:keepLines w:val="0"/>
              <w:pageBreakBefore w:val="0"/>
              <w:kinsoku/>
              <w:wordWrap/>
              <w:overflowPunct/>
              <w:topLinePunct w:val="0"/>
              <w:bidi w:val="0"/>
              <w:snapToGrid/>
              <w:spacing w:line="320" w:lineRule="exact"/>
              <w:textAlignment w:val="auto"/>
              <w:outlineLvl w:val="9"/>
              <w:rPr>
                <w:rFonts w:hint="eastAsia" w:ascii="仿宋_GB2312" w:hAnsi="仿宋_GB2312" w:eastAsia="仿宋_GB2312" w:cs="仿宋_GB2312"/>
                <w:b/>
                <w:bCs/>
                <w:sz w:val="21"/>
                <w:szCs w:val="21"/>
                <w:highlight w:val="none"/>
              </w:rPr>
            </w:pPr>
            <w:r>
              <w:rPr>
                <w:rFonts w:hint="eastAsia" w:ascii="仿宋_GB2312" w:hAnsi="仿宋_GB2312" w:eastAsia="仿宋_GB2312" w:cs="仿宋_GB2312"/>
                <w:b/>
                <w:bCs/>
                <w:sz w:val="21"/>
                <w:szCs w:val="21"/>
                <w:highlight w:val="none"/>
                <w:lang w:eastAsia="zh-CN"/>
              </w:rPr>
              <w:t>情景二</w:t>
            </w:r>
            <w:r>
              <w:rPr>
                <w:rFonts w:hint="eastAsia" w:ascii="仿宋_GB2312" w:hAnsi="仿宋_GB2312" w:eastAsia="仿宋_GB2312" w:cs="仿宋_GB2312"/>
                <w:b/>
                <w:bCs/>
                <w:sz w:val="21"/>
                <w:szCs w:val="21"/>
                <w:highlight w:val="none"/>
              </w:rPr>
              <w:t>：最不利情况，扣除销售手续费、投资管理费、托管费、产品运营管理费后，收益率为负。</w:t>
            </w:r>
          </w:p>
          <w:p>
            <w:pPr>
              <w:keepNext w:val="0"/>
              <w:keepLines w:val="0"/>
              <w:pageBreakBefore w:val="0"/>
              <w:kinsoku/>
              <w:wordWrap/>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以客户投资1万元为例，购买时产品净值为1.00元，折算份额为10000份。产品到期时，扣除销售手续费、投资管理费、托管费、产品运营管理费后，若产品净值为0.998</w:t>
            </w:r>
            <w:r>
              <w:rPr>
                <w:rFonts w:hint="eastAsia" w:ascii="仿宋_GB2312" w:hAnsi="仿宋_GB2312" w:eastAsia="仿宋_GB2312" w:cs="仿宋_GB2312"/>
                <w:bCs/>
                <w:sz w:val="21"/>
                <w:szCs w:val="21"/>
                <w:highlight w:val="none"/>
                <w:lang w:val="en-US" w:eastAsia="zh-CN"/>
              </w:rPr>
              <w:t>000</w:t>
            </w:r>
            <w:r>
              <w:rPr>
                <w:rFonts w:hint="eastAsia" w:ascii="仿宋_GB2312" w:hAnsi="仿宋_GB2312" w:eastAsia="仿宋_GB2312" w:cs="仿宋_GB2312"/>
                <w:bCs/>
                <w:sz w:val="21"/>
                <w:szCs w:val="21"/>
                <w:highlight w:val="none"/>
              </w:rPr>
              <w:t>，客户最终收益为：</w:t>
            </w:r>
          </w:p>
          <w:p>
            <w:pPr>
              <w:keepNext w:val="0"/>
              <w:keepLines w:val="0"/>
              <w:pageBreakBefore w:val="0"/>
              <w:kinsoku/>
              <w:wordWrap/>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10000×（0.998</w:t>
            </w:r>
            <w:r>
              <w:rPr>
                <w:rFonts w:hint="eastAsia" w:ascii="仿宋_GB2312" w:hAnsi="仿宋_GB2312" w:eastAsia="仿宋_GB2312" w:cs="仿宋_GB2312"/>
                <w:bCs/>
                <w:sz w:val="21"/>
                <w:szCs w:val="21"/>
                <w:highlight w:val="none"/>
                <w:lang w:val="en-US" w:eastAsia="zh-CN"/>
              </w:rPr>
              <w:t>000</w:t>
            </w:r>
            <w:r>
              <w:rPr>
                <w:rFonts w:hint="eastAsia" w:ascii="仿宋_GB2312" w:hAnsi="仿宋_GB2312" w:eastAsia="仿宋_GB2312" w:cs="仿宋_GB2312"/>
                <w:bCs/>
                <w:sz w:val="21"/>
                <w:szCs w:val="21"/>
                <w:highlight w:val="none"/>
              </w:rPr>
              <w:t>-1）=-20（元）。</w:t>
            </w:r>
          </w:p>
          <w:p>
            <w:pPr>
              <w:pStyle w:val="22"/>
              <w:keepNext w:val="0"/>
              <w:keepLines w:val="0"/>
              <w:pageBreakBefore w:val="0"/>
              <w:kinsoku/>
              <w:wordWrap/>
              <w:overflowPunct/>
              <w:topLinePunct w:val="0"/>
              <w:bidi w:val="0"/>
              <w:snapToGrid/>
              <w:spacing w:line="320" w:lineRule="exact"/>
              <w:jc w:val="both"/>
              <w:textAlignment w:val="auto"/>
              <w:outlineLvl w:val="9"/>
              <w:rPr>
                <w:rFonts w:hint="eastAsia" w:ascii="仿宋_GB2312" w:hAnsi="仿宋_GB2312" w:eastAsia="仿宋_GB2312" w:cs="仿宋_GB2312"/>
                <w:bCs/>
                <w:color w:val="auto"/>
                <w:kern w:val="2"/>
                <w:sz w:val="21"/>
                <w:szCs w:val="21"/>
                <w:highlight w:val="none"/>
              </w:rPr>
            </w:pPr>
            <w:r>
              <w:rPr>
                <w:rFonts w:hint="eastAsia" w:ascii="仿宋_GB2312" w:hAnsi="仿宋_GB2312" w:eastAsia="仿宋_GB2312" w:cs="仿宋_GB2312"/>
                <w:bCs/>
                <w:color w:val="auto"/>
                <w:kern w:val="2"/>
                <w:sz w:val="21"/>
                <w:szCs w:val="21"/>
                <w:highlight w:val="none"/>
              </w:rPr>
              <w:t>说明：折算年化收益率公式为（产品到期单位净值－期初单位净值）×365÷(产品到期单位净值对应日期 －期初单位净值对应日期)，理财产品计息基础为365。</w:t>
            </w:r>
          </w:p>
          <w:p>
            <w:pPr>
              <w:pStyle w:val="22"/>
              <w:keepNext w:val="0"/>
              <w:keepLines w:val="0"/>
              <w:pageBreakBefore w:val="0"/>
              <w:kinsoku/>
              <w:wordWrap/>
              <w:overflowPunct/>
              <w:topLinePunct w:val="0"/>
              <w:bidi w:val="0"/>
              <w:snapToGrid/>
              <w:spacing w:line="320" w:lineRule="exact"/>
              <w:ind w:firstLine="422" w:firstLineChars="200"/>
              <w:jc w:val="both"/>
              <w:textAlignment w:val="auto"/>
              <w:outlineLvl w:val="9"/>
              <w:rPr>
                <w:rFonts w:hint="eastAsia" w:ascii="仿宋_GB2312" w:hAnsi="仿宋_GB2312" w:eastAsia="仿宋_GB2312" w:cs="仿宋_GB2312"/>
                <w:b/>
                <w:bCs/>
                <w:color w:val="auto"/>
                <w:kern w:val="2"/>
                <w:sz w:val="21"/>
                <w:szCs w:val="21"/>
                <w:highlight w:val="none"/>
              </w:rPr>
            </w:pPr>
            <w:r>
              <w:rPr>
                <w:rFonts w:hint="eastAsia" w:ascii="仿宋_GB2312" w:hAnsi="仿宋_GB2312" w:eastAsia="仿宋_GB2312" w:cs="仿宋_GB2312"/>
                <w:b/>
                <w:bCs/>
                <w:color w:val="auto"/>
                <w:kern w:val="2"/>
                <w:sz w:val="21"/>
                <w:szCs w:val="21"/>
                <w:highlight w:val="none"/>
              </w:rPr>
              <w:t>上述情况与举例仅为向客户介绍收益计算方法之用，并不代表以上的所有情景或某一情景一定会发生，或天津银行认为发生的可能性很大。</w:t>
            </w:r>
          </w:p>
          <w:p>
            <w:pPr>
              <w:keepNext w:val="0"/>
              <w:keepLines w:val="0"/>
              <w:pageBreakBefore w:val="0"/>
              <w:kinsoku/>
              <w:wordWrap/>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
                <w:bCs/>
                <w:sz w:val="21"/>
                <w:szCs w:val="21"/>
                <w:highlight w:val="none"/>
              </w:rPr>
              <w:t>测算收益采用假设数据计算，不作为最终收益的计算依据，不等于实际收益，投资须谨慎。客户所能获得的最终收益以天津银行实际支付为准。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2" w:hRule="atLeast"/>
        </w:trPr>
        <w:tc>
          <w:tcPr>
            <w:tcW w:w="1951" w:type="dxa"/>
            <w:vAlign w:val="center"/>
          </w:tcPr>
          <w:p>
            <w:pPr>
              <w:keepNext w:val="0"/>
              <w:keepLines w:val="0"/>
              <w:pageBreakBefore w:val="0"/>
              <w:kinsoku/>
              <w:wordWrap/>
              <w:overflowPunct/>
              <w:topLinePunct w:val="0"/>
              <w:bidi w:val="0"/>
              <w:snapToGrid/>
              <w:spacing w:line="320" w:lineRule="exact"/>
              <w:jc w:val="center"/>
              <w:textAlignment w:val="auto"/>
              <w:outlineLvl w:val="9"/>
              <w:rPr>
                <w:rFonts w:hint="eastAsia" w:ascii="仿宋_GB2312" w:hAnsi="仿宋_GB2312" w:eastAsia="仿宋_GB2312" w:cs="仿宋_GB2312"/>
                <w:b/>
                <w:kern w:val="0"/>
                <w:sz w:val="24"/>
                <w:szCs w:val="24"/>
                <w:highlight w:val="none"/>
              </w:rPr>
            </w:pPr>
            <w:r>
              <w:rPr>
                <w:rFonts w:hint="eastAsia" w:ascii="仿宋_GB2312" w:hAnsi="仿宋_GB2312" w:eastAsia="仿宋_GB2312" w:cs="仿宋_GB2312"/>
                <w:b/>
                <w:kern w:val="0"/>
                <w:sz w:val="24"/>
                <w:szCs w:val="24"/>
                <w:highlight w:val="none"/>
              </w:rPr>
              <w:t>估值管理</w:t>
            </w:r>
          </w:p>
        </w:tc>
        <w:tc>
          <w:tcPr>
            <w:tcW w:w="8457" w:type="dxa"/>
            <w:gridSpan w:val="7"/>
            <w:vAlign w:val="center"/>
          </w:tcPr>
          <w:p>
            <w:pPr>
              <w:keepNext w:val="0"/>
              <w:keepLines w:val="0"/>
              <w:pageBreakBefore w:val="0"/>
              <w:kinsoku/>
              <w:wordWrap/>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一、估值原则</w:t>
            </w:r>
          </w:p>
          <w:p>
            <w:pPr>
              <w:keepNext w:val="0"/>
              <w:keepLines w:val="0"/>
              <w:pageBreakBefore w:val="0"/>
              <w:kinsoku/>
              <w:wordWrap/>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（一）适配性原则。金融资产的公允价值确定方法应与理财产品的类型相匹配。</w:t>
            </w:r>
          </w:p>
          <w:p>
            <w:pPr>
              <w:keepNext w:val="0"/>
              <w:keepLines w:val="0"/>
              <w:pageBreakBefore w:val="0"/>
              <w:kinsoku/>
              <w:wordWrap/>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（二）审慎性原则。审慎确认和计量金融资产的公允价值时，不高估公允价值收益，不低估公允 价值损失。</w:t>
            </w:r>
          </w:p>
          <w:p>
            <w:pPr>
              <w:keepNext w:val="0"/>
              <w:keepLines w:val="0"/>
              <w:pageBreakBefore w:val="0"/>
              <w:kinsoku/>
              <w:wordWrap/>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（三）充分性原则。估值过程中充分考虑金融资产的性质、重要性及复杂程度等因素。</w:t>
            </w:r>
          </w:p>
          <w:p>
            <w:pPr>
              <w:keepNext w:val="0"/>
              <w:keepLines w:val="0"/>
              <w:pageBreakBefore w:val="0"/>
              <w:kinsoku/>
              <w:wordWrap/>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（四）清晰性原则。估值方法应清晰明了，便于理解和应用，能清晰反应金融资产的性质。</w:t>
            </w:r>
          </w:p>
          <w:p>
            <w:pPr>
              <w:keepNext w:val="0"/>
              <w:keepLines w:val="0"/>
              <w:pageBreakBefore w:val="0"/>
              <w:kinsoku/>
              <w:wordWrap/>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二、估值对象</w:t>
            </w:r>
          </w:p>
          <w:p>
            <w:pPr>
              <w:keepNext w:val="0"/>
              <w:keepLines w:val="0"/>
              <w:pageBreakBefore w:val="0"/>
              <w:kinsoku/>
              <w:wordWrap/>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本理财产品所持有的所有资产。</w:t>
            </w:r>
          </w:p>
          <w:p>
            <w:pPr>
              <w:keepNext w:val="0"/>
              <w:keepLines w:val="0"/>
              <w:pageBreakBefore w:val="0"/>
              <w:kinsoku/>
              <w:wordWrap/>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三、估值方法</w:t>
            </w:r>
          </w:p>
          <w:p>
            <w:pPr>
              <w:keepNext w:val="0"/>
              <w:keepLines w:val="0"/>
              <w:pageBreakBefore w:val="0"/>
              <w:kinsoku/>
              <w:wordWrap/>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（一）现金、银行存款</w:t>
            </w:r>
          </w:p>
          <w:p>
            <w:pPr>
              <w:keepNext w:val="0"/>
              <w:keepLines w:val="0"/>
              <w:pageBreakBefore w:val="0"/>
              <w:kinsoku/>
              <w:wordWrap/>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以本金列示，逐日计提银行存款利息，按商定利率确认存款利息收入。</w:t>
            </w:r>
          </w:p>
          <w:p>
            <w:pPr>
              <w:keepNext w:val="0"/>
              <w:keepLines w:val="0"/>
              <w:pageBreakBefore w:val="0"/>
              <w:kinsoku/>
              <w:wordWrap/>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（二）货币市场工具（质押式回购、同业拆借等）</w:t>
            </w:r>
          </w:p>
          <w:p>
            <w:pPr>
              <w:keepNext w:val="0"/>
              <w:keepLines w:val="0"/>
              <w:pageBreakBefore w:val="0"/>
              <w:kinsoku/>
              <w:wordWrap/>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以本金列示，按商定利率逐日计提利息收入/支出。</w:t>
            </w:r>
          </w:p>
          <w:p>
            <w:pPr>
              <w:keepNext w:val="0"/>
              <w:keepLines w:val="0"/>
              <w:pageBreakBefore w:val="0"/>
              <w:kinsoku/>
              <w:wordWrap/>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（三）银行间市场和证券交易所流通的债券等标准化固定收益类资产</w:t>
            </w:r>
          </w:p>
          <w:p>
            <w:pPr>
              <w:keepNext w:val="0"/>
              <w:keepLines w:val="0"/>
              <w:pageBreakBefore w:val="0"/>
              <w:kinsoku/>
              <w:wordWrap/>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1、银行间固定收益类证券</w:t>
            </w:r>
          </w:p>
          <w:p>
            <w:pPr>
              <w:keepNext w:val="0"/>
              <w:keepLines w:val="0"/>
              <w:pageBreakBefore w:val="0"/>
              <w:kinsoku/>
              <w:wordWrap/>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以公允价值估值，主要依据为第三方估值机构即中央国债登记结算公司（以下简称“中债”）提供的价格数据。</w:t>
            </w:r>
          </w:p>
          <w:p>
            <w:pPr>
              <w:keepNext w:val="0"/>
              <w:keepLines w:val="0"/>
              <w:pageBreakBefore w:val="0"/>
              <w:kinsoku/>
              <w:wordWrap/>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（1）对银行间市场上不含权的固定收益品种，选取中债提供的相应品种当日的估值净价。</w:t>
            </w:r>
          </w:p>
          <w:p>
            <w:pPr>
              <w:keepNext w:val="0"/>
              <w:keepLines w:val="0"/>
              <w:pageBreakBefore w:val="0"/>
              <w:kinsoku/>
              <w:wordWrap/>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2）对银行间市场上含权的固定收益品种，选取中债提供的相应品种当日的唯一估值净价或推荐估值净价。对于含投资人回售权的固定收益品种，回售登记截止日（含当日）后未行使回售权的按照长待偿期所对应的价格进行估值。</w:t>
            </w:r>
          </w:p>
          <w:p>
            <w:pPr>
              <w:keepNext w:val="0"/>
              <w:keepLines w:val="0"/>
              <w:pageBreakBefore w:val="0"/>
              <w:kinsoku/>
              <w:wordWrap/>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（3）对银行间市场未上市，且中债未提供估值价格的固定收益品种，在发行利率和二级市场利率不存在明显差异、未上市期间市场利率没有发生大的变动的情况下，按成本估值。</w:t>
            </w:r>
          </w:p>
          <w:p>
            <w:pPr>
              <w:keepNext w:val="0"/>
              <w:keepLines w:val="0"/>
              <w:pageBreakBefore w:val="0"/>
              <w:kinsoku/>
              <w:wordWrap/>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2、交易所固定收益类证券</w:t>
            </w:r>
          </w:p>
          <w:p>
            <w:pPr>
              <w:keepNext w:val="0"/>
              <w:keepLines w:val="0"/>
              <w:pageBreakBefore w:val="0"/>
              <w:kinsoku/>
              <w:wordWrap/>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以公允价值估值，主要依据为第三方估值机构即中证指数有限公司（以下简称“中证”）提供的价格数据。</w:t>
            </w:r>
          </w:p>
          <w:p>
            <w:pPr>
              <w:keepNext w:val="0"/>
              <w:keepLines w:val="0"/>
              <w:pageBreakBefore w:val="0"/>
              <w:kinsoku/>
              <w:wordWrap/>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（1）对在交易所上市交易或挂牌转让的不含权固定收益品种，选取中证提供的相应品种当日的估值净价。</w:t>
            </w:r>
          </w:p>
          <w:p>
            <w:pPr>
              <w:keepNext w:val="0"/>
              <w:keepLines w:val="0"/>
              <w:pageBreakBefore w:val="0"/>
              <w:kinsoku/>
              <w:wordWrap/>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（2）对在交易所上市交易或挂牌转让的含权固定收益品种，选取中证提供的相应品种当日的唯一估值净价或推荐估值净价。</w:t>
            </w:r>
          </w:p>
          <w:p>
            <w:pPr>
              <w:keepNext w:val="0"/>
              <w:keepLines w:val="0"/>
              <w:pageBreakBefore w:val="0"/>
              <w:kinsoku/>
              <w:wordWrap/>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（3）第三方估值机构提供的估值价格与收盘价存在差异的，若产品管理人认定交易所收盘价更能体现公允价值，可与托管人协商一致后采用收盘价进行估值。</w:t>
            </w:r>
          </w:p>
          <w:p>
            <w:pPr>
              <w:keepNext w:val="0"/>
              <w:keepLines w:val="0"/>
              <w:pageBreakBefore w:val="0"/>
              <w:kinsoku/>
              <w:wordWrap/>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4）证券交易所交易的含有转股券的债券（如：可转换债券、可交换债券等）：对于公开发行的可转债、可交债，实行全价交易的债券按照估值日收盘价减去收盘价中所含债券应收利息后得到的净价进行估值；实行净价交易的债券，采用估值日收盘价估值。对于非公开发行的可转债、可交债，采用第三方估值机构提供的价格数据确定公允价值。</w:t>
            </w:r>
          </w:p>
          <w:p>
            <w:pPr>
              <w:keepNext w:val="0"/>
              <w:keepLines w:val="0"/>
              <w:pageBreakBefore w:val="0"/>
              <w:kinsoku/>
              <w:wordWrap/>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5）对在交易所市场发行未上市或未挂牌转让的债券，对存在活跃市场的情况下，以活跃市场上未经调整的报价作为计量日的公允价值；对于交易量和交易频率不足以反映公允价值的情况下，采用第三方估值机构提供的价格数据或其他估值技术确定公允价值。</w:t>
            </w:r>
          </w:p>
          <w:p>
            <w:pPr>
              <w:keepNext w:val="0"/>
              <w:keepLines w:val="0"/>
              <w:pageBreakBefore w:val="0"/>
              <w:kinsoku/>
              <w:wordWrap/>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3、资产支持证券（ABS）、资产支持票据（ABN）、信贷资产证券化（MBS）、私募债等资产，存在可以确定公允价值的，以公允价值估值，公允价值不能确定的，按照成本估值。</w:t>
            </w:r>
          </w:p>
          <w:p>
            <w:pPr>
              <w:keepNext w:val="0"/>
              <w:keepLines w:val="0"/>
              <w:pageBreakBefore w:val="0"/>
              <w:kinsoku/>
              <w:wordWrap/>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4、同时在多个市场交易的证券</w:t>
            </w:r>
          </w:p>
          <w:p>
            <w:pPr>
              <w:keepNext w:val="0"/>
              <w:keepLines w:val="0"/>
              <w:pageBreakBefore w:val="0"/>
              <w:kinsoku/>
              <w:wordWrap/>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对于具备同时在多个不同市场交易条件的证券，以其实际发生交易所处市场及相应估值标准进行估值。</w:t>
            </w:r>
          </w:p>
          <w:p>
            <w:pPr>
              <w:keepNext w:val="0"/>
              <w:keepLines w:val="0"/>
              <w:pageBreakBefore w:val="0"/>
              <w:kinsoku/>
              <w:wordWrap/>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（四）非标准化债权类资产</w:t>
            </w:r>
          </w:p>
          <w:p>
            <w:pPr>
              <w:keepNext w:val="0"/>
              <w:keepLines w:val="0"/>
              <w:pageBreakBefore w:val="0"/>
              <w:kinsoku/>
              <w:wordWrap/>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按照公允价值估值，不能确定公允价值的，采用估值技术进行估值。</w:t>
            </w:r>
          </w:p>
          <w:p>
            <w:pPr>
              <w:keepNext w:val="0"/>
              <w:keepLines w:val="0"/>
              <w:pageBreakBefore w:val="0"/>
              <w:kinsoku/>
              <w:wordWrap/>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（五）证券投资基金</w:t>
            </w:r>
          </w:p>
          <w:p>
            <w:pPr>
              <w:keepNext w:val="0"/>
              <w:keepLines w:val="0"/>
              <w:pageBreakBefore w:val="0"/>
              <w:kinsoku/>
              <w:wordWrap/>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以公允价值进行估值。</w:t>
            </w:r>
          </w:p>
          <w:p>
            <w:pPr>
              <w:keepNext w:val="0"/>
              <w:keepLines w:val="0"/>
              <w:pageBreakBefore w:val="0"/>
              <w:kinsoku/>
              <w:wordWrap/>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1、非上市基金估值</w:t>
            </w:r>
          </w:p>
          <w:p>
            <w:pPr>
              <w:keepNext w:val="0"/>
              <w:keepLines w:val="0"/>
              <w:pageBreakBefore w:val="0"/>
              <w:kinsoku/>
              <w:wordWrap/>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（1）理财产品投资的境内非货币市场基金，按所投资基金估值日的份额净值估值。</w:t>
            </w:r>
          </w:p>
          <w:p>
            <w:pPr>
              <w:keepNext w:val="0"/>
              <w:keepLines w:val="0"/>
              <w:pageBreakBefore w:val="0"/>
              <w:kinsoku/>
              <w:wordWrap/>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（2）理财产品投资的境内货币市场基金，按所投资基金前一估值日后至估值日期间（含节假日）的万份收益计提估值日基金收益。</w:t>
            </w:r>
          </w:p>
          <w:p>
            <w:pPr>
              <w:keepNext w:val="0"/>
              <w:keepLines w:val="0"/>
              <w:pageBreakBefore w:val="0"/>
              <w:kinsoku/>
              <w:wordWrap/>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2、上市基金估值</w:t>
            </w:r>
          </w:p>
          <w:p>
            <w:pPr>
              <w:keepNext w:val="0"/>
              <w:keepLines w:val="0"/>
              <w:pageBreakBefore w:val="0"/>
              <w:kinsoku/>
              <w:wordWrap/>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（1）理财产品投资的ETF基金，按所投资ETF基金估值日的收盘价估值。</w:t>
            </w:r>
          </w:p>
          <w:p>
            <w:pPr>
              <w:keepNext w:val="0"/>
              <w:keepLines w:val="0"/>
              <w:pageBreakBefore w:val="0"/>
              <w:kinsoku/>
              <w:wordWrap/>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（2）理财产品投资的境内上市开放式基金（LOF），按所投资基金估值日的份额净值估值。</w:t>
            </w:r>
          </w:p>
          <w:p>
            <w:pPr>
              <w:keepNext w:val="0"/>
              <w:keepLines w:val="0"/>
              <w:pageBreakBefore w:val="0"/>
              <w:kinsoku/>
              <w:wordWrap/>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（3）理财产品投资的境内上市定期开放式基金、封闭式基金，按所投资基金估值日的收盘价估值。</w:t>
            </w:r>
          </w:p>
          <w:p>
            <w:pPr>
              <w:keepNext w:val="0"/>
              <w:keepLines w:val="0"/>
              <w:pageBreakBefore w:val="0"/>
              <w:kinsoku/>
              <w:wordWrap/>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4）理财产品投资的境内上市交易型货币市场基金，如所投资基金披露份额净值，则按所投资基金估值日的份额净值估值；如所投资基金披露万份收益，则按所投资基金前一估值日后至估值日期间（含节假日）的万份收益计提估值日基金收益。</w:t>
            </w:r>
          </w:p>
          <w:p>
            <w:pPr>
              <w:keepNext w:val="0"/>
              <w:keepLines w:val="0"/>
              <w:pageBreakBefore w:val="0"/>
              <w:kinsoku/>
              <w:wordWrap/>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3.特殊情况处理</w:t>
            </w:r>
          </w:p>
          <w:p>
            <w:pPr>
              <w:keepNext w:val="0"/>
              <w:keepLines w:val="0"/>
              <w:pageBreakBefore w:val="0"/>
              <w:kinsoku/>
              <w:wordWrap/>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如遇所投资基金不公布基金份额净值、进行折算或拆分、估值日无交易等特殊情况，产品管理人根据以下原则进行估值。</w:t>
            </w:r>
          </w:p>
          <w:p>
            <w:pPr>
              <w:keepNext w:val="0"/>
              <w:keepLines w:val="0"/>
              <w:pageBreakBefore w:val="0"/>
              <w:kinsoku/>
              <w:wordWrap/>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（1）以所投资基金的基金份额净值估值的，若所投资基金与理财产品估值频率一致但未公布估值日基金份额净值，按其最近公布的基金份额净值为基础估值。</w:t>
            </w:r>
          </w:p>
          <w:p>
            <w:pPr>
              <w:keepNext w:val="0"/>
              <w:keepLines w:val="0"/>
              <w:pageBreakBefore w:val="0"/>
              <w:kinsoku/>
              <w:wordWrap/>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2）以所投资基金的收盘价估值的，若估值日无交易，且最近交易日后市场环境未发生重大变化，按最近交易日的收盘价估值；如最近交易日后市场环境发生了重大变化的，可使用最新的基金份额净值为基础或参考类似投资品种的现行市价及重大变化因素调整最近交易市价，确定公允价值。</w:t>
            </w:r>
          </w:p>
          <w:p>
            <w:pPr>
              <w:keepNext w:val="0"/>
              <w:keepLines w:val="0"/>
              <w:pageBreakBefore w:val="0"/>
              <w:kinsoku/>
              <w:wordWrap/>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（3）如果所投资基金前一估值日至估值日期间发生分红除权、折算或拆分，理财产品管理人应根据基金份额净值或收盘价、单位基金份额分红金额、折算拆分比例、持仓份额等因素合理确定公允价值。</w:t>
            </w:r>
          </w:p>
          <w:p>
            <w:pPr>
              <w:keepNext w:val="0"/>
              <w:keepLines w:val="0"/>
              <w:pageBreakBefore w:val="0"/>
              <w:kinsoku/>
              <w:wordWrap/>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（4）当产品管理人认为所投资基金按上述方法存在不公允时，在法律法规允许的范围内，可与托管人协商一致采用合理的估值技术或估值标准确定其公允价值。</w:t>
            </w:r>
          </w:p>
          <w:p>
            <w:pPr>
              <w:keepNext w:val="0"/>
              <w:keepLines w:val="0"/>
              <w:pageBreakBefore w:val="0"/>
              <w:kinsoku/>
              <w:wordWrap/>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（六）摊余成本及减值计提：</w:t>
            </w:r>
          </w:p>
          <w:p>
            <w:pPr>
              <w:keepNext w:val="0"/>
              <w:keepLines w:val="0"/>
              <w:pageBreakBefore w:val="0"/>
              <w:kinsoku/>
              <w:wordWrap/>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对于符合以下条件之一的资产，在通过SPPI测试的情况下，可按照企业会计准则以摊余成本进行计量：</w:t>
            </w:r>
          </w:p>
          <w:p>
            <w:pPr>
              <w:keepNext w:val="0"/>
              <w:keepLines w:val="0"/>
              <w:pageBreakBefore w:val="0"/>
              <w:kinsoku/>
              <w:wordWrap/>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1.所投资产以收取合同现金流为目的并持有到期；</w:t>
            </w:r>
          </w:p>
          <w:p>
            <w:pPr>
              <w:keepNext w:val="0"/>
              <w:keepLines w:val="0"/>
              <w:pageBreakBefore w:val="0"/>
              <w:kinsoku/>
              <w:wordWrap/>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2.所投资产暂不具备活跃交易市场，或者在活跃市场中没有报价、也不能采用估值技术可靠计量公允价值。</w:t>
            </w:r>
          </w:p>
          <w:p>
            <w:pPr>
              <w:keepNext w:val="0"/>
              <w:keepLines w:val="0"/>
              <w:pageBreakBefore w:val="0"/>
              <w:kinsoku/>
              <w:wordWrap/>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在使用摊余成本法进行估值时，需按照会计准则规定采用合理的减值计量模型或第三方减值计量结果进行减值计提。计提减值不等同于金融资产已发生损失，仅为对未来风险的审慎预期。</w:t>
            </w:r>
          </w:p>
          <w:p>
            <w:pPr>
              <w:keepNext w:val="0"/>
              <w:keepLines w:val="0"/>
              <w:pageBreakBefore w:val="0"/>
              <w:kinsoku/>
              <w:wordWrap/>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 xml:space="preserve">（七）若因国家规定或有确凿证据表明按上述方法进行估值不能客观反映其公允价值的，产品管理人可根据具体情况与托管人商定后，按最能反映公允价值的价格估值。 </w:t>
            </w:r>
          </w:p>
          <w:p>
            <w:pPr>
              <w:keepNext w:val="0"/>
              <w:keepLines w:val="0"/>
              <w:pageBreakBefore w:val="0"/>
              <w:kinsoku/>
              <w:wordWrap/>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（八）相关法律法规以及监管部门有其他规定的，从其规定。如有新增或调整事项，按国家相关政策最新规定估值。</w:t>
            </w:r>
          </w:p>
          <w:p>
            <w:pPr>
              <w:keepNext w:val="0"/>
              <w:keepLines w:val="0"/>
              <w:pageBreakBefore w:val="0"/>
              <w:kinsoku/>
              <w:wordWrap/>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（九）估值错误的处理</w:t>
            </w:r>
          </w:p>
          <w:p>
            <w:pPr>
              <w:keepNext w:val="0"/>
              <w:keepLines w:val="0"/>
              <w:pageBreakBefore w:val="0"/>
              <w:kinsoku/>
              <w:wordWrap/>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产品管理人和托管人将采取必要、适当、合理的措施确保产品资产估值的准确性、及时性。当产品份额净值出现错误时，产品管理人应当立即予以纠正，并采取合理的措施防止损失进一步扩大。由于本产品估值所用的价格来源出现错误，或由于其他不可抗力原因，产品管理人和托管人虽然已经采取必要、适当、合理的措施进行检查，但是未能发现该错误的，由此造成的产品资产估值错误，产品管理人和托管人可以免除赔偿责任，但产品管理人和托管人应当积极采取必要的措施消除由此造成的影响。</w:t>
            </w:r>
          </w:p>
          <w:p>
            <w:pPr>
              <w:keepNext w:val="0"/>
              <w:keepLines w:val="0"/>
              <w:pageBreakBefore w:val="0"/>
              <w:kinsoku/>
              <w:wordWrap/>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（十）暂停估值</w:t>
            </w:r>
          </w:p>
          <w:p>
            <w:pPr>
              <w:keepNext w:val="0"/>
              <w:keepLines w:val="0"/>
              <w:pageBreakBefore w:val="0"/>
              <w:kinsoku/>
              <w:wordWrap/>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当产品资产的估值因不可抗力或其他情形致使产品管理人、托管人无法准确评估产品资产价值时或监管机构认定的其他情形，产品管理人可暂停产品的估值直至另行通知。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 w:hRule="atLeast"/>
        </w:trPr>
        <w:tc>
          <w:tcPr>
            <w:tcW w:w="1951" w:type="dxa"/>
            <w:vAlign w:val="center"/>
          </w:tcPr>
          <w:p>
            <w:pPr>
              <w:keepNext w:val="0"/>
              <w:keepLines w:val="0"/>
              <w:pageBreakBefore w:val="0"/>
              <w:kinsoku/>
              <w:wordWrap/>
              <w:overflowPunct/>
              <w:topLinePunct w:val="0"/>
              <w:bidi w:val="0"/>
              <w:snapToGrid/>
              <w:spacing w:line="320" w:lineRule="exact"/>
              <w:jc w:val="center"/>
              <w:textAlignment w:val="auto"/>
              <w:outlineLvl w:val="9"/>
              <w:rPr>
                <w:rFonts w:hint="eastAsia" w:ascii="仿宋_GB2312" w:hAnsi="仿宋_GB2312" w:eastAsia="仿宋_GB2312" w:cs="仿宋_GB2312"/>
                <w:b/>
                <w:kern w:val="0"/>
                <w:sz w:val="24"/>
                <w:szCs w:val="24"/>
                <w:highlight w:val="none"/>
              </w:rPr>
            </w:pPr>
            <w:r>
              <w:rPr>
                <w:rFonts w:hint="eastAsia" w:ascii="仿宋_GB2312" w:hAnsi="仿宋_GB2312" w:eastAsia="仿宋_GB2312" w:cs="仿宋_GB2312"/>
                <w:b/>
                <w:kern w:val="0"/>
                <w:sz w:val="24"/>
                <w:szCs w:val="24"/>
                <w:highlight w:val="none"/>
              </w:rPr>
              <w:t>是否允许撤单</w:t>
            </w:r>
          </w:p>
        </w:tc>
        <w:tc>
          <w:tcPr>
            <w:tcW w:w="8457" w:type="dxa"/>
            <w:gridSpan w:val="7"/>
            <w:vAlign w:val="center"/>
          </w:tcPr>
          <w:p>
            <w:pPr>
              <w:keepNext w:val="0"/>
              <w:keepLines w:val="0"/>
              <w:pageBreakBefore w:val="0"/>
              <w:kinsoku/>
              <w:wordWrap/>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
                <w:bCs/>
                <w:sz w:val="21"/>
                <w:szCs w:val="21"/>
                <w:highlight w:val="none"/>
              </w:rPr>
              <w:t>认购申请在实际募集结束日当天闭市后不允许撤单。闭市时间为</w:t>
            </w:r>
            <w:r>
              <w:rPr>
                <w:rFonts w:hint="eastAsia" w:ascii="仿宋_GB2312" w:hAnsi="仿宋_GB2312" w:eastAsia="仿宋_GB2312" w:cs="仿宋_GB2312"/>
                <w:b/>
                <w:bCs/>
                <w:sz w:val="21"/>
                <w:szCs w:val="21"/>
                <w:highlight w:val="none"/>
                <w:lang w:val="en-US" w:eastAsia="zh-CN"/>
              </w:rPr>
              <w:t>16:30</w:t>
            </w:r>
            <w:r>
              <w:rPr>
                <w:rFonts w:hint="eastAsia" w:ascii="仿宋_GB2312" w:hAnsi="仿宋_GB2312" w:eastAsia="仿宋_GB2312" w:cs="仿宋_GB2312"/>
                <w:b/>
                <w:bCs/>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 w:hRule="atLeast"/>
        </w:trPr>
        <w:tc>
          <w:tcPr>
            <w:tcW w:w="1951" w:type="dxa"/>
            <w:vMerge w:val="restart"/>
            <w:vAlign w:val="center"/>
          </w:tcPr>
          <w:p>
            <w:pPr>
              <w:keepNext w:val="0"/>
              <w:keepLines w:val="0"/>
              <w:pageBreakBefore w:val="0"/>
              <w:kinsoku/>
              <w:wordWrap/>
              <w:overflowPunct/>
              <w:topLinePunct w:val="0"/>
              <w:bidi w:val="0"/>
              <w:snapToGrid/>
              <w:spacing w:line="320" w:lineRule="exact"/>
              <w:jc w:val="center"/>
              <w:textAlignment w:val="auto"/>
              <w:outlineLvl w:val="9"/>
              <w:rPr>
                <w:rFonts w:hint="eastAsia" w:ascii="仿宋_GB2312" w:hAnsi="仿宋_GB2312" w:eastAsia="仿宋_GB2312" w:cs="仿宋_GB2312"/>
                <w:b/>
                <w:kern w:val="0"/>
                <w:sz w:val="24"/>
                <w:szCs w:val="24"/>
                <w:highlight w:val="none"/>
              </w:rPr>
            </w:pPr>
            <w:r>
              <w:rPr>
                <w:rFonts w:hint="eastAsia" w:ascii="仿宋_GB2312" w:hAnsi="仿宋_GB2312" w:eastAsia="仿宋_GB2312" w:cs="仿宋_GB2312"/>
                <w:b/>
                <w:kern w:val="0"/>
                <w:sz w:val="24"/>
                <w:szCs w:val="24"/>
                <w:highlight w:val="none"/>
              </w:rPr>
              <w:t>销售及管理</w:t>
            </w:r>
          </w:p>
        </w:tc>
        <w:tc>
          <w:tcPr>
            <w:tcW w:w="1797" w:type="dxa"/>
            <w:gridSpan w:val="2"/>
            <w:vAlign w:val="center"/>
          </w:tcPr>
          <w:p>
            <w:pPr>
              <w:keepNext w:val="0"/>
              <w:keepLines w:val="0"/>
              <w:pageBreakBefore w:val="0"/>
              <w:kinsoku/>
              <w:wordWrap/>
              <w:overflowPunct/>
              <w:topLinePunct w:val="0"/>
              <w:bidi w:val="0"/>
              <w:snapToGrid/>
              <w:spacing w:line="320" w:lineRule="exact"/>
              <w:jc w:val="center"/>
              <w:textAlignment w:val="auto"/>
              <w:outlineLvl w:val="9"/>
              <w:rPr>
                <w:rFonts w:hint="eastAsia" w:ascii="仿宋_GB2312" w:hAnsi="仿宋_GB2312" w:eastAsia="仿宋_GB2312" w:cs="仿宋_GB2312"/>
                <w:b/>
                <w:bCs/>
                <w:kern w:val="0"/>
                <w:sz w:val="21"/>
                <w:szCs w:val="21"/>
                <w:highlight w:val="none"/>
              </w:rPr>
            </w:pPr>
            <w:r>
              <w:rPr>
                <w:rFonts w:hint="eastAsia" w:ascii="仿宋_GB2312" w:hAnsi="仿宋_GB2312" w:eastAsia="仿宋_GB2312" w:cs="仿宋_GB2312"/>
                <w:b/>
                <w:bCs/>
                <w:kern w:val="0"/>
                <w:sz w:val="21"/>
                <w:szCs w:val="21"/>
                <w:highlight w:val="none"/>
              </w:rPr>
              <w:t>销售</w:t>
            </w:r>
            <w:r>
              <w:rPr>
                <w:rFonts w:hint="eastAsia" w:ascii="仿宋_GB2312" w:hAnsi="仿宋_GB2312" w:eastAsia="仿宋_GB2312" w:cs="仿宋_GB2312"/>
                <w:b/>
                <w:bCs/>
                <w:kern w:val="0"/>
                <w:sz w:val="21"/>
                <w:szCs w:val="21"/>
                <w:highlight w:val="none"/>
                <w:lang w:val="en-US" w:eastAsia="zh-CN"/>
              </w:rPr>
              <w:t>机构</w:t>
            </w:r>
          </w:p>
        </w:tc>
        <w:tc>
          <w:tcPr>
            <w:tcW w:w="6660" w:type="dxa"/>
            <w:gridSpan w:val="5"/>
            <w:vAlign w:val="center"/>
          </w:tcPr>
          <w:p>
            <w:pPr>
              <w:keepNext w:val="0"/>
              <w:keepLines w:val="0"/>
              <w:pageBreakBefore w:val="0"/>
              <w:kinsoku/>
              <w:wordWrap/>
              <w:overflowPunct/>
              <w:topLinePunct w:val="0"/>
              <w:bidi w:val="0"/>
              <w:snapToGrid/>
              <w:spacing w:line="320" w:lineRule="exact"/>
              <w:textAlignment w:val="auto"/>
              <w:outlineLvl w:val="9"/>
              <w:rPr>
                <w:rFonts w:hint="eastAsia" w:ascii="仿宋_GB2312" w:hAnsi="仿宋_GB2312" w:eastAsia="仿宋_GB2312" w:cs="仿宋_GB2312"/>
                <w:b/>
                <w:bCs/>
                <w:sz w:val="21"/>
                <w:szCs w:val="21"/>
                <w:highlight w:val="none"/>
                <w:lang w:val="en-US" w:eastAsia="zh-CN"/>
              </w:rPr>
            </w:pPr>
            <w:r>
              <w:rPr>
                <w:rFonts w:hint="eastAsia" w:ascii="仿宋_GB2312" w:hAnsi="仿宋_GB2312" w:eastAsia="仿宋_GB2312" w:cs="仿宋_GB2312"/>
                <w:b/>
                <w:bCs/>
                <w:sz w:val="21"/>
                <w:szCs w:val="21"/>
                <w:highlight w:val="none"/>
                <w:lang w:val="en-US" w:eastAsia="zh-CN"/>
              </w:rPr>
              <w:t>名称：沧州银行股份有限公司</w:t>
            </w:r>
          </w:p>
          <w:p>
            <w:pPr>
              <w:keepNext w:val="0"/>
              <w:keepLines w:val="0"/>
              <w:pageBreakBefore w:val="0"/>
              <w:kinsoku/>
              <w:wordWrap/>
              <w:overflowPunct/>
              <w:topLinePunct w:val="0"/>
              <w:bidi w:val="0"/>
              <w:snapToGrid/>
              <w:spacing w:line="320" w:lineRule="exact"/>
              <w:textAlignment w:val="auto"/>
              <w:outlineLvl w:val="9"/>
              <w:rPr>
                <w:rFonts w:hint="eastAsia" w:ascii="仿宋_GB2312" w:hAnsi="仿宋_GB2312" w:eastAsia="仿宋_GB2312" w:cs="仿宋_GB2312"/>
                <w:b/>
                <w:bCs/>
                <w:sz w:val="21"/>
                <w:szCs w:val="21"/>
                <w:highlight w:val="none"/>
                <w:lang w:val="en-US" w:eastAsia="zh-CN"/>
              </w:rPr>
            </w:pPr>
            <w:r>
              <w:rPr>
                <w:rFonts w:hint="eastAsia" w:ascii="仿宋_GB2312" w:hAnsi="仿宋_GB2312" w:eastAsia="仿宋_GB2312" w:cs="仿宋_GB2312"/>
                <w:b/>
                <w:bCs/>
                <w:sz w:val="21"/>
                <w:szCs w:val="21"/>
                <w:highlight w:val="none"/>
                <w:lang w:val="en-US" w:eastAsia="zh-CN"/>
              </w:rPr>
              <w:t>销售渠道：手机银行</w:t>
            </w:r>
          </w:p>
          <w:p>
            <w:pPr>
              <w:keepNext w:val="0"/>
              <w:keepLines w:val="0"/>
              <w:pageBreakBefore w:val="0"/>
              <w:kinsoku/>
              <w:wordWrap/>
              <w:overflowPunct/>
              <w:topLinePunct w:val="0"/>
              <w:bidi w:val="0"/>
              <w:snapToGrid/>
              <w:spacing w:line="320" w:lineRule="exact"/>
              <w:textAlignment w:val="auto"/>
              <w:outlineLvl w:val="9"/>
              <w:rPr>
                <w:rFonts w:hint="eastAsia" w:ascii="仿宋_GB2312" w:hAnsi="仿宋_GB2312" w:eastAsia="仿宋_GB2312" w:cs="仿宋_GB2312"/>
                <w:b/>
                <w:bCs/>
                <w:sz w:val="21"/>
                <w:szCs w:val="21"/>
                <w:highlight w:val="none"/>
                <w:lang w:val="en-US" w:eastAsia="zh-CN"/>
              </w:rPr>
            </w:pPr>
            <w:r>
              <w:rPr>
                <w:rFonts w:hint="eastAsia" w:ascii="仿宋_GB2312" w:hAnsi="仿宋_GB2312" w:eastAsia="仿宋_GB2312" w:cs="仿宋_GB2312"/>
                <w:b/>
                <w:bCs/>
                <w:sz w:val="21"/>
                <w:szCs w:val="21"/>
                <w:highlight w:val="none"/>
                <w:lang w:val="en-US" w:eastAsia="zh-CN"/>
              </w:rPr>
              <w:t>客服热线：0317-96328</w:t>
            </w:r>
          </w:p>
          <w:p>
            <w:pPr>
              <w:keepNext w:val="0"/>
              <w:keepLines w:val="0"/>
              <w:pageBreakBefore w:val="0"/>
              <w:kinsoku/>
              <w:wordWrap/>
              <w:overflowPunct/>
              <w:topLinePunct w:val="0"/>
              <w:bidi w:val="0"/>
              <w:snapToGrid/>
              <w:spacing w:line="320" w:lineRule="exact"/>
              <w:textAlignment w:val="auto"/>
              <w:outlineLvl w:val="9"/>
              <w:rPr>
                <w:rFonts w:hint="eastAsia" w:ascii="仿宋_GB2312" w:hAnsi="仿宋_GB2312" w:eastAsia="仿宋_GB2312" w:cs="仿宋_GB2312"/>
                <w:b/>
                <w:bCs/>
                <w:sz w:val="21"/>
                <w:szCs w:val="21"/>
                <w:highlight w:val="none"/>
                <w:lang w:val="en-US" w:eastAsia="zh-CN"/>
              </w:rPr>
            </w:pPr>
            <w:r>
              <w:rPr>
                <w:rFonts w:hint="eastAsia" w:ascii="仿宋_GB2312" w:hAnsi="仿宋_GB2312" w:eastAsia="仿宋_GB2312" w:cs="仿宋_GB2312"/>
                <w:b/>
                <w:bCs/>
                <w:sz w:val="21"/>
                <w:szCs w:val="21"/>
                <w:highlight w:val="none"/>
                <w:lang w:val="en-US" w:eastAsia="zh-CN"/>
              </w:rPr>
              <w:t>产品管理人有权调整本产品的销售机构并及时公告。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 w:hRule="atLeast"/>
        </w:trPr>
        <w:tc>
          <w:tcPr>
            <w:tcW w:w="1951" w:type="dxa"/>
            <w:vMerge w:val="continue"/>
            <w:vAlign w:val="center"/>
          </w:tcPr>
          <w:p>
            <w:pPr>
              <w:keepNext w:val="0"/>
              <w:keepLines w:val="0"/>
              <w:pageBreakBefore w:val="0"/>
              <w:kinsoku/>
              <w:wordWrap/>
              <w:overflowPunct/>
              <w:topLinePunct w:val="0"/>
              <w:bidi w:val="0"/>
              <w:snapToGrid/>
              <w:spacing w:line="320" w:lineRule="exact"/>
              <w:jc w:val="center"/>
              <w:textAlignment w:val="auto"/>
              <w:outlineLvl w:val="9"/>
              <w:rPr>
                <w:rFonts w:hint="eastAsia" w:ascii="仿宋_GB2312" w:hAnsi="仿宋_GB2312" w:eastAsia="仿宋_GB2312" w:cs="仿宋_GB2312"/>
                <w:b/>
                <w:kern w:val="0"/>
                <w:sz w:val="24"/>
                <w:szCs w:val="24"/>
                <w:highlight w:val="none"/>
              </w:rPr>
            </w:pPr>
          </w:p>
        </w:tc>
        <w:tc>
          <w:tcPr>
            <w:tcW w:w="1797" w:type="dxa"/>
            <w:gridSpan w:val="2"/>
            <w:vAlign w:val="center"/>
          </w:tcPr>
          <w:p>
            <w:pPr>
              <w:keepNext w:val="0"/>
              <w:keepLines w:val="0"/>
              <w:pageBreakBefore w:val="0"/>
              <w:kinsoku/>
              <w:wordWrap/>
              <w:overflowPunct/>
              <w:topLinePunct w:val="0"/>
              <w:bidi w:val="0"/>
              <w:snapToGrid/>
              <w:spacing w:line="320" w:lineRule="exact"/>
              <w:jc w:val="center"/>
              <w:textAlignment w:val="auto"/>
              <w:outlineLvl w:val="9"/>
              <w:rPr>
                <w:rFonts w:hint="eastAsia" w:ascii="仿宋_GB2312" w:hAnsi="仿宋_GB2312" w:eastAsia="仿宋_GB2312" w:cs="仿宋_GB2312"/>
                <w:b/>
                <w:sz w:val="21"/>
                <w:szCs w:val="21"/>
                <w:highlight w:val="none"/>
              </w:rPr>
            </w:pPr>
            <w:r>
              <w:rPr>
                <w:rFonts w:hint="eastAsia" w:ascii="仿宋_GB2312" w:hAnsi="仿宋_GB2312" w:eastAsia="仿宋_GB2312" w:cs="仿宋_GB2312"/>
                <w:b/>
                <w:sz w:val="21"/>
                <w:szCs w:val="21"/>
                <w:highlight w:val="none"/>
              </w:rPr>
              <w:t>销售机构</w:t>
            </w:r>
          </w:p>
          <w:p>
            <w:pPr>
              <w:keepNext w:val="0"/>
              <w:keepLines w:val="0"/>
              <w:pageBreakBefore w:val="0"/>
              <w:kinsoku/>
              <w:wordWrap/>
              <w:overflowPunct/>
              <w:topLinePunct w:val="0"/>
              <w:bidi w:val="0"/>
              <w:snapToGrid/>
              <w:spacing w:line="320" w:lineRule="exact"/>
              <w:jc w:val="center"/>
              <w:textAlignment w:val="auto"/>
              <w:outlineLvl w:val="9"/>
              <w:rPr>
                <w:rFonts w:hint="eastAsia" w:ascii="仿宋_GB2312" w:hAnsi="仿宋_GB2312" w:eastAsia="仿宋_GB2312" w:cs="仿宋_GB2312"/>
                <w:b/>
                <w:bCs/>
                <w:kern w:val="0"/>
                <w:sz w:val="21"/>
                <w:szCs w:val="21"/>
                <w:highlight w:val="none"/>
              </w:rPr>
            </w:pPr>
            <w:r>
              <w:rPr>
                <w:rFonts w:hint="eastAsia" w:ascii="仿宋_GB2312" w:hAnsi="仿宋_GB2312" w:eastAsia="仿宋_GB2312" w:cs="仿宋_GB2312"/>
                <w:b/>
                <w:sz w:val="21"/>
                <w:szCs w:val="21"/>
                <w:highlight w:val="none"/>
              </w:rPr>
              <w:t>主要职责</w:t>
            </w:r>
          </w:p>
        </w:tc>
        <w:tc>
          <w:tcPr>
            <w:tcW w:w="6660" w:type="dxa"/>
            <w:gridSpan w:val="5"/>
            <w:vAlign w:val="center"/>
          </w:tcPr>
          <w:p>
            <w:pPr>
              <w:keepNext w:val="0"/>
              <w:keepLines w:val="0"/>
              <w:pageBreakBefore w:val="0"/>
              <w:kinsoku/>
              <w:wordWrap/>
              <w:overflowPunct/>
              <w:topLinePunct w:val="0"/>
              <w:bidi w:val="0"/>
              <w:snapToGrid/>
              <w:spacing w:line="320" w:lineRule="exact"/>
              <w:textAlignment w:val="auto"/>
              <w:outlineLvl w:val="9"/>
              <w:rPr>
                <w:rFonts w:hint="eastAsia" w:ascii="仿宋_GB2312" w:hAnsi="仿宋_GB2312" w:eastAsia="仿宋_GB2312" w:cs="仿宋_GB2312"/>
                <w:bCs/>
                <w:kern w:val="0"/>
                <w:sz w:val="21"/>
                <w:szCs w:val="21"/>
                <w:highlight w:val="none"/>
                <w:lang w:eastAsia="zh-CN"/>
              </w:rPr>
            </w:pPr>
            <w:r>
              <w:rPr>
                <w:rFonts w:hint="eastAsia" w:ascii="仿宋_GB2312" w:hAnsi="仿宋_GB2312" w:eastAsia="仿宋_GB2312" w:cs="仿宋_GB2312"/>
                <w:sz w:val="21"/>
                <w:szCs w:val="21"/>
                <w:highlight w:val="none"/>
              </w:rPr>
              <w:t>负责理财产品宣传推广，投资者风险承受能力评估及投资者适当性管理，理财产品客户身份识别及反洗钱、反恐怖融资及非居民金融账户涉税信息调查，理财产品份额认购/申购/赎回（如有）、合同签署、接受投资者咨询及客户维护等销售服务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 w:hRule="atLeast"/>
        </w:trPr>
        <w:tc>
          <w:tcPr>
            <w:tcW w:w="1951" w:type="dxa"/>
            <w:vMerge w:val="continue"/>
            <w:vAlign w:val="center"/>
          </w:tcPr>
          <w:p>
            <w:pPr>
              <w:keepNext w:val="0"/>
              <w:keepLines w:val="0"/>
              <w:pageBreakBefore w:val="0"/>
              <w:kinsoku/>
              <w:wordWrap/>
              <w:overflowPunct/>
              <w:topLinePunct w:val="0"/>
              <w:bidi w:val="0"/>
              <w:snapToGrid/>
              <w:spacing w:line="320" w:lineRule="exact"/>
              <w:jc w:val="center"/>
              <w:textAlignment w:val="auto"/>
              <w:outlineLvl w:val="9"/>
              <w:rPr>
                <w:rFonts w:hint="eastAsia" w:ascii="仿宋_GB2312" w:hAnsi="仿宋_GB2312" w:eastAsia="仿宋_GB2312" w:cs="仿宋_GB2312"/>
                <w:b/>
                <w:kern w:val="0"/>
                <w:sz w:val="24"/>
                <w:szCs w:val="24"/>
                <w:highlight w:val="none"/>
              </w:rPr>
            </w:pPr>
          </w:p>
        </w:tc>
        <w:tc>
          <w:tcPr>
            <w:tcW w:w="1797" w:type="dxa"/>
            <w:gridSpan w:val="2"/>
            <w:vAlign w:val="center"/>
          </w:tcPr>
          <w:p>
            <w:pPr>
              <w:keepNext w:val="0"/>
              <w:keepLines w:val="0"/>
              <w:pageBreakBefore w:val="0"/>
              <w:kinsoku/>
              <w:wordWrap/>
              <w:overflowPunct/>
              <w:topLinePunct w:val="0"/>
              <w:bidi w:val="0"/>
              <w:snapToGrid/>
              <w:spacing w:line="320" w:lineRule="exact"/>
              <w:jc w:val="center"/>
              <w:textAlignment w:val="auto"/>
              <w:outlineLvl w:val="9"/>
              <w:rPr>
                <w:rFonts w:hint="eastAsia" w:ascii="仿宋_GB2312" w:hAnsi="仿宋_GB2312" w:eastAsia="仿宋_GB2312" w:cs="仿宋_GB2312"/>
                <w:b/>
                <w:bCs/>
                <w:kern w:val="0"/>
                <w:sz w:val="21"/>
                <w:szCs w:val="21"/>
                <w:highlight w:val="none"/>
              </w:rPr>
            </w:pPr>
            <w:r>
              <w:rPr>
                <w:rFonts w:hint="eastAsia" w:ascii="仿宋_GB2312" w:hAnsi="仿宋_GB2312" w:eastAsia="仿宋_GB2312" w:cs="仿宋_GB2312"/>
                <w:b/>
                <w:bCs/>
                <w:kern w:val="0"/>
                <w:sz w:val="21"/>
                <w:szCs w:val="21"/>
                <w:highlight w:val="none"/>
              </w:rPr>
              <w:t>资产管理人</w:t>
            </w:r>
          </w:p>
        </w:tc>
        <w:tc>
          <w:tcPr>
            <w:tcW w:w="6660" w:type="dxa"/>
            <w:gridSpan w:val="5"/>
            <w:vAlign w:val="center"/>
          </w:tcPr>
          <w:p>
            <w:pPr>
              <w:keepNext w:val="0"/>
              <w:keepLines w:val="0"/>
              <w:pageBreakBefore w:val="0"/>
              <w:kinsoku/>
              <w:wordWrap/>
              <w:overflowPunct/>
              <w:topLinePunct w:val="0"/>
              <w:bidi w:val="0"/>
              <w:snapToGrid/>
              <w:spacing w:line="320" w:lineRule="exact"/>
              <w:textAlignment w:val="auto"/>
              <w:outlineLvl w:val="9"/>
              <w:rPr>
                <w:rFonts w:hint="eastAsia" w:ascii="仿宋_GB2312" w:hAnsi="仿宋_GB2312" w:eastAsia="仿宋_GB2312" w:cs="仿宋_GB2312"/>
                <w:bCs/>
                <w:kern w:val="0"/>
                <w:sz w:val="21"/>
                <w:szCs w:val="21"/>
                <w:highlight w:val="none"/>
              </w:rPr>
            </w:pPr>
            <w:r>
              <w:rPr>
                <w:rFonts w:hint="eastAsia" w:ascii="仿宋_GB2312" w:hAnsi="仿宋_GB2312" w:eastAsia="仿宋_GB2312" w:cs="仿宋_GB2312"/>
                <w:bCs/>
                <w:kern w:val="0"/>
                <w:sz w:val="21"/>
                <w:szCs w:val="21"/>
                <w:highlight w:val="none"/>
                <w:lang w:eastAsia="zh-CN"/>
              </w:rPr>
              <w:t>天津银行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 w:hRule="atLeast"/>
        </w:trPr>
        <w:tc>
          <w:tcPr>
            <w:tcW w:w="1951" w:type="dxa"/>
            <w:vMerge w:val="continue"/>
            <w:vAlign w:val="center"/>
          </w:tcPr>
          <w:p>
            <w:pPr>
              <w:keepNext w:val="0"/>
              <w:keepLines w:val="0"/>
              <w:pageBreakBefore w:val="0"/>
              <w:kinsoku/>
              <w:wordWrap/>
              <w:overflowPunct/>
              <w:topLinePunct w:val="0"/>
              <w:bidi w:val="0"/>
              <w:snapToGrid/>
              <w:spacing w:line="320" w:lineRule="exact"/>
              <w:jc w:val="center"/>
              <w:textAlignment w:val="auto"/>
              <w:outlineLvl w:val="9"/>
              <w:rPr>
                <w:rFonts w:hint="eastAsia" w:ascii="仿宋_GB2312" w:hAnsi="仿宋_GB2312" w:eastAsia="仿宋_GB2312" w:cs="仿宋_GB2312"/>
                <w:b/>
                <w:kern w:val="0"/>
                <w:sz w:val="24"/>
                <w:szCs w:val="24"/>
                <w:highlight w:val="none"/>
              </w:rPr>
            </w:pPr>
          </w:p>
        </w:tc>
        <w:tc>
          <w:tcPr>
            <w:tcW w:w="1797" w:type="dxa"/>
            <w:gridSpan w:val="2"/>
            <w:vAlign w:val="center"/>
          </w:tcPr>
          <w:p>
            <w:pPr>
              <w:keepNext w:val="0"/>
              <w:keepLines w:val="0"/>
              <w:pageBreakBefore w:val="0"/>
              <w:kinsoku/>
              <w:wordWrap/>
              <w:overflowPunct/>
              <w:topLinePunct w:val="0"/>
              <w:bidi w:val="0"/>
              <w:snapToGrid/>
              <w:spacing w:line="320" w:lineRule="exact"/>
              <w:jc w:val="center"/>
              <w:textAlignment w:val="auto"/>
              <w:outlineLvl w:val="9"/>
              <w:rPr>
                <w:rFonts w:hint="eastAsia" w:ascii="仿宋_GB2312" w:hAnsi="仿宋_GB2312" w:eastAsia="仿宋_GB2312" w:cs="仿宋_GB2312"/>
                <w:b/>
                <w:bCs/>
                <w:kern w:val="0"/>
                <w:sz w:val="21"/>
                <w:szCs w:val="21"/>
                <w:highlight w:val="none"/>
              </w:rPr>
            </w:pPr>
            <w:r>
              <w:rPr>
                <w:rFonts w:hint="eastAsia" w:ascii="仿宋_GB2312" w:hAnsi="仿宋_GB2312" w:eastAsia="仿宋_GB2312" w:cs="仿宋_GB2312"/>
                <w:b/>
                <w:bCs/>
                <w:kern w:val="0"/>
                <w:sz w:val="21"/>
                <w:szCs w:val="21"/>
                <w:highlight w:val="none"/>
              </w:rPr>
              <w:t>资产托管人信息</w:t>
            </w:r>
          </w:p>
        </w:tc>
        <w:tc>
          <w:tcPr>
            <w:tcW w:w="6660" w:type="dxa"/>
            <w:gridSpan w:val="5"/>
            <w:vAlign w:val="center"/>
          </w:tcPr>
          <w:p>
            <w:pPr>
              <w:keepNext w:val="0"/>
              <w:keepLines w:val="0"/>
              <w:pageBreakBefore w:val="0"/>
              <w:kinsoku/>
              <w:wordWrap/>
              <w:overflowPunct/>
              <w:topLinePunct w:val="0"/>
              <w:bidi w:val="0"/>
              <w:snapToGrid/>
              <w:spacing w:line="320" w:lineRule="exact"/>
              <w:textAlignment w:val="auto"/>
              <w:outlineLvl w:val="9"/>
              <w:rPr>
                <w:rFonts w:hint="eastAsia" w:ascii="仿宋_GB2312" w:hAnsi="仿宋_GB2312" w:eastAsia="仿宋_GB2312" w:cs="仿宋_GB2312"/>
                <w:bCs/>
                <w:kern w:val="0"/>
                <w:sz w:val="21"/>
                <w:szCs w:val="21"/>
                <w:highlight w:val="none"/>
                <w:lang w:val="en-US"/>
              </w:rPr>
            </w:pPr>
            <w:r>
              <w:rPr>
                <w:rFonts w:hint="eastAsia" w:ascii="仿宋_GB2312" w:hAnsi="仿宋_GB2312" w:eastAsia="仿宋_GB2312" w:cs="仿宋_GB2312"/>
                <w:bCs/>
                <w:kern w:val="0"/>
                <w:sz w:val="21"/>
                <w:szCs w:val="21"/>
                <w:highlight w:val="none"/>
              </w:rPr>
              <w:t>名称：</w:t>
            </w:r>
            <w:r>
              <w:rPr>
                <w:rFonts w:hint="eastAsia" w:ascii="仿宋_GB2312" w:hAnsi="仿宋_GB2312" w:eastAsia="仿宋_GB2312" w:cs="仿宋_GB2312"/>
                <w:bCs/>
                <w:kern w:val="0"/>
                <w:sz w:val="21"/>
                <w:szCs w:val="21"/>
                <w:highlight w:val="none"/>
                <w:lang w:eastAsia="zh-CN"/>
              </w:rPr>
              <w:t>上海银行</w:t>
            </w:r>
          </w:p>
          <w:p>
            <w:pPr>
              <w:keepNext w:val="0"/>
              <w:keepLines w:val="0"/>
              <w:pageBreakBefore w:val="0"/>
              <w:kinsoku/>
              <w:wordWrap/>
              <w:overflowPunct/>
              <w:topLinePunct w:val="0"/>
              <w:bidi w:val="0"/>
              <w:snapToGrid/>
              <w:spacing w:line="320" w:lineRule="exact"/>
              <w:textAlignment w:val="auto"/>
              <w:outlineLvl w:val="9"/>
              <w:rPr>
                <w:rFonts w:hint="eastAsia" w:ascii="仿宋_GB2312" w:hAnsi="仿宋_GB2312" w:eastAsia="仿宋_GB2312" w:cs="仿宋_GB2312"/>
                <w:bCs/>
                <w:kern w:val="0"/>
                <w:sz w:val="21"/>
                <w:szCs w:val="21"/>
                <w:highlight w:val="none"/>
                <w:lang w:val="en-US" w:eastAsia="zh-CN"/>
              </w:rPr>
            </w:pPr>
            <w:r>
              <w:rPr>
                <w:rFonts w:hint="eastAsia" w:ascii="仿宋_GB2312" w:hAnsi="仿宋_GB2312" w:eastAsia="仿宋_GB2312" w:cs="仿宋_GB2312"/>
                <w:bCs/>
                <w:kern w:val="0"/>
                <w:sz w:val="21"/>
                <w:szCs w:val="21"/>
                <w:highlight w:val="none"/>
              </w:rPr>
              <w:t>地址：</w:t>
            </w:r>
            <w:r>
              <w:rPr>
                <w:rFonts w:hint="eastAsia" w:ascii="仿宋_GB2312" w:hAnsi="仿宋_GB2312" w:eastAsia="仿宋_GB2312" w:cs="仿宋_GB2312"/>
                <w:bCs/>
                <w:kern w:val="0"/>
                <w:sz w:val="21"/>
                <w:szCs w:val="21"/>
                <w:highlight w:val="none"/>
                <w:lang w:val="en-US" w:eastAsia="zh-CN"/>
              </w:rPr>
              <w:t>上海市浦东新区银城中路168号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 w:hRule="atLeast"/>
        </w:trPr>
        <w:tc>
          <w:tcPr>
            <w:tcW w:w="1951" w:type="dxa"/>
            <w:vMerge w:val="continue"/>
            <w:vAlign w:val="center"/>
          </w:tcPr>
          <w:p>
            <w:pPr>
              <w:keepNext w:val="0"/>
              <w:keepLines w:val="0"/>
              <w:pageBreakBefore w:val="0"/>
              <w:kinsoku/>
              <w:wordWrap/>
              <w:overflowPunct/>
              <w:topLinePunct w:val="0"/>
              <w:bidi w:val="0"/>
              <w:snapToGrid/>
              <w:spacing w:line="320" w:lineRule="exact"/>
              <w:jc w:val="center"/>
              <w:textAlignment w:val="auto"/>
              <w:outlineLvl w:val="9"/>
              <w:rPr>
                <w:rFonts w:hint="eastAsia" w:ascii="仿宋_GB2312" w:hAnsi="仿宋_GB2312" w:eastAsia="仿宋_GB2312" w:cs="仿宋_GB2312"/>
                <w:b/>
                <w:kern w:val="0"/>
                <w:sz w:val="24"/>
                <w:szCs w:val="24"/>
                <w:highlight w:val="none"/>
              </w:rPr>
            </w:pPr>
          </w:p>
        </w:tc>
        <w:tc>
          <w:tcPr>
            <w:tcW w:w="1797" w:type="dxa"/>
            <w:gridSpan w:val="2"/>
            <w:vAlign w:val="center"/>
          </w:tcPr>
          <w:p>
            <w:pPr>
              <w:keepNext w:val="0"/>
              <w:keepLines w:val="0"/>
              <w:pageBreakBefore w:val="0"/>
              <w:kinsoku/>
              <w:wordWrap/>
              <w:overflowPunct/>
              <w:topLinePunct w:val="0"/>
              <w:bidi w:val="0"/>
              <w:snapToGrid/>
              <w:spacing w:line="320" w:lineRule="exact"/>
              <w:jc w:val="center"/>
              <w:textAlignment w:val="auto"/>
              <w:outlineLvl w:val="9"/>
              <w:rPr>
                <w:rFonts w:hint="eastAsia" w:ascii="仿宋_GB2312" w:hAnsi="仿宋_GB2312" w:eastAsia="仿宋_GB2312" w:cs="仿宋_GB2312"/>
                <w:b/>
                <w:bCs/>
                <w:kern w:val="0"/>
                <w:sz w:val="21"/>
                <w:szCs w:val="21"/>
                <w:highlight w:val="none"/>
              </w:rPr>
            </w:pPr>
            <w:r>
              <w:rPr>
                <w:rFonts w:hint="eastAsia" w:ascii="仿宋_GB2312" w:hAnsi="仿宋_GB2312" w:eastAsia="仿宋_GB2312" w:cs="仿宋_GB2312"/>
                <w:b/>
                <w:bCs/>
                <w:kern w:val="0"/>
                <w:sz w:val="21"/>
                <w:szCs w:val="21"/>
                <w:highlight w:val="none"/>
              </w:rPr>
              <w:t>资产托管人主要</w:t>
            </w:r>
          </w:p>
          <w:p>
            <w:pPr>
              <w:keepNext w:val="0"/>
              <w:keepLines w:val="0"/>
              <w:pageBreakBefore w:val="0"/>
              <w:kinsoku/>
              <w:wordWrap/>
              <w:overflowPunct/>
              <w:topLinePunct w:val="0"/>
              <w:bidi w:val="0"/>
              <w:snapToGrid/>
              <w:spacing w:line="320" w:lineRule="exact"/>
              <w:jc w:val="center"/>
              <w:textAlignment w:val="auto"/>
              <w:outlineLvl w:val="9"/>
              <w:rPr>
                <w:rFonts w:hint="eastAsia" w:ascii="仿宋_GB2312" w:hAnsi="仿宋_GB2312" w:eastAsia="仿宋_GB2312" w:cs="仿宋_GB2312"/>
                <w:b/>
                <w:bCs/>
                <w:kern w:val="0"/>
                <w:sz w:val="21"/>
                <w:szCs w:val="21"/>
                <w:highlight w:val="none"/>
              </w:rPr>
            </w:pPr>
            <w:r>
              <w:rPr>
                <w:rFonts w:hint="eastAsia" w:ascii="仿宋_GB2312" w:hAnsi="仿宋_GB2312" w:eastAsia="仿宋_GB2312" w:cs="仿宋_GB2312"/>
                <w:b/>
                <w:bCs/>
                <w:kern w:val="0"/>
                <w:sz w:val="21"/>
                <w:szCs w:val="21"/>
                <w:highlight w:val="none"/>
              </w:rPr>
              <w:t>职责</w:t>
            </w:r>
          </w:p>
        </w:tc>
        <w:tc>
          <w:tcPr>
            <w:tcW w:w="6660" w:type="dxa"/>
            <w:gridSpan w:val="5"/>
            <w:vAlign w:val="center"/>
          </w:tcPr>
          <w:p>
            <w:pPr>
              <w:keepNext w:val="0"/>
              <w:keepLines w:val="0"/>
              <w:pageBreakBefore w:val="0"/>
              <w:kinsoku/>
              <w:wordWrap/>
              <w:overflowPunct/>
              <w:topLinePunct w:val="0"/>
              <w:bidi w:val="0"/>
              <w:snapToGrid/>
              <w:spacing w:line="320" w:lineRule="exact"/>
              <w:textAlignment w:val="auto"/>
              <w:outlineLvl w:val="9"/>
              <w:rPr>
                <w:rFonts w:hint="eastAsia" w:ascii="仿宋_GB2312" w:hAnsi="仿宋_GB2312" w:eastAsia="仿宋_GB2312" w:cs="仿宋_GB2312"/>
                <w:bCs/>
                <w:kern w:val="0"/>
                <w:sz w:val="21"/>
                <w:szCs w:val="21"/>
                <w:highlight w:val="none"/>
              </w:rPr>
            </w:pPr>
            <w:r>
              <w:rPr>
                <w:rFonts w:hint="eastAsia" w:ascii="仿宋_GB2312" w:hAnsi="仿宋_GB2312" w:eastAsia="仿宋_GB2312" w:cs="仿宋_GB2312"/>
                <w:sz w:val="21"/>
                <w:szCs w:val="21"/>
                <w:highlight w:val="none"/>
              </w:rPr>
              <w:t>安全保管理财产品财产，对理财产品履行账户开立、资金保管、资金清算、会计核算、估值及投资监督等职责。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 w:hRule="atLeast"/>
        </w:trPr>
        <w:tc>
          <w:tcPr>
            <w:tcW w:w="1951" w:type="dxa"/>
            <w:vAlign w:val="center"/>
          </w:tcPr>
          <w:p>
            <w:pPr>
              <w:keepNext w:val="0"/>
              <w:keepLines w:val="0"/>
              <w:pageBreakBefore w:val="0"/>
              <w:kinsoku/>
              <w:wordWrap/>
              <w:overflowPunct/>
              <w:topLinePunct w:val="0"/>
              <w:bidi w:val="0"/>
              <w:snapToGrid/>
              <w:spacing w:line="320" w:lineRule="exact"/>
              <w:jc w:val="center"/>
              <w:textAlignment w:val="auto"/>
              <w:outlineLvl w:val="9"/>
              <w:rPr>
                <w:rFonts w:hint="eastAsia" w:ascii="仿宋_GB2312" w:hAnsi="仿宋_GB2312" w:eastAsia="仿宋_GB2312" w:cs="仿宋_GB2312"/>
                <w:b/>
                <w:kern w:val="0"/>
                <w:sz w:val="24"/>
                <w:szCs w:val="24"/>
                <w:highlight w:val="none"/>
              </w:rPr>
            </w:pPr>
            <w:r>
              <w:rPr>
                <w:rFonts w:hint="eastAsia" w:ascii="仿宋_GB2312" w:hAnsi="仿宋_GB2312" w:eastAsia="仿宋_GB2312" w:cs="仿宋_GB2312"/>
                <w:b/>
                <w:kern w:val="0"/>
                <w:sz w:val="24"/>
                <w:szCs w:val="24"/>
                <w:highlight w:val="none"/>
              </w:rPr>
              <w:t>投资合作机构</w:t>
            </w:r>
          </w:p>
        </w:tc>
        <w:tc>
          <w:tcPr>
            <w:tcW w:w="8457" w:type="dxa"/>
            <w:gridSpan w:val="7"/>
            <w:vAlign w:val="center"/>
          </w:tcPr>
          <w:p>
            <w:pPr>
              <w:keepNext w:val="0"/>
              <w:keepLines w:val="0"/>
              <w:pageBreakBefore w:val="0"/>
              <w:kinsoku/>
              <w:wordWrap/>
              <w:overflowPunct/>
              <w:topLinePunct w:val="0"/>
              <w:bidi w:val="0"/>
              <w:snapToGrid/>
              <w:spacing w:line="320" w:lineRule="exact"/>
              <w:textAlignment w:val="auto"/>
              <w:outlineLvl w:val="9"/>
              <w:rPr>
                <w:rFonts w:hint="eastAsia" w:ascii="仿宋_GB2312" w:hAnsi="仿宋_GB2312" w:eastAsia="仿宋_GB2312" w:cs="仿宋_GB2312"/>
                <w:sz w:val="21"/>
                <w:szCs w:val="21"/>
                <w:highlight w:val="none"/>
              </w:rPr>
            </w:pPr>
            <w:r>
              <w:rPr>
                <w:rFonts w:hint="eastAsia" w:ascii="仿宋_GB2312" w:hAnsi="仿宋_GB2312" w:eastAsia="仿宋_GB2312" w:cs="仿宋_GB2312"/>
                <w:b/>
                <w:kern w:val="0"/>
                <w:sz w:val="21"/>
                <w:szCs w:val="21"/>
                <w:highlight w:val="none"/>
              </w:rPr>
              <w:t>投资合作机构</w:t>
            </w:r>
            <w:r>
              <w:rPr>
                <w:rFonts w:hint="eastAsia" w:ascii="仿宋_GB2312" w:hAnsi="仿宋_GB2312" w:eastAsia="仿宋_GB2312" w:cs="仿宋_GB2312"/>
                <w:sz w:val="21"/>
                <w:szCs w:val="21"/>
                <w:highlight w:val="none"/>
              </w:rPr>
              <w:t>是指理财产品所投资资产管理产品的发行机构、根据合同约定从事理财产品受托投资的机构以及与理财产品投资管理相关的投资顾问等机构。主要职责为进行受托资金的投资管理，根据合同约定从事受托投资或提供投资顾问等服务，具体职责以管理人与投资合作机构签署的合同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74" w:hRule="atLeast"/>
        </w:trPr>
        <w:tc>
          <w:tcPr>
            <w:tcW w:w="1951" w:type="dxa"/>
            <w:vAlign w:val="center"/>
          </w:tcPr>
          <w:p>
            <w:pPr>
              <w:keepNext w:val="0"/>
              <w:keepLines w:val="0"/>
              <w:pageBreakBefore w:val="0"/>
              <w:kinsoku/>
              <w:wordWrap/>
              <w:overflowPunct/>
              <w:topLinePunct w:val="0"/>
              <w:bidi w:val="0"/>
              <w:snapToGrid/>
              <w:spacing w:line="320" w:lineRule="exact"/>
              <w:jc w:val="center"/>
              <w:textAlignment w:val="auto"/>
              <w:outlineLvl w:val="9"/>
              <w:rPr>
                <w:rFonts w:hint="eastAsia" w:ascii="仿宋_GB2312" w:hAnsi="仿宋_GB2312" w:eastAsia="仿宋_GB2312" w:cs="仿宋_GB2312"/>
                <w:b/>
                <w:kern w:val="0"/>
                <w:sz w:val="24"/>
                <w:szCs w:val="24"/>
                <w:highlight w:val="none"/>
                <w:u w:val="wave"/>
              </w:rPr>
            </w:pPr>
            <w:r>
              <w:rPr>
                <w:rFonts w:hint="eastAsia" w:ascii="仿宋_GB2312" w:hAnsi="仿宋_GB2312" w:eastAsia="仿宋_GB2312" w:cs="仿宋_GB2312"/>
                <w:b/>
                <w:kern w:val="0"/>
                <w:sz w:val="24"/>
                <w:szCs w:val="24"/>
                <w:highlight w:val="none"/>
              </w:rPr>
              <w:t>提前终止条款及延期条款</w:t>
            </w:r>
          </w:p>
        </w:tc>
        <w:tc>
          <w:tcPr>
            <w:tcW w:w="8457" w:type="dxa"/>
            <w:gridSpan w:val="7"/>
            <w:vAlign w:val="center"/>
          </w:tcPr>
          <w:p>
            <w:pPr>
              <w:keepNext w:val="0"/>
              <w:keepLines w:val="0"/>
              <w:pageBreakBefore w:val="0"/>
              <w:kinsoku/>
              <w:wordWrap/>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
                <w:sz w:val="21"/>
                <w:szCs w:val="21"/>
                <w:highlight w:val="none"/>
              </w:rPr>
              <w:t>1.本产品投资期内，客户无权提前终止本产品。</w:t>
            </w:r>
            <w:r>
              <w:rPr>
                <w:rFonts w:hint="eastAsia" w:ascii="仿宋_GB2312" w:hAnsi="仿宋_GB2312" w:eastAsia="仿宋_GB2312" w:cs="仿宋_GB2312"/>
                <w:bCs/>
                <w:sz w:val="21"/>
                <w:szCs w:val="21"/>
                <w:highlight w:val="none"/>
              </w:rPr>
              <w:t>如出现以下情况，天津银行有权但无义务提前终止本理财产品：</w:t>
            </w:r>
          </w:p>
          <w:p>
            <w:pPr>
              <w:keepNext w:val="0"/>
              <w:keepLines w:val="0"/>
              <w:pageBreakBefore w:val="0"/>
              <w:kinsoku/>
              <w:wordWrap/>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（1）因不可抗力原因导致理财产品无法继续运作；</w:t>
            </w:r>
          </w:p>
          <w:p>
            <w:pPr>
              <w:keepNext w:val="0"/>
              <w:keepLines w:val="0"/>
              <w:pageBreakBefore w:val="0"/>
              <w:kinsoku/>
              <w:wordWrap/>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（2）遇市场出现剧烈波动、异常风险事件等情形导致理财产品收益出现大幅波动或严重影响理财产品的资产安全；</w:t>
            </w:r>
          </w:p>
          <w:p>
            <w:pPr>
              <w:keepNext w:val="0"/>
              <w:keepLines w:val="0"/>
              <w:pageBreakBefore w:val="0"/>
              <w:kinsoku/>
              <w:wordWrap/>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（3）因客户理财资金被有权机关扣划等原因导致理财产品剩余资产无法满足相关法律法规规定，所投资市场要求或协议等相关法律文件约定，或者继续存续无法实现投资目标；</w:t>
            </w:r>
          </w:p>
          <w:p>
            <w:pPr>
              <w:keepNext w:val="0"/>
              <w:keepLines w:val="0"/>
              <w:pageBreakBefore w:val="0"/>
              <w:kinsoku/>
              <w:wordWrap/>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（4）因法律法规变化或国家金融政策调整，影响本产品继续正常运作；</w:t>
            </w:r>
          </w:p>
          <w:p>
            <w:pPr>
              <w:keepNext w:val="0"/>
              <w:keepLines w:val="0"/>
              <w:pageBreakBefore w:val="0"/>
              <w:kinsoku/>
              <w:wordWrap/>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（5）理财资金所投资的金融资产或金融工具提前终止；</w:t>
            </w:r>
          </w:p>
          <w:p>
            <w:pPr>
              <w:keepNext w:val="0"/>
              <w:keepLines w:val="0"/>
              <w:pageBreakBefore w:val="0"/>
              <w:kinsoku/>
              <w:wordWrap/>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（6）提前终止产品比维持产品运作更有利于保护产品持有人的权益；</w:t>
            </w:r>
          </w:p>
          <w:p>
            <w:pPr>
              <w:keepNext w:val="0"/>
              <w:keepLines w:val="0"/>
              <w:pageBreakBefore w:val="0"/>
              <w:kinsoku/>
              <w:wordWrap/>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（7）法律法规规定的其他情形。</w:t>
            </w:r>
          </w:p>
          <w:p>
            <w:pPr>
              <w:keepNext w:val="0"/>
              <w:keepLines w:val="0"/>
              <w:pageBreakBefore w:val="0"/>
              <w:kinsoku/>
              <w:wordWrap/>
              <w:overflowPunct/>
              <w:topLinePunct w:val="0"/>
              <w:bidi w:val="0"/>
              <w:snapToGrid/>
              <w:spacing w:line="320" w:lineRule="exact"/>
              <w:textAlignment w:val="auto"/>
              <w:outlineLvl w:val="9"/>
              <w:rPr>
                <w:rFonts w:hint="eastAsia" w:ascii="仿宋_GB2312" w:hAnsi="仿宋_GB2312" w:eastAsia="仿宋_GB2312" w:cs="仿宋_GB2312"/>
                <w:b/>
                <w:bCs/>
                <w:sz w:val="21"/>
                <w:szCs w:val="21"/>
                <w:highlight w:val="none"/>
              </w:rPr>
            </w:pPr>
            <w:r>
              <w:rPr>
                <w:rFonts w:hint="eastAsia" w:ascii="仿宋_GB2312" w:hAnsi="仿宋_GB2312" w:eastAsia="仿宋_GB2312" w:cs="仿宋_GB2312"/>
                <w:b/>
                <w:bCs/>
                <w:sz w:val="21"/>
                <w:szCs w:val="21"/>
                <w:highlight w:val="none"/>
              </w:rPr>
              <w:t>2. 如出现以下情况，天津银行有权延长本产品的终止日：</w:t>
            </w:r>
          </w:p>
          <w:p>
            <w:pPr>
              <w:keepNext w:val="0"/>
              <w:keepLines w:val="0"/>
              <w:pageBreakBefore w:val="0"/>
              <w:kinsoku/>
              <w:wordWrap/>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（1）产品终止日遇非工作日则顺延至下一工作日，客户清算资金到账日将相应调整；</w:t>
            </w:r>
          </w:p>
          <w:p>
            <w:pPr>
              <w:keepNext w:val="0"/>
              <w:keepLines w:val="0"/>
              <w:pageBreakBefore w:val="0"/>
              <w:kinsoku/>
              <w:wordWrap/>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（2）因市场成交量不足、资产限制赎回、暂停交易、缺乏意愿交易对手等原因，导致产品项下对应的投资标的无法及时变现；</w:t>
            </w:r>
          </w:p>
          <w:p>
            <w:pPr>
              <w:keepNext w:val="0"/>
              <w:keepLines w:val="0"/>
              <w:pageBreakBefore w:val="0"/>
              <w:kinsoku/>
              <w:wordWrap/>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（3）因资金在途等原因，导致未能及时收回资金；</w:t>
            </w:r>
          </w:p>
          <w:p>
            <w:pPr>
              <w:keepNext w:val="0"/>
              <w:keepLines w:val="0"/>
              <w:pageBreakBefore w:val="0"/>
              <w:kinsoku/>
              <w:wordWrap/>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（4）其他天津银行认为需要延期兑付的情形。</w:t>
            </w:r>
          </w:p>
          <w:p>
            <w:pPr>
              <w:keepNext w:val="0"/>
              <w:keepLines w:val="0"/>
              <w:pageBreakBefore w:val="0"/>
              <w:kinsoku/>
              <w:wordWrap/>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3.</w:t>
            </w:r>
            <w:r>
              <w:rPr>
                <w:rFonts w:hint="eastAsia" w:ascii="仿宋_GB2312" w:hAnsi="仿宋_GB2312" w:eastAsia="仿宋_GB2312" w:cs="仿宋_GB2312"/>
                <w:sz w:val="21"/>
                <w:szCs w:val="21"/>
                <w:highlight w:val="none"/>
              </w:rPr>
              <w:t xml:space="preserve"> </w:t>
            </w:r>
            <w:r>
              <w:rPr>
                <w:rFonts w:hint="eastAsia" w:ascii="仿宋_GB2312" w:hAnsi="仿宋_GB2312" w:eastAsia="仿宋_GB2312" w:cs="仿宋_GB2312"/>
                <w:bCs/>
                <w:sz w:val="21"/>
                <w:szCs w:val="21"/>
                <w:highlight w:val="none"/>
              </w:rPr>
              <w:t>一旦天津银行提前终止/延期本理财产品，将提前</w:t>
            </w:r>
            <w:r>
              <w:rPr>
                <w:rFonts w:hint="eastAsia" w:ascii="仿宋_GB2312" w:hAnsi="仿宋_GB2312" w:eastAsia="仿宋_GB2312" w:cs="仿宋_GB2312"/>
                <w:bCs/>
                <w:sz w:val="21"/>
                <w:szCs w:val="21"/>
                <w:highlight w:val="none"/>
                <w:lang w:val="en-US" w:eastAsia="zh-CN"/>
              </w:rPr>
              <w:t>2</w:t>
            </w:r>
            <w:r>
              <w:rPr>
                <w:rFonts w:hint="eastAsia" w:ascii="仿宋_GB2312" w:hAnsi="仿宋_GB2312" w:eastAsia="仿宋_GB2312" w:cs="仿宋_GB2312"/>
                <w:bCs/>
                <w:sz w:val="21"/>
                <w:szCs w:val="21"/>
                <w:highlight w:val="none"/>
              </w:rPr>
              <w:t>个工作日以公告形式通知客户，并在提前终止日/延期到期日后</w:t>
            </w:r>
            <w:r>
              <w:rPr>
                <w:rFonts w:hint="eastAsia" w:ascii="仿宋_GB2312" w:hAnsi="仿宋_GB2312" w:eastAsia="仿宋_GB2312" w:cs="仿宋_GB2312"/>
                <w:bCs/>
                <w:sz w:val="21"/>
                <w:szCs w:val="21"/>
                <w:highlight w:val="none"/>
                <w:lang w:val="en-US" w:eastAsia="zh-CN"/>
              </w:rPr>
              <w:t>2</w:t>
            </w:r>
            <w:r>
              <w:rPr>
                <w:rFonts w:hint="eastAsia" w:ascii="仿宋_GB2312" w:hAnsi="仿宋_GB2312" w:eastAsia="仿宋_GB2312" w:cs="仿宋_GB2312"/>
                <w:bCs/>
                <w:sz w:val="21"/>
                <w:szCs w:val="21"/>
                <w:highlight w:val="none"/>
              </w:rPr>
              <w:t>个工作日内（遇节假日顺延至下一工作日）向客户返还理财本金及应得收益（如有），应得收益按实际理财期限计算（已扣除销售手续费、投资管理费、托管费、产品运营管理费，提前终止产品情况下，以上费用计算方式不变，已扣除的费用不再返还至客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951" w:type="dxa"/>
            <w:vAlign w:val="center"/>
          </w:tcPr>
          <w:p>
            <w:pPr>
              <w:keepNext w:val="0"/>
              <w:keepLines w:val="0"/>
              <w:pageBreakBefore w:val="0"/>
              <w:kinsoku/>
              <w:wordWrap/>
              <w:overflowPunct/>
              <w:topLinePunct w:val="0"/>
              <w:bidi w:val="0"/>
              <w:snapToGrid/>
              <w:spacing w:line="320" w:lineRule="exact"/>
              <w:jc w:val="center"/>
              <w:textAlignment w:val="auto"/>
              <w:outlineLvl w:val="9"/>
              <w:rPr>
                <w:rFonts w:hint="eastAsia" w:ascii="仿宋_GB2312" w:hAnsi="仿宋_GB2312" w:eastAsia="仿宋_GB2312" w:cs="仿宋_GB2312"/>
                <w:b/>
                <w:kern w:val="0"/>
                <w:sz w:val="24"/>
                <w:szCs w:val="24"/>
                <w:highlight w:val="none"/>
              </w:rPr>
            </w:pPr>
            <w:r>
              <w:rPr>
                <w:rFonts w:hint="eastAsia" w:ascii="仿宋_GB2312" w:hAnsi="仿宋_GB2312" w:eastAsia="仿宋_GB2312" w:cs="仿宋_GB2312"/>
                <w:b/>
                <w:kern w:val="0"/>
                <w:sz w:val="24"/>
                <w:szCs w:val="24"/>
                <w:highlight w:val="none"/>
              </w:rPr>
              <w:t>信息披露</w:t>
            </w:r>
          </w:p>
        </w:tc>
        <w:tc>
          <w:tcPr>
            <w:tcW w:w="8457" w:type="dxa"/>
            <w:gridSpan w:val="7"/>
            <w:vAlign w:val="center"/>
          </w:tcPr>
          <w:p>
            <w:pPr>
              <w:keepNext w:val="0"/>
              <w:keepLines w:val="0"/>
              <w:pageBreakBefore w:val="0"/>
              <w:kinsoku/>
              <w:wordWrap/>
              <w:overflowPunct/>
              <w:topLinePunct w:val="0"/>
              <w:bidi w:val="0"/>
              <w:snapToGrid/>
              <w:spacing w:line="320" w:lineRule="exact"/>
              <w:textAlignment w:val="auto"/>
              <w:outlineLvl w:val="9"/>
              <w:rPr>
                <w:rFonts w:hint="eastAsia" w:ascii="仿宋_GB2312" w:hAnsi="仿宋_GB2312" w:eastAsia="仿宋_GB2312" w:cs="仿宋_GB2312"/>
                <w:b/>
                <w:bCs/>
                <w:sz w:val="21"/>
                <w:szCs w:val="21"/>
                <w:highlight w:val="none"/>
              </w:rPr>
            </w:pPr>
            <w:r>
              <w:rPr>
                <w:rFonts w:hint="eastAsia" w:ascii="仿宋_GB2312" w:hAnsi="仿宋_GB2312" w:eastAsia="仿宋_GB2312" w:cs="仿宋_GB2312"/>
                <w:b/>
                <w:bCs/>
                <w:sz w:val="21"/>
                <w:szCs w:val="21"/>
                <w:highlight w:val="none"/>
              </w:rPr>
              <w:t>1.</w:t>
            </w:r>
            <w:r>
              <w:rPr>
                <w:rFonts w:hint="eastAsia" w:ascii="仿宋_GB2312" w:hAnsi="仿宋_GB2312" w:eastAsia="仿宋_GB2312" w:cs="仿宋_GB2312"/>
                <w:b/>
                <w:sz w:val="21"/>
                <w:szCs w:val="21"/>
                <w:highlight w:val="none"/>
              </w:rPr>
              <w:t xml:space="preserve"> </w:t>
            </w:r>
            <w:r>
              <w:rPr>
                <w:rFonts w:hint="eastAsia" w:ascii="仿宋_GB2312" w:hAnsi="仿宋_GB2312" w:eastAsia="仿宋_GB2312" w:cs="仿宋_GB2312"/>
                <w:b/>
                <w:bCs/>
                <w:sz w:val="21"/>
                <w:szCs w:val="21"/>
                <w:highlight w:val="none"/>
              </w:rPr>
              <w:t>净值公告：产品成立后，我行将于每周前2个工作日内披露截至上周最后一个工作日的资产净值和份额净值。产品到期或提前终止后，在产品到期日或提前终止日（遇节假日顺延至下一工作日）后的5个工作日内披露产品到期或提前终止的资产净值和份额净值。信息披露渠道包括我行官方网站、手机银行、网上银行。</w:t>
            </w:r>
          </w:p>
          <w:p>
            <w:pPr>
              <w:keepNext w:val="0"/>
              <w:keepLines w:val="0"/>
              <w:pageBreakBefore w:val="0"/>
              <w:kinsoku/>
              <w:wordWrap/>
              <w:overflowPunct/>
              <w:topLinePunct w:val="0"/>
              <w:bidi w:val="0"/>
              <w:snapToGrid/>
              <w:spacing w:line="320" w:lineRule="exact"/>
              <w:textAlignment w:val="auto"/>
              <w:outlineLvl w:val="9"/>
              <w:rPr>
                <w:rFonts w:hint="eastAsia" w:ascii="仿宋_GB2312" w:hAnsi="仿宋_GB2312" w:eastAsia="仿宋_GB2312" w:cs="仿宋_GB2312"/>
                <w:b/>
                <w:bCs/>
                <w:sz w:val="21"/>
                <w:szCs w:val="21"/>
                <w:highlight w:val="none"/>
              </w:rPr>
            </w:pPr>
            <w:r>
              <w:rPr>
                <w:rFonts w:hint="eastAsia" w:ascii="仿宋_GB2312" w:hAnsi="仿宋_GB2312" w:eastAsia="仿宋_GB2312" w:cs="仿宋_GB2312"/>
                <w:b/>
                <w:bCs/>
                <w:sz w:val="21"/>
                <w:szCs w:val="21"/>
                <w:highlight w:val="none"/>
              </w:rPr>
              <w:t>2.发行及到期公告：天津银行将最迟于产品成立日/产品到期日后5个工作日内，通过官方网站或营业网点等渠道公布产品发行公告/产品到期公告。</w:t>
            </w:r>
          </w:p>
          <w:p>
            <w:pPr>
              <w:keepNext w:val="0"/>
              <w:keepLines w:val="0"/>
              <w:pageBreakBefore w:val="0"/>
              <w:kinsoku/>
              <w:wordWrap/>
              <w:overflowPunct/>
              <w:topLinePunct w:val="0"/>
              <w:bidi w:val="0"/>
              <w:snapToGrid/>
              <w:spacing w:line="320" w:lineRule="exact"/>
              <w:textAlignment w:val="auto"/>
              <w:outlineLvl w:val="9"/>
              <w:rPr>
                <w:rFonts w:hint="eastAsia" w:ascii="仿宋_GB2312" w:hAnsi="仿宋_GB2312" w:eastAsia="仿宋_GB2312" w:cs="仿宋_GB2312"/>
                <w:b/>
                <w:bCs/>
                <w:sz w:val="21"/>
                <w:szCs w:val="21"/>
                <w:highlight w:val="none"/>
              </w:rPr>
            </w:pPr>
            <w:r>
              <w:rPr>
                <w:rFonts w:hint="eastAsia" w:ascii="仿宋_GB2312" w:hAnsi="仿宋_GB2312" w:eastAsia="仿宋_GB2312" w:cs="仿宋_GB2312"/>
                <w:b/>
                <w:bCs/>
                <w:sz w:val="21"/>
                <w:szCs w:val="21"/>
                <w:highlight w:val="none"/>
              </w:rPr>
              <w:t>3．定期报告：天津银行在每季度结束之日起15个工作日内，上半年结束之日起60个工作日内、每年结束之日起90个工作日内，编制完成产品季度、半年和年度报告等定期报告，在天津银行官方网站进行公告。理财产品成立不足90个工作日或者剩余期限不超过90个工作日的，可以不编制理财产品当期的季度、半年和年度报告。</w:t>
            </w:r>
          </w:p>
          <w:p>
            <w:pPr>
              <w:keepNext w:val="0"/>
              <w:keepLines w:val="0"/>
              <w:pageBreakBefore w:val="0"/>
              <w:kinsoku/>
              <w:wordWrap/>
              <w:overflowPunct/>
              <w:topLinePunct w:val="0"/>
              <w:bidi w:val="0"/>
              <w:snapToGrid/>
              <w:spacing w:line="320" w:lineRule="exact"/>
              <w:textAlignment w:val="auto"/>
              <w:outlineLvl w:val="9"/>
              <w:rPr>
                <w:rFonts w:hint="eastAsia" w:ascii="仿宋_GB2312" w:hAnsi="仿宋_GB2312" w:eastAsia="仿宋_GB2312" w:cs="仿宋_GB2312"/>
                <w:b/>
                <w:bCs/>
                <w:sz w:val="21"/>
                <w:szCs w:val="21"/>
                <w:highlight w:val="none"/>
              </w:rPr>
            </w:pPr>
            <w:r>
              <w:rPr>
                <w:rFonts w:hint="eastAsia" w:ascii="仿宋_GB2312" w:hAnsi="仿宋_GB2312" w:eastAsia="仿宋_GB2312" w:cs="仿宋_GB2312"/>
                <w:b/>
                <w:bCs/>
                <w:sz w:val="21"/>
                <w:szCs w:val="21"/>
                <w:highlight w:val="none"/>
              </w:rPr>
              <w:t>4．天津银行将通过官方网站、手机银行、网上银行或其他天津银行认为适当的方式披露投资者持有的理财产品份额、认购金额、单位净值、累计净值、资产净值、收益情况、理财交易账户发生的交易明细等信息。</w:t>
            </w:r>
          </w:p>
          <w:p>
            <w:pPr>
              <w:keepNext w:val="0"/>
              <w:keepLines w:val="0"/>
              <w:pageBreakBefore w:val="0"/>
              <w:kinsoku/>
              <w:wordWrap/>
              <w:overflowPunct/>
              <w:topLinePunct w:val="0"/>
              <w:bidi w:val="0"/>
              <w:snapToGrid/>
              <w:spacing w:line="320" w:lineRule="exact"/>
              <w:textAlignment w:val="auto"/>
              <w:outlineLvl w:val="9"/>
              <w:rPr>
                <w:rFonts w:hint="eastAsia" w:ascii="仿宋_GB2312" w:hAnsi="仿宋_GB2312" w:eastAsia="仿宋_GB2312" w:cs="仿宋_GB2312"/>
                <w:b/>
                <w:bCs/>
                <w:sz w:val="21"/>
                <w:szCs w:val="21"/>
                <w:highlight w:val="none"/>
              </w:rPr>
            </w:pPr>
            <w:r>
              <w:rPr>
                <w:rFonts w:hint="eastAsia" w:ascii="仿宋_GB2312" w:hAnsi="仿宋_GB2312" w:eastAsia="仿宋_GB2312" w:cs="仿宋_GB2312"/>
                <w:b/>
                <w:bCs/>
                <w:sz w:val="21"/>
                <w:szCs w:val="21"/>
                <w:highlight w:val="none"/>
              </w:rPr>
              <w:t>5．重大事项公告：在产品重大事项发生后的2个工作日内通过官方网站或营业网点发布重大事项公告。产品重大事项包括但不限于如下事件：</w:t>
            </w:r>
          </w:p>
          <w:p>
            <w:pPr>
              <w:keepNext w:val="0"/>
              <w:keepLines w:val="0"/>
              <w:pageBreakBefore w:val="0"/>
              <w:kinsoku/>
              <w:wordWrap/>
              <w:overflowPunct/>
              <w:topLinePunct w:val="0"/>
              <w:bidi w:val="0"/>
              <w:snapToGrid/>
              <w:spacing w:line="320" w:lineRule="exact"/>
              <w:textAlignment w:val="auto"/>
              <w:outlineLvl w:val="9"/>
              <w:rPr>
                <w:rFonts w:hint="eastAsia" w:ascii="仿宋_GB2312" w:hAnsi="仿宋_GB2312" w:eastAsia="仿宋_GB2312" w:cs="仿宋_GB2312"/>
                <w:b/>
                <w:bCs/>
                <w:sz w:val="21"/>
                <w:szCs w:val="21"/>
                <w:highlight w:val="none"/>
              </w:rPr>
            </w:pPr>
            <w:r>
              <w:rPr>
                <w:rFonts w:hint="eastAsia" w:ascii="仿宋_GB2312" w:hAnsi="仿宋_GB2312" w:eastAsia="仿宋_GB2312" w:cs="仿宋_GB2312"/>
                <w:b/>
                <w:bCs/>
                <w:sz w:val="21"/>
                <w:szCs w:val="21"/>
                <w:highlight w:val="none"/>
              </w:rPr>
              <w:t>（1）理财产品所投资资产对投资者权益或投资收益等产生重大影响的突发事件；</w:t>
            </w:r>
          </w:p>
          <w:p>
            <w:pPr>
              <w:keepNext w:val="0"/>
              <w:keepLines w:val="0"/>
              <w:pageBreakBefore w:val="0"/>
              <w:kinsoku/>
              <w:wordWrap/>
              <w:overflowPunct/>
              <w:topLinePunct w:val="0"/>
              <w:bidi w:val="0"/>
              <w:snapToGrid/>
              <w:spacing w:line="320" w:lineRule="exact"/>
              <w:textAlignment w:val="auto"/>
              <w:outlineLvl w:val="9"/>
              <w:rPr>
                <w:rFonts w:hint="eastAsia" w:ascii="仿宋_GB2312" w:hAnsi="仿宋_GB2312" w:eastAsia="仿宋_GB2312" w:cs="仿宋_GB2312"/>
                <w:b/>
                <w:bCs/>
                <w:sz w:val="21"/>
                <w:szCs w:val="21"/>
                <w:highlight w:val="none"/>
              </w:rPr>
            </w:pPr>
            <w:r>
              <w:rPr>
                <w:rFonts w:hint="eastAsia" w:ascii="仿宋_GB2312" w:hAnsi="仿宋_GB2312" w:eastAsia="仿宋_GB2312" w:cs="仿宋_GB2312"/>
                <w:b/>
                <w:bCs/>
                <w:sz w:val="21"/>
                <w:szCs w:val="21"/>
                <w:highlight w:val="none"/>
              </w:rPr>
              <w:t>（2）金融市场发生重大变化导致理财产品投资比例暂时超出浮动区间且可能对理财产品收益产生重大影响的。</w:t>
            </w:r>
          </w:p>
          <w:p>
            <w:pPr>
              <w:keepNext w:val="0"/>
              <w:keepLines w:val="0"/>
              <w:pageBreakBefore w:val="0"/>
              <w:kinsoku/>
              <w:wordWrap/>
              <w:overflowPunct/>
              <w:topLinePunct w:val="0"/>
              <w:bidi w:val="0"/>
              <w:snapToGrid/>
              <w:spacing w:line="320" w:lineRule="exact"/>
              <w:textAlignment w:val="auto"/>
              <w:outlineLvl w:val="9"/>
              <w:rPr>
                <w:rFonts w:hint="eastAsia" w:ascii="仿宋_GB2312" w:hAnsi="仿宋_GB2312" w:eastAsia="仿宋_GB2312" w:cs="仿宋_GB2312"/>
                <w:b/>
                <w:bCs/>
                <w:sz w:val="21"/>
                <w:szCs w:val="21"/>
                <w:highlight w:val="none"/>
              </w:rPr>
            </w:pPr>
            <w:r>
              <w:rPr>
                <w:rFonts w:hint="eastAsia" w:ascii="仿宋_GB2312" w:hAnsi="仿宋_GB2312" w:eastAsia="仿宋_GB2312" w:cs="仿宋_GB2312"/>
                <w:b/>
                <w:bCs/>
                <w:sz w:val="21"/>
                <w:szCs w:val="21"/>
                <w:highlight w:val="none"/>
              </w:rPr>
              <w:t>6．临时性信息披露，包括但不限于如下事件：</w:t>
            </w:r>
          </w:p>
          <w:p>
            <w:pPr>
              <w:keepNext w:val="0"/>
              <w:keepLines w:val="0"/>
              <w:pageBreakBefore w:val="0"/>
              <w:kinsoku/>
              <w:wordWrap/>
              <w:overflowPunct/>
              <w:topLinePunct w:val="0"/>
              <w:bidi w:val="0"/>
              <w:snapToGrid/>
              <w:spacing w:line="320" w:lineRule="exact"/>
              <w:textAlignment w:val="auto"/>
              <w:outlineLvl w:val="9"/>
              <w:rPr>
                <w:rFonts w:hint="eastAsia" w:ascii="仿宋_GB2312" w:hAnsi="仿宋_GB2312" w:eastAsia="仿宋_GB2312" w:cs="仿宋_GB2312"/>
                <w:b/>
                <w:bCs/>
                <w:sz w:val="21"/>
                <w:szCs w:val="21"/>
                <w:highlight w:val="none"/>
              </w:rPr>
            </w:pPr>
            <w:r>
              <w:rPr>
                <w:rFonts w:hint="eastAsia" w:ascii="仿宋_GB2312" w:hAnsi="仿宋_GB2312" w:eastAsia="仿宋_GB2312" w:cs="仿宋_GB2312"/>
                <w:b/>
                <w:bCs/>
                <w:sz w:val="21"/>
                <w:szCs w:val="21"/>
                <w:highlight w:val="none"/>
              </w:rPr>
              <w:t>（1）如本产品需延期清算，将最迟于到期日后5个工作日内在官方网站或营业网点等渠道发布相关信息公告。</w:t>
            </w:r>
          </w:p>
          <w:p>
            <w:pPr>
              <w:keepNext w:val="0"/>
              <w:keepLines w:val="0"/>
              <w:pageBreakBefore w:val="0"/>
              <w:kinsoku/>
              <w:wordWrap/>
              <w:overflowPunct/>
              <w:topLinePunct w:val="0"/>
              <w:bidi w:val="0"/>
              <w:snapToGrid/>
              <w:spacing w:line="320" w:lineRule="exact"/>
              <w:textAlignment w:val="auto"/>
              <w:outlineLvl w:val="9"/>
              <w:rPr>
                <w:rFonts w:hint="eastAsia" w:ascii="仿宋_GB2312" w:hAnsi="仿宋_GB2312" w:eastAsia="仿宋_GB2312" w:cs="仿宋_GB2312"/>
                <w:b/>
                <w:bCs/>
                <w:sz w:val="21"/>
                <w:szCs w:val="21"/>
                <w:highlight w:val="none"/>
              </w:rPr>
            </w:pPr>
            <w:r>
              <w:rPr>
                <w:rFonts w:hint="eastAsia" w:ascii="仿宋_GB2312" w:hAnsi="仿宋_GB2312" w:eastAsia="仿宋_GB2312" w:cs="仿宋_GB2312"/>
                <w:b/>
                <w:bCs/>
                <w:sz w:val="21"/>
                <w:szCs w:val="21"/>
                <w:highlight w:val="none"/>
              </w:rPr>
              <w:t>（2）产品存续期间，天津银行如对本理财说明书条款进行补充、说明及修订，将提前2个工作日通过官方网站或营业网点予以披露，投资者应定期通过上述渠道获知有关本理财产品相关信息。</w:t>
            </w:r>
          </w:p>
          <w:p>
            <w:pPr>
              <w:keepNext w:val="0"/>
              <w:keepLines w:val="0"/>
              <w:pageBreakBefore w:val="0"/>
              <w:kinsoku/>
              <w:wordWrap/>
              <w:overflowPunct/>
              <w:topLinePunct w:val="0"/>
              <w:bidi w:val="0"/>
              <w:snapToGrid/>
              <w:spacing w:line="320" w:lineRule="exact"/>
              <w:textAlignment w:val="auto"/>
              <w:outlineLvl w:val="9"/>
              <w:rPr>
                <w:rFonts w:hint="eastAsia" w:ascii="仿宋_GB2312" w:hAnsi="仿宋_GB2312" w:eastAsia="仿宋_GB2312" w:cs="仿宋_GB2312"/>
                <w:b/>
                <w:bCs/>
                <w:sz w:val="21"/>
                <w:szCs w:val="21"/>
                <w:highlight w:val="none"/>
              </w:rPr>
            </w:pPr>
            <w:r>
              <w:rPr>
                <w:rFonts w:hint="eastAsia" w:ascii="仿宋_GB2312" w:hAnsi="仿宋_GB2312" w:eastAsia="仿宋_GB2312" w:cs="仿宋_GB2312"/>
                <w:b/>
                <w:bCs/>
                <w:sz w:val="21"/>
                <w:szCs w:val="21"/>
                <w:highlight w:val="none"/>
              </w:rPr>
              <w:t>7.关联信息披露：如产品投资于产品管理人或托管机构，其主要股东、控股股东、实际控制人、一致行动人、最终受益人，其控股的机构或者与其有重大利害关系的公司发行或承销的证券，或从事其他重大关联交易的，将及时公告。</w:t>
            </w:r>
          </w:p>
          <w:p>
            <w:pPr>
              <w:keepNext w:val="0"/>
              <w:keepLines w:val="0"/>
              <w:pageBreakBefore w:val="0"/>
              <w:kinsoku/>
              <w:wordWrap/>
              <w:overflowPunct/>
              <w:topLinePunct w:val="0"/>
              <w:bidi w:val="0"/>
              <w:snapToGrid/>
              <w:spacing w:line="320" w:lineRule="exact"/>
              <w:textAlignment w:val="auto"/>
              <w:outlineLvl w:val="9"/>
              <w:rPr>
                <w:rFonts w:hint="eastAsia" w:ascii="仿宋_GB2312" w:hAnsi="仿宋_GB2312" w:eastAsia="仿宋_GB2312" w:cs="仿宋_GB2312"/>
                <w:b/>
                <w:bCs/>
                <w:sz w:val="21"/>
                <w:szCs w:val="21"/>
                <w:highlight w:val="none"/>
              </w:rPr>
            </w:pPr>
            <w:r>
              <w:rPr>
                <w:rFonts w:hint="eastAsia" w:ascii="仿宋_GB2312" w:hAnsi="仿宋_GB2312" w:eastAsia="仿宋_GB2312" w:cs="仿宋_GB2312"/>
                <w:b/>
                <w:bCs/>
                <w:sz w:val="21"/>
                <w:szCs w:val="21"/>
                <w:highlight w:val="none"/>
              </w:rPr>
              <w:t>8．客户不得利用金融产品和服务从事违法活动。</w:t>
            </w:r>
          </w:p>
          <w:p>
            <w:pPr>
              <w:keepNext w:val="0"/>
              <w:keepLines w:val="0"/>
              <w:pageBreakBefore w:val="0"/>
              <w:kinsoku/>
              <w:wordWrap/>
              <w:overflowPunct/>
              <w:topLinePunct w:val="0"/>
              <w:bidi w:val="0"/>
              <w:snapToGrid/>
              <w:spacing w:line="320" w:lineRule="exact"/>
              <w:textAlignment w:val="auto"/>
              <w:outlineLvl w:val="9"/>
              <w:rPr>
                <w:rFonts w:hint="eastAsia" w:ascii="仿宋_GB2312" w:hAnsi="仿宋_GB2312" w:eastAsia="仿宋_GB2312" w:cs="仿宋_GB2312"/>
                <w:b/>
                <w:bCs/>
                <w:sz w:val="21"/>
                <w:szCs w:val="21"/>
                <w:highlight w:val="none"/>
              </w:rPr>
            </w:pPr>
            <w:r>
              <w:rPr>
                <w:rFonts w:hint="eastAsia" w:ascii="仿宋_GB2312" w:hAnsi="仿宋_GB2312" w:eastAsia="仿宋_GB2312" w:cs="仿宋_GB2312"/>
                <w:b/>
                <w:sz w:val="21"/>
                <w:szCs w:val="21"/>
                <w:highlight w:val="none"/>
              </w:rPr>
              <w:t>9．客户如对本产品有任何建议、意见或投诉，请拨打我行24小时客服电话956056咨询。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9" w:hRule="atLeast"/>
        </w:trPr>
        <w:tc>
          <w:tcPr>
            <w:tcW w:w="1951" w:type="dxa"/>
            <w:vAlign w:val="center"/>
          </w:tcPr>
          <w:p>
            <w:pPr>
              <w:keepNext w:val="0"/>
              <w:keepLines w:val="0"/>
              <w:pageBreakBefore w:val="0"/>
              <w:kinsoku/>
              <w:wordWrap/>
              <w:overflowPunct/>
              <w:topLinePunct w:val="0"/>
              <w:bidi w:val="0"/>
              <w:snapToGrid/>
              <w:spacing w:line="320" w:lineRule="exact"/>
              <w:jc w:val="center"/>
              <w:textAlignment w:val="auto"/>
              <w:outlineLvl w:val="9"/>
              <w:rPr>
                <w:rFonts w:hint="eastAsia" w:ascii="仿宋_GB2312" w:hAnsi="仿宋_GB2312" w:eastAsia="仿宋_GB2312" w:cs="仿宋_GB2312"/>
                <w:b/>
                <w:bCs/>
                <w:sz w:val="24"/>
                <w:szCs w:val="24"/>
                <w:highlight w:val="none"/>
              </w:rPr>
            </w:pPr>
            <w:r>
              <w:rPr>
                <w:rFonts w:hint="eastAsia" w:ascii="仿宋_GB2312" w:hAnsi="仿宋_GB2312" w:eastAsia="仿宋_GB2312" w:cs="仿宋_GB2312"/>
                <w:b/>
                <w:bCs/>
                <w:sz w:val="24"/>
                <w:szCs w:val="24"/>
                <w:highlight w:val="none"/>
              </w:rPr>
              <w:t>特别提示</w:t>
            </w:r>
          </w:p>
        </w:tc>
        <w:tc>
          <w:tcPr>
            <w:tcW w:w="8457" w:type="dxa"/>
            <w:gridSpan w:val="7"/>
            <w:vAlign w:val="center"/>
          </w:tcPr>
          <w:p>
            <w:pPr>
              <w:keepNext w:val="0"/>
              <w:keepLines w:val="0"/>
              <w:pageBreakBefore w:val="0"/>
              <w:kinsoku/>
              <w:wordWrap/>
              <w:overflowPunct/>
              <w:topLinePunct w:val="0"/>
              <w:bidi w:val="0"/>
              <w:snapToGrid/>
              <w:spacing w:line="320" w:lineRule="exact"/>
              <w:jc w:val="left"/>
              <w:textAlignment w:val="auto"/>
              <w:outlineLvl w:val="9"/>
              <w:rPr>
                <w:rFonts w:hint="eastAsia" w:ascii="仿宋_GB2312" w:hAnsi="仿宋_GB2312" w:eastAsia="仿宋_GB2312" w:cs="仿宋_GB2312"/>
                <w:b/>
                <w:sz w:val="21"/>
                <w:szCs w:val="21"/>
                <w:highlight w:val="none"/>
              </w:rPr>
            </w:pPr>
            <w:r>
              <w:rPr>
                <w:rFonts w:hint="eastAsia" w:ascii="仿宋_GB2312" w:hAnsi="仿宋_GB2312" w:eastAsia="仿宋_GB2312" w:cs="仿宋_GB2312"/>
                <w:b/>
                <w:sz w:val="21"/>
                <w:szCs w:val="21"/>
                <w:highlight w:val="none"/>
              </w:rPr>
              <w:t>1.根据中国人民银行、</w:t>
            </w:r>
            <w:r>
              <w:rPr>
                <w:rFonts w:hint="eastAsia" w:ascii="仿宋_GB2312" w:hAnsi="仿宋_GB2312" w:eastAsia="仿宋_GB2312" w:cs="仿宋_GB2312"/>
                <w:b/>
                <w:sz w:val="21"/>
                <w:szCs w:val="21"/>
                <w:highlight w:val="none"/>
                <w:lang w:eastAsia="zh-CN"/>
              </w:rPr>
              <w:t>国家金融监督管理总局</w:t>
            </w:r>
            <w:r>
              <w:rPr>
                <w:rFonts w:hint="eastAsia" w:ascii="仿宋_GB2312" w:hAnsi="仿宋_GB2312" w:eastAsia="仿宋_GB2312" w:cs="仿宋_GB2312"/>
                <w:b/>
                <w:sz w:val="21"/>
                <w:szCs w:val="21"/>
                <w:highlight w:val="none"/>
              </w:rPr>
              <w:t>、中国证券监督管理委员会、国家外汇管理局联合发布的《关于规范金融机构资产管理业务的指导意见》第四条“资产管理产品按照投资性质的不同，分为固定收益类产品、权益类产品、商品及金融衍生品类产品和混合类产品。固定收益类产品投资于存款、债券等债权类资产的比例不低于80%，权益类产品投资于股票、未上市企业股权等权益类资产的比例不低于80%，商品及金融衍生品类产品投资于商品及金融衍生品的比例不低于80%，混合类产品投资于债权类资产、权益类资产、商品及金融衍生品类资产且任一资产的投资比例未达到前三类产品标准。”。据此，本产品属于</w:t>
            </w:r>
            <w:r>
              <w:rPr>
                <w:rFonts w:hint="eastAsia" w:ascii="仿宋_GB2312" w:hAnsi="仿宋_GB2312" w:eastAsia="仿宋_GB2312" w:cs="仿宋_GB2312"/>
                <w:b/>
                <w:sz w:val="21"/>
                <w:szCs w:val="21"/>
                <w:highlight w:val="none"/>
                <w:lang w:val="en-US" w:eastAsia="zh-CN"/>
              </w:rPr>
              <w:t>固定收益</w:t>
            </w:r>
            <w:r>
              <w:rPr>
                <w:rFonts w:hint="eastAsia" w:ascii="仿宋_GB2312" w:hAnsi="仿宋_GB2312" w:eastAsia="仿宋_GB2312" w:cs="仿宋_GB2312"/>
                <w:b/>
                <w:sz w:val="21"/>
                <w:szCs w:val="21"/>
                <w:highlight w:val="none"/>
              </w:rPr>
              <w:t>类理财产品。</w:t>
            </w:r>
          </w:p>
          <w:p>
            <w:pPr>
              <w:keepNext w:val="0"/>
              <w:keepLines w:val="0"/>
              <w:pageBreakBefore w:val="0"/>
              <w:kinsoku/>
              <w:wordWrap/>
              <w:overflowPunct/>
              <w:topLinePunct w:val="0"/>
              <w:bidi w:val="0"/>
              <w:snapToGrid/>
              <w:spacing w:line="320" w:lineRule="exact"/>
              <w:jc w:val="left"/>
              <w:textAlignment w:val="auto"/>
              <w:outlineLvl w:val="9"/>
              <w:rPr>
                <w:rFonts w:hint="eastAsia" w:ascii="仿宋_GB2312" w:hAnsi="仿宋_GB2312" w:eastAsia="仿宋_GB2312" w:cs="仿宋_GB2312"/>
                <w:b/>
                <w:sz w:val="21"/>
                <w:szCs w:val="21"/>
                <w:highlight w:val="none"/>
              </w:rPr>
            </w:pPr>
            <w:r>
              <w:rPr>
                <w:rFonts w:hint="eastAsia" w:ascii="仿宋_GB2312" w:hAnsi="仿宋_GB2312" w:eastAsia="仿宋_GB2312" w:cs="仿宋_GB2312"/>
                <w:b/>
                <w:sz w:val="21"/>
                <w:szCs w:val="21"/>
                <w:highlight w:val="none"/>
              </w:rPr>
              <w:t>2.本产品业绩比较基准仅供客户参考，并不作为天津银行向客户支付本产品收益的承诺；客户所能获得的最终收益以投资理财产品最终清算的客户可得收益为准。理财产品过往业绩不代表其未来表现，不等于理财产品实际收益，投资须谨慎。客户在投资前，请仔细阅读本产品说明书，并作出独立的投资决策。</w:t>
            </w:r>
          </w:p>
          <w:p>
            <w:pPr>
              <w:keepNext w:val="0"/>
              <w:keepLines w:val="0"/>
              <w:pageBreakBefore w:val="0"/>
              <w:kinsoku/>
              <w:wordWrap/>
              <w:overflowPunct/>
              <w:topLinePunct w:val="0"/>
              <w:bidi w:val="0"/>
              <w:snapToGrid/>
              <w:spacing w:line="320" w:lineRule="exact"/>
              <w:jc w:val="left"/>
              <w:textAlignment w:val="auto"/>
              <w:outlineLvl w:val="9"/>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3.天津银行将恪守勤勉尽责的原则，合理配置资产组合，为客户提供专业化的理财服务。</w:t>
            </w:r>
          </w:p>
          <w:p>
            <w:pPr>
              <w:keepNext w:val="0"/>
              <w:keepLines w:val="0"/>
              <w:pageBreakBefore w:val="0"/>
              <w:kinsoku/>
              <w:wordWrap/>
              <w:overflowPunct/>
              <w:topLinePunct w:val="0"/>
              <w:bidi w:val="0"/>
              <w:snapToGrid/>
              <w:spacing w:line="320" w:lineRule="exact"/>
              <w:jc w:val="left"/>
              <w:textAlignment w:val="auto"/>
              <w:outlineLvl w:val="9"/>
              <w:rPr>
                <w:rFonts w:hint="eastAsia" w:ascii="仿宋_GB2312" w:hAnsi="仿宋_GB2312" w:eastAsia="仿宋_GB2312" w:cs="仿宋_GB2312"/>
                <w:b/>
                <w:sz w:val="21"/>
                <w:szCs w:val="21"/>
                <w:highlight w:val="none"/>
              </w:rPr>
            </w:pPr>
            <w:r>
              <w:rPr>
                <w:rFonts w:hint="eastAsia" w:ascii="仿宋_GB2312" w:hAnsi="仿宋_GB2312" w:eastAsia="仿宋_GB2312" w:cs="仿宋_GB2312"/>
                <w:b/>
                <w:sz w:val="21"/>
                <w:szCs w:val="21"/>
                <w:highlight w:val="none"/>
              </w:rPr>
              <w:t>4.本产品面临的风险包括市场风险、提前终止风险、流动性风险等，将可能导致投资者收益到期蒙受部分或全部损失。由此产生的理财收益损失的风险由投资人自行承担，天津银行不承担任何付息的责任。</w:t>
            </w:r>
          </w:p>
          <w:p>
            <w:pPr>
              <w:keepNext w:val="0"/>
              <w:keepLines w:val="0"/>
              <w:pageBreakBefore w:val="0"/>
              <w:kinsoku/>
              <w:wordWrap/>
              <w:overflowPunct/>
              <w:topLinePunct w:val="0"/>
              <w:bidi w:val="0"/>
              <w:snapToGrid/>
              <w:spacing w:line="320" w:lineRule="exact"/>
              <w:textAlignment w:val="auto"/>
              <w:outlineLvl w:val="9"/>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5.</w:t>
            </w:r>
            <w:r>
              <w:rPr>
                <w:rFonts w:hint="eastAsia" w:ascii="仿宋_GB2312" w:hAnsi="仿宋_GB2312" w:eastAsia="仿宋_GB2312" w:cs="仿宋_GB2312"/>
                <w:b/>
                <w:sz w:val="21"/>
                <w:szCs w:val="21"/>
                <w:highlight w:val="none"/>
                <w:u w:val="single"/>
              </w:rPr>
              <w:t>非保本理财产品不保证本金，天津银行对非保本理财产品本金不做任何承诺。</w:t>
            </w:r>
          </w:p>
          <w:p>
            <w:pPr>
              <w:keepNext w:val="0"/>
              <w:keepLines w:val="0"/>
              <w:pageBreakBefore w:val="0"/>
              <w:kinsoku/>
              <w:wordWrap/>
              <w:overflowPunct/>
              <w:topLinePunct w:val="0"/>
              <w:bidi w:val="0"/>
              <w:snapToGrid/>
              <w:spacing w:line="320" w:lineRule="exact"/>
              <w:textAlignment w:val="auto"/>
              <w:outlineLvl w:val="9"/>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6.客户应密切关注我行与本产品有关的信息公告，以免造成不必要的损失。</w:t>
            </w:r>
          </w:p>
        </w:tc>
      </w:tr>
    </w:tbl>
    <w:p>
      <w:pPr>
        <w:keepNext w:val="0"/>
        <w:keepLines w:val="0"/>
        <w:pageBreakBefore w:val="0"/>
        <w:kinsoku/>
        <w:wordWrap/>
        <w:overflowPunct/>
        <w:topLinePunct w:val="0"/>
        <w:bidi w:val="0"/>
        <w:snapToGrid/>
        <w:spacing w:line="320" w:lineRule="exact"/>
        <w:ind w:right="98"/>
        <w:textAlignment w:val="auto"/>
        <w:outlineLvl w:val="9"/>
        <w:rPr>
          <w:rFonts w:ascii="仿宋_GB2312" w:eastAsia="仿宋_GB2312"/>
          <w:b/>
          <w:sz w:val="28"/>
          <w:szCs w:val="28"/>
          <w:highlight w:val="none"/>
          <w:u w:val="single"/>
        </w:rPr>
      </w:pPr>
      <w:r>
        <w:rPr>
          <w:rFonts w:hint="eastAsia" w:ascii="仿宋_GB2312" w:eastAsia="仿宋_GB2312"/>
          <w:b/>
          <w:sz w:val="28"/>
          <w:szCs w:val="28"/>
          <w:highlight w:val="none"/>
        </w:rPr>
        <w:t>□本人已经充分阅读说明书内容，清楚知晓产品全部信息。客户</w:t>
      </w:r>
      <w:r>
        <w:rPr>
          <w:rFonts w:ascii="仿宋_GB2312" w:eastAsia="仿宋_GB2312"/>
          <w:b/>
          <w:sz w:val="28"/>
          <w:szCs w:val="28"/>
          <w:highlight w:val="none"/>
        </w:rPr>
        <w:t>签字：</w:t>
      </w:r>
      <w:r>
        <w:rPr>
          <w:rFonts w:hint="eastAsia" w:ascii="仿宋_GB2312" w:eastAsia="仿宋_GB2312"/>
          <w:b/>
          <w:sz w:val="28"/>
          <w:szCs w:val="28"/>
          <w:highlight w:val="none"/>
          <w:u w:val="single"/>
        </w:rPr>
        <w:t xml:space="preserve">            </w:t>
      </w:r>
    </w:p>
    <w:p>
      <w:pPr>
        <w:keepNext w:val="0"/>
        <w:keepLines w:val="0"/>
        <w:pageBreakBefore w:val="0"/>
        <w:kinsoku/>
        <w:wordWrap/>
        <w:overflowPunct/>
        <w:topLinePunct w:val="0"/>
        <w:bidi w:val="0"/>
        <w:snapToGrid/>
        <w:spacing w:line="320" w:lineRule="exact"/>
        <w:textAlignment w:val="auto"/>
        <w:outlineLvl w:val="9"/>
        <w:rPr>
          <w:rFonts w:ascii="仿宋_GB2312" w:eastAsia="仿宋_GB2312"/>
          <w:b/>
          <w:szCs w:val="21"/>
          <w:highlight w:val="none"/>
        </w:rPr>
      </w:pPr>
    </w:p>
    <w:p>
      <w:pPr>
        <w:keepNext w:val="0"/>
        <w:keepLines w:val="0"/>
        <w:pageBreakBefore w:val="0"/>
        <w:kinsoku/>
        <w:wordWrap/>
        <w:overflowPunct/>
        <w:topLinePunct w:val="0"/>
        <w:bidi w:val="0"/>
        <w:snapToGrid/>
        <w:spacing w:line="320" w:lineRule="exact"/>
        <w:textAlignment w:val="auto"/>
        <w:outlineLvl w:val="9"/>
        <w:rPr>
          <w:rFonts w:ascii="仿宋_GB2312" w:eastAsia="仿宋_GB2312"/>
          <w:b/>
          <w:szCs w:val="21"/>
          <w:highlight w:val="none"/>
        </w:rPr>
      </w:pPr>
    </w:p>
    <w:p>
      <w:pPr>
        <w:keepNext w:val="0"/>
        <w:keepLines w:val="0"/>
        <w:pageBreakBefore w:val="0"/>
        <w:kinsoku/>
        <w:wordWrap/>
        <w:overflowPunct/>
        <w:topLinePunct w:val="0"/>
        <w:bidi w:val="0"/>
        <w:snapToGrid/>
        <w:spacing w:line="320" w:lineRule="exact"/>
        <w:textAlignment w:val="auto"/>
        <w:outlineLvl w:val="9"/>
        <w:rPr>
          <w:rFonts w:ascii="仿宋_GB2312"/>
          <w:b/>
          <w:szCs w:val="21"/>
          <w:highlight w:val="none"/>
        </w:rPr>
      </w:pPr>
      <w:r>
        <w:rPr>
          <w:rFonts w:hint="eastAsia" w:ascii="宋体" w:hAnsi="宋体"/>
          <w:b/>
          <w:szCs w:val="21"/>
          <w:highlight w:val="none"/>
        </w:rPr>
        <w:t>销售人员:                     日期:     年    月     日</w:t>
      </w:r>
    </w:p>
    <w:p>
      <w:pPr>
        <w:adjustRightInd w:val="0"/>
        <w:snapToGrid w:val="0"/>
        <w:spacing w:line="170" w:lineRule="exact"/>
        <w:ind w:firstLine="301" w:firstLineChars="200"/>
        <w:rPr>
          <w:rFonts w:hint="eastAsia" w:ascii="黑体" w:hAnsi="宋体" w:eastAsia="黑体"/>
          <w:b/>
          <w:sz w:val="15"/>
          <w:szCs w:val="15"/>
          <w:highlight w:val="none"/>
          <w:lang w:eastAsia="zh-CN"/>
        </w:rPr>
      </w:pPr>
    </w:p>
    <w:sectPr>
      <w:headerReference r:id="rId7" w:type="default"/>
      <w:footerReference r:id="rId8" w:type="default"/>
      <w:pgSz w:w="11906" w:h="16838"/>
      <w:pgMar w:top="624" w:right="624" w:bottom="624" w:left="624" w:header="510" w:footer="397"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Wingdings 2">
    <w:altName w:val="Wingdings"/>
    <w:panose1 w:val="05020102010507070707"/>
    <w:charset w:val="00"/>
    <w:family w:val="auto"/>
    <w:pitch w:val="default"/>
    <w:sig w:usb0="00000000" w:usb1="00000000" w:usb2="00000000" w:usb3="00000000" w:csb0="00000000" w:csb1="00000000"/>
  </w:font>
  <w:font w:name="仿宋_GB2312">
    <w:panose1 w:val="02010609030101010101"/>
    <w:charset w:val="86"/>
    <w:family w:val="swiss"/>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auto"/>
    <w:pitch w:val="default"/>
    <w:sig w:usb0="E0002EFF" w:usb1="C000785B" w:usb2="00000009" w:usb3="00000000" w:csb0="400001FF" w:csb1="FFFF0000"/>
  </w:font>
  <w:font w:name="Wingdings">
    <w:panose1 w:val="05000000000000000000"/>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440" w:lineRule="exact"/>
      <w:ind w:right="-82"/>
      <w:rPr>
        <w:rFonts w:ascii="宋体" w:hAnsi="宋体"/>
        <w:szCs w:val="21"/>
      </w:rPr>
    </w:pPr>
    <w:r>
      <w:rPr>
        <w:rFonts w:hint="eastAsia" w:ascii="宋体" w:hAnsi="宋体"/>
        <w:sz w:val="15"/>
        <w:szCs w:val="15"/>
      </w:rPr>
      <w:t>理财产品销售协议书、产品说明书、风险揭示书及客户权益须知等有关法律文件共同构成完整的理财合同。</w:t>
    </w:r>
  </w:p>
  <w:p>
    <w:pPr>
      <w:pStyle w:val="6"/>
    </w:pPr>
  </w:p>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87706123"/>
    </w:sdtPr>
    <w:sdtContent>
      <w:sdt>
        <w:sdtPr>
          <w:id w:val="1728636285"/>
        </w:sdtPr>
        <w:sdtContent>
          <w:p>
            <w:pPr>
              <w:pStyle w:val="6"/>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6</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7</w:t>
            </w:r>
            <w:r>
              <w:rPr>
                <w:b/>
                <w:bCs/>
                <w:sz w:val="24"/>
                <w:szCs w:val="24"/>
              </w:rPr>
              <w:fldChar w:fldCharType="end"/>
            </w:r>
          </w:p>
        </w:sdtContent>
      </w:sdt>
    </w:sdtContent>
  </w:sdt>
  <w:p>
    <w:pPr>
      <w:spacing w:line="440" w:lineRule="exact"/>
      <w:ind w:right="-82"/>
      <w:rPr>
        <w:rFonts w:ascii="宋体" w:hAnsi="宋体"/>
        <w:szCs w:val="21"/>
      </w:rPr>
    </w:pPr>
    <w:r>
      <w:rPr>
        <w:rFonts w:hint="eastAsia" w:ascii="宋体" w:hAnsi="宋体"/>
        <w:sz w:val="15"/>
        <w:szCs w:val="15"/>
      </w:rPr>
      <w:t>理财产品销售协议书、产品说明书、风险揭示书及客户权益须知等有关法律文件共同构成完整的理财合同。</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87706123"/>
    </w:sdtPr>
    <w:sdtContent>
      <w:sdt>
        <w:sdtPr>
          <w:id w:val="1728636285"/>
        </w:sdtPr>
        <w:sdtContent>
          <w:p>
            <w:pPr>
              <w:pStyle w:val="6"/>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6</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6</w:t>
            </w:r>
            <w:r>
              <w:rPr>
                <w:b/>
                <w:bCs/>
                <w:sz w:val="24"/>
                <w:szCs w:val="24"/>
              </w:rPr>
              <w:fldChar w:fldCharType="end"/>
            </w:r>
          </w:p>
        </w:sdtContent>
      </w:sdt>
    </w:sdtContent>
  </w:sdt>
  <w:p>
    <w:pPr>
      <w:spacing w:line="440" w:lineRule="exact"/>
      <w:ind w:right="-82"/>
      <w:rPr>
        <w:rFonts w:ascii="宋体" w:hAnsi="宋体"/>
        <w:szCs w:val="21"/>
      </w:rPr>
    </w:pPr>
    <w:r>
      <w:rPr>
        <w:rFonts w:hint="eastAsia" w:ascii="宋体" w:hAnsi="宋体"/>
        <w:sz w:val="15"/>
        <w:szCs w:val="15"/>
      </w:rPr>
      <w:t>理财产品销售协议书、产品说明书、风险揭示书及客户权益须知等有关法律文件共同构成完整的理财合同。</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2340" w:firstLineChars="1300"/>
      <w:jc w:val="both"/>
      <w:rPr>
        <w:b/>
        <w:sz w:val="21"/>
      </w:rPr>
    </w:pPr>
    <w:r>
      <w:drawing>
        <wp:anchor distT="0" distB="0" distL="114300" distR="114300" simplePos="0" relativeHeight="251659264" behindDoc="0" locked="0" layoutInCell="1" allowOverlap="1">
          <wp:simplePos x="0" y="0"/>
          <wp:positionH relativeFrom="column">
            <wp:posOffset>-71120</wp:posOffset>
          </wp:positionH>
          <wp:positionV relativeFrom="paragraph">
            <wp:posOffset>-8890</wp:posOffset>
          </wp:positionV>
          <wp:extent cx="1381125" cy="295275"/>
          <wp:effectExtent l="0" t="0" r="9525" b="9525"/>
          <wp:wrapNone/>
          <wp:docPr id="4" name="图片 4"/>
          <wp:cNvGraphicFramePr/>
          <a:graphic xmlns:a="http://schemas.openxmlformats.org/drawingml/2006/main">
            <a:graphicData uri="http://schemas.openxmlformats.org/drawingml/2006/picture">
              <pic:pic xmlns:pic="http://schemas.openxmlformats.org/drawingml/2006/picture">
                <pic:nvPicPr>
                  <pic:cNvPr id="4" name="图片 4"/>
                  <pic:cNvPicPr/>
                </pic:nvPicPr>
                <pic:blipFill>
                  <a:blip r:embed="rId1">
                    <a:extLst>
                      <a:ext uri="{28A0092B-C50C-407E-A947-70E740481C1C}">
                        <a14:useLocalDpi xmlns:a14="http://schemas.microsoft.com/office/drawing/2010/main" val="0"/>
                      </a:ext>
                    </a:extLst>
                  </a:blip>
                  <a:stretch>
                    <a:fillRect/>
                  </a:stretch>
                </pic:blipFill>
                <pic:spPr>
                  <a:xfrm>
                    <a:off x="0" y="0"/>
                    <a:ext cx="1381125" cy="295275"/>
                  </a:xfrm>
                  <a:prstGeom prst="rect">
                    <a:avLst/>
                  </a:prstGeom>
                  <a:noFill/>
                  <a:ln>
                    <a:noFill/>
                  </a:ln>
                </pic:spPr>
              </pic:pic>
            </a:graphicData>
          </a:graphic>
        </wp:anchor>
      </w:drawing>
    </w:r>
    <w:r>
      <w:rPr>
        <w:rFonts w:hint="eastAsia"/>
        <w:b/>
        <w:sz w:val="21"/>
      </w:rPr>
      <w:t>理财非存款、产品有风险、投资须谨慎。</w:t>
    </w:r>
  </w:p>
  <w:p>
    <w:pPr>
      <w:pStyle w:val="7"/>
      <w:ind w:firstLine="2319" w:firstLineChars="1100"/>
      <w:jc w:val="both"/>
      <w:rPr>
        <w:b/>
        <w:sz w:val="21"/>
      </w:rPr>
    </w:pPr>
    <w:r>
      <w:rPr>
        <w:rFonts w:hint="eastAsia"/>
        <w:b/>
        <w:sz w:val="21"/>
      </w:rPr>
      <w:t>理财产品过往业绩不代表其未来表现，不等于理财产品实际收益，投资须谨慎。</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left"/>
    </w:pPr>
    <w:r>
      <w:rPr>
        <w:rFonts w:ascii="仿宋" w:hAnsi="仿宋" w:eastAsia="仿宋"/>
        <w:b/>
        <w:sz w:val="28"/>
        <w:szCs w:val="28"/>
      </w:rPr>
      <w:drawing>
        <wp:inline distT="0" distB="0" distL="0" distR="0">
          <wp:extent cx="1555750" cy="334645"/>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555750" cy="334645"/>
                  </a:xfrm>
                  <a:prstGeom prst="rect">
                    <a:avLst/>
                  </a:prstGeom>
                  <a:noFill/>
                  <a:ln>
                    <a:noFill/>
                  </a:ln>
                </pic:spPr>
              </pic:pic>
            </a:graphicData>
          </a:graphic>
        </wp:inline>
      </w:drawing>
    </w:r>
    <w:r>
      <w:t xml:space="preserve">                        </w:t>
    </w:r>
    <w:r>
      <w:rPr>
        <w:rFonts w:hint="eastAsia"/>
      </w:rPr>
      <w:t>202</w:t>
    </w:r>
    <w:r>
      <w:rPr>
        <w:rFonts w:hint="eastAsia"/>
        <w:lang w:val="en-US" w:eastAsia="zh-CN"/>
      </w:rPr>
      <w:t>5</w:t>
    </w:r>
    <w:r>
      <w:rPr>
        <w:rFonts w:hint="eastAsia"/>
      </w:rPr>
      <w:t>年</w:t>
    </w:r>
    <w:r>
      <w:rPr>
        <w:rFonts w:hint="eastAsia"/>
        <w:lang w:val="en-US" w:eastAsia="zh-CN"/>
      </w:rPr>
      <w:t>5</w:t>
    </w:r>
    <w:r>
      <w:rPr>
        <w:rFonts w:hint="eastAsia"/>
      </w:rPr>
      <w:t>月版本</w:t>
    </w:r>
  </w:p>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left"/>
    </w:pPr>
    <w:r>
      <w:rPr>
        <w:rFonts w:ascii="仿宋" w:hAnsi="仿宋" w:eastAsia="仿宋"/>
        <w:b/>
        <w:sz w:val="28"/>
        <w:szCs w:val="28"/>
      </w:rPr>
      <w:drawing>
        <wp:inline distT="0" distB="0" distL="114300" distR="114300">
          <wp:extent cx="1552575" cy="333375"/>
          <wp:effectExtent l="0" t="0" r="9525" b="9525"/>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1"/>
                  <a:stretch>
                    <a:fillRect/>
                  </a:stretch>
                </pic:blipFill>
                <pic:spPr>
                  <a:xfrm>
                    <a:off x="0" y="0"/>
                    <a:ext cx="1552575" cy="333375"/>
                  </a:xfrm>
                  <a:prstGeom prst="rect">
                    <a:avLst/>
                  </a:prstGeom>
                  <a:noFill/>
                  <a:ln w="9525">
                    <a:noFill/>
                  </a:ln>
                </pic:spPr>
              </pic:pic>
            </a:graphicData>
          </a:graphic>
        </wp:inline>
      </w:drawing>
    </w:r>
    <w:r>
      <w:rPr>
        <w:rFonts w:hint="eastAsia"/>
      </w:rPr>
      <w:t xml:space="preserve">                    </w:t>
    </w:r>
    <w:r>
      <w:t>202</w:t>
    </w:r>
    <w:r>
      <w:rPr>
        <w:rFonts w:hint="eastAsia"/>
        <w:lang w:val="en-US" w:eastAsia="zh-CN"/>
      </w:rPr>
      <w:t>5</w:t>
    </w:r>
    <w:r>
      <w:rPr>
        <w:rFonts w:hint="eastAsia"/>
      </w:rPr>
      <w:t>年</w:t>
    </w:r>
    <w:r>
      <w:rPr>
        <w:rFonts w:hint="eastAsia"/>
        <w:lang w:val="en-US" w:eastAsia="zh-CN"/>
      </w:rPr>
      <w:t>5</w:t>
    </w:r>
    <w:r>
      <w:rPr>
        <w:rFonts w:hint="eastAsia"/>
      </w:rPr>
      <w:t>月版本</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E2123"/>
    <w:multiLevelType w:val="singleLevel"/>
    <w:tmpl w:val="045E2123"/>
    <w:lvl w:ilvl="0" w:tentative="0">
      <w:start w:val="1"/>
      <w:numFmt w:val="decimal"/>
      <w:suff w:val="space"/>
      <w:lvlText w:val="%1."/>
      <w:lvlJc w:val="left"/>
    </w:lvl>
  </w:abstractNum>
  <w:abstractNum w:abstractNumId="1">
    <w:nsid w:val="623A0C42"/>
    <w:multiLevelType w:val="singleLevel"/>
    <w:tmpl w:val="623A0C42"/>
    <w:lvl w:ilvl="0" w:tentative="0">
      <w:start w:val="1"/>
      <w:numFmt w:val="decimal"/>
      <w:suff w:val="space"/>
      <w:lvlText w:val="%1."/>
      <w:lvlJc w:val="left"/>
    </w:lvl>
  </w:abstractNum>
  <w:abstractNum w:abstractNumId="2">
    <w:nsid w:val="682A2D8C"/>
    <w:multiLevelType w:val="singleLevel"/>
    <w:tmpl w:val="682A2D8C"/>
    <w:lvl w:ilvl="0" w:tentative="0">
      <w:start w:val="2"/>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37DE"/>
    <w:rsid w:val="000050FC"/>
    <w:rsid w:val="00005C3D"/>
    <w:rsid w:val="0000677E"/>
    <w:rsid w:val="00006CCC"/>
    <w:rsid w:val="000105BD"/>
    <w:rsid w:val="000107DA"/>
    <w:rsid w:val="00016B99"/>
    <w:rsid w:val="00025173"/>
    <w:rsid w:val="00026417"/>
    <w:rsid w:val="00031041"/>
    <w:rsid w:val="000438F1"/>
    <w:rsid w:val="000503C5"/>
    <w:rsid w:val="00056767"/>
    <w:rsid w:val="00060AA6"/>
    <w:rsid w:val="0006106C"/>
    <w:rsid w:val="00064A6A"/>
    <w:rsid w:val="00071B82"/>
    <w:rsid w:val="000848D1"/>
    <w:rsid w:val="000B3806"/>
    <w:rsid w:val="000C1654"/>
    <w:rsid w:val="001175D3"/>
    <w:rsid w:val="0012598E"/>
    <w:rsid w:val="00130FCE"/>
    <w:rsid w:val="0013212A"/>
    <w:rsid w:val="001332DF"/>
    <w:rsid w:val="00137380"/>
    <w:rsid w:val="00143551"/>
    <w:rsid w:val="00155109"/>
    <w:rsid w:val="001552B9"/>
    <w:rsid w:val="001615B4"/>
    <w:rsid w:val="00171F71"/>
    <w:rsid w:val="001769F8"/>
    <w:rsid w:val="001830CD"/>
    <w:rsid w:val="001850BD"/>
    <w:rsid w:val="00190607"/>
    <w:rsid w:val="001A5B39"/>
    <w:rsid w:val="001B3510"/>
    <w:rsid w:val="001B3E23"/>
    <w:rsid w:val="001D5AA0"/>
    <w:rsid w:val="001D60B1"/>
    <w:rsid w:val="001E2676"/>
    <w:rsid w:val="001E4CD0"/>
    <w:rsid w:val="001F50ED"/>
    <w:rsid w:val="002051F5"/>
    <w:rsid w:val="00210149"/>
    <w:rsid w:val="00242321"/>
    <w:rsid w:val="00242506"/>
    <w:rsid w:val="002632F5"/>
    <w:rsid w:val="0028432B"/>
    <w:rsid w:val="00293403"/>
    <w:rsid w:val="002A25D2"/>
    <w:rsid w:val="002B4C8C"/>
    <w:rsid w:val="002C69BE"/>
    <w:rsid w:val="002D769E"/>
    <w:rsid w:val="002E11C3"/>
    <w:rsid w:val="002E7E63"/>
    <w:rsid w:val="002F1E16"/>
    <w:rsid w:val="002F20D1"/>
    <w:rsid w:val="002F3514"/>
    <w:rsid w:val="002F7DE7"/>
    <w:rsid w:val="003163DF"/>
    <w:rsid w:val="00324780"/>
    <w:rsid w:val="003368F2"/>
    <w:rsid w:val="00341B8D"/>
    <w:rsid w:val="003553AC"/>
    <w:rsid w:val="0036252C"/>
    <w:rsid w:val="00364A66"/>
    <w:rsid w:val="00367CEB"/>
    <w:rsid w:val="0037262D"/>
    <w:rsid w:val="00381F04"/>
    <w:rsid w:val="00393B33"/>
    <w:rsid w:val="003A28C8"/>
    <w:rsid w:val="003B28A6"/>
    <w:rsid w:val="00414753"/>
    <w:rsid w:val="004237F3"/>
    <w:rsid w:val="00437861"/>
    <w:rsid w:val="00446839"/>
    <w:rsid w:val="00447379"/>
    <w:rsid w:val="00460C79"/>
    <w:rsid w:val="004732F9"/>
    <w:rsid w:val="004817AF"/>
    <w:rsid w:val="00485712"/>
    <w:rsid w:val="00485BF7"/>
    <w:rsid w:val="00490F51"/>
    <w:rsid w:val="0049281E"/>
    <w:rsid w:val="004A133E"/>
    <w:rsid w:val="004C5D3E"/>
    <w:rsid w:val="004E7EB6"/>
    <w:rsid w:val="004F0977"/>
    <w:rsid w:val="004F727C"/>
    <w:rsid w:val="00527457"/>
    <w:rsid w:val="00546D18"/>
    <w:rsid w:val="005556C9"/>
    <w:rsid w:val="005A666C"/>
    <w:rsid w:val="005D2FC9"/>
    <w:rsid w:val="005E3E71"/>
    <w:rsid w:val="005E6154"/>
    <w:rsid w:val="005F767B"/>
    <w:rsid w:val="00603E68"/>
    <w:rsid w:val="00613480"/>
    <w:rsid w:val="00616CC8"/>
    <w:rsid w:val="00620187"/>
    <w:rsid w:val="00621F60"/>
    <w:rsid w:val="00627D11"/>
    <w:rsid w:val="0064330E"/>
    <w:rsid w:val="00652557"/>
    <w:rsid w:val="00681A1B"/>
    <w:rsid w:val="0068517E"/>
    <w:rsid w:val="0068763B"/>
    <w:rsid w:val="006C0044"/>
    <w:rsid w:val="006C7CD1"/>
    <w:rsid w:val="00702B8D"/>
    <w:rsid w:val="00723ECB"/>
    <w:rsid w:val="007363EB"/>
    <w:rsid w:val="007371BC"/>
    <w:rsid w:val="007447AC"/>
    <w:rsid w:val="0074703B"/>
    <w:rsid w:val="007515A1"/>
    <w:rsid w:val="00766473"/>
    <w:rsid w:val="00771BB9"/>
    <w:rsid w:val="007747E4"/>
    <w:rsid w:val="007A3B97"/>
    <w:rsid w:val="007C294D"/>
    <w:rsid w:val="007C6798"/>
    <w:rsid w:val="007D623C"/>
    <w:rsid w:val="007E4E07"/>
    <w:rsid w:val="007F1236"/>
    <w:rsid w:val="007F7CF2"/>
    <w:rsid w:val="00816F71"/>
    <w:rsid w:val="00850346"/>
    <w:rsid w:val="008959D6"/>
    <w:rsid w:val="00896723"/>
    <w:rsid w:val="008A3262"/>
    <w:rsid w:val="008D130C"/>
    <w:rsid w:val="008D36E4"/>
    <w:rsid w:val="008E6C8F"/>
    <w:rsid w:val="008F30B6"/>
    <w:rsid w:val="008F68D1"/>
    <w:rsid w:val="00900C8C"/>
    <w:rsid w:val="009222C0"/>
    <w:rsid w:val="00925BB1"/>
    <w:rsid w:val="00933FE3"/>
    <w:rsid w:val="00945922"/>
    <w:rsid w:val="00945E7A"/>
    <w:rsid w:val="00972B81"/>
    <w:rsid w:val="00984FA9"/>
    <w:rsid w:val="009A1BB6"/>
    <w:rsid w:val="009B08A9"/>
    <w:rsid w:val="009B30A7"/>
    <w:rsid w:val="009B5876"/>
    <w:rsid w:val="009C0C09"/>
    <w:rsid w:val="009E7334"/>
    <w:rsid w:val="009F40E2"/>
    <w:rsid w:val="00A00521"/>
    <w:rsid w:val="00A13740"/>
    <w:rsid w:val="00A23386"/>
    <w:rsid w:val="00A329AF"/>
    <w:rsid w:val="00A46326"/>
    <w:rsid w:val="00A63CB7"/>
    <w:rsid w:val="00A72D96"/>
    <w:rsid w:val="00A760C8"/>
    <w:rsid w:val="00A86B11"/>
    <w:rsid w:val="00AA16B2"/>
    <w:rsid w:val="00AA71F1"/>
    <w:rsid w:val="00AC6083"/>
    <w:rsid w:val="00AC7AC5"/>
    <w:rsid w:val="00AE25F6"/>
    <w:rsid w:val="00AE268F"/>
    <w:rsid w:val="00B05862"/>
    <w:rsid w:val="00B36992"/>
    <w:rsid w:val="00B433A0"/>
    <w:rsid w:val="00B50D14"/>
    <w:rsid w:val="00B510DF"/>
    <w:rsid w:val="00B64ADB"/>
    <w:rsid w:val="00B66C3C"/>
    <w:rsid w:val="00B70468"/>
    <w:rsid w:val="00B72197"/>
    <w:rsid w:val="00B752FE"/>
    <w:rsid w:val="00B8785C"/>
    <w:rsid w:val="00BB16F9"/>
    <w:rsid w:val="00BB3ADB"/>
    <w:rsid w:val="00BB65D6"/>
    <w:rsid w:val="00BB7C94"/>
    <w:rsid w:val="00BB7DB1"/>
    <w:rsid w:val="00BC1273"/>
    <w:rsid w:val="00BC35ED"/>
    <w:rsid w:val="00BC7AC2"/>
    <w:rsid w:val="00BD5718"/>
    <w:rsid w:val="00BE1A28"/>
    <w:rsid w:val="00BF4DAD"/>
    <w:rsid w:val="00C16827"/>
    <w:rsid w:val="00C17A1E"/>
    <w:rsid w:val="00C23837"/>
    <w:rsid w:val="00C34674"/>
    <w:rsid w:val="00C346A7"/>
    <w:rsid w:val="00C5105B"/>
    <w:rsid w:val="00C51481"/>
    <w:rsid w:val="00C550A1"/>
    <w:rsid w:val="00C72967"/>
    <w:rsid w:val="00C76BE3"/>
    <w:rsid w:val="00C92665"/>
    <w:rsid w:val="00C92855"/>
    <w:rsid w:val="00C95679"/>
    <w:rsid w:val="00CC118F"/>
    <w:rsid w:val="00CD0484"/>
    <w:rsid w:val="00D1253F"/>
    <w:rsid w:val="00D23C28"/>
    <w:rsid w:val="00D27146"/>
    <w:rsid w:val="00D31232"/>
    <w:rsid w:val="00D31807"/>
    <w:rsid w:val="00D33BB2"/>
    <w:rsid w:val="00D34DDD"/>
    <w:rsid w:val="00D40E7E"/>
    <w:rsid w:val="00D84314"/>
    <w:rsid w:val="00D947DF"/>
    <w:rsid w:val="00DD6D48"/>
    <w:rsid w:val="00DE0E23"/>
    <w:rsid w:val="00DE54A0"/>
    <w:rsid w:val="00DF6E27"/>
    <w:rsid w:val="00E2002D"/>
    <w:rsid w:val="00E24C37"/>
    <w:rsid w:val="00E250F7"/>
    <w:rsid w:val="00E46CDB"/>
    <w:rsid w:val="00E60901"/>
    <w:rsid w:val="00E65204"/>
    <w:rsid w:val="00E66F07"/>
    <w:rsid w:val="00E735F1"/>
    <w:rsid w:val="00E80D21"/>
    <w:rsid w:val="00E937DE"/>
    <w:rsid w:val="00E94EA1"/>
    <w:rsid w:val="00EB066E"/>
    <w:rsid w:val="00EB2F3C"/>
    <w:rsid w:val="00EB39F0"/>
    <w:rsid w:val="00ED07E6"/>
    <w:rsid w:val="00EE6CAA"/>
    <w:rsid w:val="00EF3787"/>
    <w:rsid w:val="00EF482C"/>
    <w:rsid w:val="00F00CD1"/>
    <w:rsid w:val="00F046EE"/>
    <w:rsid w:val="00F24D76"/>
    <w:rsid w:val="00F31B20"/>
    <w:rsid w:val="00F36DD4"/>
    <w:rsid w:val="00F46155"/>
    <w:rsid w:val="00F47FE1"/>
    <w:rsid w:val="00F529F5"/>
    <w:rsid w:val="00F601C9"/>
    <w:rsid w:val="00F63DCF"/>
    <w:rsid w:val="00F76605"/>
    <w:rsid w:val="00F76B66"/>
    <w:rsid w:val="00F93D11"/>
    <w:rsid w:val="00F96BB6"/>
    <w:rsid w:val="00FB5E03"/>
    <w:rsid w:val="00FD1478"/>
    <w:rsid w:val="00FD2993"/>
    <w:rsid w:val="00FF05AF"/>
    <w:rsid w:val="00FF3AB0"/>
    <w:rsid w:val="01220E84"/>
    <w:rsid w:val="01CE5F3B"/>
    <w:rsid w:val="0239305F"/>
    <w:rsid w:val="03DF4439"/>
    <w:rsid w:val="03F87BE7"/>
    <w:rsid w:val="05CD556E"/>
    <w:rsid w:val="06286368"/>
    <w:rsid w:val="09171878"/>
    <w:rsid w:val="09F1449A"/>
    <w:rsid w:val="0A373B6D"/>
    <w:rsid w:val="0A741C60"/>
    <w:rsid w:val="0BC36BCA"/>
    <w:rsid w:val="0C9C1A42"/>
    <w:rsid w:val="0E063FDD"/>
    <w:rsid w:val="12DD021B"/>
    <w:rsid w:val="147614D3"/>
    <w:rsid w:val="17090146"/>
    <w:rsid w:val="17197D96"/>
    <w:rsid w:val="1ADB1A1A"/>
    <w:rsid w:val="1C4A3993"/>
    <w:rsid w:val="1CCD1E84"/>
    <w:rsid w:val="1D33051A"/>
    <w:rsid w:val="1D8C6E8E"/>
    <w:rsid w:val="1F1F18FF"/>
    <w:rsid w:val="22C01E95"/>
    <w:rsid w:val="25DF7AE3"/>
    <w:rsid w:val="266E1C2D"/>
    <w:rsid w:val="276A51EC"/>
    <w:rsid w:val="2B4D4829"/>
    <w:rsid w:val="2C493E89"/>
    <w:rsid w:val="2CA4302C"/>
    <w:rsid w:val="2FB26991"/>
    <w:rsid w:val="2FE55345"/>
    <w:rsid w:val="32CC52D6"/>
    <w:rsid w:val="32D436A3"/>
    <w:rsid w:val="33060D42"/>
    <w:rsid w:val="335B7966"/>
    <w:rsid w:val="3645473A"/>
    <w:rsid w:val="38C80F97"/>
    <w:rsid w:val="3B2A2297"/>
    <w:rsid w:val="3DD25FAD"/>
    <w:rsid w:val="3E3A53EA"/>
    <w:rsid w:val="3E961DBD"/>
    <w:rsid w:val="3EE12706"/>
    <w:rsid w:val="3F6A4899"/>
    <w:rsid w:val="450223F6"/>
    <w:rsid w:val="478156FC"/>
    <w:rsid w:val="4A6E00CF"/>
    <w:rsid w:val="4C7837CC"/>
    <w:rsid w:val="4E2F15F1"/>
    <w:rsid w:val="4E545988"/>
    <w:rsid w:val="4EF22B42"/>
    <w:rsid w:val="50161982"/>
    <w:rsid w:val="57410D47"/>
    <w:rsid w:val="57607B9C"/>
    <w:rsid w:val="594F42E4"/>
    <w:rsid w:val="597E77BA"/>
    <w:rsid w:val="5A273F0C"/>
    <w:rsid w:val="5A866748"/>
    <w:rsid w:val="5BA91053"/>
    <w:rsid w:val="5BBF4D92"/>
    <w:rsid w:val="5D9A5640"/>
    <w:rsid w:val="5E5512FB"/>
    <w:rsid w:val="5EE84E75"/>
    <w:rsid w:val="626C2134"/>
    <w:rsid w:val="62D95485"/>
    <w:rsid w:val="669A301A"/>
    <w:rsid w:val="682F6640"/>
    <w:rsid w:val="69545BB2"/>
    <w:rsid w:val="69904A9A"/>
    <w:rsid w:val="6ADE25F0"/>
    <w:rsid w:val="6D7E74BE"/>
    <w:rsid w:val="6E2D219B"/>
    <w:rsid w:val="714527E9"/>
    <w:rsid w:val="717D03D8"/>
    <w:rsid w:val="74656C19"/>
    <w:rsid w:val="75D32807"/>
    <w:rsid w:val="76985210"/>
    <w:rsid w:val="77F570B1"/>
    <w:rsid w:val="782841D5"/>
    <w:rsid w:val="79F96905"/>
    <w:rsid w:val="7A8A7E14"/>
    <w:rsid w:val="7B75497C"/>
    <w:rsid w:val="7BDB7DDB"/>
    <w:rsid w:val="7D402603"/>
    <w:rsid w:val="7E931BE6"/>
    <w:rsid w:val="7F3E5A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9">
    <w:name w:val="Default Paragraph Font"/>
    <w:unhideWhenUsed/>
    <w:qFormat/>
    <w:uiPriority w:val="1"/>
  </w:style>
  <w:style w:type="table" w:default="1" w:styleId="11">
    <w:name w:val="Normal Table"/>
    <w:unhideWhenUsed/>
    <w:qFormat/>
    <w:uiPriority w:val="99"/>
    <w:tblPr>
      <w:tblLayout w:type="fixed"/>
      <w:tblCellMar>
        <w:top w:w="0" w:type="dxa"/>
        <w:left w:w="108" w:type="dxa"/>
        <w:bottom w:w="0" w:type="dxa"/>
        <w:right w:w="108" w:type="dxa"/>
      </w:tblCellMar>
    </w:tblPr>
  </w:style>
  <w:style w:type="paragraph" w:styleId="2">
    <w:name w:val="annotation subject"/>
    <w:basedOn w:val="3"/>
    <w:next w:val="3"/>
    <w:link w:val="18"/>
    <w:unhideWhenUsed/>
    <w:qFormat/>
    <w:uiPriority w:val="99"/>
    <w:rPr>
      <w:b/>
      <w:bCs/>
    </w:rPr>
  </w:style>
  <w:style w:type="paragraph" w:styleId="3">
    <w:name w:val="annotation text"/>
    <w:basedOn w:val="1"/>
    <w:link w:val="17"/>
    <w:unhideWhenUsed/>
    <w:qFormat/>
    <w:uiPriority w:val="99"/>
    <w:pPr>
      <w:jc w:val="left"/>
    </w:pPr>
  </w:style>
  <w:style w:type="paragraph" w:styleId="4">
    <w:name w:val="Body Text Indent"/>
    <w:basedOn w:val="1"/>
    <w:link w:val="13"/>
    <w:unhideWhenUsed/>
    <w:qFormat/>
    <w:uiPriority w:val="99"/>
    <w:pPr>
      <w:ind w:firstLine="560" w:firstLineChars="200"/>
    </w:pPr>
    <w:rPr>
      <w:rFonts w:ascii="Times New Roman" w:hAnsi="Times New Roman"/>
      <w:sz w:val="28"/>
      <w:szCs w:val="24"/>
    </w:rPr>
  </w:style>
  <w:style w:type="paragraph" w:styleId="5">
    <w:name w:val="Balloon Text"/>
    <w:basedOn w:val="1"/>
    <w:link w:val="19"/>
    <w:unhideWhenUsed/>
    <w:qFormat/>
    <w:uiPriority w:val="99"/>
    <w:rPr>
      <w:sz w:val="18"/>
      <w:szCs w:val="18"/>
    </w:rPr>
  </w:style>
  <w:style w:type="paragraph" w:styleId="6">
    <w:name w:val="footer"/>
    <w:basedOn w:val="1"/>
    <w:link w:val="16"/>
    <w:unhideWhenUsed/>
    <w:qFormat/>
    <w:uiPriority w:val="99"/>
    <w:pPr>
      <w:tabs>
        <w:tab w:val="center" w:pos="4153"/>
        <w:tab w:val="right" w:pos="8306"/>
      </w:tabs>
      <w:snapToGrid w:val="0"/>
      <w:jc w:val="left"/>
    </w:pPr>
    <w:rPr>
      <w:sz w:val="18"/>
      <w:szCs w:val="18"/>
    </w:rPr>
  </w:style>
  <w:style w:type="paragraph" w:styleId="7">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0"/>
    <w:pPr>
      <w:spacing w:beforeAutospacing="1" w:afterAutospacing="1"/>
      <w:jc w:val="left"/>
    </w:pPr>
    <w:rPr>
      <w:kern w:val="0"/>
      <w:sz w:val="24"/>
    </w:rPr>
  </w:style>
  <w:style w:type="character" w:styleId="10">
    <w:name w:val="annotation reference"/>
    <w:unhideWhenUsed/>
    <w:qFormat/>
    <w:uiPriority w:val="99"/>
    <w:rPr>
      <w:sz w:val="21"/>
      <w:szCs w:val="21"/>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3">
    <w:name w:val="正文文本缩进 Char"/>
    <w:link w:val="4"/>
    <w:qFormat/>
    <w:uiPriority w:val="0"/>
    <w:rPr>
      <w:rFonts w:ascii="Times New Roman" w:hAnsi="Times New Roman"/>
      <w:kern w:val="2"/>
      <w:sz w:val="28"/>
      <w:szCs w:val="24"/>
    </w:rPr>
  </w:style>
  <w:style w:type="paragraph" w:customStyle="1" w:styleId="14">
    <w:name w:val="特点"/>
    <w:basedOn w:val="1"/>
    <w:next w:val="4"/>
    <w:qFormat/>
    <w:uiPriority w:val="0"/>
    <w:pPr>
      <w:spacing w:line="300" w:lineRule="exact"/>
      <w:ind w:right="26" w:firstLine="435"/>
    </w:pPr>
    <w:rPr>
      <w:rFonts w:ascii="Times New Roman" w:hAnsi="Times New Roman" w:eastAsia="黑体"/>
      <w:sz w:val="18"/>
      <w:szCs w:val="24"/>
    </w:rPr>
  </w:style>
  <w:style w:type="character" w:customStyle="1" w:styleId="15">
    <w:name w:val="页眉 Char"/>
    <w:basedOn w:val="9"/>
    <w:link w:val="7"/>
    <w:qFormat/>
    <w:uiPriority w:val="99"/>
    <w:rPr>
      <w:kern w:val="2"/>
      <w:sz w:val="18"/>
      <w:szCs w:val="18"/>
    </w:rPr>
  </w:style>
  <w:style w:type="character" w:customStyle="1" w:styleId="16">
    <w:name w:val="页脚 Char"/>
    <w:basedOn w:val="9"/>
    <w:link w:val="6"/>
    <w:qFormat/>
    <w:uiPriority w:val="99"/>
    <w:rPr>
      <w:kern w:val="2"/>
      <w:sz w:val="18"/>
      <w:szCs w:val="18"/>
    </w:rPr>
  </w:style>
  <w:style w:type="character" w:customStyle="1" w:styleId="17">
    <w:name w:val="批注文字 Char"/>
    <w:basedOn w:val="9"/>
    <w:link w:val="3"/>
    <w:semiHidden/>
    <w:qFormat/>
    <w:uiPriority w:val="99"/>
    <w:rPr>
      <w:kern w:val="2"/>
      <w:sz w:val="21"/>
      <w:szCs w:val="22"/>
    </w:rPr>
  </w:style>
  <w:style w:type="character" w:customStyle="1" w:styleId="18">
    <w:name w:val="批注主题 Char"/>
    <w:basedOn w:val="17"/>
    <w:link w:val="2"/>
    <w:semiHidden/>
    <w:qFormat/>
    <w:uiPriority w:val="99"/>
    <w:rPr>
      <w:b/>
      <w:bCs/>
      <w:kern w:val="2"/>
      <w:sz w:val="21"/>
      <w:szCs w:val="22"/>
    </w:rPr>
  </w:style>
  <w:style w:type="character" w:customStyle="1" w:styleId="19">
    <w:name w:val="批注框文本 Char"/>
    <w:basedOn w:val="9"/>
    <w:link w:val="5"/>
    <w:semiHidden/>
    <w:qFormat/>
    <w:uiPriority w:val="99"/>
    <w:rPr>
      <w:kern w:val="2"/>
      <w:sz w:val="18"/>
      <w:szCs w:val="18"/>
    </w:rPr>
  </w:style>
  <w:style w:type="paragraph" w:customStyle="1" w:styleId="20">
    <w:name w:val="List Paragraph"/>
    <w:basedOn w:val="1"/>
    <w:qFormat/>
    <w:uiPriority w:val="99"/>
    <w:pPr>
      <w:ind w:firstLine="420" w:firstLineChars="200"/>
    </w:pPr>
    <w:rPr>
      <w:rFonts w:ascii="Times New Roman" w:hAnsi="Times New Roman"/>
      <w:szCs w:val="20"/>
    </w:rPr>
  </w:style>
  <w:style w:type="paragraph" w:customStyle="1" w:styleId="21">
    <w:name w:val="Revision"/>
    <w:hidden/>
    <w:semiHidden/>
    <w:qFormat/>
    <w:uiPriority w:val="99"/>
    <w:rPr>
      <w:rFonts w:ascii="Times New Roman" w:hAnsi="Times New Roman" w:eastAsia="宋体" w:cs="Times New Roman"/>
      <w:kern w:val="2"/>
      <w:sz w:val="21"/>
      <w:lang w:val="en-US" w:eastAsia="zh-CN" w:bidi="ar-SA"/>
    </w:rPr>
  </w:style>
  <w:style w:type="paragraph" w:customStyle="1" w:styleId="22">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3">
    <w:name w:val="列出段落1"/>
    <w:basedOn w:val="1"/>
    <w:qFormat/>
    <w:uiPriority w:val="34"/>
    <w:pPr>
      <w:ind w:firstLine="420" w:firstLineChars="200"/>
    </w:pPr>
  </w:style>
  <w:style w:type="paragraph" w:customStyle="1" w:styleId="24">
    <w:name w:val="列出段落3"/>
    <w:basedOn w:val="1"/>
    <w:qFormat/>
    <w:uiPriority w:val="34"/>
    <w:pPr>
      <w:ind w:firstLine="420" w:firstLineChars="200"/>
    </w:pPr>
  </w:style>
  <w:style w:type="paragraph" w:customStyle="1" w:styleId="25">
    <w:name w:val="列出段落4"/>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C83C816-5736-493C-9533-07A1BCDEFE28}">
  <ds:schemaRefs/>
</ds:datastoreItem>
</file>

<file path=docProps/app.xml><?xml version="1.0" encoding="utf-8"?>
<Properties xmlns="http://schemas.openxmlformats.org/officeDocument/2006/extended-properties" xmlns:vt="http://schemas.openxmlformats.org/officeDocument/2006/docPropsVTypes">
  <Template>Normal</Template>
  <Pages>13</Pages>
  <Words>17895</Words>
  <Characters>18392</Characters>
  <Lines>34</Lines>
  <Paragraphs>9</Paragraphs>
  <ScaleCrop>false</ScaleCrop>
  <LinksUpToDate>false</LinksUpToDate>
  <CharactersWithSpaces>18700</CharactersWithSpaces>
  <Application>WPS Office_10.8.0.6157_F1E327BC-269C-435d-A152-05C5408002CA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2020-08-26T03:34:00Z</dcterms:created>
  <dc:creator>冯静雅(null)</dc:creator>
  <cp:lastModifiedBy>Administrator</cp:lastModifiedBy>
  <cp:lastPrinted>2025-05-26T08:55:00Z</cp:lastPrinted>
  <dcterms:modified xsi:type="dcterms:W3CDTF">2026-05-06T06:55:33Z</dcterms:modified>
  <cp:revision>58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2052-10.8.0.6157</vt:lpwstr>
  </property>
  <property fmtid="{D5CDD505-2E9C-101B-9397-08002B2CF9AE}" pid="3" name="ICV">
    <vt:lpwstr>F5D7A5B49496439A8088C6B3AA217ED8</vt:lpwstr>
  </property>
</Properties>
</file>