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B73BB">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2A4BBB5">
      <w:pPr>
        <w:widowControl/>
        <w:spacing w:line="360" w:lineRule="auto"/>
        <w:jc w:val="center"/>
        <w:rPr>
          <w:rFonts w:hint="eastAsia" w:ascii="黑体" w:hAnsi="黑体" w:eastAsia="黑体"/>
          <w:b/>
          <w:sz w:val="44"/>
          <w:szCs w:val="44"/>
          <w:lang w:eastAsia="zh-CN"/>
        </w:rPr>
      </w:pPr>
      <w:r>
        <w:rPr>
          <w:rFonts w:hint="eastAsia" w:ascii="黑体" w:hAnsi="黑体" w:eastAsia="黑体"/>
          <w:b/>
          <w:sz w:val="44"/>
          <w:szCs w:val="44"/>
          <w:lang w:eastAsia="zh-CN"/>
        </w:rPr>
        <w:t>【兴银理财稳利恒盈封闭式2026年828期固收类理财产品】</w:t>
      </w:r>
    </w:p>
    <w:p w14:paraId="0D0CFA7C">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177682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D53218D">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1FEDDFF4">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7617127A">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0927E2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7DFF3536">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03B25BE8">
            <w:pPr>
              <w:widowControl/>
              <w:spacing w:line="360" w:lineRule="auto"/>
              <w:rPr>
                <w:rFonts w:ascii="宋体" w:hAnsi="宋体"/>
                <w:szCs w:val="21"/>
              </w:rPr>
            </w:pPr>
            <w:r>
              <w:rPr>
                <w:rFonts w:hint="eastAsia" w:ascii="宋体" w:hAnsi="宋体"/>
                <w:kern w:val="0"/>
                <w:sz w:val="20"/>
                <w:szCs w:val="21"/>
                <w:lang w:eastAsia="zh-CN"/>
              </w:rPr>
              <w:t>【兴银理财稳利恒盈封闭式2026年828期固收类理财产品】</w:t>
            </w:r>
            <w:r>
              <w:rPr>
                <w:rFonts w:hint="eastAsia" w:ascii="宋体" w:hAnsi="宋体"/>
                <w:kern w:val="0"/>
                <w:sz w:val="20"/>
                <w:szCs w:val="21"/>
              </w:rPr>
              <w:t>投资协议书</w:t>
            </w:r>
            <w:r>
              <w:rPr>
                <w:rFonts w:ascii="宋体" w:hAnsi="宋体"/>
                <w:kern w:val="0"/>
                <w:sz w:val="20"/>
                <w:szCs w:val="21"/>
              </w:rPr>
              <w:t xml:space="preserve"> </w:t>
            </w:r>
          </w:p>
        </w:tc>
        <w:tc>
          <w:tcPr>
            <w:tcW w:w="2107" w:type="dxa"/>
          </w:tcPr>
          <w:p w14:paraId="1B56BF96">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1B58A2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0630E217">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50AFE2FF">
            <w:pPr>
              <w:widowControl/>
              <w:spacing w:line="360" w:lineRule="auto"/>
              <w:rPr>
                <w:rFonts w:ascii="宋体" w:hAnsi="宋体"/>
                <w:szCs w:val="21"/>
              </w:rPr>
            </w:pPr>
            <w:r>
              <w:rPr>
                <w:rFonts w:hint="eastAsia" w:ascii="宋体" w:hAnsi="宋体"/>
                <w:kern w:val="0"/>
                <w:sz w:val="20"/>
                <w:szCs w:val="21"/>
                <w:lang w:eastAsia="zh-CN"/>
              </w:rPr>
              <w:t>【兴银理财稳利恒盈封闭式2026年828期固收类理财产品】</w:t>
            </w:r>
            <w:r>
              <w:rPr>
                <w:rFonts w:hint="eastAsia" w:ascii="宋体" w:hAnsi="宋体"/>
                <w:kern w:val="0"/>
                <w:sz w:val="20"/>
                <w:szCs w:val="21"/>
              </w:rPr>
              <w:t>产品说明书</w:t>
            </w:r>
          </w:p>
        </w:tc>
        <w:tc>
          <w:tcPr>
            <w:tcW w:w="2107" w:type="dxa"/>
          </w:tcPr>
          <w:p w14:paraId="45B64979">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760EE9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1746F676">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7914069D">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【兴银理财稳利恒盈封闭式2026年828期固收类理财产品】</w:t>
            </w:r>
            <w:r>
              <w:rPr>
                <w:rFonts w:hint="eastAsia" w:ascii="宋体" w:hAnsi="宋体"/>
                <w:kern w:val="0"/>
                <w:sz w:val="20"/>
                <w:szCs w:val="21"/>
              </w:rPr>
              <w:t>（代理）销售协议书</w:t>
            </w:r>
          </w:p>
        </w:tc>
        <w:tc>
          <w:tcPr>
            <w:tcW w:w="2107" w:type="dxa"/>
          </w:tcPr>
          <w:p w14:paraId="656326E5">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21426E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98E62E3">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06813FBA">
            <w:pPr>
              <w:widowControl/>
              <w:spacing w:line="360" w:lineRule="auto"/>
              <w:rPr>
                <w:rFonts w:ascii="宋体" w:hAnsi="宋体"/>
                <w:szCs w:val="21"/>
              </w:rPr>
            </w:pPr>
            <w:r>
              <w:rPr>
                <w:rFonts w:hint="eastAsia" w:ascii="宋体" w:hAnsi="宋体"/>
                <w:kern w:val="0"/>
                <w:sz w:val="20"/>
                <w:szCs w:val="21"/>
                <w:lang w:eastAsia="zh-CN"/>
              </w:rPr>
              <w:t>【兴银理财稳利恒盈封闭式2026年828期固收类理财产品】</w:t>
            </w:r>
            <w:r>
              <w:rPr>
                <w:rFonts w:hint="eastAsia" w:ascii="宋体" w:hAnsi="宋体"/>
                <w:kern w:val="0"/>
                <w:sz w:val="20"/>
                <w:szCs w:val="21"/>
              </w:rPr>
              <w:t>风险揭示书</w:t>
            </w:r>
          </w:p>
        </w:tc>
        <w:tc>
          <w:tcPr>
            <w:tcW w:w="2107" w:type="dxa"/>
          </w:tcPr>
          <w:p w14:paraId="3B17113A">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25F197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42C53ED8">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79045690">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【兴银理财稳利恒盈封闭式2026年828期固收类理财产品】</w:t>
            </w:r>
            <w:r>
              <w:rPr>
                <w:rFonts w:hint="eastAsia" w:ascii="宋体" w:hAnsi="宋体"/>
                <w:kern w:val="0"/>
                <w:sz w:val="20"/>
                <w:szCs w:val="21"/>
              </w:rPr>
              <w:t>投资者权益须知</w:t>
            </w:r>
          </w:p>
        </w:tc>
        <w:tc>
          <w:tcPr>
            <w:tcW w:w="2107" w:type="dxa"/>
          </w:tcPr>
          <w:p w14:paraId="7C560C21">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496B9413">
      <w:pPr>
        <w:widowControl/>
        <w:spacing w:line="360" w:lineRule="auto"/>
        <w:jc w:val="left"/>
        <w:rPr>
          <w:rFonts w:ascii="黑体" w:hAnsi="黑体" w:eastAsia="黑体"/>
          <w:b/>
          <w:szCs w:val="21"/>
        </w:rPr>
      </w:pPr>
      <w:r>
        <w:rPr>
          <w:rFonts w:hint="eastAsia" w:ascii="黑体" w:hAnsi="黑体" w:eastAsia="黑体"/>
          <w:b/>
          <w:szCs w:val="21"/>
        </w:rPr>
        <w:t>郑重提示：</w:t>
      </w:r>
    </w:p>
    <w:p w14:paraId="24EF074C">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06ED9216">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0AC03B7E">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24B81B9C">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7628012F">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A7F1BB2">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7D70C769">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15118C2F">
      <w:pPr>
        <w:tabs>
          <w:tab w:val="left" w:pos="6660"/>
        </w:tabs>
        <w:spacing w:line="360" w:lineRule="auto"/>
        <w:jc w:val="center"/>
        <w:rPr>
          <w:rFonts w:ascii="黑体" w:hAnsi="黑体" w:eastAsia="黑体"/>
          <w:kern w:val="0"/>
          <w:szCs w:val="21"/>
        </w:rPr>
      </w:pPr>
    </w:p>
    <w:p w14:paraId="1F2DB927">
      <w:pPr>
        <w:tabs>
          <w:tab w:val="left" w:pos="6660"/>
        </w:tabs>
        <w:spacing w:line="360" w:lineRule="auto"/>
        <w:jc w:val="center"/>
        <w:rPr>
          <w:bCs/>
          <w:sz w:val="44"/>
        </w:rPr>
      </w:pPr>
    </w:p>
    <w:p w14:paraId="50148312">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6489B9D7">
      <w:pPr>
        <w:tabs>
          <w:tab w:val="left" w:pos="6660"/>
        </w:tabs>
        <w:spacing w:line="360" w:lineRule="auto"/>
        <w:jc w:val="center"/>
        <w:rPr>
          <w:bCs/>
          <w:sz w:val="44"/>
        </w:rPr>
      </w:pPr>
    </w:p>
    <w:p w14:paraId="4D7ECDC5">
      <w:pPr>
        <w:spacing w:line="360" w:lineRule="auto"/>
        <w:jc w:val="center"/>
        <w:rPr>
          <w:b/>
          <w:sz w:val="52"/>
        </w:rPr>
      </w:pPr>
    </w:p>
    <w:p w14:paraId="37F9ED85">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C1AC158">
      <w:pPr>
        <w:spacing w:line="360" w:lineRule="auto"/>
        <w:jc w:val="center"/>
        <w:rPr>
          <w:b/>
          <w:sz w:val="52"/>
        </w:rPr>
      </w:pPr>
    </w:p>
    <w:p w14:paraId="6FC1C088">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lang w:eastAsia="zh-CN"/>
        </w:rPr>
        <w:t>【兴银理财稳利恒盈封闭式2026年828期固收类理财产品】</w:t>
      </w:r>
    </w:p>
    <w:p w14:paraId="5899B3B8">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1929C172">
      <w:pPr>
        <w:spacing w:line="360" w:lineRule="auto"/>
        <w:jc w:val="center"/>
        <w:rPr>
          <w:b/>
          <w:sz w:val="28"/>
          <w:szCs w:val="28"/>
        </w:rPr>
      </w:pPr>
    </w:p>
    <w:p w14:paraId="1627BFEB">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090054DC">
      <w:pPr>
        <w:spacing w:line="360" w:lineRule="auto"/>
        <w:jc w:val="center"/>
        <w:rPr>
          <w:b/>
          <w:sz w:val="28"/>
          <w:szCs w:val="28"/>
        </w:rPr>
      </w:pPr>
    </w:p>
    <w:p w14:paraId="4D76D09E">
      <w:pPr>
        <w:spacing w:line="360" w:lineRule="auto"/>
        <w:jc w:val="center"/>
        <w:rPr>
          <w:b/>
          <w:sz w:val="28"/>
          <w:szCs w:val="28"/>
        </w:rPr>
      </w:pPr>
    </w:p>
    <w:p w14:paraId="568E48B6">
      <w:pPr>
        <w:adjustRightInd w:val="0"/>
        <w:spacing w:line="360" w:lineRule="auto"/>
        <w:jc w:val="center"/>
        <w:rPr>
          <w:rStyle w:val="10"/>
          <w:rFonts w:ascii="宋体" w:hAnsi="宋体"/>
          <w:sz w:val="28"/>
          <w:szCs w:val="28"/>
        </w:rPr>
      </w:pPr>
      <w:bookmarkStart w:id="0" w:name="_Toc123112224"/>
      <w:bookmarkStart w:id="1" w:name="_Toc123112263"/>
      <w:bookmarkStart w:id="2" w:name="_Toc139991726"/>
      <w:bookmarkStart w:id="3" w:name="_Toc139992301"/>
      <w:bookmarkStart w:id="4" w:name="_Toc12370138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00BEB857">
      <w:pPr>
        <w:adjustRightInd w:val="0"/>
        <w:spacing w:line="360" w:lineRule="auto"/>
        <w:jc w:val="center"/>
        <w:rPr>
          <w:rStyle w:val="10"/>
          <w:rFonts w:ascii="黑体" w:hAnsi="黑体" w:eastAsia="黑体" w:cs="宋体"/>
          <w:sz w:val="28"/>
          <w:szCs w:val="28"/>
        </w:rPr>
      </w:pPr>
      <w:bookmarkStart w:id="5" w:name="_Toc139991727"/>
      <w:bookmarkStart w:id="6" w:name="_Toc123112264"/>
      <w:bookmarkStart w:id="7" w:name="_Toc123701384"/>
      <w:bookmarkStart w:id="8" w:name="_Toc123112225"/>
      <w:bookmarkStart w:id="9" w:name="_Toc139992302"/>
    </w:p>
    <w:bookmarkEnd w:id="5"/>
    <w:bookmarkEnd w:id="6"/>
    <w:bookmarkEnd w:id="7"/>
    <w:bookmarkEnd w:id="8"/>
    <w:bookmarkEnd w:id="9"/>
    <w:p w14:paraId="6DC574C1">
      <w:pPr>
        <w:adjustRightInd w:val="0"/>
        <w:spacing w:line="360" w:lineRule="auto"/>
        <w:jc w:val="center"/>
        <w:rPr>
          <w:rStyle w:val="10"/>
          <w:rFonts w:ascii="黑体" w:hAnsi="黑体" w:eastAsia="黑体" w:cs="宋体"/>
          <w:sz w:val="28"/>
          <w:szCs w:val="28"/>
        </w:rPr>
      </w:pPr>
    </w:p>
    <w:p w14:paraId="77F0DC2A">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【2026】年【5】月</w:t>
      </w:r>
    </w:p>
    <w:p w14:paraId="1FEECED9">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56BA366F">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11B8DC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21FB369">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34C431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0B08B19D">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0CBA763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3DF7736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3B321E85">
            <w:pPr>
              <w:pStyle w:val="6"/>
              <w:snapToGrid w:val="0"/>
              <w:spacing w:before="0" w:beforeAutospacing="0" w:after="0" w:afterAutospacing="0" w:line="360" w:lineRule="auto"/>
              <w:jc w:val="both"/>
              <w:rPr>
                <w:rFonts w:ascii="黑体" w:hAnsi="黑体" w:eastAsia="黑体"/>
                <w:bCs/>
                <w:sz w:val="18"/>
                <w:szCs w:val="18"/>
              </w:rPr>
            </w:pPr>
          </w:p>
          <w:p w14:paraId="2ADBD35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5225FD8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6CE54346">
            <w:pPr>
              <w:pStyle w:val="6"/>
              <w:snapToGrid w:val="0"/>
              <w:spacing w:before="0" w:beforeAutospacing="0" w:after="0" w:afterAutospacing="0" w:line="360" w:lineRule="auto"/>
              <w:jc w:val="both"/>
              <w:rPr>
                <w:rFonts w:ascii="黑体" w:hAnsi="黑体" w:eastAsia="黑体"/>
                <w:bCs/>
                <w:sz w:val="18"/>
                <w:szCs w:val="18"/>
              </w:rPr>
            </w:pPr>
          </w:p>
          <w:p w14:paraId="6285E5C9">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20DD72C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024964EE">
            <w:pPr>
              <w:pStyle w:val="6"/>
              <w:snapToGrid w:val="0"/>
              <w:spacing w:before="0" w:beforeAutospacing="0" w:after="0" w:afterAutospacing="0" w:line="360" w:lineRule="auto"/>
              <w:jc w:val="both"/>
              <w:rPr>
                <w:rFonts w:ascii="黑体" w:hAnsi="黑体" w:eastAsia="黑体"/>
                <w:bCs/>
                <w:sz w:val="18"/>
                <w:szCs w:val="18"/>
              </w:rPr>
            </w:pPr>
          </w:p>
          <w:p w14:paraId="634CCE4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4532EFB9">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5A781822">
            <w:pPr>
              <w:pStyle w:val="6"/>
              <w:snapToGrid w:val="0"/>
              <w:spacing w:before="0" w:beforeAutospacing="0" w:after="0" w:afterAutospacing="0" w:line="360" w:lineRule="auto"/>
              <w:jc w:val="both"/>
              <w:rPr>
                <w:rFonts w:ascii="黑体" w:hAnsi="黑体" w:eastAsia="黑体"/>
                <w:bCs/>
                <w:sz w:val="18"/>
                <w:szCs w:val="18"/>
              </w:rPr>
            </w:pPr>
          </w:p>
          <w:p w14:paraId="4E5AAC0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48CA9034">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056A930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63C323BA">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4D221ECA">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41644222">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3B8644B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3440C86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1F7D3DB3">
            <w:pPr>
              <w:pStyle w:val="6"/>
              <w:snapToGrid w:val="0"/>
              <w:spacing w:before="0" w:beforeAutospacing="0" w:after="0" w:afterAutospacing="0" w:line="360" w:lineRule="auto"/>
              <w:jc w:val="both"/>
              <w:rPr>
                <w:rFonts w:ascii="黑体" w:hAnsi="黑体" w:eastAsia="黑体"/>
                <w:bCs/>
                <w:sz w:val="18"/>
                <w:szCs w:val="18"/>
              </w:rPr>
            </w:pPr>
          </w:p>
          <w:p w14:paraId="4BF9C3E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54F11D3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27F95F3E">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5A533E1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086C61EF">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5EBB12F3">
            <w:pPr>
              <w:pStyle w:val="6"/>
              <w:snapToGrid w:val="0"/>
              <w:spacing w:before="0" w:beforeAutospacing="0" w:after="0" w:afterAutospacing="0" w:line="360" w:lineRule="auto"/>
              <w:jc w:val="both"/>
              <w:rPr>
                <w:rFonts w:ascii="黑体" w:hAnsi="黑体" w:eastAsia="黑体"/>
                <w:bCs/>
                <w:sz w:val="18"/>
                <w:szCs w:val="18"/>
              </w:rPr>
            </w:pPr>
          </w:p>
          <w:p w14:paraId="5C92DBB1">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4C04B083">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735A5D92">
            <w:pPr>
              <w:pStyle w:val="6"/>
              <w:snapToGrid w:val="0"/>
              <w:spacing w:before="0" w:beforeAutospacing="0" w:after="0" w:afterAutospacing="0"/>
              <w:jc w:val="both"/>
              <w:rPr>
                <w:rFonts w:ascii="黑体" w:hAnsi="黑体" w:eastAsia="黑体"/>
                <w:bCs/>
                <w:sz w:val="18"/>
                <w:szCs w:val="18"/>
              </w:rPr>
            </w:pPr>
          </w:p>
          <w:p w14:paraId="3AD9D6FB">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47FAD315">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7D0F445A">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112227"/>
      <w:bookmarkStart w:id="13" w:name="_Toc123701386"/>
    </w:p>
    <w:p w14:paraId="1B4903A8">
      <w:pPr>
        <w:widowControl/>
        <w:jc w:val="left"/>
        <w:rPr>
          <w:rFonts w:ascii="宋体" w:hAnsi="宋体" w:cs="仿宋_GB2312"/>
          <w:b/>
          <w:kern w:val="0"/>
          <w:sz w:val="18"/>
          <w:szCs w:val="18"/>
        </w:rPr>
      </w:pPr>
      <w:r>
        <w:rPr>
          <w:rFonts w:ascii="宋体" w:hAnsi="宋体" w:cs="仿宋_GB2312"/>
          <w:b/>
          <w:kern w:val="0"/>
          <w:sz w:val="18"/>
          <w:szCs w:val="18"/>
        </w:rPr>
        <w:br w:type="page"/>
      </w:r>
    </w:p>
    <w:p w14:paraId="3C5F5536">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5818E2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1A23A2BF">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407F94D6">
            <w:pPr>
              <w:pStyle w:val="4"/>
              <w:spacing w:line="360" w:lineRule="auto"/>
              <w:rPr>
                <w:rFonts w:ascii="宋体" w:hAnsi="宋体"/>
                <w:b/>
                <w:bCs/>
                <w:sz w:val="28"/>
                <w:szCs w:val="28"/>
              </w:rPr>
            </w:pPr>
          </w:p>
        </w:tc>
      </w:tr>
      <w:tr w14:paraId="046CB9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7DE523F6">
            <w:pPr>
              <w:pStyle w:val="4"/>
              <w:spacing w:line="360" w:lineRule="auto"/>
              <w:rPr>
                <w:rFonts w:ascii="宋体" w:hAnsi="宋体"/>
                <w:b/>
                <w:bCs/>
                <w:sz w:val="28"/>
                <w:szCs w:val="28"/>
              </w:rPr>
            </w:pPr>
          </w:p>
        </w:tc>
      </w:tr>
      <w:tr w14:paraId="496E13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3C3533DC">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0E804547">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0D6640A7">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74A38416">
            <w:pPr>
              <w:spacing w:line="360" w:lineRule="auto"/>
              <w:jc w:val="left"/>
              <w:rPr>
                <w:rFonts w:ascii="宋体" w:hAnsi="宋体"/>
                <w:bCs/>
                <w:sz w:val="18"/>
                <w:szCs w:val="18"/>
              </w:rPr>
            </w:pPr>
          </w:p>
        </w:tc>
      </w:tr>
      <w:tr w14:paraId="379574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A171BA0">
            <w:pPr>
              <w:spacing w:line="360" w:lineRule="auto"/>
              <w:jc w:val="left"/>
              <w:rPr>
                <w:rFonts w:ascii="宋体" w:hAnsi="宋体"/>
                <w:b/>
                <w:bCs/>
                <w:sz w:val="18"/>
                <w:szCs w:val="18"/>
              </w:rPr>
            </w:pPr>
          </w:p>
        </w:tc>
        <w:tc>
          <w:tcPr>
            <w:tcW w:w="708" w:type="dxa"/>
            <w:vMerge w:val="continue"/>
            <w:shd w:val="solid" w:color="FFFFFF" w:fill="FFFFFF"/>
            <w:vAlign w:val="center"/>
          </w:tcPr>
          <w:p w14:paraId="72CC6479">
            <w:pPr>
              <w:spacing w:line="360" w:lineRule="auto"/>
              <w:jc w:val="left"/>
              <w:rPr>
                <w:rFonts w:ascii="宋体" w:hAnsi="宋体"/>
                <w:bCs/>
                <w:sz w:val="18"/>
                <w:szCs w:val="18"/>
              </w:rPr>
            </w:pPr>
          </w:p>
        </w:tc>
        <w:tc>
          <w:tcPr>
            <w:tcW w:w="982" w:type="dxa"/>
            <w:shd w:val="solid" w:color="FFFFFF" w:fill="FFFFFF"/>
            <w:vAlign w:val="center"/>
          </w:tcPr>
          <w:p w14:paraId="3D6EA6E7">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6B0F7D8D">
            <w:pPr>
              <w:spacing w:line="360" w:lineRule="auto"/>
              <w:jc w:val="left"/>
              <w:rPr>
                <w:rFonts w:ascii="宋体" w:hAnsi="宋体"/>
                <w:bCs/>
                <w:sz w:val="18"/>
                <w:szCs w:val="18"/>
              </w:rPr>
            </w:pPr>
          </w:p>
        </w:tc>
        <w:tc>
          <w:tcPr>
            <w:tcW w:w="1417" w:type="dxa"/>
            <w:shd w:val="solid" w:color="FFFFFF" w:fill="FFFFFF"/>
            <w:vAlign w:val="center"/>
          </w:tcPr>
          <w:p w14:paraId="630B8263">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1319AE55">
            <w:pPr>
              <w:spacing w:line="360" w:lineRule="auto"/>
              <w:jc w:val="left"/>
              <w:rPr>
                <w:rFonts w:ascii="宋体" w:hAnsi="宋体"/>
                <w:bCs/>
                <w:sz w:val="18"/>
                <w:szCs w:val="18"/>
              </w:rPr>
            </w:pPr>
          </w:p>
        </w:tc>
      </w:tr>
      <w:tr w14:paraId="7FE79F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E1307E2">
            <w:pPr>
              <w:spacing w:line="360" w:lineRule="auto"/>
              <w:jc w:val="left"/>
              <w:rPr>
                <w:rFonts w:ascii="宋体" w:hAnsi="宋体"/>
                <w:b/>
                <w:bCs/>
                <w:sz w:val="18"/>
                <w:szCs w:val="18"/>
              </w:rPr>
            </w:pPr>
          </w:p>
        </w:tc>
        <w:tc>
          <w:tcPr>
            <w:tcW w:w="708" w:type="dxa"/>
            <w:vMerge w:val="continue"/>
            <w:shd w:val="solid" w:color="FFFFFF" w:fill="FFFFFF"/>
            <w:vAlign w:val="center"/>
          </w:tcPr>
          <w:p w14:paraId="70C0D332">
            <w:pPr>
              <w:spacing w:line="360" w:lineRule="auto"/>
              <w:jc w:val="left"/>
              <w:rPr>
                <w:rFonts w:ascii="宋体" w:hAnsi="宋体"/>
                <w:bCs/>
                <w:sz w:val="18"/>
                <w:szCs w:val="18"/>
              </w:rPr>
            </w:pPr>
          </w:p>
        </w:tc>
        <w:tc>
          <w:tcPr>
            <w:tcW w:w="982" w:type="dxa"/>
            <w:shd w:val="solid" w:color="FFFFFF" w:fill="FFFFFF"/>
            <w:vAlign w:val="center"/>
          </w:tcPr>
          <w:p w14:paraId="6D4C8B21">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22C8AA83">
            <w:pPr>
              <w:spacing w:line="360" w:lineRule="auto"/>
              <w:jc w:val="left"/>
              <w:rPr>
                <w:rFonts w:ascii="宋体" w:hAnsi="宋体"/>
                <w:bCs/>
                <w:sz w:val="18"/>
                <w:szCs w:val="18"/>
              </w:rPr>
            </w:pPr>
          </w:p>
        </w:tc>
        <w:tc>
          <w:tcPr>
            <w:tcW w:w="1417" w:type="dxa"/>
            <w:shd w:val="solid" w:color="FFFFFF" w:fill="FFFFFF"/>
            <w:vAlign w:val="center"/>
          </w:tcPr>
          <w:p w14:paraId="2DD748EE">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497584A6">
            <w:pPr>
              <w:spacing w:line="360" w:lineRule="auto"/>
              <w:jc w:val="left"/>
              <w:rPr>
                <w:rFonts w:ascii="宋体" w:hAnsi="宋体"/>
                <w:bCs/>
                <w:sz w:val="18"/>
                <w:szCs w:val="18"/>
              </w:rPr>
            </w:pPr>
          </w:p>
        </w:tc>
      </w:tr>
      <w:tr w14:paraId="4340E7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A3C9D2A">
            <w:pPr>
              <w:spacing w:line="360" w:lineRule="auto"/>
              <w:jc w:val="left"/>
              <w:rPr>
                <w:rFonts w:ascii="宋体" w:hAnsi="宋体"/>
                <w:b/>
                <w:bCs/>
                <w:sz w:val="18"/>
                <w:szCs w:val="18"/>
              </w:rPr>
            </w:pPr>
          </w:p>
        </w:tc>
        <w:tc>
          <w:tcPr>
            <w:tcW w:w="708" w:type="dxa"/>
            <w:vMerge w:val="continue"/>
            <w:shd w:val="solid" w:color="FFFFFF" w:fill="FFFFFF"/>
            <w:vAlign w:val="center"/>
          </w:tcPr>
          <w:p w14:paraId="2DE54EF8">
            <w:pPr>
              <w:spacing w:line="360" w:lineRule="auto"/>
              <w:jc w:val="left"/>
              <w:rPr>
                <w:rFonts w:ascii="宋体" w:hAnsi="宋体"/>
                <w:bCs/>
                <w:sz w:val="18"/>
                <w:szCs w:val="18"/>
              </w:rPr>
            </w:pPr>
          </w:p>
        </w:tc>
        <w:tc>
          <w:tcPr>
            <w:tcW w:w="982" w:type="dxa"/>
            <w:shd w:val="solid" w:color="FFFFFF" w:fill="FFFFFF"/>
            <w:vAlign w:val="center"/>
          </w:tcPr>
          <w:p w14:paraId="0121D1AE">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45E5116F">
            <w:pPr>
              <w:spacing w:line="360" w:lineRule="auto"/>
              <w:jc w:val="left"/>
              <w:rPr>
                <w:rFonts w:ascii="宋体" w:hAnsi="宋体"/>
                <w:bCs/>
                <w:sz w:val="18"/>
                <w:szCs w:val="18"/>
              </w:rPr>
            </w:pPr>
          </w:p>
        </w:tc>
      </w:tr>
      <w:tr w14:paraId="081764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5A92402B">
            <w:pPr>
              <w:spacing w:line="360" w:lineRule="auto"/>
              <w:jc w:val="left"/>
              <w:rPr>
                <w:rFonts w:ascii="宋体" w:hAnsi="宋体"/>
                <w:b/>
                <w:bCs/>
                <w:sz w:val="18"/>
                <w:szCs w:val="18"/>
              </w:rPr>
            </w:pPr>
          </w:p>
        </w:tc>
        <w:tc>
          <w:tcPr>
            <w:tcW w:w="708" w:type="dxa"/>
            <w:vMerge w:val="continue"/>
            <w:shd w:val="solid" w:color="FFFFFF" w:fill="FFFFFF"/>
            <w:vAlign w:val="center"/>
          </w:tcPr>
          <w:p w14:paraId="7D568221">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3D708550">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7A4F62D3">
            <w:pPr>
              <w:spacing w:line="360" w:lineRule="auto"/>
              <w:jc w:val="left"/>
              <w:rPr>
                <w:rFonts w:ascii="宋体" w:hAnsi="宋体"/>
                <w:bCs/>
                <w:sz w:val="18"/>
                <w:szCs w:val="18"/>
              </w:rPr>
            </w:pPr>
          </w:p>
        </w:tc>
      </w:tr>
      <w:tr w14:paraId="68BB4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AC96C14">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65EEFFEC">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3D15FC6">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807B590">
            <w:pPr>
              <w:spacing w:line="360" w:lineRule="auto"/>
              <w:jc w:val="left"/>
              <w:rPr>
                <w:rFonts w:ascii="宋体" w:hAnsi="宋体"/>
                <w:bCs/>
                <w:sz w:val="18"/>
                <w:szCs w:val="18"/>
              </w:rPr>
            </w:pPr>
          </w:p>
        </w:tc>
      </w:tr>
      <w:tr w14:paraId="563D2C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EF5CECA">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1A1A720">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DE11DE4">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00FD654">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ED0FEC8">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3C242B0">
            <w:pPr>
              <w:spacing w:line="360" w:lineRule="auto"/>
              <w:jc w:val="left"/>
              <w:rPr>
                <w:rFonts w:ascii="宋体" w:hAnsi="宋体"/>
                <w:bCs/>
                <w:sz w:val="18"/>
                <w:szCs w:val="18"/>
              </w:rPr>
            </w:pPr>
          </w:p>
        </w:tc>
      </w:tr>
      <w:tr w14:paraId="7D1A91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57B23AAF">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621D9E16">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1361694">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6F1095C">
            <w:pPr>
              <w:spacing w:line="360" w:lineRule="auto"/>
              <w:jc w:val="left"/>
              <w:rPr>
                <w:rFonts w:ascii="宋体" w:hAnsi="宋体"/>
                <w:bCs/>
                <w:sz w:val="18"/>
                <w:szCs w:val="18"/>
              </w:rPr>
            </w:pPr>
          </w:p>
        </w:tc>
      </w:tr>
      <w:tr w14:paraId="43591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340" w:hRule="exact"/>
          <w:jc w:val="center"/>
        </w:trPr>
        <w:tc>
          <w:tcPr>
            <w:tcW w:w="1142" w:type="dxa"/>
            <w:vMerge w:val="continue"/>
            <w:shd w:val="solid" w:color="FFFFFF" w:fill="FFFFFF"/>
            <w:vAlign w:val="center"/>
          </w:tcPr>
          <w:p w14:paraId="0B4DD4C3">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8A69C53">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BF0D9CB">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263F2CE">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8DCF49C">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9A3636A">
            <w:pPr>
              <w:spacing w:line="360" w:lineRule="auto"/>
              <w:jc w:val="left"/>
              <w:rPr>
                <w:rFonts w:ascii="宋体" w:hAnsi="宋体"/>
                <w:bCs/>
                <w:sz w:val="18"/>
                <w:szCs w:val="18"/>
              </w:rPr>
            </w:pPr>
          </w:p>
        </w:tc>
      </w:tr>
      <w:tr w14:paraId="369B3A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340" w:hRule="exact"/>
          <w:jc w:val="center"/>
        </w:trPr>
        <w:tc>
          <w:tcPr>
            <w:tcW w:w="1142" w:type="dxa"/>
            <w:vMerge w:val="continue"/>
            <w:shd w:val="solid" w:color="FFFFFF" w:fill="FFFFFF"/>
            <w:vAlign w:val="center"/>
          </w:tcPr>
          <w:p w14:paraId="2E1F4C52">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32073956">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3A30B72">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6FAEA3F">
            <w:pPr>
              <w:spacing w:line="360" w:lineRule="auto"/>
              <w:jc w:val="left"/>
              <w:rPr>
                <w:rFonts w:ascii="宋体" w:hAnsi="宋体"/>
                <w:bCs/>
                <w:sz w:val="18"/>
                <w:szCs w:val="18"/>
              </w:rPr>
            </w:pPr>
          </w:p>
        </w:tc>
      </w:tr>
      <w:tr w14:paraId="7E2AEB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5423F965">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45696852">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18EBFDF">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4D07F26">
            <w:pPr>
              <w:spacing w:line="360" w:lineRule="auto"/>
              <w:jc w:val="left"/>
              <w:rPr>
                <w:rFonts w:ascii="宋体" w:hAnsi="宋体"/>
                <w:bCs/>
                <w:sz w:val="18"/>
                <w:szCs w:val="18"/>
              </w:rPr>
            </w:pPr>
          </w:p>
        </w:tc>
      </w:tr>
      <w:tr w14:paraId="0C6730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1EF49B8C">
            <w:pPr>
              <w:pStyle w:val="4"/>
              <w:pBdr>
                <w:bottom w:val="none" w:color="auto" w:sz="0" w:space="0"/>
              </w:pBdr>
              <w:spacing w:line="360" w:lineRule="auto"/>
              <w:rPr>
                <w:rFonts w:ascii="宋体" w:hAnsi="宋体"/>
                <w:b/>
                <w:bCs/>
                <w:szCs w:val="18"/>
              </w:rPr>
            </w:pPr>
          </w:p>
        </w:tc>
      </w:tr>
      <w:tr w14:paraId="61EC86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653942B7">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73AADA2B">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1FABA9C5">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717922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5" w:hRule="atLeast"/>
          <w:jc w:val="center"/>
        </w:trPr>
        <w:tc>
          <w:tcPr>
            <w:tcW w:w="1142" w:type="dxa"/>
            <w:vMerge w:val="continue"/>
            <w:tcBorders>
              <w:bottom w:val="single" w:color="auto" w:sz="12" w:space="0"/>
            </w:tcBorders>
            <w:shd w:val="solid" w:color="FFFFFF" w:fill="FFFFFF"/>
            <w:vAlign w:val="center"/>
          </w:tcPr>
          <w:p w14:paraId="76BBF84F">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692CA8BC">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06AA1B80">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4B337F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2049A6EF">
            <w:pPr>
              <w:spacing w:line="360" w:lineRule="auto"/>
              <w:jc w:val="left"/>
              <w:rPr>
                <w:rFonts w:ascii="宋体" w:hAnsi="宋体"/>
                <w:bCs/>
                <w:sz w:val="18"/>
                <w:szCs w:val="18"/>
              </w:rPr>
            </w:pPr>
          </w:p>
        </w:tc>
      </w:tr>
      <w:tr w14:paraId="75E709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2B5BFB88">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vAlign w:val="top"/>
          </w:tcPr>
          <w:p w14:paraId="3C1D4078">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vAlign w:val="top"/>
          </w:tcPr>
          <w:p w14:paraId="2252C948">
            <w:pPr>
              <w:spacing w:line="360" w:lineRule="auto"/>
              <w:jc w:val="left"/>
              <w:rPr>
                <w:rFonts w:ascii="宋体" w:hAnsi="宋体"/>
                <w:bCs/>
                <w:sz w:val="18"/>
                <w:szCs w:val="18"/>
              </w:rPr>
            </w:pPr>
            <w:r>
              <w:rPr>
                <w:rFonts w:hint="eastAsia" w:ascii="宋体" w:hAnsi="宋体"/>
                <w:bCs/>
                <w:sz w:val="18"/>
                <w:szCs w:val="18"/>
              </w:rPr>
              <w:t>【兴银理财稳利恒盈封闭式2026年828期固收类理财产品】</w:t>
            </w:r>
          </w:p>
        </w:tc>
      </w:tr>
      <w:tr w14:paraId="0E7F4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2138707D">
            <w:pPr>
              <w:spacing w:line="360" w:lineRule="auto"/>
              <w:jc w:val="left"/>
              <w:rPr>
                <w:rFonts w:ascii="宋体" w:hAnsi="宋体"/>
                <w:b/>
                <w:bCs/>
                <w:sz w:val="18"/>
                <w:szCs w:val="18"/>
              </w:rPr>
            </w:pPr>
          </w:p>
        </w:tc>
        <w:tc>
          <w:tcPr>
            <w:tcW w:w="1690" w:type="dxa"/>
            <w:gridSpan w:val="2"/>
            <w:shd w:val="solid" w:color="FFFFFF" w:fill="FFFFFF"/>
            <w:vAlign w:val="center"/>
          </w:tcPr>
          <w:p w14:paraId="600831B1">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14:paraId="77CFF586">
            <w:pPr>
              <w:keepNext w:val="0"/>
              <w:keepLines w:val="0"/>
              <w:widowControl w:val="0"/>
              <w:suppressLineNumbers w:val="0"/>
              <w:spacing w:before="0" w:beforeAutospacing="0" w:after="0" w:afterAutospacing="0"/>
              <w:ind w:left="0" w:leftChars="0" w:right="0" w:rightChars="0"/>
              <w:jc w:val="both"/>
              <w:rPr>
                <w:rFonts w:ascii="宋体" w:hAnsi="宋体"/>
                <w:bCs/>
                <w:sz w:val="18"/>
                <w:szCs w:val="18"/>
              </w:rPr>
            </w:pPr>
            <w:r>
              <w:rPr>
                <w:rFonts w:ascii="宋体" w:hAnsi="宋体" w:eastAsia="宋体" w:cs="宋体"/>
                <w:sz w:val="18"/>
              </w:rPr>
              <w:t>【稳利恒盈封闭式2026年828期（兴嘉选）A】 (适用【A】类份额)</w:t>
            </w:r>
            <w:r>
              <w:rPr>
                <w:rFonts w:ascii="宋体" w:hAnsi="宋体" w:eastAsia="宋体" w:cs="宋体"/>
                <w:sz w:val="18"/>
              </w:rPr>
              <w:br w:type="textWrapping"/>
            </w:r>
            <w:r>
              <w:rPr>
                <w:rFonts w:ascii="宋体" w:hAnsi="宋体" w:eastAsia="宋体" w:cs="宋体"/>
                <w:sz w:val="18"/>
              </w:rPr>
              <w:t>【稳利恒盈封闭式2026年828期（兴嘉选）B】 (适用【B】类份额)</w:t>
            </w:r>
            <w:r>
              <w:rPr>
                <w:rFonts w:ascii="宋体" w:hAnsi="宋体" w:eastAsia="宋体" w:cs="宋体"/>
                <w:sz w:val="18"/>
              </w:rPr>
              <w:br w:type="textWrapping"/>
            </w:r>
            <w:r>
              <w:rPr>
                <w:rFonts w:ascii="宋体" w:hAnsi="宋体" w:eastAsia="宋体" w:cs="宋体"/>
                <w:sz w:val="18"/>
              </w:rPr>
              <w:t>【稳利恒盈封闭式2026年828期（兴嘉选）C】 (适用【C】类份额)</w:t>
            </w:r>
            <w:r>
              <w:rPr>
                <w:rFonts w:ascii="宋体" w:hAnsi="宋体" w:eastAsia="宋体" w:cs="宋体"/>
                <w:sz w:val="18"/>
              </w:rPr>
              <w:br w:type="textWrapping"/>
            </w:r>
            <w:r>
              <w:rPr>
                <w:rFonts w:ascii="宋体" w:hAnsi="宋体" w:eastAsia="宋体" w:cs="宋体"/>
                <w:sz w:val="18"/>
              </w:rPr>
              <w:t>【稳利恒盈封闭式2026年828期（兴嘉选）D】 (适用【D】类份额)</w:t>
            </w:r>
            <w:r>
              <w:rPr>
                <w:rFonts w:ascii="宋体" w:hAnsi="宋体" w:eastAsia="宋体" w:cs="宋体"/>
                <w:sz w:val="18"/>
              </w:rPr>
              <w:br w:type="textWrapping"/>
            </w:r>
            <w:r>
              <w:rPr>
                <w:rFonts w:ascii="宋体" w:hAnsi="宋体" w:eastAsia="宋体" w:cs="宋体"/>
                <w:sz w:val="18"/>
              </w:rPr>
              <w:t>【稳利恒盈封闭式2026年828期（兴嘉选）E】 (适用【E】类份额)</w:t>
            </w:r>
            <w:r>
              <w:rPr>
                <w:rFonts w:ascii="宋体" w:hAnsi="宋体" w:eastAsia="宋体" w:cs="宋体"/>
                <w:sz w:val="18"/>
              </w:rPr>
              <w:br w:type="textWrapping"/>
            </w:r>
            <w:r>
              <w:rPr>
                <w:rFonts w:ascii="宋体" w:hAnsi="宋体" w:eastAsia="宋体" w:cs="宋体"/>
                <w:sz w:val="18"/>
              </w:rPr>
              <w:t>【稳利恒盈封闭式2026年828期（兴嘉选）F】 (适用【F】类份额)</w:t>
            </w:r>
          </w:p>
        </w:tc>
      </w:tr>
      <w:tr w14:paraId="444780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3E20CC22">
            <w:pPr>
              <w:spacing w:line="360" w:lineRule="auto"/>
              <w:jc w:val="left"/>
              <w:rPr>
                <w:rFonts w:ascii="宋体" w:hAnsi="宋体"/>
                <w:b/>
                <w:bCs/>
                <w:sz w:val="18"/>
                <w:szCs w:val="18"/>
              </w:rPr>
            </w:pPr>
          </w:p>
        </w:tc>
        <w:tc>
          <w:tcPr>
            <w:tcW w:w="1690" w:type="dxa"/>
            <w:gridSpan w:val="2"/>
            <w:shd w:val="solid" w:color="FFFFFF" w:fill="FFFFFF"/>
            <w:vAlign w:val="top"/>
          </w:tcPr>
          <w:p w14:paraId="77F19984">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vAlign w:val="top"/>
          </w:tcPr>
          <w:p w14:paraId="30B5691E">
            <w:pPr>
              <w:spacing w:line="360" w:lineRule="auto"/>
              <w:jc w:val="left"/>
              <w:rPr>
                <w:rFonts w:ascii="宋体" w:hAnsi="宋体"/>
                <w:bCs/>
                <w:sz w:val="18"/>
                <w:szCs w:val="18"/>
              </w:rPr>
            </w:pPr>
            <w:r>
              <w:rPr>
                <w:rFonts w:hint="eastAsia" w:ascii="宋体" w:hAnsi="宋体"/>
                <w:bCs/>
                <w:sz w:val="18"/>
                <w:szCs w:val="18"/>
              </w:rPr>
              <w:t>【Z7002026000964】注：投资者可依据理财产品登记编码在中国理财网查询产品信息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14:paraId="07FADC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4BCC46B0">
            <w:pPr>
              <w:spacing w:line="360" w:lineRule="auto"/>
              <w:jc w:val="left"/>
              <w:rPr>
                <w:rFonts w:ascii="宋体" w:hAnsi="宋体"/>
                <w:b/>
                <w:bCs/>
                <w:sz w:val="18"/>
                <w:szCs w:val="18"/>
              </w:rPr>
            </w:pPr>
          </w:p>
        </w:tc>
        <w:tc>
          <w:tcPr>
            <w:tcW w:w="1690" w:type="dxa"/>
            <w:gridSpan w:val="2"/>
            <w:shd w:val="solid" w:color="FFFFFF" w:fill="FFFFFF"/>
            <w:vAlign w:val="center"/>
          </w:tcPr>
          <w:p w14:paraId="3B45446D">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14:paraId="345F0F91">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9N268280</w:t>
            </w:r>
            <w:r>
              <w:rPr>
                <w:rFonts w:ascii="宋体" w:hAnsi="宋体"/>
                <w:bCs/>
                <w:color w:val="000000" w:themeColor="text1"/>
                <w:sz w:val="18"/>
                <w:szCs w:val="18"/>
                <w14:textFill>
                  <w14:solidFill>
                    <w14:schemeClr w14:val="tx1"/>
                  </w14:solidFill>
                </w14:textFill>
              </w:rPr>
              <w:t>】</w:t>
            </w:r>
          </w:p>
        </w:tc>
      </w:tr>
      <w:tr w14:paraId="6AAF84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21BE0339">
            <w:pPr>
              <w:spacing w:line="360" w:lineRule="auto"/>
              <w:jc w:val="left"/>
              <w:rPr>
                <w:rFonts w:ascii="宋体" w:hAnsi="宋体"/>
                <w:b/>
                <w:bCs/>
                <w:sz w:val="18"/>
                <w:szCs w:val="18"/>
              </w:rPr>
            </w:pPr>
          </w:p>
        </w:tc>
        <w:tc>
          <w:tcPr>
            <w:tcW w:w="1690" w:type="dxa"/>
            <w:gridSpan w:val="2"/>
            <w:shd w:val="solid" w:color="FFFFFF" w:fill="FFFFFF"/>
            <w:vAlign w:val="center"/>
          </w:tcPr>
          <w:p w14:paraId="7DD63044">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14:paraId="31D6D799">
            <w:pPr>
              <w:spacing w:line="320" w:lineRule="exact"/>
              <w:jc w:val="left"/>
              <w:rPr>
                <w:rFonts w:ascii="宋体" w:hAnsi="宋体"/>
                <w:bCs/>
                <w:color w:val="000000" w:themeColor="text1"/>
                <w:sz w:val="18"/>
                <w:szCs w:val="18"/>
                <w14:textFill>
                  <w14:solidFill>
                    <w14:schemeClr w14:val="tx1"/>
                  </w14:solidFill>
                </w14:textFill>
              </w:rPr>
            </w:pPr>
            <w:r>
              <w:rPr>
                <w:rFonts w:ascii="宋体" w:hAnsi="宋体" w:eastAsia="宋体" w:cs="宋体"/>
                <w:sz w:val="18"/>
              </w:rPr>
              <w:t>【9N26828A】 (适用【A】类份额)</w:t>
            </w:r>
            <w:r>
              <w:rPr>
                <w:rFonts w:ascii="宋体" w:hAnsi="宋体" w:eastAsia="宋体" w:cs="宋体"/>
                <w:sz w:val="18"/>
              </w:rPr>
              <w:br w:type="textWrapping"/>
            </w:r>
            <w:r>
              <w:rPr>
                <w:rFonts w:ascii="宋体" w:hAnsi="宋体" w:eastAsia="宋体" w:cs="宋体"/>
                <w:sz w:val="18"/>
              </w:rPr>
              <w:t>【9N26828B】 (适用【B】类份额)</w:t>
            </w:r>
            <w:r>
              <w:rPr>
                <w:rFonts w:ascii="宋体" w:hAnsi="宋体" w:eastAsia="宋体" w:cs="宋体"/>
                <w:sz w:val="18"/>
              </w:rPr>
              <w:br w:type="textWrapping"/>
            </w:r>
            <w:r>
              <w:rPr>
                <w:rFonts w:ascii="宋体" w:hAnsi="宋体" w:eastAsia="宋体" w:cs="宋体"/>
                <w:sz w:val="18"/>
              </w:rPr>
              <w:t>【9N26828C】 (适用【C】类份额)</w:t>
            </w:r>
            <w:r>
              <w:rPr>
                <w:rFonts w:ascii="宋体" w:hAnsi="宋体" w:eastAsia="宋体" w:cs="宋体"/>
                <w:sz w:val="18"/>
              </w:rPr>
              <w:br w:type="textWrapping"/>
            </w:r>
            <w:r>
              <w:rPr>
                <w:rFonts w:ascii="宋体" w:hAnsi="宋体" w:eastAsia="宋体" w:cs="宋体"/>
                <w:sz w:val="18"/>
              </w:rPr>
              <w:t>【9N26828D】 (适用【D】类份额)</w:t>
            </w:r>
            <w:r>
              <w:rPr>
                <w:rFonts w:ascii="宋体" w:hAnsi="宋体" w:eastAsia="宋体" w:cs="宋体"/>
                <w:sz w:val="18"/>
              </w:rPr>
              <w:br w:type="textWrapping"/>
            </w:r>
            <w:r>
              <w:rPr>
                <w:rFonts w:ascii="宋体" w:hAnsi="宋体" w:eastAsia="宋体" w:cs="宋体"/>
                <w:sz w:val="18"/>
              </w:rPr>
              <w:t>【9N26828E】 (适用【E】类份额)</w:t>
            </w:r>
            <w:r>
              <w:rPr>
                <w:rFonts w:ascii="宋体" w:hAnsi="宋体" w:eastAsia="宋体" w:cs="宋体"/>
                <w:sz w:val="18"/>
              </w:rPr>
              <w:br w:type="textWrapping"/>
            </w:r>
            <w:r>
              <w:rPr>
                <w:rFonts w:ascii="宋体" w:hAnsi="宋体" w:eastAsia="宋体" w:cs="宋体"/>
                <w:sz w:val="18"/>
              </w:rPr>
              <w:t>【9N26828F】 (适用【F】类份额)</w:t>
            </w:r>
          </w:p>
        </w:tc>
      </w:tr>
      <w:tr w14:paraId="455F9F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30BA4EE0">
            <w:pPr>
              <w:spacing w:line="360" w:lineRule="auto"/>
              <w:jc w:val="left"/>
              <w:rPr>
                <w:rFonts w:ascii="宋体" w:hAnsi="宋体"/>
                <w:b/>
                <w:bCs/>
                <w:sz w:val="18"/>
                <w:szCs w:val="18"/>
              </w:rPr>
            </w:pPr>
          </w:p>
        </w:tc>
      </w:tr>
      <w:tr w14:paraId="75FAF3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0774A731">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2318AF33">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23428CCD">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52FB3909">
          <w:pPr>
            <w:pStyle w:val="13"/>
            <w:spacing w:line="360" w:lineRule="auto"/>
            <w:jc w:val="center"/>
          </w:pPr>
          <w:r>
            <w:rPr>
              <w:rFonts w:hint="eastAsia"/>
              <w:lang w:val="zh-CN"/>
            </w:rPr>
            <w:t>目录</w:t>
          </w:r>
        </w:p>
        <w:p w14:paraId="2C47F3B5">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7</w:t>
          </w:r>
          <w:r>
            <w:fldChar w:fldCharType="end"/>
          </w:r>
          <w:r>
            <w:fldChar w:fldCharType="end"/>
          </w:r>
        </w:p>
        <w:p w14:paraId="4AB37F7C">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8</w:t>
          </w:r>
          <w:r>
            <w:fldChar w:fldCharType="end"/>
          </w:r>
          <w:r>
            <w:fldChar w:fldCharType="end"/>
          </w:r>
        </w:p>
        <w:p w14:paraId="579E7056">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11</w:t>
          </w:r>
          <w:r>
            <w:fldChar w:fldCharType="end"/>
          </w:r>
          <w:r>
            <w:fldChar w:fldCharType="end"/>
          </w:r>
        </w:p>
        <w:p w14:paraId="5EC5C04E">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12</w:t>
          </w:r>
          <w:r>
            <w:fldChar w:fldCharType="end"/>
          </w:r>
          <w:r>
            <w:fldChar w:fldCharType="end"/>
          </w:r>
        </w:p>
        <w:p w14:paraId="75C473FF">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13</w:t>
          </w:r>
          <w:r>
            <w:fldChar w:fldCharType="end"/>
          </w:r>
          <w:r>
            <w:fldChar w:fldCharType="end"/>
          </w:r>
        </w:p>
        <w:p w14:paraId="533B14B6">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14</w:t>
          </w:r>
          <w:r>
            <w:fldChar w:fldCharType="end"/>
          </w:r>
          <w:r>
            <w:fldChar w:fldCharType="end"/>
          </w:r>
        </w:p>
        <w:p w14:paraId="65F240B6">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15</w:t>
          </w:r>
          <w:r>
            <w:fldChar w:fldCharType="end"/>
          </w:r>
          <w:r>
            <w:fldChar w:fldCharType="end"/>
          </w:r>
        </w:p>
        <w:p w14:paraId="36DF7AA3">
          <w:pPr>
            <w:spacing w:line="360" w:lineRule="auto"/>
          </w:pPr>
          <w:r>
            <w:rPr>
              <w:bCs/>
              <w:lang w:val="zh-CN"/>
            </w:rPr>
            <w:fldChar w:fldCharType="end"/>
          </w:r>
        </w:p>
      </w:sdtContent>
    </w:sdt>
    <w:p w14:paraId="10499961">
      <w:pPr>
        <w:widowControl/>
        <w:jc w:val="left"/>
        <w:rPr>
          <w:rFonts w:ascii="宋体" w:hAnsi="宋体" w:cs="仿宋_GB2312"/>
          <w:b/>
          <w:kern w:val="0"/>
          <w:sz w:val="18"/>
          <w:szCs w:val="18"/>
        </w:rPr>
      </w:pPr>
      <w:r>
        <w:rPr>
          <w:rFonts w:ascii="宋体" w:hAnsi="宋体" w:cs="仿宋_GB2312"/>
          <w:b/>
          <w:kern w:val="0"/>
          <w:sz w:val="18"/>
          <w:szCs w:val="18"/>
        </w:rPr>
        <w:br w:type="page"/>
      </w:r>
    </w:p>
    <w:p w14:paraId="4068590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0A1B9DE4">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5BCB3D7D">
      <w:pPr>
        <w:spacing w:line="360" w:lineRule="auto"/>
      </w:pPr>
    </w:p>
    <w:bookmarkEnd w:id="10"/>
    <w:bookmarkEnd w:id="11"/>
    <w:bookmarkEnd w:id="12"/>
    <w:bookmarkEnd w:id="13"/>
    <w:p w14:paraId="33A2B977">
      <w:pPr>
        <w:pStyle w:val="2"/>
        <w:spacing w:before="0" w:after="0"/>
        <w:jc w:val="center"/>
        <w:rPr>
          <w:rFonts w:ascii="Times New Roman"/>
          <w:color w:val="auto"/>
          <w:sz w:val="30"/>
        </w:rPr>
      </w:pPr>
      <w:bookmarkStart w:id="14" w:name="_Toc123112229"/>
      <w:bookmarkStart w:id="15" w:name="_Toc23386"/>
      <w:bookmarkStart w:id="16" w:name="_Toc4867"/>
      <w:bookmarkStart w:id="17" w:name="_Toc29629"/>
      <w:bookmarkStart w:id="18" w:name="_Toc15517"/>
      <w:bookmarkStart w:id="19" w:name="_Toc4966"/>
      <w:bookmarkStart w:id="20" w:name="_Toc26897"/>
      <w:bookmarkStart w:id="21" w:name="_Toc123112268"/>
      <w:bookmarkStart w:id="22" w:name="_Toc32639"/>
      <w:bookmarkStart w:id="23" w:name="_Toc141703880"/>
      <w:bookmarkStart w:id="24" w:name="_Toc123701389"/>
      <w:bookmarkStart w:id="25" w:name="_Toc139991730"/>
      <w:bookmarkStart w:id="26" w:name="_Toc30935"/>
      <w:bookmarkStart w:id="27" w:name="_Toc6306"/>
      <w:bookmarkStart w:id="28" w:name="_Toc872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2864"/>
      <w:bookmarkStart w:id="33" w:name="_Toc258829399"/>
      <w:bookmarkStart w:id="34" w:name="_Toc15067"/>
      <w:bookmarkStart w:id="35" w:name="_Toc24860"/>
      <w:bookmarkStart w:id="36" w:name="_Toc3224"/>
      <w:bookmarkStart w:id="37" w:name="_Toc6617"/>
      <w:bookmarkStart w:id="38" w:name="_Toc819"/>
      <w:bookmarkStart w:id="39" w:name="_Toc13020"/>
      <w:bookmarkStart w:id="40" w:name="_Toc2465"/>
      <w:bookmarkStart w:id="41" w:name="_Toc19592"/>
      <w:bookmarkStart w:id="42" w:name="_Toc21301"/>
      <w:r>
        <w:rPr>
          <w:rFonts w:hint="eastAsia" w:ascii="Times New Roman"/>
          <w:color w:val="auto"/>
          <w:sz w:val="30"/>
        </w:rPr>
        <w:t>前言</w:t>
      </w:r>
      <w:bookmarkEnd w:id="29"/>
    </w:p>
    <w:p w14:paraId="67AFBD28">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2EE2000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6951A6A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165BEE6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7BBECBC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5B42236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2F7FC99C">
      <w:pPr>
        <w:widowControl/>
        <w:spacing w:line="360" w:lineRule="auto"/>
        <w:jc w:val="left"/>
      </w:pPr>
      <w:r>
        <w:br w:type="page"/>
      </w:r>
    </w:p>
    <w:p w14:paraId="5B0D672C">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3B927CA1">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32BE0AB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2FDF8B8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7E27804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1053EC7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0855935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0D71340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389439A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46F828F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26FA4F7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343C9B0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5047432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2624BAB3">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46F3EF7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72E7BFC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1FDBC545">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65A901B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534E1DE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161D45F4">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7481D56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2D35960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07394FC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35CFBC7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7F2316C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4F59E49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441FBFD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736B4D3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024ABCC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5FF576D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1F917AF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6B2FCD4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61DC4AB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3B8072C4">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06204762">
      <w:pPr>
        <w:pStyle w:val="2"/>
        <w:spacing w:before="0" w:after="0"/>
        <w:jc w:val="center"/>
        <w:rPr>
          <w:rFonts w:ascii="Times New Roman"/>
          <w:sz w:val="30"/>
        </w:rPr>
      </w:pPr>
      <w:bookmarkStart w:id="46" w:name="_Toc706"/>
      <w:bookmarkStart w:id="47" w:name="_Toc24571"/>
      <w:bookmarkStart w:id="48" w:name="_Toc20318"/>
      <w:bookmarkStart w:id="49" w:name="_Toc13288"/>
      <w:bookmarkStart w:id="50" w:name="_Toc18631"/>
      <w:bookmarkStart w:id="51" w:name="_Toc545"/>
      <w:bookmarkStart w:id="52" w:name="_Toc20627"/>
      <w:bookmarkStart w:id="53" w:name="_Toc22708"/>
      <w:bookmarkStart w:id="54" w:name="_Toc6683"/>
      <w:bookmarkStart w:id="55" w:name="_Toc6149"/>
      <w:bookmarkStart w:id="56" w:name="_Toc74065740"/>
      <w:bookmarkStart w:id="57" w:name="_Toc733"/>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514A5FC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4BF7C71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4F60B0E0">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50BC14CB">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7B7D3594">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13DA0A94">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54388D40">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43FFAC8A">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4D6ED9BC">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2E75C1A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5735567">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2EF54DE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7AA268B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5FB04649">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6A023543">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55C9BA42">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7FB1B88">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690292AA">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6144E956">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60E3EB3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4939706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7533C1C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764C331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12A6C4F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5603868C">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2589112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267A1C8A">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03650DB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ADF29F2">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6CF2364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3BD2005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2A43038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08F60AE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402E385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0EAD4E3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16EBB55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3BBBE667">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9D8F7BB">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1C55AE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04E2417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5644C8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31C6284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3585BE40">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4BA502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773C8F61">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37C5F9D6">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740FAE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00A5F1B5">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5AF439F5">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42C313D8">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53402E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245400B7">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781476B7">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10F10E00">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5F2745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2CCBB62F">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3CAB46E4">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716E9740">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48040F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6351D809">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23D39FB0">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2FD5C454">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6A8DC4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06B80334">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314578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333DD0E8">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6CCDE876">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18279B90">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399F4121">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4BAD30DF">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15E7F5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611FAA4C">
            <w:pPr>
              <w:spacing w:line="360" w:lineRule="auto"/>
              <w:jc w:val="center"/>
              <w:rPr>
                <w:b/>
                <w:sz w:val="18"/>
                <w:szCs w:val="18"/>
              </w:rPr>
            </w:pPr>
            <w:r>
              <w:rPr>
                <w:rFonts w:hint="eastAsia"/>
                <w:b/>
                <w:sz w:val="18"/>
                <w:szCs w:val="18"/>
              </w:rPr>
              <w:t>投资者签署栏</w:t>
            </w:r>
          </w:p>
        </w:tc>
        <w:tc>
          <w:tcPr>
            <w:tcW w:w="851" w:type="dxa"/>
            <w:gridSpan w:val="2"/>
          </w:tcPr>
          <w:p w14:paraId="645DDDAB">
            <w:pPr>
              <w:spacing w:line="360" w:lineRule="auto"/>
              <w:rPr>
                <w:sz w:val="18"/>
                <w:szCs w:val="18"/>
              </w:rPr>
            </w:pPr>
            <w:r>
              <w:rPr>
                <w:rFonts w:hint="eastAsia"/>
                <w:sz w:val="18"/>
                <w:szCs w:val="18"/>
              </w:rPr>
              <w:t>个人投资者适用</w:t>
            </w:r>
          </w:p>
        </w:tc>
        <w:tc>
          <w:tcPr>
            <w:tcW w:w="6998" w:type="dxa"/>
            <w:gridSpan w:val="2"/>
          </w:tcPr>
          <w:p w14:paraId="13F4D7B6">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55926B06">
            <w:pPr>
              <w:spacing w:line="360" w:lineRule="auto"/>
              <w:rPr>
                <w:b/>
                <w:sz w:val="18"/>
                <w:szCs w:val="18"/>
              </w:rPr>
            </w:pPr>
          </w:p>
          <w:p w14:paraId="1875B3A7">
            <w:pPr>
              <w:spacing w:line="360" w:lineRule="auto"/>
              <w:rPr>
                <w:b/>
                <w:sz w:val="18"/>
                <w:szCs w:val="18"/>
              </w:rPr>
            </w:pPr>
            <w:r>
              <w:rPr>
                <w:rFonts w:hint="eastAsia"/>
                <w:sz w:val="18"/>
                <w:szCs w:val="18"/>
              </w:rPr>
              <w:t>日期：</w:t>
            </w:r>
          </w:p>
        </w:tc>
      </w:tr>
      <w:tr w14:paraId="367F2A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3D4B8385">
            <w:pPr>
              <w:spacing w:line="360" w:lineRule="auto"/>
              <w:rPr>
                <w:b/>
                <w:sz w:val="18"/>
                <w:szCs w:val="18"/>
              </w:rPr>
            </w:pPr>
          </w:p>
        </w:tc>
        <w:tc>
          <w:tcPr>
            <w:tcW w:w="851" w:type="dxa"/>
            <w:gridSpan w:val="2"/>
          </w:tcPr>
          <w:p w14:paraId="67E75FF4">
            <w:pPr>
              <w:spacing w:line="360" w:lineRule="auto"/>
              <w:rPr>
                <w:sz w:val="18"/>
                <w:szCs w:val="18"/>
              </w:rPr>
            </w:pPr>
            <w:r>
              <w:rPr>
                <w:rFonts w:hint="eastAsia"/>
                <w:sz w:val="18"/>
                <w:szCs w:val="18"/>
              </w:rPr>
              <w:t>机构投资者适用</w:t>
            </w:r>
          </w:p>
        </w:tc>
        <w:tc>
          <w:tcPr>
            <w:tcW w:w="6998" w:type="dxa"/>
            <w:gridSpan w:val="2"/>
          </w:tcPr>
          <w:p w14:paraId="307AC9CA">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5DFEFE0E">
            <w:pPr>
              <w:spacing w:line="360" w:lineRule="auto"/>
              <w:rPr>
                <w:rFonts w:cs="Arial"/>
                <w:sz w:val="18"/>
                <w:szCs w:val="18"/>
              </w:rPr>
            </w:pPr>
          </w:p>
          <w:p w14:paraId="026F0F68">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27F76032">
            <w:pPr>
              <w:spacing w:line="360" w:lineRule="auto"/>
              <w:rPr>
                <w:sz w:val="18"/>
                <w:szCs w:val="18"/>
              </w:rPr>
            </w:pPr>
            <w:r>
              <w:rPr>
                <w:rFonts w:hint="eastAsia"/>
                <w:sz w:val="18"/>
                <w:szCs w:val="18"/>
              </w:rPr>
              <w:t>日期：</w:t>
            </w:r>
          </w:p>
        </w:tc>
      </w:tr>
    </w:tbl>
    <w:p w14:paraId="7DA6FD95">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10BDCE3F">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63BDF5C3">
      <w:pPr>
        <w:pStyle w:val="14"/>
        <w:spacing w:line="360" w:lineRule="auto"/>
        <w:rPr>
          <w:rFonts w:hAnsi="宋体"/>
          <w:sz w:val="18"/>
          <w:szCs w:val="18"/>
        </w:rPr>
      </w:pPr>
    </w:p>
    <w:p w14:paraId="038FEDFD">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746157BF">
      <w:pPr>
        <w:adjustRightInd w:val="0"/>
        <w:spacing w:line="360" w:lineRule="auto"/>
        <w:jc w:val="center"/>
        <w:rPr>
          <w:rFonts w:ascii="宋体" w:hAnsi="宋体" w:cs="宋体"/>
          <w:sz w:val="32"/>
          <w:szCs w:val="32"/>
        </w:rPr>
      </w:pPr>
    </w:p>
    <w:p w14:paraId="564D5035">
      <w:pPr>
        <w:adjustRightInd w:val="0"/>
        <w:spacing w:line="360" w:lineRule="auto"/>
        <w:jc w:val="center"/>
        <w:rPr>
          <w:rFonts w:ascii="宋体" w:hAnsi="宋体" w:cs="宋体"/>
          <w:sz w:val="32"/>
          <w:szCs w:val="32"/>
        </w:rPr>
      </w:pPr>
    </w:p>
    <w:p w14:paraId="10F7EBD2">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B30FC23">
      <w:pPr>
        <w:adjustRightInd w:val="0"/>
        <w:spacing w:line="360" w:lineRule="auto"/>
        <w:jc w:val="center"/>
        <w:rPr>
          <w:rFonts w:ascii="宋体" w:hAnsi="宋体" w:cs="宋体"/>
          <w:sz w:val="32"/>
          <w:szCs w:val="32"/>
        </w:rPr>
      </w:pPr>
    </w:p>
    <w:p w14:paraId="440031C2">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lang w:eastAsia="zh-CN"/>
        </w:rPr>
        <w:t>【兴银理财稳利恒盈封闭式2026年828期固收类理财产品】</w:t>
      </w:r>
    </w:p>
    <w:p w14:paraId="30CC2794">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rPr>
        <w:t>产品说明书</w:t>
      </w:r>
    </w:p>
    <w:p w14:paraId="14A3927B">
      <w:pPr>
        <w:adjustRightInd w:val="0"/>
        <w:spacing w:line="360" w:lineRule="auto"/>
        <w:jc w:val="center"/>
        <w:rPr>
          <w:rFonts w:ascii="宋体" w:hAnsi="宋体" w:cs="宋体"/>
          <w:sz w:val="32"/>
          <w:szCs w:val="32"/>
        </w:rPr>
      </w:pPr>
    </w:p>
    <w:p w14:paraId="410B9163">
      <w:pPr>
        <w:adjustRightInd w:val="0"/>
        <w:spacing w:line="360" w:lineRule="auto"/>
        <w:jc w:val="center"/>
        <w:rPr>
          <w:rFonts w:ascii="黑体" w:hAnsi="黑体" w:eastAsia="黑体" w:cs="宋体"/>
          <w:bCs w:val="0"/>
          <w:sz w:val="28"/>
          <w:szCs w:val="28"/>
        </w:rPr>
      </w:pPr>
    </w:p>
    <w:p w14:paraId="4267FE82">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692CD0BC">
      <w:pPr>
        <w:adjustRightInd w:val="0"/>
        <w:spacing w:line="360" w:lineRule="auto"/>
        <w:jc w:val="center"/>
        <w:rPr>
          <w:rFonts w:ascii="宋体" w:hAnsi="宋体" w:cs="宋体"/>
          <w:sz w:val="32"/>
          <w:szCs w:val="32"/>
        </w:rPr>
      </w:pPr>
    </w:p>
    <w:p w14:paraId="73E2E758">
      <w:pPr>
        <w:adjustRightInd w:val="0"/>
        <w:spacing w:line="360" w:lineRule="auto"/>
        <w:jc w:val="center"/>
        <w:rPr>
          <w:rFonts w:ascii="宋体" w:hAnsi="宋体" w:cs="宋体"/>
          <w:sz w:val="32"/>
          <w:szCs w:val="32"/>
        </w:rPr>
      </w:pPr>
    </w:p>
    <w:p w14:paraId="5BAE9A8F">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【2026】年【5】月</w:t>
      </w:r>
    </w:p>
    <w:p w14:paraId="41126F8D">
      <w:pPr>
        <w:adjustRightInd w:val="0"/>
        <w:spacing w:line="360" w:lineRule="auto"/>
        <w:jc w:val="center"/>
        <w:rPr>
          <w:rFonts w:ascii="宋体" w:hAnsi="宋体" w:cs="宋体"/>
          <w:sz w:val="32"/>
          <w:szCs w:val="32"/>
        </w:rPr>
      </w:pPr>
    </w:p>
    <w:p w14:paraId="33ED9C09">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3AD0C4D3">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673CE7D3">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59EABD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6E2CB2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1718C4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999B779">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0B1A68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5B62A3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A141AF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9E9CCB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184BC3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B055BC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D4268E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50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012B738">
          <w:pPr>
            <w:spacing w:line="360" w:lineRule="auto"/>
            <w:rPr>
              <w:rFonts w:ascii="Calibri" w:hAnsi="Calibri" w:cs="宋体"/>
              <w:szCs w:val="22"/>
            </w:rPr>
          </w:pPr>
          <w:r>
            <w:rPr>
              <w:rFonts w:ascii="Calibri" w:hAnsi="Calibri" w:cs="宋体"/>
              <w:szCs w:val="22"/>
            </w:rPr>
            <w:fldChar w:fldCharType="end"/>
          </w:r>
        </w:p>
      </w:sdtContent>
    </w:sdt>
    <w:p w14:paraId="700EF8CA">
      <w:pPr>
        <w:rPr>
          <w:rFonts w:ascii="Times New Roman" w:hAnsi="Calibri" w:cs="宋体"/>
          <w:sz w:val="30"/>
          <w:szCs w:val="22"/>
        </w:rPr>
      </w:pPr>
      <w:r>
        <w:rPr>
          <w:rFonts w:ascii="Times New Roman" w:hAnsi="Calibri" w:cs="宋体"/>
          <w:sz w:val="30"/>
          <w:szCs w:val="22"/>
        </w:rPr>
        <w:br w:type="page"/>
      </w:r>
    </w:p>
    <w:p w14:paraId="167D18D1">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7F2952D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30658142">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62DCF06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512D653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：指招商银行股份有限公司（以下简称“招商银行”）。招商银行成立于1987年，具备理财产品托管资格。托管人负责提供包括账户开立、资金保管、资金清算、估值核算等理财产品托管服务。</w:t>
      </w:r>
      <w:r>
        <w:rPr>
          <w:rFonts w:ascii="宋体" w:hAnsi="宋体" w:eastAsia="宋体" w:cs="宋体"/>
          <w:bCs/>
          <w:color w:val="auto"/>
          <w:sz w:val="18"/>
          <w:szCs w:val="18"/>
          <w:lang w:val="en-US" w:eastAsia="zh-CN" w:bidi="ar-SA"/>
        </w:rPr>
        <w:t xml:space="preserve"> </w:t>
      </w:r>
    </w:p>
    <w:p w14:paraId="3125762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5C42678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20DF963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60D17C2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723E554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09348AD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20C8B63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6C213FBB">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38F1213E">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2614901D">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1F24AA7E">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77BC1E12">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25B828D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289DDEF6">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21A9942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：指产品管理人向投资者提供的，用于描述产品特征，约定权利义务的文件。具体指《【兴银理财稳利恒盈封闭式2026年828期固收类理财产品】销售文件》，包括《投资协议书》《产品说明书》《（代理）销售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62AF5A6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《投资协议书》：指管理人统一编制的《【兴银理财稳利恒盈封闭式2026年828期固收类理财产品】投资协议书》，以及对该文件的有效修改或补充。</w:t>
      </w:r>
    </w:p>
    <w:p w14:paraId="2013E66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）《产品说明书》：指管理人统一编制的《【兴银理财稳利恒盈封闭式2026年828期固收类理财产品】产品说明书》，以及对该文件的有效修改或补充。</w:t>
      </w:r>
    </w:p>
    <w:p w14:paraId="14A715C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（4）《（代理）销售协议书》：指管理人统一编制的《【兴银理财稳利恒盈封闭式2026年828期固收类理财产品】（代理）销售协议书》或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的《【兴银理财稳利恒盈封闭式2026年828期固收类理财产品】（代理）销售协议书》（文件名称以代理销售机构实际编制为准），以及对该文件的有效修改或补充。</w:t>
      </w:r>
    </w:p>
    <w:p w14:paraId="31135E0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）《风险揭示书》：指管理人统一编制的《【兴银理财稳利恒盈封闭式2026年828期固收类理财产品】风险揭示书》或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的《【兴银理财稳利恒盈封闭式2026年828期固收类理财产品】风险揭示书》（文件名称以代理销售机构实际编制为准），以及对该文件的有效修改或补充。</w:t>
      </w:r>
    </w:p>
    <w:p w14:paraId="6677CD3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）《投资者权益须知》：指管理人统一编制的《【兴银理财稳利恒盈封闭式2026年828期固收类理财产品】投资者权益须知》或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《【兴银理财稳利恒盈封闭式2026年828期固收类理财产品】投资者权益须知》（文件名称以代理销售机构实际编制为准），以及对该文件的有效修改或补充。</w:t>
      </w:r>
    </w:p>
    <w:p w14:paraId="554A9908">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603DC07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4000A84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54213DC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3B7344C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0B49FDE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4B5914D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31931DF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2F7F26A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66E1587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4720603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0760A9C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1B34457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5F8B0E0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005A36B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0BE94E9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6981CF8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1BF0AF8F">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4CCEE813">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1B21107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307F7D2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0D84D98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1C81E3E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71435DB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47CC585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3B0B68C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5A752B6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5131BC4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2319849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5721C94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6E0FA19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266A4B6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299F9A47">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51954742">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0FD531D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05CF30F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53CC969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39F332A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2E8E570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316778C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32F4DDF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47591F49">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2021633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6C2323D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3981D90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6B3F1F4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345D79C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71FE500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05493C8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164DF6C5">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75A8E4AA">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176189754"/>
      <w:bookmarkStart w:id="69" w:name="_Toc79154665"/>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1075A5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vAlign w:val="top"/>
          </w:tcPr>
          <w:p w14:paraId="37AF4E74">
            <w:pPr>
              <w:keepNext w:val="0"/>
              <w:keepLines w:val="0"/>
              <w:suppressLineNumbers w:val="0"/>
              <w:spacing w:before="0" w:beforeAutospacing="0" w:after="0" w:afterAutospacing="0" w:line="360" w:lineRule="auto"/>
              <w:ind w:left="0" w:leftChars="0" w:right="0" w:rightChars="0"/>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vAlign w:val="top"/>
          </w:tcPr>
          <w:p w14:paraId="020525C6">
            <w:pPr>
              <w:keepNext w:val="0"/>
              <w:keepLines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sz w:val="18"/>
                <w:szCs w:val="18"/>
              </w:rPr>
              <w:t>【兴银理财稳利恒盈封闭式2026年828期固收类理财产品】</w:t>
            </w:r>
          </w:p>
        </w:tc>
      </w:tr>
      <w:tr w14:paraId="094221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vAlign w:val="top"/>
          </w:tcPr>
          <w:p w14:paraId="649DD3D9">
            <w:pPr>
              <w:keepNext w:val="0"/>
              <w:keepLines w:val="0"/>
              <w:suppressLineNumbers w:val="0"/>
              <w:spacing w:before="0" w:beforeAutospacing="0" w:after="0" w:afterAutospacing="0" w:line="360" w:lineRule="auto"/>
              <w:ind w:left="0" w:leftChars="0" w:right="0" w:rightChars="0"/>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vAlign w:val="top"/>
          </w:tcPr>
          <w:p w14:paraId="758E5010">
            <w:pPr>
              <w:keepNext w:val="0"/>
              <w:keepLines w:val="0"/>
              <w:widowControl/>
              <w:suppressLineNumbers w:val="0"/>
              <w:spacing w:before="0" w:beforeAutospacing="0" w:after="0" w:afterAutospacing="0" w:line="360" w:lineRule="auto"/>
              <w:ind w:left="0" w:leftChars="0" w:right="0" w:rightChars="0"/>
              <w:jc w:val="left"/>
              <w:rPr>
                <w:rFonts w:ascii="宋体" w:hAnsi="宋体" w:cs="宋体"/>
                <w:kern w:val="0"/>
                <w:sz w:val="22"/>
                <w:szCs w:val="22"/>
              </w:rPr>
            </w:pPr>
            <w:r>
              <w:rPr>
                <w:rFonts w:ascii="宋体" w:hAnsi="宋体" w:eastAsia="宋体" w:cs="宋体"/>
                <w:sz w:val="18"/>
                <w:szCs w:val="22"/>
              </w:rPr>
              <w:t>【稳利恒盈封闭式2026年828期（兴嘉选）A】 (适用【A】类份额)</w:t>
            </w:r>
            <w:r>
              <w:rPr>
                <w:rFonts w:ascii="宋体" w:hAnsi="宋体" w:eastAsia="宋体" w:cs="宋体"/>
                <w:sz w:val="18"/>
                <w:szCs w:val="22"/>
              </w:rPr>
              <w:br w:type="textWrapping"/>
            </w:r>
            <w:r>
              <w:rPr>
                <w:rFonts w:ascii="宋体" w:hAnsi="宋体" w:eastAsia="宋体" w:cs="宋体"/>
                <w:sz w:val="18"/>
                <w:szCs w:val="22"/>
              </w:rPr>
              <w:t>【稳利恒盈封闭式2026年828期（兴嘉选）B】 (适用【B】类份额)</w:t>
            </w:r>
            <w:r>
              <w:rPr>
                <w:rFonts w:ascii="宋体" w:hAnsi="宋体" w:eastAsia="宋体" w:cs="宋体"/>
                <w:sz w:val="18"/>
                <w:szCs w:val="22"/>
              </w:rPr>
              <w:br w:type="textWrapping"/>
            </w:r>
            <w:r>
              <w:rPr>
                <w:rFonts w:ascii="宋体" w:hAnsi="宋体" w:eastAsia="宋体" w:cs="宋体"/>
                <w:sz w:val="18"/>
                <w:szCs w:val="22"/>
              </w:rPr>
              <w:t>【稳利恒盈封闭式2026年828期（兴嘉选）C】 (适用【C】类份额)</w:t>
            </w:r>
            <w:r>
              <w:rPr>
                <w:rFonts w:ascii="宋体" w:hAnsi="宋体" w:eastAsia="宋体" w:cs="宋体"/>
                <w:sz w:val="18"/>
                <w:szCs w:val="22"/>
              </w:rPr>
              <w:br w:type="textWrapping"/>
            </w:r>
            <w:r>
              <w:rPr>
                <w:rFonts w:ascii="宋体" w:hAnsi="宋体" w:eastAsia="宋体" w:cs="宋体"/>
                <w:sz w:val="18"/>
                <w:szCs w:val="22"/>
              </w:rPr>
              <w:t>【稳利恒盈封闭式2026年828期（兴嘉选）D】 (适用【D】类份额)</w:t>
            </w:r>
            <w:r>
              <w:rPr>
                <w:rFonts w:ascii="宋体" w:hAnsi="宋体" w:eastAsia="宋体" w:cs="宋体"/>
                <w:sz w:val="18"/>
                <w:szCs w:val="22"/>
              </w:rPr>
              <w:br w:type="textWrapping"/>
            </w:r>
            <w:r>
              <w:rPr>
                <w:rFonts w:ascii="宋体" w:hAnsi="宋体" w:eastAsia="宋体" w:cs="宋体"/>
                <w:sz w:val="18"/>
                <w:szCs w:val="22"/>
              </w:rPr>
              <w:t>【稳利恒盈封闭式2026年828期（兴嘉选）E】 (适用【E】类份额)</w:t>
            </w:r>
            <w:r>
              <w:rPr>
                <w:rFonts w:ascii="宋体" w:hAnsi="宋体" w:eastAsia="宋体" w:cs="宋体"/>
                <w:sz w:val="18"/>
                <w:szCs w:val="22"/>
              </w:rPr>
              <w:br w:type="textWrapping"/>
            </w:r>
            <w:r>
              <w:rPr>
                <w:rFonts w:ascii="宋体" w:hAnsi="宋体" w:eastAsia="宋体" w:cs="宋体"/>
                <w:sz w:val="18"/>
                <w:szCs w:val="22"/>
              </w:rPr>
              <w:t>【稳利恒盈封闭式2026年828期（兴嘉选）F】 (适用【F】类份额)</w:t>
            </w:r>
          </w:p>
        </w:tc>
      </w:tr>
      <w:tr w14:paraId="02F0C8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top"/>
          </w:tcPr>
          <w:p w14:paraId="05778E4A">
            <w:pPr>
              <w:keepNext w:val="0"/>
              <w:keepLines w:val="0"/>
              <w:suppressLineNumbers w:val="0"/>
              <w:spacing w:before="0" w:beforeAutospacing="0" w:after="0" w:afterAutospacing="0" w:line="360" w:lineRule="auto"/>
              <w:ind w:left="0" w:leftChars="0" w:right="0" w:rightChars="0"/>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vAlign w:val="top"/>
          </w:tcPr>
          <w:p w14:paraId="32DAF054">
            <w:pPr>
              <w:keepNext w:val="0"/>
              <w:keepLines w:val="0"/>
              <w:suppressLineNumbers w:val="0"/>
              <w:spacing w:before="0" w:beforeAutospacing="0" w:after="0" w:afterAutospacing="0" w:line="360" w:lineRule="auto"/>
              <w:ind w:left="0" w:leftChars="0" w:right="0" w:rightChars="0"/>
              <w:jc w:val="left"/>
              <w:rPr>
                <w:rFonts w:ascii="宋体" w:hAnsi="宋体" w:cs="宋体"/>
                <w:b/>
                <w:sz w:val="18"/>
                <w:szCs w:val="18"/>
              </w:rPr>
            </w:pPr>
            <w:r>
              <w:rPr>
                <w:rFonts w:hint="eastAsia" w:ascii="宋体" w:hAnsi="宋体" w:cs="宋体"/>
                <w:sz w:val="18"/>
                <w:szCs w:val="18"/>
              </w:rPr>
              <w:t>【Z7002026000964】</w:t>
            </w:r>
            <w:r>
              <w:rPr>
                <w:rFonts w:hint="eastAsia" w:ascii="宋体" w:hAnsi="宋体" w:eastAsia="宋体" w:cs="宋体"/>
                <w:sz w:val="18"/>
                <w:szCs w:val="18"/>
              </w:rPr>
              <w:t>投资者可依据理财产品登记编码在中国理财网</w:t>
            </w:r>
            <w:r>
              <w:rPr>
                <w:rFonts w:hint="default" w:ascii="宋体" w:hAnsi="宋体" w:eastAsia="宋体" w:cs="宋体"/>
                <w:sz w:val="18"/>
                <w:szCs w:val="18"/>
              </w:rPr>
              <w:t>(</w:t>
            </w:r>
            <w:r>
              <w:rPr>
                <w:rFonts w:hint="default" w:ascii="Calibri" w:hAnsi="Calibri" w:cs="宋体"/>
                <w:szCs w:val="22"/>
              </w:rPr>
              <w:fldChar w:fldCharType="begin"/>
            </w:r>
            <w:r>
              <w:rPr>
                <w:rFonts w:hint="default" w:ascii="Calibri" w:hAnsi="Calibri" w:cs="宋体"/>
                <w:szCs w:val="22"/>
              </w:rPr>
              <w:instrText xml:space="preserve"> HYPERLINK "http://www.chinawealth.com.cn" </w:instrText>
            </w:r>
            <w:r>
              <w:rPr>
                <w:rFonts w:hint="default" w:ascii="Calibri" w:hAnsi="Calibri" w:cs="宋体"/>
                <w:szCs w:val="22"/>
              </w:rPr>
              <w:fldChar w:fldCharType="separate"/>
            </w:r>
            <w:r>
              <w:rPr>
                <w:rFonts w:hint="default" w:ascii="宋体" w:hAnsi="宋体" w:eastAsia="宋体" w:cs="宋体"/>
                <w:sz w:val="18"/>
                <w:szCs w:val="18"/>
              </w:rPr>
              <w:t>www.chinawealth.com.cn</w:t>
            </w:r>
            <w:r>
              <w:rPr>
                <w:rFonts w:hint="default" w:ascii="宋体" w:hAnsi="宋体" w:eastAsia="宋体" w:cs="宋体"/>
                <w:sz w:val="18"/>
                <w:szCs w:val="18"/>
              </w:rPr>
              <w:fldChar w:fldCharType="end"/>
            </w:r>
            <w:r>
              <w:rPr>
                <w:rFonts w:hint="default" w:ascii="宋体" w:hAnsi="宋体" w:eastAsia="宋体" w:cs="宋体"/>
                <w:sz w:val="18"/>
                <w:szCs w:val="18"/>
              </w:rPr>
              <w:t>）</w:t>
            </w:r>
            <w:r>
              <w:rPr>
                <w:rFonts w:hint="eastAsia" w:ascii="宋体" w:hAnsi="宋体" w:eastAsia="宋体" w:cs="宋体"/>
                <w:sz w:val="18"/>
                <w:szCs w:val="18"/>
              </w:rPr>
              <w:t>查询产品信息。</w:t>
            </w:r>
          </w:p>
        </w:tc>
      </w:tr>
      <w:tr w14:paraId="66A8C0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1652E3A0">
            <w:pPr>
              <w:keepNext w:val="0"/>
              <w:keepLines w:val="0"/>
              <w:suppressLineNumbers w:val="0"/>
              <w:spacing w:before="0" w:beforeAutospacing="0" w:after="0" w:afterAutospacing="0" w:line="360" w:lineRule="auto"/>
              <w:ind w:left="0" w:leftChars="0" w:right="0" w:rightChars="0"/>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32ACD93D">
            <w:pPr>
              <w:keepNext w:val="0"/>
              <w:keepLines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default" w:ascii="宋体" w:hAnsi="宋体" w:cs="宋体"/>
                <w:bCs/>
                <w:sz w:val="18"/>
                <w:szCs w:val="18"/>
              </w:rPr>
              <w:t>【</w:t>
            </w:r>
            <w:r>
              <w:rPr>
                <w:rFonts w:hint="eastAsia" w:ascii="宋体" w:hAnsi="宋体" w:cs="宋体"/>
                <w:bCs/>
                <w:sz w:val="18"/>
                <w:szCs w:val="18"/>
              </w:rPr>
              <w:t>9N268280】</w:t>
            </w:r>
          </w:p>
        </w:tc>
      </w:tr>
      <w:tr w14:paraId="47939D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top"/>
          </w:tcPr>
          <w:p w14:paraId="1E57D00A">
            <w:pPr>
              <w:keepNext w:val="0"/>
              <w:keepLines w:val="0"/>
              <w:suppressLineNumbers w:val="0"/>
              <w:spacing w:before="0" w:beforeAutospacing="0" w:after="0" w:afterAutospacing="0" w:line="360" w:lineRule="auto"/>
              <w:ind w:left="0" w:leftChars="0" w:right="0" w:rightChars="0"/>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vAlign w:val="top"/>
          </w:tcPr>
          <w:p w14:paraId="026074DE">
            <w:pPr>
              <w:keepNext w:val="0"/>
              <w:keepLines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ascii="宋体" w:hAnsi="宋体" w:eastAsia="宋体" w:cs="宋体"/>
                <w:sz w:val="18"/>
                <w:szCs w:val="22"/>
              </w:rPr>
              <w:t>【9N26828A】 (适用【A】类份额)</w:t>
            </w:r>
            <w:r>
              <w:rPr>
                <w:rFonts w:ascii="宋体" w:hAnsi="宋体" w:eastAsia="宋体" w:cs="宋体"/>
                <w:sz w:val="18"/>
                <w:szCs w:val="22"/>
              </w:rPr>
              <w:br w:type="textWrapping"/>
            </w:r>
            <w:r>
              <w:rPr>
                <w:rFonts w:ascii="宋体" w:hAnsi="宋体" w:eastAsia="宋体" w:cs="宋体"/>
                <w:sz w:val="18"/>
                <w:szCs w:val="22"/>
              </w:rPr>
              <w:t>【9N26828B】 (适用【B】类份额)</w:t>
            </w:r>
            <w:r>
              <w:rPr>
                <w:rFonts w:ascii="宋体" w:hAnsi="宋体" w:eastAsia="宋体" w:cs="宋体"/>
                <w:sz w:val="18"/>
                <w:szCs w:val="22"/>
              </w:rPr>
              <w:br w:type="textWrapping"/>
            </w:r>
            <w:r>
              <w:rPr>
                <w:rFonts w:ascii="宋体" w:hAnsi="宋体" w:eastAsia="宋体" w:cs="宋体"/>
                <w:sz w:val="18"/>
                <w:szCs w:val="22"/>
              </w:rPr>
              <w:t>【9N26828C】 (适用【C】类份额)</w:t>
            </w:r>
            <w:r>
              <w:rPr>
                <w:rFonts w:ascii="宋体" w:hAnsi="宋体" w:eastAsia="宋体" w:cs="宋体"/>
                <w:sz w:val="18"/>
                <w:szCs w:val="22"/>
              </w:rPr>
              <w:br w:type="textWrapping"/>
            </w:r>
            <w:r>
              <w:rPr>
                <w:rFonts w:ascii="宋体" w:hAnsi="宋体" w:eastAsia="宋体" w:cs="宋体"/>
                <w:sz w:val="18"/>
                <w:szCs w:val="22"/>
              </w:rPr>
              <w:t>【9N26828D】 (适用【D】类份额)</w:t>
            </w:r>
            <w:r>
              <w:rPr>
                <w:rFonts w:ascii="宋体" w:hAnsi="宋体" w:eastAsia="宋体" w:cs="宋体"/>
                <w:sz w:val="18"/>
                <w:szCs w:val="22"/>
              </w:rPr>
              <w:br w:type="textWrapping"/>
            </w:r>
            <w:r>
              <w:rPr>
                <w:rFonts w:ascii="宋体" w:hAnsi="宋体" w:eastAsia="宋体" w:cs="宋体"/>
                <w:sz w:val="18"/>
                <w:szCs w:val="22"/>
              </w:rPr>
              <w:t>【9N26828E】 (适用【E】类份额)</w:t>
            </w:r>
            <w:r>
              <w:rPr>
                <w:rFonts w:ascii="宋体" w:hAnsi="宋体" w:eastAsia="宋体" w:cs="宋体"/>
                <w:sz w:val="18"/>
                <w:szCs w:val="22"/>
              </w:rPr>
              <w:br w:type="textWrapping"/>
            </w:r>
            <w:r>
              <w:rPr>
                <w:rFonts w:ascii="宋体" w:hAnsi="宋体" w:eastAsia="宋体" w:cs="宋体"/>
                <w:sz w:val="18"/>
                <w:szCs w:val="22"/>
              </w:rPr>
              <w:t>【9N26828F】 (适用【F】类份额)</w:t>
            </w:r>
          </w:p>
        </w:tc>
      </w:tr>
      <w:tr w14:paraId="262CBD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7EE13CC0">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747DC852">
            <w:pPr>
              <w:spacing w:line="360" w:lineRule="auto"/>
              <w:rPr>
                <w:rFonts w:hint="eastAsia" w:ascii="宋体" w:hAnsi="宋体" w:cs="宋体"/>
                <w:bCs/>
                <w:sz w:val="18"/>
                <w:szCs w:val="18"/>
              </w:rPr>
            </w:pPr>
            <w:r>
              <w:rPr>
                <w:rFonts w:hint="eastAsia" w:ascii="宋体" w:hAnsi="宋体" w:cs="宋体"/>
                <w:bCs/>
                <w:sz w:val="18"/>
                <w:szCs w:val="18"/>
              </w:rPr>
              <w:t>1.本产品根据投资者购买理财产品的金额、投资者类型、销售渠道等因素，对投资者所持有的理财产品份额设置不同的理财产品份额类别。</w:t>
            </w:r>
          </w:p>
          <w:p w14:paraId="38B9B7D2">
            <w:pPr>
              <w:spacing w:line="360" w:lineRule="auto"/>
              <w:rPr>
                <w:rFonts w:hint="eastAsia" w:ascii="宋体" w:hAnsi="宋体" w:cs="宋体"/>
                <w:bCs/>
                <w:sz w:val="18"/>
                <w:szCs w:val="18"/>
              </w:rPr>
            </w:pPr>
            <w:r>
              <w:rPr>
                <w:rFonts w:hint="eastAsia" w:ascii="宋体" w:hAnsi="宋体" w:cs="宋体"/>
                <w:bCs/>
                <w:sz w:val="18"/>
                <w:szCs w:val="18"/>
              </w:rPr>
              <w:t>2.本产品设置不同的理财产品份额，每类理财产品份额以下内容可能单独设置：</w:t>
            </w:r>
          </w:p>
          <w:p w14:paraId="42B23933">
            <w:pPr>
              <w:spacing w:line="360" w:lineRule="auto"/>
              <w:rPr>
                <w:rFonts w:hint="eastAsia" w:ascii="宋体" w:hAnsi="宋体" w:cs="宋体"/>
                <w:bCs/>
                <w:sz w:val="18"/>
                <w:szCs w:val="18"/>
              </w:rPr>
            </w:pPr>
            <w:r>
              <w:rPr>
                <w:rFonts w:hint="eastAsia" w:ascii="宋体" w:hAnsi="宋体" w:cs="宋体"/>
                <w:bCs/>
                <w:sz w:val="18"/>
                <w:szCs w:val="18"/>
              </w:rPr>
              <w:t>（1）销售名称</w:t>
            </w:r>
          </w:p>
          <w:p w14:paraId="500B5E02">
            <w:pPr>
              <w:spacing w:line="360" w:lineRule="auto"/>
              <w:rPr>
                <w:rFonts w:hint="eastAsia" w:ascii="宋体" w:hAnsi="宋体" w:cs="宋体"/>
                <w:bCs/>
                <w:sz w:val="18"/>
                <w:szCs w:val="18"/>
              </w:rPr>
            </w:pPr>
            <w:r>
              <w:rPr>
                <w:rFonts w:hint="eastAsia" w:ascii="宋体" w:hAnsi="宋体" w:cs="宋体"/>
                <w:bCs/>
                <w:sz w:val="18"/>
                <w:szCs w:val="18"/>
              </w:rPr>
              <w:t>（2）收费方式</w:t>
            </w:r>
          </w:p>
          <w:p w14:paraId="49067C6A">
            <w:pPr>
              <w:spacing w:line="360" w:lineRule="auto"/>
              <w:rPr>
                <w:rFonts w:hint="eastAsia" w:ascii="宋体" w:hAnsi="宋体" w:cs="宋体"/>
                <w:bCs/>
                <w:sz w:val="18"/>
                <w:szCs w:val="18"/>
              </w:rPr>
            </w:pPr>
            <w:r>
              <w:rPr>
                <w:rFonts w:hint="eastAsia" w:ascii="宋体" w:hAnsi="宋体" w:cs="宋体"/>
                <w:bCs/>
                <w:sz w:val="18"/>
                <w:szCs w:val="18"/>
              </w:rPr>
              <w:t>（3）销售服务费</w:t>
            </w:r>
          </w:p>
          <w:p w14:paraId="52CB330A">
            <w:pPr>
              <w:spacing w:line="360" w:lineRule="auto"/>
              <w:rPr>
                <w:rFonts w:hint="eastAsia" w:ascii="宋体" w:hAnsi="宋体" w:cs="宋体"/>
                <w:bCs/>
                <w:sz w:val="18"/>
                <w:szCs w:val="18"/>
              </w:rPr>
            </w:pPr>
            <w:r>
              <w:rPr>
                <w:rFonts w:hint="eastAsia" w:ascii="宋体" w:hAnsi="宋体" w:cs="宋体"/>
                <w:bCs/>
                <w:sz w:val="18"/>
                <w:szCs w:val="18"/>
              </w:rPr>
              <w:t>（4）销售代码</w:t>
            </w:r>
          </w:p>
          <w:p w14:paraId="56F9CA9B">
            <w:pPr>
              <w:spacing w:line="360" w:lineRule="auto"/>
              <w:rPr>
                <w:rFonts w:hint="eastAsia" w:ascii="宋体" w:hAnsi="宋体" w:cs="宋体"/>
                <w:bCs/>
                <w:sz w:val="18"/>
                <w:szCs w:val="18"/>
              </w:rPr>
            </w:pPr>
            <w:r>
              <w:rPr>
                <w:rFonts w:hint="eastAsia" w:ascii="宋体" w:hAnsi="宋体" w:cs="宋体"/>
                <w:bCs/>
                <w:sz w:val="18"/>
                <w:szCs w:val="18"/>
              </w:rPr>
              <w:t>（5）销售对象</w:t>
            </w:r>
          </w:p>
          <w:p w14:paraId="58D5F9B5">
            <w:pPr>
              <w:spacing w:line="360" w:lineRule="auto"/>
              <w:rPr>
                <w:rFonts w:hint="eastAsia" w:ascii="宋体" w:hAnsi="宋体" w:cs="宋体"/>
                <w:bCs/>
                <w:sz w:val="18"/>
                <w:szCs w:val="18"/>
              </w:rPr>
            </w:pPr>
            <w:r>
              <w:rPr>
                <w:rFonts w:hint="eastAsia" w:ascii="宋体" w:hAnsi="宋体" w:cs="宋体"/>
                <w:bCs/>
                <w:sz w:val="18"/>
                <w:szCs w:val="18"/>
              </w:rPr>
              <w:t>（6）销售起点金额（认购、申购的起点金额）</w:t>
            </w:r>
          </w:p>
          <w:p w14:paraId="5D64AF86">
            <w:pPr>
              <w:spacing w:line="360" w:lineRule="auto"/>
              <w:rPr>
                <w:rFonts w:hint="eastAsia" w:ascii="宋体" w:hAnsi="宋体" w:cs="宋体"/>
                <w:bCs/>
                <w:sz w:val="18"/>
                <w:szCs w:val="18"/>
              </w:rPr>
            </w:pPr>
            <w:r>
              <w:rPr>
                <w:rFonts w:hint="eastAsia" w:ascii="宋体" w:hAnsi="宋体" w:cs="宋体"/>
                <w:bCs/>
                <w:sz w:val="18"/>
                <w:szCs w:val="18"/>
              </w:rPr>
              <w:t>（7）投资者认购、申购和赎回的数量限制</w:t>
            </w:r>
          </w:p>
          <w:p w14:paraId="38173311">
            <w:pPr>
              <w:spacing w:line="360" w:lineRule="auto"/>
              <w:rPr>
                <w:rFonts w:hint="eastAsia" w:ascii="宋体" w:hAnsi="宋体" w:cs="宋体"/>
                <w:bCs/>
                <w:sz w:val="18"/>
                <w:szCs w:val="18"/>
              </w:rPr>
            </w:pPr>
            <w:r>
              <w:rPr>
                <w:rFonts w:hint="eastAsia" w:ascii="宋体" w:hAnsi="宋体" w:cs="宋体"/>
                <w:bCs/>
                <w:sz w:val="18"/>
                <w:szCs w:val="18"/>
              </w:rPr>
              <w:t>（8）投资者持有本产品的最高限额、最低限额</w:t>
            </w:r>
          </w:p>
          <w:p w14:paraId="1C0B334D">
            <w:pPr>
              <w:spacing w:line="360" w:lineRule="auto"/>
              <w:rPr>
                <w:rFonts w:hint="eastAsia" w:ascii="宋体" w:hAnsi="宋体" w:cs="宋体"/>
                <w:bCs/>
                <w:sz w:val="18"/>
                <w:szCs w:val="18"/>
              </w:rPr>
            </w:pPr>
            <w:r>
              <w:rPr>
                <w:rFonts w:hint="eastAsia" w:ascii="宋体" w:hAnsi="宋体" w:cs="宋体"/>
                <w:bCs/>
                <w:sz w:val="18"/>
                <w:szCs w:val="18"/>
              </w:rPr>
              <w:t>（9）分别计算和公告产品份额净值</w:t>
            </w:r>
          </w:p>
          <w:p w14:paraId="19AC67A3">
            <w:pPr>
              <w:spacing w:line="360" w:lineRule="auto"/>
              <w:rPr>
                <w:rFonts w:hint="eastAsia" w:ascii="宋体" w:hAnsi="宋体" w:cs="宋体"/>
                <w:bCs/>
                <w:sz w:val="18"/>
                <w:szCs w:val="18"/>
              </w:rPr>
            </w:pPr>
            <w:r>
              <w:rPr>
                <w:rFonts w:hint="eastAsia" w:ascii="宋体" w:hAnsi="宋体" w:cs="宋体"/>
                <w:bCs/>
                <w:sz w:val="18"/>
                <w:szCs w:val="18"/>
              </w:rPr>
              <w:t>3.投资者可根据实际情况自行选择认购的产品份额类别。</w:t>
            </w:r>
          </w:p>
          <w:p w14:paraId="47C7C616">
            <w:pPr>
              <w:spacing w:line="360" w:lineRule="auto"/>
              <w:rPr>
                <w:rFonts w:ascii="宋体" w:hAnsi="宋体" w:cs="宋体"/>
                <w:b/>
                <w:bCs/>
                <w:sz w:val="18"/>
                <w:szCs w:val="18"/>
              </w:rPr>
            </w:pPr>
            <w:r>
              <w:rPr>
                <w:rFonts w:hint="eastAsia" w:ascii="宋体" w:hAnsi="宋体" w:cs="宋体"/>
                <w:bCs/>
                <w:sz w:val="18"/>
                <w:szCs w:val="18"/>
              </w:rPr>
              <w:t>注：本产品说明书所列示产品份额类别仅为本产品项下某一类产品份额。其他类别的产品份额情况以产品管理人披露为准。</w:t>
            </w:r>
          </w:p>
        </w:tc>
      </w:tr>
      <w:tr w14:paraId="5BB032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2C8906A">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150BFA50">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09E1DE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2E4DEF1">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4065DCF8">
            <w:pPr>
              <w:spacing w:line="360" w:lineRule="auto"/>
              <w:rPr>
                <w:rFonts w:ascii="宋体" w:hAnsi="宋体" w:cs="宋体"/>
                <w:bCs/>
                <w:sz w:val="18"/>
                <w:szCs w:val="18"/>
              </w:rPr>
            </w:pPr>
            <w:r>
              <w:rPr>
                <w:rFonts w:hint="eastAsia" w:ascii="宋体" w:hAnsi="宋体" w:eastAsia="宋体" w:cs="宋体"/>
                <w:sz w:val="18"/>
                <w:szCs w:val="18"/>
              </w:rPr>
              <w:t>公募</w:t>
            </w:r>
          </w:p>
        </w:tc>
      </w:tr>
      <w:tr w14:paraId="076397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1DD3C82">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11DC42C7">
            <w:pPr>
              <w:spacing w:line="360" w:lineRule="auto"/>
              <w:rPr>
                <w:rFonts w:ascii="宋体" w:hAnsi="宋体" w:cs="宋体"/>
                <w:bCs/>
                <w:sz w:val="18"/>
                <w:szCs w:val="18"/>
              </w:rPr>
            </w:pPr>
            <w:r>
              <w:rPr>
                <w:rFonts w:hint="eastAsia" w:ascii="宋体" w:hAnsi="宋体" w:cs="宋体"/>
                <w:bCs/>
                <w:sz w:val="18"/>
                <w:szCs w:val="18"/>
              </w:rPr>
              <w:t>封闭式</w:t>
            </w:r>
          </w:p>
        </w:tc>
      </w:tr>
      <w:tr w14:paraId="37B31E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E0CF0ED">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56BF5984">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1692624C">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62DB47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32D076F">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4D2EE47B">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5047268F">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030272A0">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047E4D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24AD4B4">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287E3D5D">
            <w:pPr>
              <w:spacing w:line="360" w:lineRule="auto"/>
              <w:rPr>
                <w:rFonts w:ascii="宋体" w:hAnsi="宋体" w:cs="宋体"/>
                <w:bCs/>
                <w:sz w:val="18"/>
                <w:szCs w:val="18"/>
              </w:rPr>
            </w:pPr>
            <w:r>
              <w:rPr>
                <w:rFonts w:hint="eastAsia" w:ascii="宋体" w:hAnsi="宋体" w:eastAsia="宋体" w:cs="宋体"/>
                <w:sz w:val="18"/>
                <w:szCs w:val="18"/>
              </w:rPr>
              <w:t>人民币</w:t>
            </w:r>
          </w:p>
        </w:tc>
      </w:tr>
      <w:tr w14:paraId="125730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925BB1C">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vAlign w:val="top"/>
          </w:tcPr>
          <w:p w14:paraId="3E987CD8">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0029C71F">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596BC06D">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189CC2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BAB3C58">
            <w:pPr>
              <w:keepNext w:val="0"/>
              <w:keepLines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6F863DF0">
            <w:pPr>
              <w:keepNext w:val="0"/>
              <w:keepLines w:val="0"/>
              <w:suppressLineNumbers w:val="0"/>
              <w:spacing w:before="0" w:beforeAutospacing="0" w:after="0" w:afterAutospacing="0" w:line="360" w:lineRule="auto"/>
              <w:ind w:left="0" w:right="0"/>
              <w:rPr>
                <w:rFonts w:hint="default" w:ascii="宋体" w:hAnsi="宋体" w:eastAsia="宋体" w:cs="宋体"/>
                <w:bCs/>
                <w:color w:val="000000"/>
                <w:sz w:val="18"/>
                <w:szCs w:val="18"/>
              </w:rPr>
            </w:pPr>
            <w:r>
              <w:rPr>
                <w:rFonts w:hint="default" w:ascii="宋体" w:hAnsi="宋体" w:eastAsia="宋体" w:cs="宋体"/>
                <w:bCs/>
                <w:color w:val="000000"/>
                <w:sz w:val="18"/>
                <w:szCs w:val="18"/>
              </w:rPr>
              <w:t>本产品适合以下类型投资者：</w:t>
            </w:r>
          </w:p>
          <w:p w14:paraId="04646BAD">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18"/>
                <w:szCs w:val="18"/>
              </w:rPr>
            </w:pPr>
            <w:r>
              <w:rPr>
                <w:rFonts w:hint="eastAsia" w:ascii="宋体" w:hAnsi="宋体" w:eastAsia="宋体" w:cs="宋体"/>
                <w:bCs/>
                <w:color w:val="000000"/>
                <w:sz w:val="18"/>
                <w:szCs w:val="18"/>
              </w:rPr>
              <w:t>■个人投资者</w:t>
            </w:r>
          </w:p>
          <w:p w14:paraId="08CFCC31">
            <w:pPr>
              <w:keepNext w:val="0"/>
              <w:keepLines w:val="0"/>
              <w:suppressLineNumbers w:val="0"/>
              <w:spacing w:before="0" w:beforeAutospacing="0" w:after="0" w:afterAutospacing="0" w:line="360" w:lineRule="auto"/>
              <w:ind w:left="0" w:leftChars="0" w:right="0" w:rightChars="0"/>
              <w:rPr>
                <w:rFonts w:ascii="宋体" w:hAnsi="宋体" w:eastAsia="宋体" w:cs="宋体"/>
                <w:bCs/>
                <w:sz w:val="18"/>
                <w:szCs w:val="18"/>
              </w:rPr>
            </w:pPr>
            <w:r>
              <w:rPr>
                <w:rFonts w:hint="eastAsia" w:ascii="宋体" w:hAnsi="宋体" w:eastAsia="宋体" w:cs="宋体"/>
                <w:bCs/>
                <w:color w:val="000000"/>
                <w:sz w:val="18"/>
                <w:szCs w:val="18"/>
              </w:rPr>
              <w:t>■机构投资者</w:t>
            </w:r>
          </w:p>
        </w:tc>
      </w:tr>
      <w:tr w14:paraId="2F14E3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A2E252A">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1E548BF7">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2943A356">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2D8F7B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A5D107F">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3E54A31F">
            <w:pPr>
              <w:spacing w:line="360" w:lineRule="auto"/>
              <w:jc w:val="left"/>
              <w:rPr>
                <w:rFonts w:ascii="宋体" w:hAnsi="宋体" w:cs="宋体"/>
                <w:sz w:val="18"/>
                <w:szCs w:val="18"/>
              </w:rPr>
            </w:pPr>
            <w:r>
              <w:rPr>
                <w:rFonts w:hint="eastAsia" w:ascii="宋体" w:hAnsi="宋体" w:cs="宋体"/>
                <w:sz w:val="18"/>
                <w:szCs w:val="18"/>
              </w:rPr>
              <w:t>□ 直销适用</w:t>
            </w:r>
          </w:p>
          <w:p w14:paraId="4ED0B0C8">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76EA6421">
            <w:pPr>
              <w:keepNext w:val="0"/>
              <w:keepLines w:val="0"/>
              <w:suppressLineNumbers w:val="0"/>
              <w:spacing w:before="0" w:beforeAutospacing="0" w:after="0" w:afterAutospacing="0" w:line="360" w:lineRule="auto"/>
              <w:ind w:left="0" w:right="0"/>
              <w:jc w:val="left"/>
              <w:rPr>
                <w:rFonts w:hint="default" w:ascii="宋体" w:hAnsi="宋体" w:cs="宋体"/>
                <w:sz w:val="18"/>
                <w:szCs w:val="18"/>
              </w:rPr>
            </w:pPr>
            <w:r>
              <w:rPr>
                <w:rFonts w:hint="eastAsia" w:ascii="宋体" w:hAnsi="宋体" w:cs="宋体"/>
                <w:bCs/>
                <w:sz w:val="18"/>
                <w:szCs w:val="18"/>
                <w:lang w:bidi="ar"/>
              </w:rPr>
              <w:t>■</w:t>
            </w:r>
            <w:r>
              <w:rPr>
                <w:rFonts w:hint="eastAsia" w:ascii="宋体" w:hAnsi="宋体" w:cs="宋体"/>
                <w:sz w:val="18"/>
                <w:szCs w:val="18"/>
              </w:rPr>
              <w:t>代销适用</w:t>
            </w:r>
          </w:p>
          <w:p w14:paraId="60481B05">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16025352">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0EE808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CF4B1A7">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49242D37">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1AC603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973112B">
            <w:pPr>
              <w:keepNext w:val="0"/>
              <w:keepLines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69930898">
            <w:pPr>
              <w:keepNext w:val="0"/>
              <w:keepLines w:val="0"/>
              <w:suppressLineNumbers w:val="0"/>
              <w:spacing w:before="0" w:beforeAutospacing="0" w:after="0" w:afterAutospacing="0" w:line="360" w:lineRule="auto"/>
              <w:ind w:left="0" w:leftChars="0" w:right="0" w:rightChars="0"/>
              <w:rPr>
                <w:rFonts w:ascii="宋体" w:hAnsi="宋体" w:eastAsia="宋体" w:cs="宋体"/>
                <w:bCs/>
                <w:sz w:val="18"/>
                <w:szCs w:val="18"/>
              </w:rPr>
            </w:pPr>
            <w:r>
              <w:rPr>
                <w:rFonts w:hint="eastAsia" w:ascii="宋体" w:hAnsi="宋体" w:eastAsia="宋体" w:cs="宋体"/>
                <w:bCs/>
                <w:sz w:val="18"/>
                <w:szCs w:val="18"/>
              </w:rPr>
              <w:t>招商银行股份有限公司</w:t>
            </w:r>
          </w:p>
        </w:tc>
      </w:tr>
      <w:tr w14:paraId="2A6E89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A84C75C">
            <w:pPr>
              <w:keepNext w:val="0"/>
              <w:keepLines w:val="0"/>
              <w:suppressLineNumbers w:val="0"/>
              <w:spacing w:before="0" w:beforeAutospacing="0" w:after="0" w:afterAutospacing="0" w:line="360" w:lineRule="auto"/>
              <w:ind w:left="0" w:leftChars="0" w:right="0" w:rightChars="0"/>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5B9B4B30">
            <w:pPr>
              <w:keepNext w:val="0"/>
              <w:keepLines w:val="0"/>
              <w:suppressLineNumbers w:val="0"/>
              <w:spacing w:before="0" w:beforeAutospacing="0" w:after="0" w:afterAutospacing="0" w:line="360" w:lineRule="auto"/>
              <w:ind w:left="0" w:right="0"/>
              <w:rPr>
                <w:rFonts w:hint="eastAsia" w:ascii="宋体" w:hAnsi="宋体" w:eastAsia="宋体" w:cs="宋体"/>
                <w:bCs/>
                <w:sz w:val="18"/>
                <w:szCs w:val="18"/>
              </w:rPr>
            </w:pPr>
            <w:r>
              <w:rPr>
                <w:rFonts w:hint="eastAsia" w:ascii="宋体" w:hAnsi="宋体" w:eastAsia="宋体" w:cs="宋体"/>
                <w:bCs/>
                <w:sz w:val="18"/>
                <w:szCs w:val="18"/>
                <w:lang w:eastAsia="zh-CN"/>
              </w:rPr>
              <w:t>1.本产品计划初始募集规模为【</w:t>
            </w:r>
            <w:r>
              <w:rPr>
                <w:rFonts w:hint="eastAsia" w:ascii="宋体" w:hAnsi="宋体" w:eastAsia="宋体" w:cs="宋体"/>
                <w:bCs/>
                <w:sz w:val="18"/>
                <w:szCs w:val="18"/>
              </w:rPr>
              <w:t>3</w:t>
            </w:r>
            <w:r>
              <w:rPr>
                <w:rFonts w:hint="eastAsia" w:ascii="宋体" w:hAnsi="宋体" w:eastAsia="宋体" w:cs="宋体"/>
                <w:bCs/>
                <w:sz w:val="18"/>
                <w:szCs w:val="18"/>
                <w:lang w:eastAsia="zh-CN"/>
              </w:rPr>
              <w:t>】亿元，最小成立规模为【</w:t>
            </w:r>
            <w:r>
              <w:rPr>
                <w:rFonts w:hint="eastAsia" w:ascii="宋体" w:hAnsi="宋体" w:eastAsia="宋体" w:cs="宋体"/>
                <w:bCs/>
                <w:sz w:val="18"/>
                <w:szCs w:val="18"/>
              </w:rPr>
              <w:t>/</w:t>
            </w:r>
            <w:r>
              <w:rPr>
                <w:rFonts w:hint="eastAsia" w:ascii="宋体" w:hAnsi="宋体" w:eastAsia="宋体" w:cs="宋体"/>
                <w:bCs/>
                <w:sz w:val="18"/>
                <w:szCs w:val="18"/>
                <w:lang w:eastAsia="zh-CN"/>
              </w:rPr>
              <w:t>】亿元。</w:t>
            </w:r>
          </w:p>
          <w:p w14:paraId="04C2CBC2">
            <w:pPr>
              <w:keepNext w:val="0"/>
              <w:keepLines w:val="0"/>
              <w:suppressLineNumbers w:val="0"/>
              <w:spacing w:before="0" w:beforeAutospacing="0" w:after="0" w:afterAutospacing="0" w:line="360" w:lineRule="auto"/>
              <w:ind w:left="0" w:leftChars="0" w:right="0" w:rightChars="0"/>
              <w:rPr>
                <w:rFonts w:ascii="宋体" w:hAnsi="宋体" w:eastAsia="宋体" w:cs="宋体"/>
                <w:bCs/>
                <w:sz w:val="18"/>
                <w:szCs w:val="18"/>
              </w:rPr>
            </w:pPr>
            <w:r>
              <w:rPr>
                <w:rFonts w:hint="eastAsia" w:ascii="宋体" w:hAnsi="宋体" w:eastAsia="宋体" w:cs="宋体"/>
                <w:bCs/>
                <w:sz w:val="18"/>
                <w:szCs w:val="18"/>
              </w:rPr>
              <w:t>2.产品管理人</w:t>
            </w:r>
            <w:r>
              <w:rPr>
                <w:rFonts w:hint="default"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hint="default" w:ascii="宋体" w:hAnsi="宋体" w:eastAsia="宋体" w:cs="宋体"/>
                <w:bCs/>
                <w:sz w:val="18"/>
                <w:szCs w:val="18"/>
              </w:rPr>
              <w:t>实际募集/管理的</w:t>
            </w:r>
            <w:r>
              <w:rPr>
                <w:rFonts w:hint="eastAsia" w:ascii="宋体" w:hAnsi="宋体" w:eastAsia="宋体" w:cs="宋体"/>
                <w:bCs/>
                <w:sz w:val="18"/>
                <w:szCs w:val="18"/>
              </w:rPr>
              <w:t>金</w:t>
            </w:r>
            <w:r>
              <w:rPr>
                <w:rFonts w:hint="default" w:ascii="宋体" w:hAnsi="宋体" w:eastAsia="宋体" w:cs="宋体"/>
                <w:bCs/>
                <w:sz w:val="18"/>
                <w:szCs w:val="18"/>
              </w:rPr>
              <w:t>额为准。</w:t>
            </w:r>
          </w:p>
        </w:tc>
      </w:tr>
      <w:tr w14:paraId="30518A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8A0062A">
            <w:pPr>
              <w:keepNext w:val="0"/>
              <w:keepLines w:val="0"/>
              <w:suppressLineNumbers w:val="0"/>
              <w:spacing w:before="0" w:beforeAutospacing="0" w:after="0" w:afterAutospacing="0" w:line="360" w:lineRule="auto"/>
              <w:ind w:left="0" w:leftChars="0" w:right="0" w:rightChars="0"/>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5D8340C4">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■有固定期限:【1093天】</w:t>
            </w:r>
          </w:p>
          <w:p w14:paraId="79F0ABD0">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□无固定期限</w:t>
            </w:r>
          </w:p>
          <w:p w14:paraId="0F42A43C">
            <w:pPr>
              <w:keepNext w:val="0"/>
              <w:keepLines w:val="0"/>
              <w:suppressLineNumbers w:val="0"/>
              <w:spacing w:before="0" w:beforeAutospacing="0" w:after="0" w:afterAutospacing="0" w:line="360" w:lineRule="auto"/>
              <w:ind w:left="0" w:leftChars="0" w:right="0" w:rightChars="0"/>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5D31E6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18C5DD0">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5AC61ECF">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eastAsia="宋体" w:cs="宋体"/>
                <w:kern w:val="2"/>
                <w:sz w:val="18"/>
                <w:szCs w:val="18"/>
                <w:lang w:val="en-US" w:eastAsia="zh-CN" w:bidi="ar"/>
              </w:rPr>
              <w:t>【2026年05月12日】【09:00】至【2026年05月26日】【17:00】</w:t>
            </w:r>
            <w:r>
              <w:rPr>
                <w:rFonts w:ascii="宋体" w:hAnsi="宋体" w:eastAsia="宋体" w:cs="宋体"/>
                <w:sz w:val="18"/>
                <w:szCs w:val="18"/>
              </w:rPr>
              <w:t>。</w:t>
            </w:r>
          </w:p>
          <w:p w14:paraId="6FE91148">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1EEF0F8A">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487E9DB4">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7E35C50B">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2C796F02">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17EB69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46FC2BE">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677B2C94">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5D6250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217A17F">
            <w:pPr>
              <w:keepNext w:val="0"/>
              <w:keepLines w:val="0"/>
              <w:suppressLineNumbers w:val="0"/>
              <w:spacing w:before="0" w:beforeAutospacing="0" w:after="0" w:afterAutospacing="0" w:line="360" w:lineRule="auto"/>
              <w:ind w:left="0" w:leftChars="0" w:right="0" w:rightChars="0"/>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72AC5E32">
            <w:pPr>
              <w:keepNext w:val="0"/>
              <w:keepLines w:val="0"/>
              <w:suppressLineNumbers w:val="0"/>
              <w:spacing w:before="0" w:beforeAutospacing="0" w:after="0" w:afterAutospacing="0" w:line="360" w:lineRule="auto"/>
              <w:ind w:left="0" w:right="0"/>
              <w:rPr>
                <w:rFonts w:hint="default" w:ascii="宋体" w:hAnsi="宋体" w:cs="宋体"/>
                <w:bCs/>
                <w:sz w:val="18"/>
                <w:szCs w:val="18"/>
              </w:rPr>
            </w:pPr>
            <w:r>
              <w:rPr>
                <w:rFonts w:hint="default" w:ascii="宋体" w:hAnsi="宋体" w:cs="宋体"/>
                <w:bCs/>
                <w:sz w:val="18"/>
                <w:szCs w:val="18"/>
              </w:rPr>
              <w:t>1</w:t>
            </w:r>
            <w:r>
              <w:rPr>
                <w:rFonts w:hint="eastAsia" w:ascii="宋体" w:hAnsi="宋体" w:cs="宋体"/>
                <w:bCs/>
                <w:sz w:val="18"/>
                <w:szCs w:val="18"/>
              </w:rPr>
              <w:t>.本产品的计划成立日为</w:t>
            </w:r>
            <w:r>
              <w:rPr>
                <w:rFonts w:hint="default" w:ascii="宋体" w:hAnsi="宋体" w:cs="宋体"/>
                <w:bCs/>
                <w:sz w:val="18"/>
                <w:szCs w:val="18"/>
              </w:rPr>
              <w:t>：</w:t>
            </w:r>
            <w:r>
              <w:rPr>
                <w:rFonts w:hint="eastAsia" w:ascii="宋体" w:hAnsi="宋体" w:cs="Times New Roman"/>
                <w:sz w:val="18"/>
                <w:szCs w:val="18"/>
              </w:rPr>
              <w:t>【2026年05月27日</w:t>
            </w:r>
            <w:r>
              <w:rPr>
                <w:rFonts w:hint="default" w:ascii="宋体" w:hAnsi="宋体" w:cs="Times New Roman"/>
                <w:sz w:val="18"/>
                <w:szCs w:val="18"/>
              </w:rPr>
              <w:t>】</w:t>
            </w:r>
            <w:r>
              <w:rPr>
                <w:rFonts w:hint="eastAsia" w:ascii="宋体" w:hAnsi="宋体" w:cs="Times New Roman"/>
                <w:sz w:val="18"/>
                <w:szCs w:val="18"/>
              </w:rPr>
              <w:t>（遇节假日顺延）</w:t>
            </w:r>
            <w:r>
              <w:rPr>
                <w:rFonts w:hint="eastAsia" w:ascii="宋体" w:hAnsi="宋体" w:cs="宋体"/>
                <w:bCs/>
                <w:sz w:val="18"/>
                <w:szCs w:val="18"/>
              </w:rPr>
              <w:t>。</w:t>
            </w:r>
          </w:p>
          <w:p w14:paraId="61C78B6E">
            <w:pPr>
              <w:keepNext w:val="0"/>
              <w:keepLines w:val="0"/>
              <w:suppressLineNumbers w:val="0"/>
              <w:spacing w:before="0" w:beforeAutospacing="0" w:after="0" w:afterAutospacing="0" w:line="360" w:lineRule="auto"/>
              <w:ind w:left="0" w:leftChars="0" w:right="0" w:rightChars="0"/>
              <w:rPr>
                <w:rFonts w:ascii="宋体" w:hAnsi="宋体" w:eastAsia="宋体" w:cs="宋体"/>
                <w:bCs/>
                <w:sz w:val="18"/>
                <w:szCs w:val="18"/>
              </w:rPr>
            </w:pPr>
            <w:r>
              <w:rPr>
                <w:rFonts w:hint="default" w:ascii="宋体" w:hAnsi="宋体" w:cs="宋体"/>
                <w:bCs/>
                <w:sz w:val="18"/>
                <w:szCs w:val="18"/>
              </w:rPr>
              <w:t>2</w:t>
            </w:r>
            <w:r>
              <w:rPr>
                <w:rFonts w:hint="eastAsia" w:ascii="宋体" w:hAnsi="宋体" w:cs="宋体"/>
                <w:bCs/>
                <w:sz w:val="18"/>
                <w:szCs w:val="18"/>
              </w:rPr>
              <w:t>.</w:t>
            </w:r>
            <w:r>
              <w:rPr>
                <w:rFonts w:hint="default"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hint="default" w:ascii="宋体" w:hAnsi="宋体" w:cs="宋体"/>
                <w:bCs/>
                <w:sz w:val="18"/>
                <w:szCs w:val="18"/>
              </w:rPr>
              <w:t>将依约</w:t>
            </w:r>
            <w:r>
              <w:rPr>
                <w:rFonts w:hint="eastAsia" w:ascii="宋体" w:hAnsi="宋体" w:cs="宋体"/>
                <w:bCs/>
                <w:sz w:val="18"/>
                <w:szCs w:val="18"/>
              </w:rPr>
              <w:t>定进行公告。</w:t>
            </w:r>
          </w:p>
        </w:tc>
      </w:tr>
      <w:tr w14:paraId="5BB6BD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4F28455">
            <w:pPr>
              <w:keepNext w:val="0"/>
              <w:keepLines w:val="0"/>
              <w:suppressLineNumbers w:val="0"/>
              <w:spacing w:before="0" w:beforeAutospacing="0" w:after="0" w:afterAutospacing="0" w:line="360" w:lineRule="auto"/>
              <w:ind w:left="0" w:leftChars="0" w:right="0" w:rightChars="0"/>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134D58EB">
            <w:pPr>
              <w:keepNext w:val="0"/>
              <w:keepLines w:val="0"/>
              <w:suppressLineNumbers w:val="0"/>
              <w:spacing w:before="0" w:beforeAutospacing="0" w:after="0" w:afterAutospacing="0" w:line="360" w:lineRule="auto"/>
              <w:ind w:left="0" w:right="0"/>
              <w:rPr>
                <w:rFonts w:hint="default" w:ascii="宋体" w:hAnsi="宋体" w:cs="宋体"/>
                <w:bCs/>
                <w:sz w:val="18"/>
                <w:szCs w:val="18"/>
              </w:rPr>
            </w:pPr>
            <w:r>
              <w:rPr>
                <w:rFonts w:hint="default" w:ascii="宋体" w:hAnsi="宋体" w:cs="宋体"/>
                <w:bCs/>
                <w:sz w:val="18"/>
                <w:szCs w:val="18"/>
              </w:rPr>
              <w:t>1</w:t>
            </w:r>
            <w:r>
              <w:rPr>
                <w:rFonts w:hint="eastAsia" w:ascii="宋体" w:hAnsi="宋体" w:cs="宋体"/>
                <w:bCs/>
                <w:sz w:val="18"/>
                <w:szCs w:val="18"/>
              </w:rPr>
              <w:t>.本产品的计划终止日为</w:t>
            </w:r>
            <w:r>
              <w:rPr>
                <w:rFonts w:hint="default" w:ascii="宋体" w:hAnsi="宋体" w:cs="宋体"/>
                <w:bCs/>
                <w:sz w:val="18"/>
                <w:szCs w:val="18"/>
              </w:rPr>
              <w:t>：</w:t>
            </w:r>
            <w:r>
              <w:rPr>
                <w:rFonts w:hint="eastAsia" w:ascii="宋体" w:hAnsi="宋体" w:cs="Times New Roman"/>
                <w:sz w:val="18"/>
                <w:szCs w:val="18"/>
              </w:rPr>
              <w:t>【2029年05月24日</w:t>
            </w:r>
            <w:r>
              <w:rPr>
                <w:rFonts w:hint="default" w:ascii="宋体" w:hAnsi="宋体" w:cs="Times New Roman"/>
                <w:sz w:val="18"/>
                <w:szCs w:val="18"/>
              </w:rPr>
              <w:t>】</w:t>
            </w:r>
            <w:r>
              <w:rPr>
                <w:rFonts w:hint="eastAsia" w:ascii="宋体" w:hAnsi="宋体" w:cs="Times New Roman"/>
                <w:sz w:val="18"/>
                <w:szCs w:val="18"/>
              </w:rPr>
              <w:t>（遇节假日顺延）</w:t>
            </w:r>
            <w:r>
              <w:rPr>
                <w:rFonts w:hint="eastAsia" w:ascii="宋体" w:hAnsi="宋体" w:cs="宋体"/>
                <w:bCs/>
                <w:sz w:val="18"/>
                <w:szCs w:val="18"/>
              </w:rPr>
              <w:t>。</w:t>
            </w:r>
          </w:p>
          <w:p w14:paraId="5FDA5E99">
            <w:pPr>
              <w:keepNext w:val="0"/>
              <w:keepLines w:val="0"/>
              <w:suppressLineNumbers w:val="0"/>
              <w:spacing w:before="0" w:beforeAutospacing="0" w:after="0" w:afterAutospacing="0" w:line="360" w:lineRule="auto"/>
              <w:ind w:left="0" w:leftChars="0" w:right="0" w:rightChars="0"/>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6E2486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25B7BEA">
            <w:pPr>
              <w:keepNext w:val="0"/>
              <w:keepLines w:val="0"/>
              <w:suppressLineNumbers w:val="0"/>
              <w:spacing w:before="0" w:beforeAutospacing="0" w:after="0" w:afterAutospacing="0" w:line="360" w:lineRule="auto"/>
              <w:ind w:left="0" w:leftChars="0" w:right="0" w:rightChars="0"/>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hint="default" w:ascii="宋体" w:hAnsi="宋体" w:eastAsia="宋体" w:cs="宋体"/>
                <w:b/>
                <w:bCs/>
                <w:sz w:val="18"/>
                <w:szCs w:val="18"/>
              </w:rPr>
              <w:t>递增金额</w:t>
            </w:r>
          </w:p>
        </w:tc>
        <w:tc>
          <w:tcPr>
            <w:tcW w:w="7674" w:type="dxa"/>
            <w:shd w:val="solid" w:color="FFFFFF" w:fill="FFFFFF"/>
            <w:vAlign w:val="center"/>
          </w:tcPr>
          <w:p w14:paraId="20C47C9E">
            <w:pPr>
              <w:keepNext w:val="0"/>
              <w:keepLines w:val="0"/>
              <w:suppressLineNumbers w:val="0"/>
              <w:spacing w:before="0" w:beforeAutospacing="0" w:after="0" w:afterAutospacing="0" w:line="360" w:lineRule="auto"/>
              <w:ind w:left="0" w:right="0"/>
              <w:rPr>
                <w:rFonts w:hint="default" w:ascii="宋体" w:hAnsi="宋体" w:eastAsia="宋体" w:cs="宋体"/>
                <w:bCs/>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p>
          <w:p w14:paraId="02D95D67">
            <w:pPr>
              <w:keepNext w:val="0"/>
              <w:keepLines w:val="0"/>
              <w:suppressLineNumbers w:val="0"/>
              <w:spacing w:before="0" w:beforeAutospacing="0" w:after="0" w:afterAutospacing="0" w:line="360" w:lineRule="auto"/>
              <w:ind w:left="0" w:right="0"/>
              <w:rPr>
                <w:rFonts w:hint="default" w:ascii="黑体" w:hAnsi="黑体" w:eastAsia="黑体" w:cs="宋体"/>
                <w:color w:val="000000"/>
                <w:sz w:val="18"/>
                <w:szCs w:val="18"/>
              </w:rPr>
            </w:pPr>
            <w:r>
              <w:rPr>
                <w:rFonts w:hint="eastAsia" w:ascii="黑体" w:hAnsi="黑体" w:eastAsia="黑体" w:cs="宋体"/>
                <w:color w:val="000000"/>
                <w:sz w:val="18"/>
                <w:szCs w:val="18"/>
              </w:rPr>
              <w:t>注</w:t>
            </w:r>
            <w:r>
              <w:rPr>
                <w:rFonts w:hint="default"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hint="default"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1B564439">
            <w:pPr>
              <w:keepNext w:val="0"/>
              <w:keepLines w:val="0"/>
              <w:suppressLineNumbers w:val="0"/>
              <w:spacing w:before="0" w:beforeAutospacing="0" w:after="0" w:afterAutospacing="0" w:line="360" w:lineRule="auto"/>
              <w:ind w:left="0" w:right="0"/>
              <w:rPr>
                <w:rFonts w:hint="default"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hint="default"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hint="default" w:ascii="黑体" w:hAnsi="黑体" w:eastAsia="黑体" w:cs="宋体"/>
                <w:color w:val="000000"/>
                <w:sz w:val="18"/>
                <w:szCs w:val="18"/>
              </w:rPr>
              <w:t>为准</w:t>
            </w:r>
            <w:r>
              <w:rPr>
                <w:rFonts w:hint="eastAsia" w:ascii="黑体" w:hAnsi="黑体" w:eastAsia="黑体" w:cs="宋体"/>
                <w:color w:val="000000"/>
                <w:sz w:val="18"/>
                <w:szCs w:val="18"/>
              </w:rPr>
              <w:t>。</w:t>
            </w:r>
          </w:p>
          <w:p w14:paraId="19C65424">
            <w:pPr>
              <w:keepNext w:val="0"/>
              <w:keepLines w:val="0"/>
              <w:suppressLineNumbers w:val="0"/>
              <w:spacing w:before="0" w:beforeAutospacing="0" w:after="0" w:afterAutospacing="0" w:line="360" w:lineRule="auto"/>
              <w:ind w:left="0" w:leftChars="0" w:right="0" w:rightChars="0"/>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hint="default"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hint="default"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hint="default"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3837F0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8DF718E">
            <w:pPr>
              <w:keepNext w:val="0"/>
              <w:keepLines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1DCF2E48">
            <w:pPr>
              <w:keepNext w:val="0"/>
              <w:keepLines w:val="0"/>
              <w:suppressLineNumbers w:val="0"/>
              <w:spacing w:before="0" w:beforeAutospacing="0" w:after="0" w:afterAutospacing="0" w:line="360" w:lineRule="auto"/>
              <w:ind w:left="0" w:right="0"/>
              <w:rPr>
                <w:rFonts w:hint="default" w:ascii="宋体" w:hAnsi="宋体" w:eastAsia="宋体" w:cs="宋体"/>
                <w:sz w:val="18"/>
                <w:szCs w:val="22"/>
              </w:rPr>
            </w:pPr>
            <w:r>
              <w:rPr>
                <w:rFonts w:ascii="宋体" w:hAnsi="宋体" w:eastAsia="宋体" w:cs="宋体"/>
                <w:sz w:val="18"/>
                <w:szCs w:val="22"/>
              </w:rPr>
              <w:t>认购的数量限制</w:t>
            </w:r>
            <w:r>
              <w:rPr>
                <w:rFonts w:ascii="宋体" w:hAnsi="宋体" w:eastAsia="宋体" w:cs="宋体"/>
                <w:sz w:val="18"/>
                <w:szCs w:val="22"/>
              </w:rPr>
              <w:br w:type="textWrapping"/>
            </w:r>
            <w:r>
              <w:rPr>
                <w:rFonts w:ascii="宋体" w:hAnsi="宋体" w:eastAsia="宋体" w:cs="宋体"/>
                <w:sz w:val="18"/>
                <w:szCs w:val="22"/>
              </w:rPr>
              <w:t>（1）单一投资者认购上限为【/】元。（适用【A】类份额)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单一投资者认购上限为【/】元。（适用【B】类份额)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单一投资者认购上限为【/】元。（适用【C】类份额)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单一投资者认购上限为【/】元。（适用【D】类份额)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单一投资者认购上限为【/】元。（适用【E】类份额)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单一投资者认购上限为【/】元。（适用【F】类份额)</w:t>
            </w:r>
            <w:r>
              <w:rPr>
                <w:rFonts w:ascii="宋体" w:hAnsi="宋体" w:eastAsia="宋体" w:cs="宋体"/>
                <w:sz w:val="18"/>
                <w:szCs w:val="22"/>
              </w:rPr>
              <w:br w:type="textWrapping"/>
            </w:r>
            <w:r>
              <w:rPr>
                <w:rFonts w:ascii="宋体" w:hAnsi="宋体" w:eastAsia="宋体" w:cs="宋体"/>
                <w:sz w:val="18"/>
                <w:szCs w:val="22"/>
              </w:rPr>
              <w:t>（2）产品存续期间，单一投资者最高持有份额上限为【/】份，符合产品管理人流动性管理的稳定资金除外。（适用【A】类份额)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产品存续期间，单一投资者最高持有份额上限为【/】份，符合产品管理人流动性管理的稳定资金除外。（适用【B】类份额)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产品存续期间，单一投资者最高持有份额上限为【/】份，符合产品管理人流动性管理的稳定资金除外。（适用【C】类份额)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产品存续期间，单一投资者最高持有份额上限为【/】份，符合产品管理人流动性管理的稳定资金除外。（适用【D】类份额)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产品存续期间，单一投资者最高持有份额上限为【/】份，符合产品管理人流动性管理的稳定资金除外。（适用【E】类份额)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产品存续期间，单一投资者最高持有份额上限为【/】份，符合产品管理人流动性管理的稳定资金除外。（适用【F】类份额)</w:t>
            </w:r>
          </w:p>
          <w:p w14:paraId="2733A678">
            <w:pPr>
              <w:keepNext w:val="0"/>
              <w:keepLines w:val="0"/>
              <w:suppressLineNumbers w:val="0"/>
              <w:spacing w:before="0" w:beforeAutospacing="0" w:after="0" w:afterAutospacing="0" w:line="360" w:lineRule="auto"/>
              <w:ind w:left="0" w:right="0"/>
              <w:rPr>
                <w:rFonts w:hint="default" w:ascii="宋体" w:hAnsi="宋体" w:eastAsia="宋体" w:cs="宋体"/>
                <w:sz w:val="18"/>
                <w:szCs w:val="22"/>
                <w:lang w:val="en-US" w:eastAsia="zh-CN"/>
              </w:rPr>
            </w:pPr>
            <w:r>
              <w:rPr>
                <w:rFonts w:hint="eastAsia" w:ascii="宋体" w:hAnsi="宋体" w:cs="宋体"/>
                <w:sz w:val="18"/>
                <w:szCs w:val="22"/>
                <w:lang w:val="en-US" w:eastAsia="zh-CN"/>
              </w:rPr>
              <w:t>如需突破上限，请与产品管理人或销售机构客户经理联系。</w:t>
            </w:r>
          </w:p>
          <w:p w14:paraId="242AF9FE">
            <w:pPr>
              <w:keepNext w:val="0"/>
              <w:keepLines w:val="0"/>
              <w:suppressLineNumbers w:val="0"/>
              <w:spacing w:before="0" w:beforeAutospacing="0" w:after="0" w:afterAutospacing="0" w:line="360" w:lineRule="auto"/>
              <w:ind w:left="0" w:leftChars="0" w:right="0" w:rightChars="0"/>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21414B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7621B8A">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7D5D8F21">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64EF1E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67D1C08">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03728A35">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1AE0B95D">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7E5CA8AD">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7A07E597">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1AE765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672ADD29">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47D2172E">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（1）业绩比较基准的说明：【以一年期定期存款利率为无风险利率，基于当前对未来市场的判断，根据拟投资债权类资产的信用利差、久期敞口以及流动性溢价，预判组合的波动幅度，设定业绩比较基准】。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年化【3%-3.5%】。（适用【A】类份额)</w:t>
            </w:r>
            <w:r>
              <w:rPr>
                <w:rFonts w:ascii="宋体" w:hAnsi="宋体" w:eastAsia="宋体" w:cs="宋体"/>
                <w:sz w:val="18"/>
                <w:szCs w:val="22"/>
              </w:rPr>
              <w:br w:type="textWrapping"/>
            </w:r>
            <w:r>
              <w:rPr>
                <w:rFonts w:ascii="宋体" w:hAnsi="宋体" w:eastAsia="宋体" w:cs="宋体"/>
                <w:sz w:val="18"/>
                <w:szCs w:val="22"/>
              </w:rPr>
              <w:t>年化【2.95%-3.45%】。（适用【B】类份额)</w:t>
            </w:r>
            <w:r>
              <w:rPr>
                <w:rFonts w:ascii="宋体" w:hAnsi="宋体" w:eastAsia="宋体" w:cs="宋体"/>
                <w:sz w:val="18"/>
                <w:szCs w:val="22"/>
              </w:rPr>
              <w:br w:type="textWrapping"/>
            </w:r>
            <w:r>
              <w:rPr>
                <w:rFonts w:ascii="宋体" w:hAnsi="宋体" w:eastAsia="宋体" w:cs="宋体"/>
                <w:sz w:val="18"/>
                <w:szCs w:val="22"/>
              </w:rPr>
              <w:t>年化【2.9%-3.4%】。（适用【C】类份额)</w:t>
            </w:r>
            <w:r>
              <w:rPr>
                <w:rFonts w:ascii="宋体" w:hAnsi="宋体" w:eastAsia="宋体" w:cs="宋体"/>
                <w:sz w:val="18"/>
                <w:szCs w:val="22"/>
              </w:rPr>
              <w:br w:type="textWrapping"/>
            </w:r>
            <w:r>
              <w:rPr>
                <w:rFonts w:ascii="宋体" w:hAnsi="宋体" w:eastAsia="宋体" w:cs="宋体"/>
                <w:sz w:val="18"/>
                <w:szCs w:val="22"/>
              </w:rPr>
              <w:t>年化【2.85%-3.35%】。（适用【D】类份额)</w:t>
            </w:r>
            <w:r>
              <w:rPr>
                <w:rFonts w:ascii="宋体" w:hAnsi="宋体" w:eastAsia="宋体" w:cs="宋体"/>
                <w:sz w:val="18"/>
                <w:szCs w:val="22"/>
              </w:rPr>
              <w:br w:type="textWrapping"/>
            </w:r>
            <w:r>
              <w:rPr>
                <w:rFonts w:ascii="宋体" w:hAnsi="宋体" w:eastAsia="宋体" w:cs="宋体"/>
                <w:sz w:val="18"/>
                <w:szCs w:val="22"/>
              </w:rPr>
              <w:t>年化【2.75%-3.25%】。（适用【E】类份额)</w:t>
            </w:r>
            <w:r>
              <w:rPr>
                <w:rFonts w:ascii="宋体" w:hAnsi="宋体" w:eastAsia="宋体" w:cs="宋体"/>
                <w:sz w:val="18"/>
                <w:szCs w:val="22"/>
              </w:rPr>
              <w:br w:type="textWrapping"/>
            </w:r>
            <w:r>
              <w:rPr>
                <w:rFonts w:ascii="宋体" w:hAnsi="宋体" w:eastAsia="宋体" w:cs="宋体"/>
                <w:sz w:val="18"/>
                <w:szCs w:val="22"/>
              </w:rPr>
              <w:t>年化【2.65%-3.15%】。（适用【F】类份额)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34709FF9">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33C16C39">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1788DD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25D26CDF">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25AA5C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年化【3.25%】。（适用【A】类份额)</w:t>
            </w:r>
            <w:r>
              <w:rPr>
                <w:rFonts w:ascii="宋体" w:hAnsi="宋体" w:eastAsia="宋体" w:cs="宋体"/>
                <w:sz w:val="18"/>
                <w:szCs w:val="22"/>
              </w:rPr>
              <w:br w:type="textWrapping"/>
            </w:r>
            <w:r>
              <w:rPr>
                <w:rFonts w:ascii="宋体" w:hAnsi="宋体" w:eastAsia="宋体" w:cs="宋体"/>
                <w:sz w:val="18"/>
                <w:szCs w:val="22"/>
              </w:rPr>
              <w:t>年化【3.2%】。（适用【B】类份额)</w:t>
            </w:r>
            <w:r>
              <w:rPr>
                <w:rFonts w:ascii="宋体" w:hAnsi="宋体" w:eastAsia="宋体" w:cs="宋体"/>
                <w:sz w:val="18"/>
                <w:szCs w:val="22"/>
              </w:rPr>
              <w:br w:type="textWrapping"/>
            </w:r>
            <w:r>
              <w:rPr>
                <w:rFonts w:ascii="宋体" w:hAnsi="宋体" w:eastAsia="宋体" w:cs="宋体"/>
                <w:sz w:val="18"/>
                <w:szCs w:val="22"/>
              </w:rPr>
              <w:t>年化【3.15%】。（适用【C】类份额)</w:t>
            </w:r>
            <w:r>
              <w:rPr>
                <w:rFonts w:ascii="宋体" w:hAnsi="宋体" w:eastAsia="宋体" w:cs="宋体"/>
                <w:sz w:val="18"/>
                <w:szCs w:val="22"/>
              </w:rPr>
              <w:br w:type="textWrapping"/>
            </w:r>
            <w:r>
              <w:rPr>
                <w:rFonts w:ascii="宋体" w:hAnsi="宋体" w:eastAsia="宋体" w:cs="宋体"/>
                <w:sz w:val="18"/>
                <w:szCs w:val="22"/>
              </w:rPr>
              <w:t>年化【3.1%】。（适用【D】类份额)</w:t>
            </w:r>
            <w:r>
              <w:rPr>
                <w:rFonts w:ascii="宋体" w:hAnsi="宋体" w:eastAsia="宋体" w:cs="宋体"/>
                <w:sz w:val="18"/>
                <w:szCs w:val="22"/>
              </w:rPr>
              <w:br w:type="textWrapping"/>
            </w:r>
            <w:r>
              <w:rPr>
                <w:rFonts w:ascii="宋体" w:hAnsi="宋体" w:eastAsia="宋体" w:cs="宋体"/>
                <w:sz w:val="18"/>
                <w:szCs w:val="22"/>
              </w:rPr>
              <w:t>年化【3%】。（适用【E】类份额)</w:t>
            </w:r>
            <w:r>
              <w:rPr>
                <w:rFonts w:ascii="宋体" w:hAnsi="宋体" w:eastAsia="宋体" w:cs="宋体"/>
                <w:sz w:val="18"/>
                <w:szCs w:val="22"/>
              </w:rPr>
              <w:br w:type="textWrapping"/>
            </w:r>
            <w:r>
              <w:rPr>
                <w:rFonts w:ascii="宋体" w:hAnsi="宋体" w:eastAsia="宋体" w:cs="宋体"/>
                <w:sz w:val="18"/>
                <w:szCs w:val="22"/>
              </w:rPr>
              <w:t>年化【2.9%】。（适用【F】类份额)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69DD0D43">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635D2AAC">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60E9A1E3">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166F36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13324A22">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0BBCE648">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0B0388B1">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3C3B39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3B51BB5">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482A7B10">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年化费率【0.05%】。（适用【A】类份额）</w:t>
            </w:r>
            <w:r>
              <w:rPr>
                <w:rFonts w:ascii="黑体" w:hAnsi="黑体" w:eastAsia="黑体" w:cs="黑体"/>
                <w:sz w:val="18"/>
                <w:szCs w:val="22"/>
              </w:rPr>
              <w:br w:type="textWrapping"/>
            </w:r>
            <w:r>
              <w:rPr>
                <w:rFonts w:ascii="黑体" w:hAnsi="黑体" w:eastAsia="黑体" w:cs="黑体"/>
                <w:sz w:val="18"/>
                <w:szCs w:val="22"/>
              </w:rPr>
              <w:t>年化费率【0.1%】。（适用【B】类份额）</w:t>
            </w:r>
            <w:r>
              <w:rPr>
                <w:rFonts w:ascii="黑体" w:hAnsi="黑体" w:eastAsia="黑体" w:cs="黑体"/>
                <w:sz w:val="18"/>
                <w:szCs w:val="22"/>
              </w:rPr>
              <w:br w:type="textWrapping"/>
            </w:r>
            <w:r>
              <w:rPr>
                <w:rFonts w:ascii="黑体" w:hAnsi="黑体" w:eastAsia="黑体" w:cs="黑体"/>
                <w:sz w:val="18"/>
                <w:szCs w:val="22"/>
              </w:rPr>
              <w:t>年化费率【0.15%】。（适用【C】类份额）</w:t>
            </w:r>
            <w:r>
              <w:rPr>
                <w:rFonts w:ascii="黑体" w:hAnsi="黑体" w:eastAsia="黑体" w:cs="黑体"/>
                <w:sz w:val="18"/>
                <w:szCs w:val="22"/>
              </w:rPr>
              <w:br w:type="textWrapping"/>
            </w:r>
            <w:r>
              <w:rPr>
                <w:rFonts w:ascii="黑体" w:hAnsi="黑体" w:eastAsia="黑体" w:cs="黑体"/>
                <w:sz w:val="18"/>
                <w:szCs w:val="22"/>
              </w:rPr>
              <w:t>年化费率【0.2%】。（适用【D】类份额）</w:t>
            </w:r>
            <w:r>
              <w:rPr>
                <w:rFonts w:ascii="黑体" w:hAnsi="黑体" w:eastAsia="黑体" w:cs="黑体"/>
                <w:sz w:val="18"/>
                <w:szCs w:val="22"/>
              </w:rPr>
              <w:br w:type="textWrapping"/>
            </w:r>
            <w:r>
              <w:rPr>
                <w:rFonts w:ascii="黑体" w:hAnsi="黑体" w:eastAsia="黑体" w:cs="黑体"/>
                <w:sz w:val="18"/>
                <w:szCs w:val="22"/>
              </w:rPr>
              <w:t>年化费率【0.3%】。（适用【E】类份额）</w:t>
            </w:r>
            <w:r>
              <w:rPr>
                <w:rFonts w:ascii="黑体" w:hAnsi="黑体" w:eastAsia="黑体" w:cs="黑体"/>
                <w:sz w:val="18"/>
                <w:szCs w:val="22"/>
              </w:rPr>
              <w:br w:type="textWrapping"/>
            </w:r>
            <w:r>
              <w:rPr>
                <w:rFonts w:ascii="黑体" w:hAnsi="黑体" w:eastAsia="黑体" w:cs="黑体"/>
                <w:sz w:val="18"/>
                <w:szCs w:val="22"/>
              </w:rPr>
              <w:t>年化费率【0.4%】。（适用【F】类份额）</w:t>
            </w:r>
            <w:r>
              <w:rPr>
                <w:rFonts w:ascii="黑体" w:hAnsi="黑体" w:eastAsia="黑体" w:cs="黑体"/>
                <w:sz w:val="18"/>
                <w:szCs w:val="22"/>
              </w:rPr>
              <w:br w:type="textWrapping"/>
            </w:r>
            <w:r>
              <w:rPr>
                <w:rFonts w:ascii="黑体" w:hAnsi="黑体" w:eastAsia="黑体" w:cs="黑体"/>
                <w:sz w:val="18"/>
                <w:szCs w:val="22"/>
              </w:rPr>
              <w:t>（3）投资管理费：年化费率【0.05%】</w:t>
            </w:r>
            <w:r>
              <w:rPr>
                <w:rFonts w:ascii="黑体" w:hAnsi="黑体" w:eastAsia="黑体" w:cs="黑体"/>
                <w:sz w:val="18"/>
                <w:szCs w:val="22"/>
              </w:rPr>
              <w:br w:type="textWrapping"/>
            </w:r>
            <w:r>
              <w:rPr>
                <w:rFonts w:ascii="黑体" w:hAnsi="黑体" w:eastAsia="黑体" w:cs="黑体"/>
                <w:sz w:val="18"/>
                <w:szCs w:val="22"/>
              </w:rPr>
              <w:t>（4）产品托管费：年化费率【0.02%】</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2F4AAD02">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6F17E8AB">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55E91F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2F00FB5">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1C2BC744">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6A8517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2ECF082">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6B81E9A2">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7F43F3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EE02599">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02C7A842">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64E6CF32">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16C40185">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5CD5CFA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408EC0CD">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1BE3433F">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21402E3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154671D0">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1D5496A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0C9E301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75BE58A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5BC59CD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527EE2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4201F3F7">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372C766A">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53CC046E">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302E6C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C6A5B94">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62654C94">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23EB83A3">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328EBC11">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06610D6A">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4CD7B5E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3D2D7B81">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1AAFC657">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702E0E10">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7E79A11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0C9FAA4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3C08203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60BF45C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0599478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0CD51816">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3224D71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3572571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07FE28C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74A41DB6">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17FA8F75">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7E4B530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58143AC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64E9FB2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3E16A7D8">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0368E7A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033DFAC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577244E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5443BE0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1B8667F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61911CEE">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64BB91B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2EE4AB43">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0E825D4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0EC67801">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4F4A3412">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4771"/>
      <w:bookmarkStart w:id="76" w:name="_Toc176189756"/>
      <w:bookmarkStart w:id="77" w:name="_Toc27189"/>
      <w:bookmarkStart w:id="78" w:name="_Toc3266"/>
      <w:bookmarkStart w:id="79" w:name="_Toc7151"/>
      <w:bookmarkStart w:id="80" w:name="_Toc22074"/>
      <w:bookmarkStart w:id="81" w:name="_Toc15203"/>
      <w:bookmarkStart w:id="82" w:name="_Toc90742321"/>
      <w:bookmarkStart w:id="83" w:name="_Toc16265"/>
      <w:bookmarkStart w:id="84" w:name="_Toc90742390"/>
      <w:bookmarkStart w:id="85" w:name="_Toc90742688"/>
      <w:bookmarkStart w:id="86" w:name="_Toc79154668"/>
      <w:bookmarkStart w:id="87" w:name="_Toc29948"/>
      <w:bookmarkStart w:id="88" w:name="_Toc27226"/>
      <w:bookmarkStart w:id="89" w:name="_Toc74065741"/>
      <w:bookmarkStart w:id="90" w:name="_Toc6714"/>
      <w:bookmarkStart w:id="91" w:name="_Toc29784"/>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14036B5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2FA2994B">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555AEFED">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DC0A3B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54AFF6F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5CE008E5">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045AEEC6">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5530703A">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35B67451">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ascii="宋体" w:hAnsi="宋体" w:eastAsia="宋体" w:cs="宋体"/>
          <w:color w:val="000000"/>
          <w:sz w:val="18"/>
          <w:szCs w:val="24"/>
          <w:lang w:val="en-US" w:eastAsia="zh-CN" w:bidi="ar-SA"/>
        </w:rPr>
        <w:t>【（1）银行存款、债券逆回购、货币基金等货币市场工具及其它银行间和交易所资金融通工具。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债券型公募证券投资基金，以及其他固定收益类投资工具等。</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（3）以套期保值为目的的国债期货、利率互换、信用风险缓释工具、债券借贷。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14:paraId="0D622D39">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5D4734D8">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7897F4FA">
      <w:pPr>
        <w:widowControl w:val="0"/>
        <w:autoSpaceDE w:val="0"/>
        <w:autoSpaceDN w:val="0"/>
        <w:adjustRightInd w:val="0"/>
        <w:spacing w:line="360" w:lineRule="auto"/>
        <w:ind w:firstLine="360" w:firstLineChars="200"/>
        <w:jc w:val="both"/>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（1）本产品投资于债权类资产的比例不低于产品总资产的90%。</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（2）国债期货、利率互换、信用风险缓释工具等衍生品占产品总资产比例低于5%。</w:t>
      </w:r>
    </w:p>
    <w:p w14:paraId="60416EA9">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341522AE">
      <w:pPr>
        <w:autoSpaceDE w:val="0"/>
        <w:autoSpaceDN w:val="0"/>
        <w:adjustRightInd w:val="0"/>
        <w:spacing w:line="360" w:lineRule="auto"/>
        <w:ind w:firstLine="361" w:firstLineChars="200"/>
        <w:jc w:val="left"/>
        <w:rPr>
          <w:rFonts w:hint="eastAsia" w:ascii="宋体" w:hAnsi="宋体" w:eastAsia="宋体" w:cs="宋体"/>
          <w:bCs/>
          <w:kern w:val="0"/>
          <w:sz w:val="18"/>
          <w:szCs w:val="18"/>
        </w:rPr>
      </w:pPr>
      <w:r>
        <w:rPr>
          <w:rFonts w:hint="eastAsia" w:ascii="宋体" w:hAnsi="宋体" w:eastAsia="宋体" w:cs="宋体"/>
          <w:b/>
          <w:bCs/>
          <w:sz w:val="18"/>
          <w:szCs w:val="18"/>
        </w:rPr>
        <w:t>注：本产品可能投资不存在活跃交易市场，并且需要采用估值技术确定公允价值的资产，且投资上述资产的比例达到理财产品净资产</w:t>
      </w:r>
      <w:r>
        <w:rPr>
          <w:rFonts w:ascii="宋体" w:hAnsi="宋体" w:eastAsia="宋体" w:cs="宋体"/>
          <w:b/>
          <w:bCs/>
          <w:sz w:val="18"/>
          <w:szCs w:val="18"/>
        </w:rPr>
        <w:t>50%以上。</w:t>
      </w:r>
    </w:p>
    <w:p w14:paraId="462C149A">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77C2A12E">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2C738261">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1FEA2C74">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49469DFF">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079F4B43">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46FB2D12">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02A2BDC6">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0FCCA70D">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227516D5">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（1）每只公募理财产品投资单只证券或者单只公募证券投资基金的市值不得超过该理财产品净资产的10%。</w:t>
      </w:r>
    </w:p>
    <w:p w14:paraId="7D28E6E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（2）全部公募理财产品持有单只证券或单只公募证券投资基金的市值，不得超过该证券市值或该公募证券投资基金市值的30%。</w:t>
      </w:r>
    </w:p>
    <w:p w14:paraId="52ADCBA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（3）全部理财产品持有单一上市公司发行的股票，不得超过该上市公司可流通股票的30%。</w:t>
      </w:r>
    </w:p>
    <w:p w14:paraId="1B1C36DF">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 xml:space="preserve">（4）全部开放式公募理财产品投资单一上市公司发行的股票不得超过该上市公司可流通股票的15%。 </w:t>
      </w:r>
    </w:p>
    <w:p w14:paraId="20F966F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（5）本产品因为流动性需要可开展存单质押、债券正回购等融资业务，本产品总资产不超过净资产的200%。</w:t>
      </w:r>
    </w:p>
    <w:p w14:paraId="2A63C99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788A90C5">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13E4E90D">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21DFCDCE">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48D16A0E">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566BF343">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2D5F2CC2">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572AA82B">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00EA98B6">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2A5517B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hint="eastAsia" w:ascii="宋体" w:hAnsi="宋体" w:eastAsia="宋体" w:cs="宋体"/>
          <w:bCs/>
          <w:color w:val="000000"/>
          <w:sz w:val="18"/>
          <w:szCs w:val="18"/>
          <w:lang w:val="en-US" w:eastAsia="zh-CN" w:bidi="ar-SA"/>
        </w:rPr>
        <w:t>通过对经济基本面、企业盈利、无风险利率水平、资金面等因素进行定性和定量分析，根据产品的业绩目标和回撤目标制定各个阶段产品资产投资比例。</w:t>
      </w:r>
      <w:r>
        <w:rPr>
          <w:rFonts w:hint="eastAsia" w:ascii="宋体" w:hAnsi="宋体" w:eastAsia="宋体" w:cs="宋体"/>
          <w:color w:val="000000"/>
          <w:sz w:val="18"/>
          <w:szCs w:val="18"/>
          <w:lang w:val="en-US" w:eastAsia="zh-CN" w:bidi="ar-SA"/>
        </w:rPr>
        <w:t>】</w:t>
      </w:r>
    </w:p>
    <w:p w14:paraId="66298AD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18586509">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21988"/>
      <w:bookmarkStart w:id="94" w:name="_Toc26986"/>
      <w:bookmarkStart w:id="95" w:name="_Toc4741"/>
      <w:bookmarkStart w:id="96" w:name="_Toc79154669"/>
      <w:bookmarkStart w:id="97" w:name="_Toc7848"/>
      <w:bookmarkStart w:id="98" w:name="_Toc18797"/>
      <w:bookmarkStart w:id="99" w:name="_Toc1823"/>
      <w:bookmarkStart w:id="100" w:name="_Toc14893"/>
      <w:bookmarkStart w:id="101" w:name="_Toc74065742"/>
      <w:bookmarkStart w:id="102" w:name="_Toc17912"/>
      <w:bookmarkStart w:id="103" w:name="_Toc176189758"/>
      <w:bookmarkStart w:id="104" w:name="_Toc141703885"/>
      <w:bookmarkStart w:id="105" w:name="_Toc139991735"/>
      <w:bookmarkStart w:id="106" w:name="_Toc18329"/>
      <w:bookmarkStart w:id="107" w:name="_Toc18526"/>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1D5BC7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35EC2BC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585AEE0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5943F22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5D12274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5C6112D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046E496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3A525E63">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523FD869">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23051452"/>
      <w:bookmarkStart w:id="110" w:name="_Toc17244"/>
      <w:bookmarkStart w:id="111" w:name="_Toc23822"/>
      <w:bookmarkStart w:id="112" w:name="_Toc141703886"/>
      <w:bookmarkStart w:id="113" w:name="_Toc7920"/>
      <w:bookmarkStart w:id="114" w:name="_Toc139991736"/>
      <w:bookmarkStart w:id="115" w:name="_Toc123102453"/>
      <w:bookmarkStart w:id="116" w:name="_Toc79154670"/>
      <w:bookmarkStart w:id="117" w:name="_Toc123112234"/>
      <w:bookmarkStart w:id="118" w:name="_Toc10463"/>
      <w:bookmarkStart w:id="119" w:name="_Toc74065743"/>
      <w:bookmarkStart w:id="120" w:name="_Toc79392606"/>
      <w:bookmarkStart w:id="121" w:name="_Toc610"/>
      <w:bookmarkStart w:id="122" w:name="_Toc23261"/>
      <w:bookmarkStart w:id="123" w:name="_Toc1270"/>
      <w:bookmarkStart w:id="124" w:name="_Toc98560352"/>
      <w:bookmarkStart w:id="125" w:name="_Toc48649707"/>
      <w:bookmarkStart w:id="126" w:name="_Toc4003"/>
      <w:bookmarkStart w:id="127" w:name="_Toc176189759"/>
      <w:bookmarkStart w:id="128" w:name="_Toc20733"/>
      <w:bookmarkStart w:id="129" w:name="_Toc1427"/>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BCFA666">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249EC25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050D6B8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267C687D">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3B0C78F6">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74A29912">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204DDFF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4B3F7626">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5A02762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4BB91B5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6983A47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1BA8BD1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0E6009C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4C3735B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14FFA07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34D73A7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6B15809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094EE36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504D478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43BBC59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10EB6DD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64F2E83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641C13C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3A258D4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7CA53BE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550A90D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16FAEA0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0488862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1722871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00433AB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1CC44DA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02F41ED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79B097E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4B02BA2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726DB77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4F57E97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5959D34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0CDB09F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4C1AF6B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2B044AA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2508BEA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1D6091A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22A85AE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3891F2A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3ED20AC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EA2298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1434D172">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663329C8">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007F469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57A15A4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7CEA42F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17EA775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0C733D5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4C8BE03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7E851E7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3F8F2C08">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011DF99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382FDF90">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3967D8CE">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6266FB41">
      <w:pPr>
        <w:widowControl/>
        <w:spacing w:line="360" w:lineRule="auto"/>
        <w:jc w:val="left"/>
        <w:rPr>
          <w:rFonts w:ascii="宋体" w:hAnsi="宋体" w:cs="宋体"/>
          <w:kern w:val="0"/>
          <w:sz w:val="18"/>
          <w:szCs w:val="18"/>
        </w:rPr>
      </w:pPr>
      <w:r>
        <w:rPr>
          <w:rFonts w:ascii="Calibri" w:hAnsi="宋体" w:cs="宋体"/>
          <w:sz w:val="18"/>
          <w:szCs w:val="18"/>
        </w:rPr>
        <w:br w:type="page"/>
      </w:r>
    </w:p>
    <w:p w14:paraId="219EA8F2">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14835"/>
      <w:bookmarkStart w:id="132" w:name="_Toc123112235"/>
      <w:bookmarkStart w:id="133" w:name="_Toc176189760"/>
      <w:bookmarkStart w:id="134" w:name="_Toc31653"/>
      <w:bookmarkStart w:id="135" w:name="_Toc6405"/>
      <w:bookmarkStart w:id="136" w:name="_Toc26207"/>
      <w:bookmarkStart w:id="137" w:name="_Toc123102454"/>
      <w:bookmarkStart w:id="138" w:name="_Toc123051453"/>
      <w:bookmarkStart w:id="139" w:name="_Toc15143"/>
      <w:bookmarkStart w:id="140" w:name="_Toc139991737"/>
      <w:bookmarkStart w:id="141" w:name="_Toc79154671"/>
      <w:bookmarkStart w:id="142" w:name="_Toc31644"/>
      <w:bookmarkStart w:id="143" w:name="_Toc3601"/>
      <w:bookmarkStart w:id="144" w:name="_Toc141703887"/>
      <w:bookmarkStart w:id="145" w:name="_Toc31235"/>
      <w:bookmarkStart w:id="146" w:name="_Toc12245"/>
      <w:bookmarkStart w:id="147" w:name="_Toc74065744"/>
      <w:bookmarkStart w:id="148" w:name="_Toc29251"/>
      <w:bookmarkStart w:id="149" w:name="_Toc98560353"/>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15118234"/>
      <w:bookmarkStart w:id="152" w:name="_Toc523711668"/>
      <w:bookmarkStart w:id="153" w:name="_Toc79392580"/>
      <w:bookmarkStart w:id="154" w:name="_Toc57530239"/>
    </w:p>
    <w:p w14:paraId="588CC70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4F1B4BB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74ACACA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78527290">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3AB926D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03261D7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111F0DD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04A7F4C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576ADBB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169BE76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681523A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15F7F6D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41A444A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3D840BEF">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79010E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1154BFF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64E748E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6B14B70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7E1EE9C7">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729B714D">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97298"/>
      <w:bookmarkEnd w:id="155"/>
      <w:bookmarkStart w:id="156" w:name="_Hlt88825574"/>
      <w:bookmarkEnd w:id="156"/>
      <w:bookmarkStart w:id="157" w:name="_Toc141703888"/>
      <w:bookmarkStart w:id="158" w:name="_Toc11030"/>
      <w:bookmarkStart w:id="159" w:name="_Toc7058"/>
      <w:bookmarkStart w:id="160" w:name="_Toc98560354"/>
      <w:bookmarkStart w:id="161" w:name="_Toc139991738"/>
      <w:bookmarkStart w:id="162" w:name="_Toc3771"/>
      <w:bookmarkStart w:id="163" w:name="_Toc123112236"/>
      <w:bookmarkStart w:id="164" w:name="_Toc123051454"/>
      <w:bookmarkStart w:id="165" w:name="_Toc10650"/>
      <w:bookmarkStart w:id="166" w:name="_Toc6447"/>
      <w:bookmarkStart w:id="167" w:name="_Toc79154672"/>
      <w:bookmarkStart w:id="168" w:name="_Toc79392583"/>
      <w:bookmarkStart w:id="169" w:name="_Toc4559"/>
      <w:bookmarkStart w:id="170" w:name="_Toc25783"/>
      <w:bookmarkStart w:id="171" w:name="_Toc123102455"/>
      <w:bookmarkStart w:id="172" w:name="_Toc74065745"/>
      <w:bookmarkStart w:id="173" w:name="_Toc9706"/>
      <w:bookmarkStart w:id="174" w:name="_Toc176189761"/>
      <w:bookmarkStart w:id="175" w:name="_Toc3321"/>
      <w:bookmarkStart w:id="176" w:name="_Toc18567"/>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1584D38">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4A1BFA6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4F546C0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5051125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2DBEBD1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7FE3D0B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04BE0F0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40F13F9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374384B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181F8C7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651BD4A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5E7CE5F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19825EA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2CBD5C13">
      <w:pPr>
        <w:widowControl w:val="0"/>
        <w:autoSpaceDE w:val="0"/>
        <w:autoSpaceDN w:val="0"/>
        <w:adjustRightInd w:val="0"/>
        <w:spacing w:line="360" w:lineRule="auto"/>
        <w:ind w:firstLine="360" w:firstLineChars="200"/>
        <w:rPr>
          <w:rFonts w:hint="eastAsia" w:ascii="黑体" w:hAnsi="黑体" w:eastAsia="黑体" w:cs="黑体"/>
          <w:color w:val="auto"/>
          <w:kern w:val="2"/>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w:t>
      </w:r>
    </w:p>
    <w:p w14:paraId="21C7BE4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067B9D9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13BD361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02B0321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4737E00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5ED8990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1B2CE00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4D71DD42">
      <w:pPr>
        <w:widowControl/>
        <w:spacing w:line="360" w:lineRule="auto"/>
        <w:ind w:firstLine="420" w:firstLineChars="0"/>
        <w:jc w:val="left"/>
        <w:rPr>
          <w:rFonts w:hint="eastAsia" w:ascii="黑体" w:hAnsi="黑体" w:eastAsia="黑体" w:cs="黑体"/>
          <w:sz w:val="18"/>
          <w:szCs w:val="18"/>
        </w:rPr>
      </w:pPr>
      <w:r>
        <w:rPr>
          <w:rFonts w:ascii="宋体" w:hAnsi="宋体" w:eastAsia="宋体" w:cs="宋体"/>
          <w:sz w:val="18"/>
          <w:szCs w:val="22"/>
        </w:rPr>
        <w:t xml:space="preserve">    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r>
        <w:rPr>
          <w:rFonts w:ascii="宋体" w:hAnsi="宋体" w:eastAsia="宋体" w:cs="宋体"/>
          <w:sz w:val="18"/>
          <w:szCs w:val="22"/>
        </w:rPr>
        <w:br w:type="textWrapping"/>
      </w:r>
      <w:r>
        <w:rPr>
          <w:rFonts w:ascii="宋体" w:hAnsi="宋体" w:eastAsia="宋体" w:cs="宋体"/>
          <w:sz w:val="18"/>
          <w:szCs w:val="22"/>
        </w:rPr>
        <w:t xml:space="preserve">    业绩报酬计提基准的设置、超额业绩报酬的具体比例数值以《产品说明书》“第二条 理财产品基本情况”为准。</w:t>
      </w:r>
      <w:r>
        <w:rPr>
          <w:rFonts w:ascii="宋体" w:hAnsi="宋体" w:eastAsia="宋体" w:cs="宋体"/>
          <w:sz w:val="18"/>
          <w:szCs w:val="22"/>
        </w:rPr>
        <w:br w:type="textWrapping"/>
      </w:r>
      <w:r>
        <w:rPr>
          <w:rFonts w:ascii="宋体" w:hAnsi="宋体" w:eastAsia="宋体" w:cs="宋体"/>
          <w:sz w:val="18"/>
          <w:szCs w:val="22"/>
        </w:rPr>
        <w:t xml:space="preserve">    1）收取超额业绩报酬的原则：</w:t>
      </w:r>
      <w:r>
        <w:rPr>
          <w:rFonts w:ascii="宋体" w:hAnsi="宋体" w:eastAsia="宋体" w:cs="宋体"/>
          <w:sz w:val="18"/>
          <w:szCs w:val="22"/>
        </w:rPr>
        <w:br w:type="textWrapping"/>
      </w:r>
      <w:r>
        <w:rPr>
          <w:rFonts w:ascii="宋体" w:hAnsi="宋体" w:eastAsia="宋体" w:cs="宋体"/>
          <w:sz w:val="18"/>
          <w:szCs w:val="22"/>
        </w:rPr>
        <w:t xml:space="preserve">    ①按投资者每份产品份额分别计算年化收益率并计提超额业绩报酬；</w:t>
      </w:r>
      <w:r>
        <w:rPr>
          <w:rFonts w:ascii="宋体" w:hAnsi="宋体" w:eastAsia="宋体" w:cs="宋体"/>
          <w:sz w:val="18"/>
          <w:szCs w:val="22"/>
        </w:rPr>
        <w:br w:type="textWrapping"/>
      </w:r>
      <w:r>
        <w:rPr>
          <w:rFonts w:ascii="宋体" w:hAnsi="宋体" w:eastAsia="宋体" w:cs="宋体"/>
          <w:sz w:val="18"/>
          <w:szCs w:val="22"/>
        </w:rPr>
        <w:t xml:space="preserve">    ②在超额业绩报酬计提日，本产品对符合超额业绩报酬提取条件的产品份额计提超额业绩报酬；</w:t>
      </w:r>
      <w:r>
        <w:rPr>
          <w:rFonts w:ascii="宋体" w:hAnsi="宋体" w:eastAsia="宋体" w:cs="宋体"/>
          <w:sz w:val="18"/>
          <w:szCs w:val="22"/>
        </w:rPr>
        <w:br w:type="textWrapping"/>
      </w:r>
      <w:r>
        <w:rPr>
          <w:rFonts w:ascii="宋体" w:hAnsi="宋体" w:eastAsia="宋体" w:cs="宋体"/>
          <w:sz w:val="18"/>
          <w:szCs w:val="22"/>
        </w:rPr>
        <w:t xml:space="preserve">    ③在产品终止日提取超额业绩报酬的，超额业绩报酬从清算资金中扣除；</w:t>
      </w:r>
      <w:r>
        <w:rPr>
          <w:rFonts w:ascii="宋体" w:hAnsi="宋体" w:eastAsia="宋体" w:cs="宋体"/>
          <w:sz w:val="18"/>
          <w:szCs w:val="22"/>
        </w:rPr>
        <w:br w:type="textWrapping"/>
      </w:r>
      <w:r>
        <w:rPr>
          <w:rFonts w:ascii="宋体" w:hAnsi="宋体" w:eastAsia="宋体" w:cs="宋体"/>
          <w:sz w:val="18"/>
          <w:szCs w:val="22"/>
        </w:rPr>
        <w:t xml:space="preserve">    2）超额业绩报酬计提方法</w:t>
      </w:r>
      <w:r>
        <w:rPr>
          <w:rFonts w:ascii="宋体" w:hAnsi="宋体" w:eastAsia="宋体" w:cs="宋体"/>
          <w:sz w:val="18"/>
          <w:szCs w:val="22"/>
        </w:rPr>
        <w:br w:type="textWrapping"/>
      </w:r>
      <w:r>
        <w:rPr>
          <w:rFonts w:ascii="宋体" w:hAnsi="宋体" w:eastAsia="宋体" w:cs="宋体"/>
          <w:sz w:val="18"/>
          <w:szCs w:val="22"/>
        </w:rPr>
        <w:t xml:space="preserve">    ①超额业绩报酬计提起始日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每份产品份额超额业绩报酬计提起始日为：募集期内认购的产品份额，以产品成立日为该份产品份额超额业绩报酬计提起始日。</w:t>
      </w:r>
      <w:r>
        <w:rPr>
          <w:rFonts w:ascii="宋体" w:hAnsi="宋体" w:eastAsia="宋体" w:cs="宋体"/>
          <w:sz w:val="18"/>
          <w:szCs w:val="22"/>
        </w:rPr>
        <w:br w:type="textWrapping"/>
      </w:r>
      <w:r>
        <w:rPr>
          <w:rFonts w:ascii="宋体" w:hAnsi="宋体" w:eastAsia="宋体" w:cs="宋体"/>
          <w:sz w:val="18"/>
          <w:szCs w:val="22"/>
        </w:rPr>
        <w:t xml:space="preserve">    ②超额业绩报酬计提日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每份产品份额超额业绩报酬每日计提，产品终止日结算。</w:t>
      </w:r>
      <w:r>
        <w:rPr>
          <w:rFonts w:ascii="宋体" w:hAnsi="宋体" w:eastAsia="宋体" w:cs="宋体"/>
          <w:sz w:val="18"/>
          <w:szCs w:val="22"/>
        </w:rPr>
        <w:br w:type="textWrapping"/>
      </w:r>
      <w:r>
        <w:rPr>
          <w:rFonts w:ascii="宋体" w:hAnsi="宋体" w:eastAsia="宋体" w:cs="宋体"/>
          <w:sz w:val="18"/>
          <w:szCs w:val="22"/>
        </w:rPr>
        <w:t xml:space="preserve">    ③超额业绩报酬的计算</w:t>
      </w:r>
      <w:r>
        <w:rPr>
          <w:rFonts w:ascii="宋体" w:hAnsi="宋体" w:eastAsia="宋体" w:cs="宋体"/>
          <w:sz w:val="18"/>
          <w:szCs w:val="22"/>
        </w:rPr>
        <w:br w:type="textWrapping"/>
      </w:r>
      <w:r>
        <w:rPr>
          <w:rFonts w:ascii="宋体" w:hAnsi="宋体" w:eastAsia="宋体" w:cs="宋体"/>
          <w:sz w:val="18"/>
          <w:szCs w:val="22"/>
        </w:rPr>
        <w:t xml:space="preserve">    产品管理人对每份份额当前年化收益率（R）超过当前业绩报酬计提基准的部分，按比例（N）以及产品份额持有天数（D）提取超额业绩报酬，计算方法如下：</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当R≤当前业绩报酬计提基准，超额业绩报酬=0；</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当R＞当前业绩报酬计提基准，超额业绩报酬=产品终止时投资者持有的产品份额×产品成立日产品份额净值×（R-当前业绩报酬计提基准）×N×D/365。</w:t>
      </w:r>
    </w:p>
    <w:p w14:paraId="25F323D1">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7BF718B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1124848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1E7C5C2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1BC01B3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6AAE78C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66149C7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1BD894E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5C54BB6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0D47A2F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2B013E20">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36AE67D3">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277BA95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600F0544">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1D15672B">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176189762"/>
      <w:bookmarkStart w:id="180" w:name="_Toc141703889"/>
      <w:bookmarkStart w:id="181" w:name="_Toc3080"/>
      <w:bookmarkStart w:id="182" w:name="_Toc21735"/>
      <w:bookmarkStart w:id="183" w:name="_Toc139991739"/>
      <w:bookmarkStart w:id="184" w:name="_Toc123112237"/>
      <w:bookmarkStart w:id="185" w:name="_Toc16164"/>
      <w:bookmarkStart w:id="186" w:name="_Toc10398"/>
      <w:bookmarkStart w:id="187" w:name="_Toc18206"/>
      <w:bookmarkStart w:id="188" w:name="_Toc725"/>
      <w:bookmarkStart w:id="189" w:name="_Toc123102456"/>
      <w:bookmarkStart w:id="190" w:name="_Toc123051455"/>
      <w:bookmarkStart w:id="191" w:name="_Toc31821"/>
      <w:bookmarkStart w:id="192" w:name="_Toc79154673"/>
      <w:bookmarkStart w:id="193" w:name="_Toc98560355"/>
      <w:bookmarkStart w:id="194" w:name="_Toc74065746"/>
      <w:bookmarkStart w:id="195" w:name="_Toc3572"/>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BB5997A">
      <w:pPr>
        <w:spacing w:line="360" w:lineRule="auto"/>
        <w:ind w:firstLine="361" w:firstLineChars="200"/>
        <w:rPr>
          <w:rFonts w:ascii="宋体" w:hAnsi="宋体" w:eastAsia="宋体" w:cs="宋体"/>
          <w:b/>
          <w:bCs/>
          <w:sz w:val="18"/>
          <w:szCs w:val="18"/>
        </w:rPr>
      </w:pPr>
      <w:bookmarkStart w:id="196" w:name="_Toc57530252"/>
      <w:bookmarkStart w:id="197" w:name="_Toc15118245"/>
      <w:bookmarkStart w:id="198" w:name="_Toc79392593"/>
      <w:r>
        <w:rPr>
          <w:rFonts w:hint="eastAsia" w:ascii="宋体" w:hAnsi="宋体" w:eastAsia="宋体" w:cs="宋体"/>
          <w:b/>
          <w:bCs/>
          <w:sz w:val="18"/>
          <w:szCs w:val="18"/>
        </w:rPr>
        <w:t>（一）理财产品的终止</w:t>
      </w:r>
    </w:p>
    <w:p w14:paraId="292EBC4B">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4DAD617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3A6CB97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79A27DB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6100C37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7D796B9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66370EE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1B0533F5">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7339E9E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7E55AA7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6E55C7F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561815F0">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6F4E157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6AD9A25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41516686">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4A7DD2D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6142E0E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505B69ED">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4E9B5D23">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67A7AF55">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4CA560E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4EE089B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1E5EC27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58DE70E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0EFFA38F">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0EC382A6">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2EDD3D0F">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98560356"/>
      <w:bookmarkStart w:id="200" w:name="_Toc3329"/>
      <w:bookmarkStart w:id="201" w:name="_Toc123051456"/>
      <w:bookmarkStart w:id="202" w:name="_Toc8791"/>
      <w:bookmarkStart w:id="203" w:name="_Toc739"/>
      <w:bookmarkStart w:id="204" w:name="_Toc79154674"/>
      <w:bookmarkStart w:id="205" w:name="_Toc48649708"/>
      <w:bookmarkStart w:id="206" w:name="_Toc79392622"/>
      <w:bookmarkStart w:id="207" w:name="_Toc176189763"/>
      <w:bookmarkStart w:id="208" w:name="_Toc17920"/>
      <w:bookmarkStart w:id="209" w:name="_Toc32584"/>
      <w:bookmarkStart w:id="210" w:name="_Toc141703890"/>
      <w:bookmarkStart w:id="211" w:name="_Toc123112238"/>
      <w:bookmarkStart w:id="212" w:name="_Toc29408"/>
      <w:bookmarkStart w:id="213" w:name="_Toc32092"/>
      <w:bookmarkStart w:id="214" w:name="_Toc5170"/>
      <w:bookmarkStart w:id="215" w:name="_Toc139991740"/>
      <w:bookmarkStart w:id="216" w:name="_Toc74065747"/>
      <w:bookmarkStart w:id="217" w:name="_Toc123102457"/>
      <w:bookmarkStart w:id="218" w:name="_Toc17198"/>
      <w:bookmarkStart w:id="219" w:name="_Toc21237"/>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340578B">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6A08964C">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4F8904C2">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7FE96A74">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7324B281">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40E6FFB5">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11737B0D">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76314E1A">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4D7647CA">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0CADCB41">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61797ACB">
      <w:pPr>
        <w:spacing w:line="360" w:lineRule="auto"/>
        <w:ind w:firstLine="360"/>
        <w:rPr>
          <w:rFonts w:ascii="宋体" w:hAnsi="宋体" w:cs="宋体"/>
          <w:bCs/>
          <w:sz w:val="18"/>
          <w:szCs w:val="18"/>
        </w:rPr>
      </w:pPr>
      <w:r>
        <w:rPr>
          <w:rFonts w:ascii="宋体" w:hAnsi="宋体" w:cs="宋体"/>
          <w:bCs/>
          <w:sz w:val="18"/>
          <w:szCs w:val="18"/>
        </w:rPr>
        <w:t>1.产品成立公告</w:t>
      </w:r>
    </w:p>
    <w:p w14:paraId="6D8D9E89">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2292A28C">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5338AAD2">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2D6845FD">
      <w:pPr>
        <w:spacing w:line="360" w:lineRule="auto"/>
        <w:ind w:firstLine="360"/>
        <w:rPr>
          <w:rFonts w:ascii="宋体" w:hAnsi="宋体" w:cs="宋体"/>
          <w:bCs/>
          <w:sz w:val="18"/>
          <w:szCs w:val="18"/>
        </w:rPr>
      </w:pPr>
      <w:r>
        <w:rPr>
          <w:rFonts w:ascii="宋体" w:hAnsi="宋体" w:cs="宋体"/>
          <w:bCs/>
          <w:sz w:val="18"/>
          <w:szCs w:val="18"/>
        </w:rPr>
        <w:t>3.定期报告</w:t>
      </w:r>
    </w:p>
    <w:p w14:paraId="20D8AF90">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6CBDB756">
      <w:pPr>
        <w:spacing w:line="360" w:lineRule="auto"/>
        <w:ind w:firstLine="360"/>
        <w:rPr>
          <w:rFonts w:ascii="宋体" w:hAnsi="宋体" w:cs="宋体"/>
          <w:bCs/>
          <w:sz w:val="18"/>
          <w:szCs w:val="18"/>
        </w:rPr>
      </w:pPr>
      <w:r>
        <w:rPr>
          <w:rFonts w:ascii="宋体" w:hAnsi="宋体" w:cs="宋体"/>
          <w:bCs/>
          <w:sz w:val="18"/>
          <w:szCs w:val="18"/>
        </w:rPr>
        <w:t>4.到期公告</w:t>
      </w:r>
    </w:p>
    <w:p w14:paraId="567E8DE1">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2B752805">
      <w:pPr>
        <w:spacing w:line="360" w:lineRule="auto"/>
        <w:ind w:firstLine="360"/>
        <w:rPr>
          <w:rFonts w:ascii="宋体" w:hAnsi="宋体" w:cs="宋体"/>
          <w:bCs/>
          <w:sz w:val="18"/>
          <w:szCs w:val="18"/>
        </w:rPr>
      </w:pPr>
      <w:r>
        <w:rPr>
          <w:rFonts w:ascii="宋体" w:hAnsi="宋体" w:cs="宋体"/>
          <w:bCs/>
          <w:sz w:val="18"/>
          <w:szCs w:val="18"/>
        </w:rPr>
        <w:t>5.估值日公告</w:t>
      </w:r>
    </w:p>
    <w:p w14:paraId="6940818E">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w:t>
      </w:r>
      <w:r>
        <w:rPr>
          <w:rFonts w:hint="eastAsia" w:ascii="宋体" w:hAnsi="宋体" w:cs="宋体"/>
          <w:bCs/>
          <w:sz w:val="18"/>
          <w:szCs w:val="18"/>
          <w:lang w:val="en-US" w:eastAsia="zh-CN"/>
        </w:rPr>
        <w:t>周</w:t>
      </w:r>
      <w:r>
        <w:rPr>
          <w:rFonts w:hint="eastAsia" w:ascii="宋体" w:hAnsi="宋体" w:cs="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14:paraId="13FB55E4">
      <w:pPr>
        <w:spacing w:line="360" w:lineRule="auto"/>
        <w:ind w:firstLine="360"/>
        <w:rPr>
          <w:rFonts w:ascii="宋体" w:hAnsi="宋体" w:cs="宋体"/>
          <w:bCs/>
          <w:sz w:val="18"/>
          <w:szCs w:val="18"/>
        </w:rPr>
      </w:pPr>
      <w:r>
        <w:rPr>
          <w:rFonts w:ascii="宋体" w:hAnsi="宋体" w:cs="宋体"/>
          <w:bCs/>
          <w:sz w:val="18"/>
          <w:szCs w:val="18"/>
        </w:rPr>
        <w:t>6.临时公告</w:t>
      </w:r>
    </w:p>
    <w:p w14:paraId="343BEA6B">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663F8CC5">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29CC0287">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5F4F21CC">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14C2268F">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565D2DA5">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47488F7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6D103EB8">
      <w:pPr>
        <w:widowControl/>
        <w:spacing w:line="360" w:lineRule="auto"/>
        <w:jc w:val="left"/>
        <w:rPr>
          <w:rFonts w:ascii="Calibri" w:hAnsi="Calibri" w:cs="宋体"/>
          <w:bCs/>
          <w:sz w:val="24"/>
          <w:szCs w:val="22"/>
        </w:rPr>
      </w:pPr>
      <w:r>
        <w:rPr>
          <w:rFonts w:ascii="Calibri" w:hAnsi="Calibri" w:cs="宋体"/>
          <w:bCs/>
          <w:sz w:val="24"/>
          <w:szCs w:val="22"/>
        </w:rPr>
        <w:br w:type="page"/>
      </w:r>
    </w:p>
    <w:p w14:paraId="561599ED">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176189764"/>
      <w:bookmarkStart w:id="221" w:name="_Toc79154675"/>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66C87C9F">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1F11E294">
      <w:pPr>
        <w:spacing w:line="360" w:lineRule="auto"/>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7ACC45AB">
      <w:pPr>
        <w:spacing w:line="360" w:lineRule="auto"/>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30135F0D">
      <w:pPr>
        <w:spacing w:line="360" w:lineRule="auto"/>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701942EE">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737FE03">
      <w:pPr>
        <w:spacing w:line="360" w:lineRule="auto"/>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6AD07E7D">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67127181">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（2）投资商品和金融衍生品类资产的风险 </w:t>
      </w:r>
    </w:p>
    <w:p w14:paraId="32B23F72">
      <w:pPr>
        <w:spacing w:line="360" w:lineRule="auto"/>
        <w:ind w:firstLine="360" w:firstLineChars="200"/>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4A27B4B6">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43120E1D">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1A5B0AAD">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321156DF">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3AFABC57">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47966A49">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0D4FF9C6">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2BB42FC0">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638D97BA">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1FC6B1EF">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04FA1043">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79F229F3">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6F2455EC">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4375E3DC">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544B4D48">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26189696">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39EAFA55">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51C07FE4">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27F2BE78">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18FA792F">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5AEE4ED3">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3484FF1B">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6531421C">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2C51D5CB">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62B7CCB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40064625">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4FB9EB98">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13D05D41">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2C4C2CB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13762072">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017C2803">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2B17073A">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19663E8">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584ACBAD">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58F1759D">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3838BCA7">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D13F068">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781D6FA5">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4BB7DB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73260F65">
            <w:pPr>
              <w:spacing w:line="280" w:lineRule="atLeast"/>
              <w:ind w:firstLine="422"/>
              <w:jc w:val="center"/>
              <w:rPr>
                <w:rFonts w:ascii="宋体" w:hAnsi="宋体" w:cs="Arial"/>
                <w:b/>
                <w:szCs w:val="21"/>
              </w:rPr>
            </w:pPr>
            <w:r>
              <w:rPr>
                <w:rFonts w:hint="eastAsia" w:ascii="宋体" w:hAnsi="宋体" w:cs="Arial"/>
                <w:b/>
                <w:szCs w:val="21"/>
              </w:rPr>
              <w:t>投资者确认栏</w:t>
            </w:r>
          </w:p>
          <w:p w14:paraId="18AF491C">
            <w:pPr>
              <w:spacing w:line="360" w:lineRule="auto"/>
              <w:ind w:firstLine="361"/>
              <w:rPr>
                <w:rFonts w:ascii="Calibri" w:hAnsi="Calibri" w:cs="宋体"/>
                <w:b/>
                <w:sz w:val="18"/>
                <w:szCs w:val="18"/>
              </w:rPr>
            </w:pPr>
          </w:p>
        </w:tc>
      </w:tr>
      <w:tr w14:paraId="695CFE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1DAD9A79">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4D19C672">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642A8F9C">
            <w:pPr>
              <w:spacing w:line="360" w:lineRule="auto"/>
              <w:ind w:firstLine="361"/>
              <w:jc w:val="left"/>
              <w:rPr>
                <w:rFonts w:ascii="Calibri" w:hAnsi="Calibri" w:cs="宋体"/>
                <w:b/>
                <w:sz w:val="18"/>
                <w:szCs w:val="18"/>
              </w:rPr>
            </w:pPr>
          </w:p>
          <w:p w14:paraId="1CB25691">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44A766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7CBD0262">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3ECCF5E2">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565BEDC9">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66951559">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76E6E0B4">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3580004E">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01906A5A">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6F0B5F9E">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3B5B0DA7"/>
    <w:p w14:paraId="0F4B1148">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【兴银理财稳利恒盈封闭式2026年828期固收类理财产品】</w:t>
      </w:r>
    </w:p>
    <w:p w14:paraId="7D294ACC">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2460030C">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3D5E9833">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14D10F5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42839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5CEED2C4">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72A70075">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452385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4F682035">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0E5D7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47044D53">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7323E259">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1F83D6F5">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556E8980">
            <w:pPr>
              <w:spacing w:line="320" w:lineRule="exact"/>
              <w:jc w:val="left"/>
              <w:rPr>
                <w:rFonts w:ascii="宋体" w:hAnsi="宋体" w:cs="宋体"/>
                <w:bCs/>
                <w:sz w:val="18"/>
                <w:szCs w:val="18"/>
              </w:rPr>
            </w:pPr>
          </w:p>
        </w:tc>
      </w:tr>
      <w:tr w14:paraId="03144F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B104541">
            <w:pPr>
              <w:spacing w:line="320" w:lineRule="exact"/>
              <w:jc w:val="left"/>
              <w:rPr>
                <w:rFonts w:ascii="宋体" w:hAnsi="宋体" w:cs="宋体"/>
                <w:b/>
                <w:bCs/>
                <w:sz w:val="18"/>
                <w:szCs w:val="18"/>
              </w:rPr>
            </w:pPr>
          </w:p>
        </w:tc>
        <w:tc>
          <w:tcPr>
            <w:tcW w:w="635" w:type="dxa"/>
            <w:vMerge w:val="continue"/>
            <w:shd w:val="solid" w:color="FFFFFF" w:fill="FFFFFF"/>
            <w:vAlign w:val="center"/>
          </w:tcPr>
          <w:p w14:paraId="4F1CB4B8">
            <w:pPr>
              <w:spacing w:line="320" w:lineRule="exact"/>
              <w:jc w:val="left"/>
              <w:rPr>
                <w:rFonts w:ascii="宋体" w:hAnsi="宋体" w:cs="宋体"/>
                <w:bCs/>
                <w:sz w:val="18"/>
                <w:szCs w:val="18"/>
              </w:rPr>
            </w:pPr>
          </w:p>
        </w:tc>
        <w:tc>
          <w:tcPr>
            <w:tcW w:w="1085" w:type="dxa"/>
            <w:shd w:val="solid" w:color="FFFFFF" w:fill="FFFFFF"/>
            <w:vAlign w:val="center"/>
          </w:tcPr>
          <w:p w14:paraId="6C6B24AE">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315C2BB8">
            <w:pPr>
              <w:spacing w:line="320" w:lineRule="exact"/>
              <w:jc w:val="left"/>
              <w:rPr>
                <w:rFonts w:ascii="宋体" w:hAnsi="宋体" w:cs="宋体"/>
                <w:bCs/>
                <w:sz w:val="18"/>
                <w:szCs w:val="18"/>
              </w:rPr>
            </w:pPr>
          </w:p>
        </w:tc>
        <w:tc>
          <w:tcPr>
            <w:tcW w:w="1234" w:type="dxa"/>
            <w:shd w:val="solid" w:color="FFFFFF" w:fill="FFFFFF"/>
            <w:vAlign w:val="center"/>
          </w:tcPr>
          <w:p w14:paraId="3F1E2DB8">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7263B0E6">
            <w:pPr>
              <w:spacing w:line="320" w:lineRule="exact"/>
              <w:jc w:val="left"/>
              <w:rPr>
                <w:rFonts w:ascii="宋体" w:hAnsi="宋体" w:cs="宋体"/>
                <w:bCs/>
                <w:sz w:val="18"/>
                <w:szCs w:val="18"/>
              </w:rPr>
            </w:pPr>
          </w:p>
        </w:tc>
      </w:tr>
      <w:tr w14:paraId="55056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B1D9F4B">
            <w:pPr>
              <w:spacing w:line="320" w:lineRule="exact"/>
              <w:jc w:val="left"/>
              <w:rPr>
                <w:rFonts w:ascii="宋体" w:hAnsi="宋体" w:cs="宋体"/>
                <w:b/>
                <w:bCs/>
                <w:sz w:val="18"/>
                <w:szCs w:val="18"/>
              </w:rPr>
            </w:pPr>
          </w:p>
        </w:tc>
        <w:tc>
          <w:tcPr>
            <w:tcW w:w="635" w:type="dxa"/>
            <w:vMerge w:val="continue"/>
            <w:shd w:val="solid" w:color="FFFFFF" w:fill="FFFFFF"/>
            <w:vAlign w:val="center"/>
          </w:tcPr>
          <w:p w14:paraId="1D5D37BD">
            <w:pPr>
              <w:spacing w:line="320" w:lineRule="exact"/>
              <w:jc w:val="left"/>
              <w:rPr>
                <w:rFonts w:ascii="宋体" w:hAnsi="宋体" w:cs="宋体"/>
                <w:bCs/>
                <w:sz w:val="18"/>
                <w:szCs w:val="18"/>
              </w:rPr>
            </w:pPr>
          </w:p>
        </w:tc>
        <w:tc>
          <w:tcPr>
            <w:tcW w:w="1085" w:type="dxa"/>
            <w:shd w:val="solid" w:color="FFFFFF" w:fill="FFFFFF"/>
            <w:vAlign w:val="center"/>
          </w:tcPr>
          <w:p w14:paraId="3A3DE65E">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59297A94">
            <w:pPr>
              <w:spacing w:line="320" w:lineRule="exact"/>
              <w:jc w:val="left"/>
              <w:rPr>
                <w:rFonts w:ascii="宋体" w:hAnsi="宋体" w:cs="宋体"/>
                <w:bCs/>
                <w:sz w:val="18"/>
                <w:szCs w:val="18"/>
              </w:rPr>
            </w:pPr>
          </w:p>
        </w:tc>
        <w:tc>
          <w:tcPr>
            <w:tcW w:w="1234" w:type="dxa"/>
            <w:shd w:val="solid" w:color="FFFFFF" w:fill="FFFFFF"/>
            <w:vAlign w:val="center"/>
          </w:tcPr>
          <w:p w14:paraId="4381CB36">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6A35B121">
            <w:pPr>
              <w:spacing w:line="320" w:lineRule="exact"/>
              <w:jc w:val="left"/>
              <w:rPr>
                <w:rFonts w:ascii="宋体" w:hAnsi="宋体" w:cs="宋体"/>
                <w:bCs/>
                <w:sz w:val="18"/>
                <w:szCs w:val="18"/>
              </w:rPr>
            </w:pPr>
          </w:p>
        </w:tc>
      </w:tr>
      <w:tr w14:paraId="605A54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C706EF2">
            <w:pPr>
              <w:spacing w:line="320" w:lineRule="exact"/>
              <w:jc w:val="left"/>
              <w:rPr>
                <w:rFonts w:ascii="宋体" w:hAnsi="宋体" w:cs="宋体"/>
                <w:b/>
                <w:bCs/>
                <w:sz w:val="18"/>
                <w:szCs w:val="18"/>
              </w:rPr>
            </w:pPr>
          </w:p>
        </w:tc>
        <w:tc>
          <w:tcPr>
            <w:tcW w:w="635" w:type="dxa"/>
            <w:vMerge w:val="continue"/>
            <w:shd w:val="solid" w:color="FFFFFF" w:fill="FFFFFF"/>
            <w:vAlign w:val="center"/>
          </w:tcPr>
          <w:p w14:paraId="71FC2AA5">
            <w:pPr>
              <w:spacing w:line="320" w:lineRule="exact"/>
              <w:jc w:val="left"/>
              <w:rPr>
                <w:rFonts w:ascii="宋体" w:hAnsi="宋体" w:cs="宋体"/>
                <w:bCs/>
                <w:sz w:val="18"/>
                <w:szCs w:val="18"/>
              </w:rPr>
            </w:pPr>
          </w:p>
        </w:tc>
        <w:tc>
          <w:tcPr>
            <w:tcW w:w="1085" w:type="dxa"/>
            <w:shd w:val="solid" w:color="FFFFFF" w:fill="FFFFFF"/>
            <w:vAlign w:val="center"/>
          </w:tcPr>
          <w:p w14:paraId="3BDF7EA9">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1A3B4B1A">
            <w:pPr>
              <w:spacing w:line="320" w:lineRule="exact"/>
              <w:jc w:val="left"/>
              <w:rPr>
                <w:rFonts w:ascii="宋体" w:hAnsi="宋体" w:cs="宋体"/>
                <w:bCs/>
                <w:sz w:val="18"/>
                <w:szCs w:val="18"/>
              </w:rPr>
            </w:pPr>
          </w:p>
        </w:tc>
      </w:tr>
      <w:tr w14:paraId="455A5F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A076D7A">
            <w:pPr>
              <w:spacing w:line="320" w:lineRule="exact"/>
              <w:jc w:val="left"/>
              <w:rPr>
                <w:rFonts w:ascii="宋体" w:hAnsi="宋体" w:cs="宋体"/>
                <w:b/>
                <w:bCs/>
                <w:sz w:val="18"/>
                <w:szCs w:val="18"/>
              </w:rPr>
            </w:pPr>
          </w:p>
        </w:tc>
        <w:tc>
          <w:tcPr>
            <w:tcW w:w="635" w:type="dxa"/>
            <w:vMerge w:val="continue"/>
            <w:shd w:val="solid" w:color="FFFFFF" w:fill="FFFFFF"/>
            <w:vAlign w:val="center"/>
          </w:tcPr>
          <w:p w14:paraId="6D5BE5BF">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32F12543">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119F0D5F">
            <w:pPr>
              <w:spacing w:line="320" w:lineRule="exact"/>
              <w:jc w:val="left"/>
              <w:rPr>
                <w:rFonts w:ascii="宋体" w:hAnsi="宋体" w:cs="宋体"/>
                <w:bCs/>
                <w:sz w:val="18"/>
                <w:szCs w:val="18"/>
              </w:rPr>
            </w:pPr>
          </w:p>
        </w:tc>
      </w:tr>
      <w:tr w14:paraId="5B522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44B4440">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5336F8D1">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FB5A9B6">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4B6AC51">
            <w:pPr>
              <w:spacing w:line="320" w:lineRule="exact"/>
              <w:jc w:val="left"/>
              <w:rPr>
                <w:rFonts w:ascii="宋体" w:hAnsi="宋体" w:cs="宋体"/>
                <w:bCs/>
                <w:sz w:val="18"/>
                <w:szCs w:val="18"/>
              </w:rPr>
            </w:pPr>
          </w:p>
        </w:tc>
      </w:tr>
      <w:tr w14:paraId="6A5C5B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B7F5F17">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69C1D4D1">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804193F">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6979788">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3FF3907">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806E289">
            <w:pPr>
              <w:spacing w:line="320" w:lineRule="exact"/>
              <w:jc w:val="left"/>
              <w:rPr>
                <w:rFonts w:ascii="宋体" w:hAnsi="宋体" w:cs="宋体"/>
                <w:bCs/>
                <w:sz w:val="18"/>
                <w:szCs w:val="18"/>
              </w:rPr>
            </w:pPr>
          </w:p>
        </w:tc>
      </w:tr>
      <w:tr w14:paraId="7DDF3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A5C83C1">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2B5D3816">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1F58080">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A66AEB3">
            <w:pPr>
              <w:spacing w:line="320" w:lineRule="exact"/>
              <w:jc w:val="left"/>
              <w:rPr>
                <w:rFonts w:ascii="宋体" w:hAnsi="宋体" w:cs="宋体"/>
                <w:bCs/>
                <w:sz w:val="18"/>
                <w:szCs w:val="18"/>
              </w:rPr>
            </w:pPr>
          </w:p>
        </w:tc>
      </w:tr>
      <w:tr w14:paraId="3909EA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04AF8D9">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6DA0E5C">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2917708">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089C51B">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1B9FAEA">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92B5B41">
            <w:pPr>
              <w:spacing w:line="320" w:lineRule="exact"/>
              <w:jc w:val="left"/>
              <w:rPr>
                <w:rFonts w:ascii="宋体" w:hAnsi="宋体" w:cs="宋体"/>
                <w:bCs/>
                <w:sz w:val="18"/>
                <w:szCs w:val="18"/>
              </w:rPr>
            </w:pPr>
          </w:p>
        </w:tc>
      </w:tr>
      <w:tr w14:paraId="27B3B0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69B7B98">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661337B">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8F0C631">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3C0D9DF">
            <w:pPr>
              <w:spacing w:line="320" w:lineRule="exact"/>
              <w:jc w:val="left"/>
              <w:rPr>
                <w:rFonts w:ascii="宋体" w:hAnsi="宋体" w:cs="宋体"/>
                <w:bCs/>
                <w:sz w:val="18"/>
                <w:szCs w:val="18"/>
              </w:rPr>
            </w:pPr>
          </w:p>
        </w:tc>
      </w:tr>
      <w:tr w14:paraId="12C02C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340F6712">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4D10F1E4">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DF5A452">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06648C5">
            <w:pPr>
              <w:spacing w:line="320" w:lineRule="exact"/>
              <w:jc w:val="left"/>
              <w:rPr>
                <w:rFonts w:ascii="宋体" w:hAnsi="宋体" w:cs="宋体"/>
                <w:bCs/>
                <w:sz w:val="18"/>
                <w:szCs w:val="18"/>
              </w:rPr>
            </w:pPr>
          </w:p>
        </w:tc>
      </w:tr>
      <w:tr w14:paraId="7C793E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2B5F793A">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475C75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0DE1B4AF">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6C80524A">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1E8C0BDF">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69111319">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294AB0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08303B36">
            <w:pPr>
              <w:spacing w:line="320" w:lineRule="exact"/>
              <w:jc w:val="left"/>
              <w:rPr>
                <w:rFonts w:ascii="宋体" w:hAnsi="宋体" w:cs="宋体"/>
                <w:b/>
                <w:bCs/>
                <w:sz w:val="18"/>
                <w:szCs w:val="18"/>
              </w:rPr>
            </w:pPr>
          </w:p>
        </w:tc>
        <w:tc>
          <w:tcPr>
            <w:tcW w:w="1720" w:type="dxa"/>
            <w:gridSpan w:val="2"/>
            <w:shd w:val="solid" w:color="FFFFFF" w:fill="FFFFFF"/>
            <w:vAlign w:val="center"/>
          </w:tcPr>
          <w:p w14:paraId="0A9A4EC1">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61BA649C">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15F5AA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7C66D8AF">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1C4EECC2">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46E5DB1B">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2404AE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513F6578">
            <w:pPr>
              <w:spacing w:line="320" w:lineRule="exact"/>
              <w:jc w:val="left"/>
              <w:rPr>
                <w:rFonts w:ascii="宋体" w:hAnsi="宋体" w:cs="宋体"/>
                <w:bCs/>
                <w:sz w:val="18"/>
                <w:szCs w:val="18"/>
              </w:rPr>
            </w:pPr>
          </w:p>
        </w:tc>
      </w:tr>
      <w:tr w14:paraId="22789D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00D09FE0">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478B7963">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70E35517">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78E5640A">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4408E71C">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1C67635F">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7FE5BE7E">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6041EF4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71324DFD">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492C695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54AB5F34">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39442F11">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0CA02D3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0651888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04DAB4D5">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6C3A08A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75F0A6C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247B112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5D9FBF7E">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7EB4E2A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7D9A14D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5D2A968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1197EA32">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285F127A">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49E5123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1827C5D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6A0FBDF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740F0C4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14888D7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71DE1FF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491764E7">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03DE067F">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12A9C14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5CB96A9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64750E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2F47E225">
      <w:pPr>
        <w:widowControl/>
        <w:spacing w:line="360" w:lineRule="auto"/>
        <w:jc w:val="left"/>
        <w:rPr>
          <w:rFonts w:ascii="宋体" w:hAnsi="宋体" w:cs="仿宋_GB2312"/>
          <w:kern w:val="0"/>
          <w:sz w:val="18"/>
          <w:szCs w:val="18"/>
        </w:rPr>
      </w:pPr>
    </w:p>
    <w:p w14:paraId="737F7B2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5D6EA76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33A980E0">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0C5A01F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2088D26D">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33BFD657">
      <w:pPr>
        <w:widowControl/>
        <w:spacing w:line="360" w:lineRule="auto"/>
        <w:jc w:val="left"/>
        <w:rPr>
          <w:rFonts w:ascii="宋体" w:hAnsi="宋体" w:cs="仿宋_GB2312"/>
          <w:kern w:val="0"/>
          <w:sz w:val="18"/>
          <w:szCs w:val="18"/>
        </w:rPr>
      </w:pPr>
    </w:p>
    <w:p w14:paraId="46640C6C">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052D76D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27B97A7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0564E0D5">
      <w:pPr>
        <w:widowControl/>
        <w:spacing w:line="360" w:lineRule="auto"/>
        <w:jc w:val="left"/>
        <w:rPr>
          <w:rFonts w:ascii="宋体" w:hAnsi="宋体" w:cs="仿宋_GB2312"/>
          <w:kern w:val="0"/>
          <w:sz w:val="18"/>
          <w:szCs w:val="18"/>
        </w:rPr>
      </w:pPr>
    </w:p>
    <w:p w14:paraId="5E64425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249BBEC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6A79F31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51EB5F2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6C4A535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59A37D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2C7F797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17A5E44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4087CD6C">
      <w:pPr>
        <w:widowControl/>
        <w:spacing w:line="360" w:lineRule="auto"/>
        <w:jc w:val="left"/>
        <w:rPr>
          <w:rFonts w:ascii="宋体" w:hAnsi="宋体" w:cs="仿宋_GB2312"/>
          <w:b/>
          <w:kern w:val="0"/>
          <w:sz w:val="18"/>
          <w:szCs w:val="18"/>
        </w:rPr>
      </w:pPr>
    </w:p>
    <w:p w14:paraId="74F8760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13F6991B">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4EE6A669">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5889651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3806A055">
      <w:pPr>
        <w:widowControl/>
        <w:jc w:val="left"/>
        <w:rPr>
          <w:rFonts w:ascii="宋体" w:hAnsi="宋体" w:cs="仿宋_GB2312"/>
          <w:b/>
          <w:kern w:val="0"/>
          <w:sz w:val="18"/>
          <w:szCs w:val="18"/>
        </w:rPr>
      </w:pPr>
      <w:r>
        <w:rPr>
          <w:rFonts w:ascii="宋体" w:hAnsi="宋体" w:cs="仿宋_GB2312"/>
          <w:b/>
          <w:kern w:val="0"/>
          <w:sz w:val="18"/>
          <w:szCs w:val="18"/>
        </w:rPr>
        <w:br w:type="page"/>
      </w:r>
    </w:p>
    <w:p w14:paraId="62D34EE9">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6BADEA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3A53D645">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05BF2C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03ED2267">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64325749">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22494C10">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788DF14F">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498108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6A40A764">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71109220">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2B54F5DD">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7462D0DA">
            <w:pPr>
              <w:spacing w:line="360" w:lineRule="auto"/>
              <w:rPr>
                <w:rFonts w:ascii="Calibri" w:hAnsi="Calibri" w:cs="宋体"/>
                <w:b/>
                <w:kern w:val="0"/>
                <w:sz w:val="18"/>
                <w:szCs w:val="18"/>
              </w:rPr>
            </w:pPr>
          </w:p>
          <w:p w14:paraId="7B40B7EF">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58A4BE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23A45BDA">
            <w:pPr>
              <w:spacing w:line="360" w:lineRule="auto"/>
              <w:rPr>
                <w:rFonts w:ascii="Calibri" w:hAnsi="Calibri" w:cs="宋体"/>
                <w:b/>
                <w:kern w:val="0"/>
                <w:sz w:val="18"/>
                <w:szCs w:val="18"/>
              </w:rPr>
            </w:pPr>
          </w:p>
        </w:tc>
        <w:tc>
          <w:tcPr>
            <w:tcW w:w="851" w:type="dxa"/>
          </w:tcPr>
          <w:p w14:paraId="135C46F8">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6992D39C">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18B2A066">
            <w:pPr>
              <w:spacing w:line="360" w:lineRule="auto"/>
              <w:rPr>
                <w:rFonts w:ascii="Calibri" w:hAnsi="Calibri" w:cs="Arial"/>
                <w:kern w:val="0"/>
                <w:sz w:val="18"/>
                <w:szCs w:val="18"/>
              </w:rPr>
            </w:pPr>
          </w:p>
          <w:p w14:paraId="5C522A5E">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6A0C7B1D">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12E26F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779AC04A">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543243E9">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1D86DB19">
            <w:pPr>
              <w:spacing w:line="360" w:lineRule="auto"/>
              <w:rPr>
                <w:rFonts w:ascii="Calibri" w:hAnsi="Calibri" w:cs="宋体"/>
                <w:b/>
                <w:kern w:val="0"/>
                <w:sz w:val="18"/>
                <w:szCs w:val="18"/>
              </w:rPr>
            </w:pPr>
          </w:p>
          <w:p w14:paraId="7DDEE2B7">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240CAA3F">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35292BDB">
      <w:pPr>
        <w:rPr>
          <w:rFonts w:ascii="Calibri" w:hAnsi="Calibri" w:cs="宋体"/>
          <w:szCs w:val="22"/>
        </w:rPr>
      </w:pPr>
    </w:p>
    <w:p w14:paraId="41C0FAE4">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7BBD8693">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【兴银理财稳利恒盈封闭式2026年828期固收类理财产品】</w:t>
      </w:r>
    </w:p>
    <w:p w14:paraId="2EA2C88F">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11AF23AF">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06769BF9">
      <w:pPr>
        <w:rPr>
          <w:rFonts w:ascii="宋体" w:hAnsi="宋体" w:cs="仿宋_GB2312"/>
          <w:b/>
          <w:kern w:val="0"/>
          <w:sz w:val="18"/>
          <w:szCs w:val="18"/>
        </w:rPr>
      </w:pPr>
      <w:r>
        <w:rPr>
          <w:rFonts w:hint="eastAsia" w:ascii="宋体" w:hAnsi="宋体" w:cs="仿宋_GB2312"/>
          <w:b/>
          <w:kern w:val="0"/>
          <w:sz w:val="18"/>
          <w:szCs w:val="18"/>
        </w:rPr>
        <w:t>尊敬的投资者：</w:t>
      </w:r>
    </w:p>
    <w:p w14:paraId="387F4599">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6DEAB047">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721A9E15">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6C50309A">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645A8630">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【兴银理财稳利恒盈封闭式2026年828期固收类理财产品</w:t>
      </w:r>
      <w:r>
        <w:rPr>
          <w:rFonts w:hint="eastAsia" w:cs="宋体" w:asciiTheme="majorEastAsia" w:hAnsiTheme="majorEastAsia" w:eastAsiaTheme="majorEastAsia"/>
          <w:bCs/>
          <w:kern w:val="0"/>
          <w:sz w:val="18"/>
          <w:szCs w:val="18"/>
        </w:rPr>
        <w:t>】</w:t>
      </w:r>
    </w:p>
    <w:p w14:paraId="70BBF7BC">
      <w:pPr>
        <w:ind w:firstLine="448" w:firstLineChars="249"/>
        <w:rPr>
          <w:rFonts w:ascii="宋体" w:hAnsi="宋体" w:cs="仿宋_GB2312"/>
          <w:kern w:val="0"/>
          <w:sz w:val="18"/>
          <w:szCs w:val="18"/>
        </w:rPr>
      </w:pPr>
      <w:r>
        <w:rPr>
          <w:rFonts w:ascii="宋体" w:hAnsi="宋体" w:eastAsia="宋体" w:cs="宋体"/>
          <w:sz w:val="18"/>
          <w:szCs w:val="22"/>
        </w:rPr>
        <w:t>销售名称：【稳利恒盈封闭式2026年828期（兴嘉选）A】 (适用【A】类份额)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【稳利恒盈封闭式2026年828期（兴嘉选）B】 (适用【B】类份额)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【稳利恒盈封闭式2026年828期（兴嘉选）C】 (适用【C】类份额)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【稳利恒盈封闭式2026年828期（兴嘉选）D】 (适用【D】类份额)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【稳利恒盈封闭式2026年828期（兴嘉选）E】 (适用【E】类份额)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【稳利恒盈封闭式2026年828期（兴嘉选）F】 (适用【F】类份额)</w:t>
      </w:r>
      <w:r>
        <w:rPr>
          <w:rFonts w:ascii="宋体" w:hAnsi="宋体" w:eastAsia="宋体" w:cs="宋体"/>
          <w:sz w:val="18"/>
          <w:szCs w:val="22"/>
        </w:rPr>
        <w:br w:type="textWrapping"/>
      </w:r>
      <w:r>
        <w:rPr>
          <w:rFonts w:ascii="宋体" w:hAnsi="宋体" w:eastAsia="宋体" w:cs="宋体"/>
          <w:sz w:val="18"/>
          <w:szCs w:val="22"/>
        </w:rPr>
        <w:t xml:space="preserve"> </w:t>
      </w:r>
    </w:p>
    <w:p w14:paraId="2CFAEA8D">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Z7002026000964</w:t>
      </w:r>
      <w:r>
        <w:rPr>
          <w:rFonts w:ascii="宋体" w:hAnsi="宋体" w:cs="仿宋_GB2312"/>
          <w:kern w:val="0"/>
          <w:sz w:val="18"/>
          <w:szCs w:val="18"/>
        </w:rPr>
        <w:t>】</w:t>
      </w:r>
    </w:p>
    <w:p w14:paraId="067DE02B">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34FBAFB5">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45C34B94">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7A2AF53E">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【■有固定期限:【1093天】</w:t>
      </w:r>
    </w:p>
    <w:p w14:paraId="2ED1022E">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2DF45F96">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3B203C8A">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1D76D4FE">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05DB6909">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53B15E22">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本理财产品风险评级最终定义为【R2】（产品管理人定义的产品风险评级为【R2】；代理销售机构定义的产品风险评级为【R2】）。</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3861CC65">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452484F7">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6AAAC79B">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■个人投资者：【□ C1、■C2、■ C3、■ C4、■ C5】。</w:t>
      </w:r>
    </w:p>
    <w:p w14:paraId="580D44D5">
      <w:pPr>
        <w:keepNext w:val="0"/>
        <w:keepLines w:val="0"/>
        <w:widowControl w:val="0"/>
        <w:suppressLineNumbers w:val="0"/>
        <w:spacing w:before="0" w:beforeAutospacing="0" w:after="0" w:afterAutospacing="0"/>
        <w:ind w:left="0" w:right="0" w:firstLine="360" w:firstLineChars="200"/>
        <w:jc w:val="both"/>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C1、■C2、■ C3、■ C4、■ C5】。</w:t>
      </w:r>
    </w:p>
    <w:p w14:paraId="2AD9D8C3">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70B39CF0">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21AC5F5A">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7372814F">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4B28B292">
      <w:pPr>
        <w:spacing w:line="360" w:lineRule="auto"/>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38C79D6C">
      <w:pPr>
        <w:spacing w:line="360" w:lineRule="auto"/>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0F4E5625">
      <w:pPr>
        <w:spacing w:line="360" w:lineRule="auto"/>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711CB787">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76AD69E9">
      <w:pPr>
        <w:spacing w:line="360" w:lineRule="auto"/>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0F397AF7">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17AC958B">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（2）投资商品和金融衍生品类资产的风险 </w:t>
      </w:r>
    </w:p>
    <w:p w14:paraId="0EC3F739">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4D330268">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4328BF27">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3AD13168">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27919A21">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26983E7C">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40C9F377">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3CF87EA0">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00BE8976">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24A17721">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7E315869">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44B21061">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539C6994">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76A9999C">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5AA10DAF">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719636DB">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1F86BB2E">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49FE738D">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396E4FCD">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071FE7BA">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2D53ED49">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2281A99B">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3FA5CD99">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74BB7305">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3967FE26">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2C4930FA">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57E37C82">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36B42D00">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30680FBF">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63048A9E">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6DE882F7">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29AE4EE6">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2AADED3C">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43585624">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602A677E">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5906077E">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05032B79">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19DABE23">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3B984A7D">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5F2C3731">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3618EBE6">
      <w:pPr>
        <w:ind w:left="540"/>
        <w:jc w:val="right"/>
        <w:rPr>
          <w:rFonts w:ascii="宋体" w:hAnsi="宋体" w:cs="宋体"/>
          <w:sz w:val="18"/>
          <w:szCs w:val="18"/>
        </w:rPr>
      </w:pPr>
    </w:p>
    <w:p w14:paraId="0DEDAF43">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0DD00CD1">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556028C5">
      <w:pPr>
        <w:widowControl/>
        <w:jc w:val="left"/>
        <w:rPr>
          <w:rFonts w:ascii="宋体" w:hAnsi="宋体" w:cs="宋体"/>
          <w:sz w:val="18"/>
          <w:szCs w:val="18"/>
        </w:rPr>
      </w:pPr>
      <w:r>
        <w:rPr>
          <w:rFonts w:ascii="宋体" w:hAnsi="宋体" w:cs="宋体"/>
          <w:sz w:val="18"/>
          <w:szCs w:val="18"/>
        </w:rPr>
        <w:br w:type="page"/>
      </w:r>
    </w:p>
    <w:p w14:paraId="733555A0">
      <w:pPr>
        <w:ind w:left="540"/>
        <w:jc w:val="right"/>
        <w:rPr>
          <w:rFonts w:ascii="宋体" w:hAnsi="宋体" w:cs="宋体"/>
          <w:sz w:val="18"/>
          <w:szCs w:val="18"/>
        </w:rPr>
      </w:pPr>
    </w:p>
    <w:p w14:paraId="4DF3E3FA">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5D00B0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3F977BBA">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1A5B7078">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20D0B7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56B5CD3B">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48D3E43C">
            <w:pPr>
              <w:spacing w:line="280" w:lineRule="atLeast"/>
              <w:jc w:val="left"/>
              <w:rPr>
                <w:rFonts w:ascii="宋体" w:hAnsi="宋体" w:cs="Arial"/>
                <w:sz w:val="18"/>
                <w:szCs w:val="18"/>
              </w:rPr>
            </w:pPr>
          </w:p>
          <w:p w14:paraId="1ACB760F">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4A9B5A7">
            <w:pPr>
              <w:spacing w:line="280" w:lineRule="atLeast"/>
              <w:jc w:val="left"/>
              <w:rPr>
                <w:rFonts w:ascii="宋体" w:hAnsi="宋体" w:cs="Arial"/>
                <w:kern w:val="0"/>
                <w:sz w:val="18"/>
                <w:szCs w:val="18"/>
              </w:rPr>
            </w:pPr>
          </w:p>
          <w:p w14:paraId="50D23AE0">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55A246F2">
            <w:pPr>
              <w:spacing w:line="280" w:lineRule="atLeast"/>
              <w:jc w:val="left"/>
              <w:rPr>
                <w:rFonts w:ascii="宋体" w:hAnsi="宋体" w:cs="Arial"/>
                <w:kern w:val="0"/>
                <w:sz w:val="18"/>
                <w:szCs w:val="18"/>
              </w:rPr>
            </w:pPr>
          </w:p>
          <w:p w14:paraId="4B69E1A9">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24175138">
            <w:pPr>
              <w:spacing w:line="280" w:lineRule="atLeast"/>
              <w:jc w:val="left"/>
              <w:rPr>
                <w:rFonts w:ascii="Calibri" w:hAnsi="Calibri" w:cs="宋体"/>
                <w:kern w:val="0"/>
                <w:sz w:val="18"/>
                <w:szCs w:val="18"/>
                <w:u w:val="single"/>
              </w:rPr>
            </w:pPr>
          </w:p>
          <w:p w14:paraId="223EAECF">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053B1C3A">
            <w:pPr>
              <w:spacing w:line="280" w:lineRule="atLeast"/>
              <w:ind w:left="4200" w:firstLine="1080" w:firstLineChars="600"/>
              <w:jc w:val="left"/>
              <w:rPr>
                <w:rFonts w:ascii="宋体" w:hAnsi="宋体" w:cs="Arial"/>
                <w:kern w:val="0"/>
                <w:sz w:val="18"/>
                <w:szCs w:val="18"/>
              </w:rPr>
            </w:pPr>
          </w:p>
          <w:p w14:paraId="0138AF7E">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1B5DF71A">
            <w:pPr>
              <w:spacing w:line="280" w:lineRule="atLeast"/>
              <w:ind w:left="4200" w:firstLine="1080" w:firstLineChars="600"/>
              <w:jc w:val="left"/>
              <w:rPr>
                <w:rFonts w:ascii="宋体" w:hAnsi="宋体" w:cs="Arial"/>
                <w:kern w:val="0"/>
                <w:sz w:val="18"/>
                <w:szCs w:val="18"/>
              </w:rPr>
            </w:pPr>
          </w:p>
          <w:p w14:paraId="32354001">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36B47063">
            <w:pPr>
              <w:spacing w:line="280" w:lineRule="atLeast"/>
              <w:jc w:val="right"/>
              <w:rPr>
                <w:rFonts w:ascii="宋体" w:hAnsi="宋体" w:cs="宋体"/>
                <w:kern w:val="0"/>
                <w:sz w:val="18"/>
                <w:szCs w:val="18"/>
              </w:rPr>
            </w:pPr>
          </w:p>
        </w:tc>
      </w:tr>
    </w:tbl>
    <w:p w14:paraId="47839729">
      <w:pPr>
        <w:autoSpaceDE w:val="0"/>
        <w:autoSpaceDN w:val="0"/>
        <w:adjustRightInd w:val="0"/>
        <w:spacing w:line="360" w:lineRule="auto"/>
        <w:ind w:firstLine="420"/>
        <w:jc w:val="left"/>
        <w:rPr>
          <w:rFonts w:ascii="宋体" w:hAnsi="宋体" w:cs="宋体"/>
          <w:sz w:val="24"/>
          <w:szCs w:val="22"/>
        </w:rPr>
      </w:pPr>
    </w:p>
    <w:p w14:paraId="68221CC2">
      <w:pPr>
        <w:rPr>
          <w:rFonts w:ascii="宋体" w:hAnsi="宋体" w:cs="Arial"/>
          <w:sz w:val="24"/>
          <w:szCs w:val="22"/>
        </w:rPr>
      </w:pPr>
    </w:p>
    <w:p w14:paraId="6E64D869">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68EF15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4291962A">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403264D6">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6B320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54FDDD05">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4AB45A9D">
            <w:pPr>
              <w:spacing w:line="280" w:lineRule="atLeast"/>
              <w:ind w:firstLine="360" w:firstLineChars="200"/>
              <w:jc w:val="left"/>
              <w:rPr>
                <w:rFonts w:ascii="宋体" w:hAnsi="宋体" w:cs="Arial"/>
                <w:kern w:val="0"/>
                <w:sz w:val="18"/>
                <w:szCs w:val="18"/>
              </w:rPr>
            </w:pPr>
          </w:p>
          <w:p w14:paraId="1B1DC251">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3710BE04">
            <w:pPr>
              <w:spacing w:line="280" w:lineRule="atLeast"/>
              <w:ind w:firstLine="360" w:firstLineChars="200"/>
              <w:jc w:val="left"/>
              <w:rPr>
                <w:rFonts w:ascii="宋体" w:hAnsi="宋体" w:cs="Arial"/>
                <w:kern w:val="0"/>
                <w:sz w:val="18"/>
                <w:szCs w:val="18"/>
              </w:rPr>
            </w:pPr>
          </w:p>
          <w:p w14:paraId="6BD13F69">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6C7B0A87">
            <w:pPr>
              <w:spacing w:line="280" w:lineRule="atLeast"/>
              <w:jc w:val="left"/>
              <w:rPr>
                <w:rFonts w:ascii="宋体" w:hAnsi="宋体" w:cs="Arial"/>
                <w:kern w:val="0"/>
                <w:sz w:val="18"/>
                <w:szCs w:val="18"/>
              </w:rPr>
            </w:pPr>
          </w:p>
          <w:p w14:paraId="48F2DEE7">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36BC6D75">
            <w:pPr>
              <w:spacing w:line="280" w:lineRule="atLeast"/>
              <w:jc w:val="left"/>
              <w:rPr>
                <w:rFonts w:ascii="宋体" w:hAnsi="宋体" w:cs="Arial"/>
                <w:kern w:val="0"/>
                <w:sz w:val="18"/>
                <w:szCs w:val="18"/>
              </w:rPr>
            </w:pPr>
          </w:p>
          <w:p w14:paraId="290DCDFD">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4604F918">
            <w:pPr>
              <w:spacing w:line="280" w:lineRule="atLeast"/>
              <w:jc w:val="left"/>
              <w:rPr>
                <w:rFonts w:ascii="宋体" w:hAnsi="宋体" w:cs="Arial"/>
                <w:kern w:val="0"/>
                <w:sz w:val="18"/>
                <w:szCs w:val="18"/>
              </w:rPr>
            </w:pPr>
          </w:p>
          <w:p w14:paraId="5FBDF6C3">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31FB6E7D">
            <w:pPr>
              <w:spacing w:line="280" w:lineRule="atLeast"/>
              <w:ind w:left="4200" w:firstLine="1080" w:firstLineChars="600"/>
              <w:jc w:val="left"/>
              <w:rPr>
                <w:rFonts w:ascii="宋体" w:hAnsi="宋体" w:cs="Arial"/>
                <w:kern w:val="0"/>
                <w:sz w:val="18"/>
                <w:szCs w:val="18"/>
              </w:rPr>
            </w:pPr>
          </w:p>
          <w:p w14:paraId="75EE84E2">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17D5D9CF">
            <w:pPr>
              <w:spacing w:line="280" w:lineRule="atLeast"/>
              <w:rPr>
                <w:rFonts w:ascii="Calibri" w:hAnsi="Calibri" w:cs="宋体"/>
                <w:kern w:val="0"/>
                <w:sz w:val="20"/>
                <w:szCs w:val="20"/>
              </w:rPr>
            </w:pPr>
          </w:p>
          <w:p w14:paraId="4610F87C">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7DE52684">
      <w:pPr>
        <w:widowControl/>
        <w:jc w:val="left"/>
        <w:rPr>
          <w:rFonts w:hint="eastAsia" w:ascii="宋体" w:hAnsi="宋体" w:cs="宋体"/>
          <w:b/>
          <w:sz w:val="28"/>
          <w:szCs w:val="28"/>
        </w:rPr>
      </w:pPr>
    </w:p>
    <w:p w14:paraId="3A6FB0A1">
      <w:pPr>
        <w:autoSpaceDE w:val="0"/>
        <w:autoSpaceDN w:val="0"/>
        <w:adjustRightInd w:val="0"/>
        <w:spacing w:line="360" w:lineRule="auto"/>
        <w:ind w:firstLine="420"/>
        <w:jc w:val="left"/>
        <w:rPr>
          <w:rFonts w:ascii="宋体" w:hAnsi="宋体"/>
          <w:sz w:val="24"/>
        </w:rPr>
      </w:pPr>
    </w:p>
    <w:p w14:paraId="13E87149">
      <w:pPr>
        <w:rPr>
          <w:rFonts w:ascii="宋体" w:hAnsi="宋体" w:cs="Arial"/>
          <w:sz w:val="24"/>
        </w:rPr>
      </w:pPr>
    </w:p>
    <w:p w14:paraId="53E49063">
      <w:pPr>
        <w:widowControl/>
        <w:jc w:val="left"/>
        <w:rPr>
          <w:rFonts w:ascii="宋体" w:hAnsi="宋体"/>
          <w:b/>
          <w:sz w:val="28"/>
          <w:szCs w:val="28"/>
        </w:rPr>
      </w:pPr>
    </w:p>
    <w:p w14:paraId="176987DE">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103770E3">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【兴银理财稳利恒盈封闭式2026年828期固收类理财产品】</w:t>
      </w:r>
    </w:p>
    <w:p w14:paraId="1DB80E6D">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2F9E769F">
      <w:pPr>
        <w:pStyle w:val="14"/>
        <w:jc w:val="center"/>
        <w:rPr>
          <w:rFonts w:hAnsi="宋体"/>
          <w:b/>
          <w:color w:val="auto"/>
          <w:sz w:val="28"/>
          <w:szCs w:val="28"/>
        </w:rPr>
      </w:pPr>
      <w:r>
        <w:rPr>
          <w:rFonts w:hint="eastAsia" w:hAnsi="宋体"/>
          <w:b/>
          <w:color w:val="auto"/>
          <w:sz w:val="28"/>
          <w:szCs w:val="28"/>
        </w:rPr>
        <w:t>（适用于个人投资者）</w:t>
      </w:r>
    </w:p>
    <w:p w14:paraId="38F1BD98">
      <w:pPr>
        <w:rPr>
          <w:rFonts w:ascii="宋体" w:hAnsi="宋体"/>
          <w:b/>
          <w:sz w:val="18"/>
          <w:szCs w:val="18"/>
        </w:rPr>
      </w:pPr>
      <w:r>
        <w:rPr>
          <w:rFonts w:hint="eastAsia" w:ascii="宋体" w:hAnsi="宋体"/>
          <w:b/>
          <w:sz w:val="18"/>
          <w:szCs w:val="18"/>
        </w:rPr>
        <w:t>尊敬的投资者：</w:t>
      </w:r>
    </w:p>
    <w:p w14:paraId="3EA0998A">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w:t>
      </w:r>
      <w:r>
        <w:rPr>
          <w:rFonts w:hint="eastAsia" w:asciiTheme="majorEastAsia" w:hAnsiTheme="majorEastAsia" w:eastAsiaTheme="majorEastAsia"/>
          <w:bCs/>
          <w:sz w:val="18"/>
          <w:szCs w:val="18"/>
        </w:rPr>
        <w:t>■</w:t>
      </w:r>
      <w:r>
        <w:rPr>
          <w:rFonts w:hint="eastAsia" w:ascii="宋体" w:hAnsi="宋体"/>
          <w:sz w:val="18"/>
          <w:szCs w:val="18"/>
        </w:rPr>
        <w:t>代销：代理销售机构销售)的形式购买兴银理财有限责任公司（以下简称“兴银理财”）作为产品管理人管理的理财产品。</w:t>
      </w:r>
    </w:p>
    <w:p w14:paraId="47C62D1B">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2B0A0C7D">
      <w:pPr>
        <w:ind w:firstLine="360" w:firstLineChars="200"/>
        <w:rPr>
          <w:rFonts w:ascii="宋体" w:hAnsi="宋体"/>
          <w:sz w:val="18"/>
          <w:szCs w:val="18"/>
        </w:rPr>
      </w:pPr>
    </w:p>
    <w:p w14:paraId="545733CF">
      <w:pPr>
        <w:ind w:firstLine="361" w:firstLineChars="200"/>
        <w:rPr>
          <w:rFonts w:ascii="宋体" w:hAnsi="宋体"/>
          <w:b/>
          <w:sz w:val="18"/>
          <w:szCs w:val="18"/>
        </w:rPr>
      </w:pPr>
      <w:r>
        <w:rPr>
          <w:rFonts w:hint="eastAsia" w:ascii="宋体" w:hAnsi="宋体"/>
          <w:b/>
          <w:sz w:val="18"/>
          <w:szCs w:val="18"/>
        </w:rPr>
        <w:t>一、理财产品购买流程</w:t>
      </w:r>
    </w:p>
    <w:p w14:paraId="7FEB5FD4">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1AAFD353">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D7064C5">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0CD6AEAC">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03B473E1">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67141B0C">
      <w:pPr>
        <w:ind w:firstLine="361" w:firstLineChars="200"/>
        <w:rPr>
          <w:rFonts w:ascii="宋体" w:hAnsi="宋体"/>
          <w:b/>
          <w:sz w:val="18"/>
          <w:szCs w:val="18"/>
        </w:rPr>
      </w:pPr>
      <w:r>
        <w:rPr>
          <w:rFonts w:hint="eastAsia" w:ascii="宋体" w:hAnsi="宋体"/>
          <w:b/>
          <w:sz w:val="18"/>
          <w:szCs w:val="18"/>
        </w:rPr>
        <w:t>（一）投资者风险承受能力评估说明</w:t>
      </w:r>
    </w:p>
    <w:p w14:paraId="67E16BD5">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45BD1B1C">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00257D78">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投资者风险承受能力，个人投资者由低至高分为【C</w:t>
      </w:r>
      <w:r>
        <w:rPr>
          <w:rFonts w:ascii="宋体" w:hAnsi="宋体"/>
          <w:sz w:val="18"/>
          <w:szCs w:val="18"/>
        </w:rPr>
        <w:t>1</w:t>
      </w:r>
      <w:r>
        <w:rPr>
          <w:rFonts w:hint="eastAsia" w:ascii="宋体" w:hAnsi="宋体"/>
          <w:sz w:val="18"/>
          <w:szCs w:val="18"/>
        </w:rPr>
        <w:t>-C</w:t>
      </w:r>
      <w:r>
        <w:rPr>
          <w:rFonts w:hint="eastAsia" w:ascii="宋体" w:hAnsi="宋体"/>
          <w:sz w:val="18"/>
          <w:szCs w:val="18"/>
          <w:lang w:val="en-US" w:eastAsia="zh-CN"/>
        </w:rPr>
        <w:t>5五</w:t>
      </w:r>
      <w:r>
        <w:rPr>
          <w:rFonts w:hint="eastAsia" w:ascii="宋体" w:hAnsi="宋体"/>
          <w:sz w:val="18"/>
          <w:szCs w:val="18"/>
        </w:rPr>
        <w:t>个等级】</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57"/>
        <w:gridCol w:w="4860"/>
        <w:gridCol w:w="2865"/>
      </w:tblGrid>
      <w:tr w14:paraId="3C8F68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2EDE771E">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40E08619">
            <w:pPr>
              <w:jc w:val="center"/>
              <w:rPr>
                <w:rFonts w:ascii="宋体" w:hAnsi="宋体"/>
                <w:sz w:val="18"/>
                <w:szCs w:val="18"/>
              </w:rPr>
            </w:pPr>
            <w:r>
              <w:rPr>
                <w:rFonts w:hint="eastAsia" w:ascii="宋体" w:hAnsi="宋体"/>
                <w:sz w:val="18"/>
                <w:szCs w:val="18"/>
              </w:rPr>
              <w:t>对应的投资者风险承受能力评级</w:t>
            </w:r>
          </w:p>
        </w:tc>
      </w:tr>
      <w:tr w14:paraId="5C22D1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6A019F0F">
            <w:pPr>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60" w:type="dxa"/>
            <w:tcBorders>
              <w:top w:val="single" w:color="auto" w:sz="12" w:space="0"/>
              <w:left w:val="single" w:color="auto" w:sz="12" w:space="0"/>
              <w:bottom w:val="single" w:color="auto" w:sz="12" w:space="0"/>
              <w:right w:val="single" w:color="auto" w:sz="12" w:space="0"/>
            </w:tcBorders>
            <w:vAlign w:val="center"/>
          </w:tcPr>
          <w:p w14:paraId="289373EE">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65" w:type="dxa"/>
            <w:tcBorders>
              <w:top w:val="single" w:color="auto" w:sz="12" w:space="0"/>
              <w:left w:val="single" w:color="auto" w:sz="12" w:space="0"/>
              <w:bottom w:val="single" w:color="auto" w:sz="12" w:space="0"/>
              <w:right w:val="single" w:color="auto" w:sz="12" w:space="0"/>
            </w:tcBorders>
            <w:vAlign w:val="center"/>
          </w:tcPr>
          <w:p w14:paraId="5CFBEB27">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058D4C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7484B304">
            <w:pPr>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60" w:type="dxa"/>
            <w:tcBorders>
              <w:top w:val="single" w:color="auto" w:sz="12" w:space="0"/>
              <w:left w:val="single" w:color="auto" w:sz="12" w:space="0"/>
              <w:bottom w:val="single" w:color="auto" w:sz="12" w:space="0"/>
              <w:right w:val="single" w:color="auto" w:sz="12" w:space="0"/>
            </w:tcBorders>
            <w:vAlign w:val="center"/>
          </w:tcPr>
          <w:p w14:paraId="74ACC42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0FA45355">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581EA2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3B54F93F">
            <w:pPr>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60" w:type="dxa"/>
            <w:tcBorders>
              <w:top w:val="single" w:color="auto" w:sz="12" w:space="0"/>
              <w:left w:val="single" w:color="auto" w:sz="12" w:space="0"/>
              <w:bottom w:val="single" w:color="auto" w:sz="12" w:space="0"/>
              <w:right w:val="single" w:color="auto" w:sz="12" w:space="0"/>
            </w:tcBorders>
            <w:vAlign w:val="center"/>
          </w:tcPr>
          <w:p w14:paraId="67F902DE">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3D79DCFD">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518F7D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3FB49489">
            <w:pPr>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60" w:type="dxa"/>
            <w:tcBorders>
              <w:top w:val="single" w:color="auto" w:sz="12" w:space="0"/>
              <w:left w:val="single" w:color="auto" w:sz="12" w:space="0"/>
              <w:bottom w:val="single" w:color="auto" w:sz="12" w:space="0"/>
              <w:right w:val="single" w:color="auto" w:sz="12" w:space="0"/>
            </w:tcBorders>
            <w:vAlign w:val="center"/>
          </w:tcPr>
          <w:p w14:paraId="0A18C9E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65" w:type="dxa"/>
            <w:tcBorders>
              <w:top w:val="single" w:color="auto" w:sz="12" w:space="0"/>
              <w:left w:val="single" w:color="auto" w:sz="12" w:space="0"/>
              <w:bottom w:val="single" w:color="auto" w:sz="12" w:space="0"/>
              <w:right w:val="single" w:color="auto" w:sz="12" w:space="0"/>
            </w:tcBorders>
            <w:vAlign w:val="center"/>
          </w:tcPr>
          <w:p w14:paraId="289AC46A">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4459F9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1A439E5A">
            <w:pPr>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60" w:type="dxa"/>
            <w:tcBorders>
              <w:top w:val="single" w:color="auto" w:sz="12" w:space="0"/>
              <w:left w:val="single" w:color="auto" w:sz="12" w:space="0"/>
              <w:bottom w:val="single" w:color="auto" w:sz="12" w:space="0"/>
              <w:right w:val="single" w:color="auto" w:sz="12" w:space="0"/>
            </w:tcBorders>
            <w:vAlign w:val="center"/>
          </w:tcPr>
          <w:p w14:paraId="563CFEBC">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14:paraId="6711226B">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bl>
    <w:p w14:paraId="50B28685">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2934DE40">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1111E4C9">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32CDF649">
      <w:pPr>
        <w:ind w:firstLine="361" w:firstLineChars="200"/>
        <w:rPr>
          <w:rFonts w:ascii="宋体" w:hAnsi="宋体"/>
          <w:b/>
          <w:sz w:val="18"/>
          <w:szCs w:val="18"/>
        </w:rPr>
      </w:pPr>
      <w:r>
        <w:rPr>
          <w:rFonts w:hint="eastAsia" w:ascii="宋体" w:hAnsi="宋体"/>
          <w:b/>
          <w:sz w:val="18"/>
          <w:szCs w:val="18"/>
        </w:rPr>
        <w:t>三、关于理财产品的信息披露</w:t>
      </w:r>
    </w:p>
    <w:p w14:paraId="7E7E9A6B">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733D7EAF">
      <w:pPr>
        <w:ind w:firstLine="361" w:firstLineChars="200"/>
        <w:rPr>
          <w:rFonts w:asciiTheme="minorEastAsia" w:hAnsiTheme="minorEastAsia"/>
          <w:b/>
          <w:sz w:val="18"/>
          <w:szCs w:val="18"/>
        </w:rPr>
      </w:pPr>
      <w:r>
        <w:rPr>
          <w:rFonts w:hint="eastAsia" w:ascii="宋体" w:hAnsi="宋体"/>
          <w:b/>
          <w:sz w:val="18"/>
          <w:szCs w:val="18"/>
        </w:rPr>
        <w:t>四、关于投诉与建议</w:t>
      </w:r>
    </w:p>
    <w:p w14:paraId="77036628">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4530FED4">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39095CDD">
      <w:pPr>
        <w:ind w:firstLine="360" w:firstLineChars="200"/>
        <w:rPr>
          <w:rFonts w:ascii="宋体" w:hAnsi="宋体"/>
          <w:sz w:val="18"/>
          <w:szCs w:val="18"/>
        </w:rPr>
      </w:pPr>
      <w:r>
        <w:rPr>
          <w:rFonts w:hint="eastAsia" w:ascii="宋体" w:hAnsi="宋体"/>
          <w:sz w:val="18"/>
          <w:szCs w:val="18"/>
        </w:rPr>
        <w:t>1.产品管理人：兴银理财有限责任公司</w:t>
      </w:r>
    </w:p>
    <w:p w14:paraId="3FC70406">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1DCAB45E">
      <w:pPr>
        <w:spacing w:line="280" w:lineRule="atLeast"/>
        <w:ind w:firstLine="360" w:firstLineChars="200"/>
        <w:rPr>
          <w:rFonts w:ascii="宋体" w:hAnsi="宋体"/>
          <w:sz w:val="18"/>
          <w:szCs w:val="18"/>
        </w:rPr>
      </w:pPr>
    </w:p>
    <w:p w14:paraId="4C94D25E">
      <w:pPr>
        <w:ind w:firstLine="360" w:firstLineChars="200"/>
        <w:rPr>
          <w:rFonts w:ascii="宋体" w:hAnsi="宋体"/>
          <w:sz w:val="18"/>
          <w:szCs w:val="18"/>
        </w:rPr>
      </w:pPr>
    </w:p>
    <w:p w14:paraId="1D833C55">
      <w:pPr>
        <w:ind w:right="84" w:rightChars="40"/>
        <w:jc w:val="right"/>
        <w:rPr>
          <w:rFonts w:ascii="宋体" w:hAnsi="宋体"/>
          <w:sz w:val="18"/>
          <w:szCs w:val="18"/>
        </w:rPr>
      </w:pPr>
    </w:p>
    <w:p w14:paraId="45844E2B">
      <w:pPr>
        <w:widowControl/>
        <w:jc w:val="left"/>
        <w:rPr>
          <w:rFonts w:ascii="宋体" w:hAnsi="宋体"/>
          <w:b/>
          <w:sz w:val="28"/>
          <w:szCs w:val="28"/>
        </w:rPr>
      </w:pPr>
      <w:r>
        <w:rPr>
          <w:rFonts w:ascii="宋体" w:hAnsi="宋体"/>
          <w:b/>
          <w:sz w:val="28"/>
          <w:szCs w:val="28"/>
        </w:rPr>
        <w:br w:type="page"/>
      </w:r>
      <w:bookmarkStart w:id="222" w:name="_GoBack"/>
      <w:bookmarkEnd w:id="222"/>
    </w:p>
    <w:p w14:paraId="5EB6401C">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【兴银理财稳利恒盈封闭式2026年828期固收类理财产品】</w:t>
      </w:r>
    </w:p>
    <w:p w14:paraId="196AE876">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4823483D">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59EF79D8">
      <w:pPr>
        <w:spacing w:line="280" w:lineRule="atLeast"/>
        <w:rPr>
          <w:rFonts w:ascii="宋体" w:hAnsi="宋体"/>
          <w:b/>
          <w:sz w:val="18"/>
          <w:szCs w:val="18"/>
        </w:rPr>
      </w:pPr>
      <w:r>
        <w:rPr>
          <w:rFonts w:hint="eastAsia" w:ascii="宋体" w:hAnsi="宋体"/>
          <w:b/>
          <w:sz w:val="18"/>
          <w:szCs w:val="18"/>
        </w:rPr>
        <w:t>尊敬的投资者：</w:t>
      </w:r>
    </w:p>
    <w:p w14:paraId="071035EA">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78D44256">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7FECACD4">
      <w:pPr>
        <w:spacing w:line="280" w:lineRule="atLeast"/>
        <w:ind w:firstLine="360" w:firstLineChars="200"/>
        <w:rPr>
          <w:rFonts w:ascii="宋体" w:hAnsi="宋体"/>
          <w:sz w:val="18"/>
          <w:szCs w:val="18"/>
        </w:rPr>
      </w:pPr>
    </w:p>
    <w:p w14:paraId="6CDA6276">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2D528369">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61CA4004">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95043B9">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6289512">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3C0F2C67">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2138FFFC">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10B18A0F">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15774BA0">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4114650B">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投资者风险承受能力，机构投资者由低至高分为【C</w:t>
      </w:r>
      <w:r>
        <w:rPr>
          <w:rFonts w:ascii="宋体" w:hAnsi="宋体"/>
          <w:sz w:val="18"/>
          <w:szCs w:val="18"/>
        </w:rPr>
        <w:t>1</w:t>
      </w:r>
      <w:r>
        <w:rPr>
          <w:rFonts w:hint="eastAsia" w:ascii="宋体" w:hAnsi="宋体"/>
          <w:sz w:val="18"/>
          <w:szCs w:val="18"/>
        </w:rPr>
        <w:t>-C</w:t>
      </w:r>
      <w:r>
        <w:rPr>
          <w:rFonts w:ascii="宋体" w:hAnsi="宋体"/>
          <w:sz w:val="18"/>
          <w:szCs w:val="18"/>
        </w:rPr>
        <w:t>5</w:t>
      </w:r>
      <w:r>
        <w:rPr>
          <w:rFonts w:hint="eastAsia" w:ascii="宋体" w:hAnsi="宋体"/>
          <w:sz w:val="18"/>
          <w:szCs w:val="18"/>
        </w:rPr>
        <w:t>五个等级】</w:t>
      </w:r>
      <w:r>
        <w:rPr>
          <w:rFonts w:ascii="宋体" w:hAnsi="宋体"/>
          <w:sz w:val="18"/>
          <w:szCs w:val="18"/>
        </w:rPr>
        <w:t>。其中，</w:t>
      </w:r>
      <w:r>
        <w:rPr>
          <w:rFonts w:hint="eastAsia" w:ascii="宋体" w:hAnsi="宋体"/>
          <w:sz w:val="18"/>
          <w:szCs w:val="18"/>
        </w:rPr>
        <w:t>【</w:t>
      </w:r>
      <w:r>
        <w:rPr>
          <w:rFonts w:hint="eastAsia" w:ascii="宋体" w:hAnsi="宋体"/>
          <w:sz w:val="18"/>
          <w:szCs w:val="18"/>
          <w:lang w:val="en-US" w:eastAsia="zh-CN"/>
        </w:rPr>
        <w:t>C1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hint="eastAsia" w:ascii="宋体" w:hAnsi="宋体"/>
          <w:sz w:val="18"/>
          <w:szCs w:val="18"/>
          <w:lang w:val="en-US" w:eastAsia="zh-CN"/>
        </w:rPr>
        <w:t>C5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3ACF65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54388964">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2FC46266">
            <w:pPr>
              <w:jc w:val="center"/>
              <w:rPr>
                <w:rFonts w:ascii="宋体" w:hAnsi="宋体"/>
                <w:sz w:val="18"/>
                <w:szCs w:val="18"/>
              </w:rPr>
            </w:pPr>
            <w:r>
              <w:rPr>
                <w:rFonts w:hint="eastAsia" w:ascii="宋体" w:hAnsi="宋体"/>
                <w:sz w:val="18"/>
                <w:szCs w:val="18"/>
              </w:rPr>
              <w:t>对应的投资者风险承受能力评级</w:t>
            </w:r>
          </w:p>
        </w:tc>
      </w:tr>
      <w:tr w14:paraId="518722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7C470525">
            <w:pPr>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40" w:type="dxa"/>
            <w:tcBorders>
              <w:top w:val="single" w:color="auto" w:sz="12" w:space="0"/>
              <w:left w:val="single" w:color="auto" w:sz="12" w:space="0"/>
              <w:bottom w:val="single" w:color="auto" w:sz="12" w:space="0"/>
              <w:right w:val="single" w:color="auto" w:sz="12" w:space="0"/>
            </w:tcBorders>
            <w:vAlign w:val="center"/>
          </w:tcPr>
          <w:p w14:paraId="3948B45E">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65" w:type="dxa"/>
            <w:tcBorders>
              <w:top w:val="single" w:color="auto" w:sz="12" w:space="0"/>
              <w:left w:val="single" w:color="auto" w:sz="12" w:space="0"/>
              <w:bottom w:val="single" w:color="auto" w:sz="12" w:space="0"/>
              <w:right w:val="single" w:color="auto" w:sz="12" w:space="0"/>
            </w:tcBorders>
            <w:vAlign w:val="center"/>
          </w:tcPr>
          <w:p w14:paraId="45DB457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2A65FD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CEA402F">
            <w:pPr>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40" w:type="dxa"/>
            <w:tcBorders>
              <w:top w:val="single" w:color="auto" w:sz="12" w:space="0"/>
              <w:left w:val="single" w:color="auto" w:sz="12" w:space="0"/>
              <w:bottom w:val="single" w:color="auto" w:sz="12" w:space="0"/>
              <w:right w:val="single" w:color="auto" w:sz="12" w:space="0"/>
            </w:tcBorders>
            <w:vAlign w:val="center"/>
          </w:tcPr>
          <w:p w14:paraId="27725E3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2DE45D3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09F5BC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1E7935D2">
            <w:pPr>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40" w:type="dxa"/>
            <w:tcBorders>
              <w:top w:val="single" w:color="auto" w:sz="12" w:space="0"/>
              <w:left w:val="single" w:color="auto" w:sz="12" w:space="0"/>
              <w:bottom w:val="single" w:color="auto" w:sz="12" w:space="0"/>
              <w:right w:val="single" w:color="auto" w:sz="12" w:space="0"/>
            </w:tcBorders>
            <w:vAlign w:val="center"/>
          </w:tcPr>
          <w:p w14:paraId="072F5067">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73C5ADF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35ADE2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124EFDD6">
            <w:pPr>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40" w:type="dxa"/>
            <w:tcBorders>
              <w:top w:val="single" w:color="auto" w:sz="12" w:space="0"/>
              <w:left w:val="single" w:color="auto" w:sz="12" w:space="0"/>
              <w:bottom w:val="single" w:color="auto" w:sz="12" w:space="0"/>
              <w:right w:val="single" w:color="auto" w:sz="12" w:space="0"/>
            </w:tcBorders>
            <w:vAlign w:val="center"/>
          </w:tcPr>
          <w:p w14:paraId="766B135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65" w:type="dxa"/>
            <w:tcBorders>
              <w:top w:val="single" w:color="auto" w:sz="12" w:space="0"/>
              <w:left w:val="single" w:color="auto" w:sz="12" w:space="0"/>
              <w:bottom w:val="single" w:color="auto" w:sz="12" w:space="0"/>
              <w:right w:val="single" w:color="auto" w:sz="12" w:space="0"/>
            </w:tcBorders>
            <w:vAlign w:val="center"/>
          </w:tcPr>
          <w:p w14:paraId="7BC9873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20E9AB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7BBBA2AE">
            <w:pPr>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40" w:type="dxa"/>
            <w:tcBorders>
              <w:top w:val="single" w:color="auto" w:sz="12" w:space="0"/>
              <w:left w:val="single" w:color="auto" w:sz="12" w:space="0"/>
              <w:bottom w:val="single" w:color="auto" w:sz="12" w:space="0"/>
              <w:right w:val="single" w:color="auto" w:sz="12" w:space="0"/>
            </w:tcBorders>
            <w:vAlign w:val="center"/>
          </w:tcPr>
          <w:p w14:paraId="3360F122">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14:paraId="43016815">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bl>
    <w:p w14:paraId="0991B75F">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61CFD1FB">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775148A3">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20E6742">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0BAFBB84">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0F9A2DF2">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7783A0A0">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1D07B47B">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7A2BDCC9">
      <w:pPr>
        <w:spacing w:line="280" w:lineRule="atLeast"/>
        <w:ind w:firstLine="360" w:firstLineChars="200"/>
        <w:rPr>
          <w:rFonts w:ascii="宋体" w:hAnsi="宋体"/>
          <w:sz w:val="18"/>
          <w:szCs w:val="18"/>
        </w:rPr>
      </w:pPr>
      <w:r>
        <w:rPr>
          <w:rFonts w:hint="eastAsia" w:ascii="宋体" w:hAnsi="宋体"/>
          <w:sz w:val="18"/>
          <w:szCs w:val="18"/>
        </w:rPr>
        <w:t>（二）联络方式：</w:t>
      </w:r>
    </w:p>
    <w:p w14:paraId="4C493AFF">
      <w:pPr>
        <w:ind w:firstLine="360" w:firstLineChars="200"/>
        <w:rPr>
          <w:rFonts w:ascii="宋体" w:hAnsi="宋体"/>
          <w:sz w:val="18"/>
          <w:szCs w:val="18"/>
        </w:rPr>
      </w:pPr>
      <w:r>
        <w:rPr>
          <w:rFonts w:hint="eastAsia" w:ascii="宋体" w:hAnsi="宋体"/>
          <w:sz w:val="18"/>
          <w:szCs w:val="18"/>
        </w:rPr>
        <w:t>1.产品管理人：兴银理财有限责任公司</w:t>
      </w:r>
    </w:p>
    <w:p w14:paraId="72207EB2">
      <w:pPr>
        <w:ind w:firstLine="360" w:firstLineChars="200"/>
        <w:rPr>
          <w:rFonts w:ascii="宋体" w:hAnsi="宋体"/>
          <w:sz w:val="18"/>
          <w:szCs w:val="18"/>
        </w:rPr>
      </w:pPr>
      <w:r>
        <w:rPr>
          <w:rFonts w:hint="eastAsia" w:ascii="宋体" w:hAnsi="宋体"/>
          <w:sz w:val="18"/>
          <w:szCs w:val="18"/>
        </w:rPr>
        <w:t>客户服务热线：40015-95561。</w:t>
      </w:r>
    </w:p>
    <w:p w14:paraId="7B2D0600">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w:t>
      </w:r>
    </w:p>
    <w:p w14:paraId="72A36EC9">
      <w:pPr>
        <w:spacing w:line="280" w:lineRule="atLeast"/>
        <w:ind w:firstLine="360" w:firstLineChars="200"/>
        <w:rPr>
          <w:rFonts w:ascii="宋体" w:hAnsi="宋体"/>
          <w:sz w:val="18"/>
          <w:szCs w:val="18"/>
        </w:rPr>
      </w:pPr>
      <w:r>
        <w:rPr>
          <w:rFonts w:hint="eastAsia" w:ascii="宋体" w:hAnsi="宋体"/>
          <w:sz w:val="18"/>
          <w:szCs w:val="18"/>
        </w:rPr>
        <w:t>【】</w:t>
      </w:r>
    </w:p>
    <w:p w14:paraId="2B533978">
      <w:pPr>
        <w:autoSpaceDE w:val="0"/>
        <w:autoSpaceDN w:val="0"/>
        <w:adjustRightInd w:val="0"/>
        <w:spacing w:line="280" w:lineRule="atLeast"/>
        <w:jc w:val="left"/>
        <w:rPr>
          <w:rFonts w:ascii="仿宋_GB2312" w:eastAsia="仿宋_GB2312" w:cs="仿宋_GB2312"/>
          <w:color w:val="000000"/>
          <w:kern w:val="0"/>
          <w:sz w:val="24"/>
          <w:szCs w:val="24"/>
        </w:rPr>
      </w:pPr>
    </w:p>
    <w:p w14:paraId="1206912E">
      <w:pPr>
        <w:widowControl/>
        <w:spacing w:line="280" w:lineRule="atLeast"/>
        <w:jc w:val="left"/>
        <w:rPr>
          <w:rFonts w:ascii="宋体" w:hAnsi="宋体"/>
          <w:b/>
          <w:sz w:val="28"/>
          <w:szCs w:val="28"/>
        </w:rPr>
      </w:pPr>
    </w:p>
    <w:p w14:paraId="637C9001">
      <w:pPr>
        <w:ind w:firstLine="360" w:firstLineChars="200"/>
        <w:rPr>
          <w:rFonts w:ascii="宋体" w:hAnsi="宋体"/>
          <w:sz w:val="18"/>
          <w:szCs w:val="18"/>
        </w:rPr>
      </w:pPr>
    </w:p>
    <w:p w14:paraId="34853097">
      <w:pPr>
        <w:autoSpaceDE w:val="0"/>
        <w:autoSpaceDN w:val="0"/>
        <w:adjustRightInd w:val="0"/>
        <w:spacing w:line="280" w:lineRule="atLeast"/>
        <w:jc w:val="left"/>
        <w:rPr>
          <w:rFonts w:ascii="仿宋_GB2312" w:eastAsia="仿宋_GB2312" w:cs="仿宋_GB2312"/>
          <w:color w:val="000000"/>
          <w:kern w:val="0"/>
          <w:sz w:val="24"/>
          <w:szCs w:val="24"/>
        </w:rPr>
      </w:pPr>
    </w:p>
    <w:p w14:paraId="7F840863">
      <w:pPr>
        <w:widowControl/>
        <w:spacing w:line="280" w:lineRule="atLeast"/>
        <w:jc w:val="left"/>
      </w:pPr>
    </w:p>
    <w:p w14:paraId="0275CB01"/>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A3ADA9-23EC-4AA5-BB3B-A607DC12880B}"/>
  </w:font>
  <w:font w:name="黑体">
    <w:panose1 w:val="02010609060101010101"/>
    <w:charset w:val="86"/>
    <w:family w:val="auto"/>
    <w:pitch w:val="default"/>
    <w:sig w:usb0="800002BF" w:usb1="38CF7CFA" w:usb2="00000016" w:usb3="00000000" w:csb0="00040001" w:csb1="00000000"/>
    <w:embedRegular r:id="rId2" w:fontKey="{C0F0D42F-FAE6-4C1A-970C-8EFB884B87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4756795-51EE-40DF-852B-172CC57B9741}"/>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D1EED89D-1EB6-425D-BD56-53B05032B3C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DCC321EE-22CD-4F9E-8F04-D038C12848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6DE695E7">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D726">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186FFE26">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787E49F0">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DF92">
    <w:pPr>
      <w:pStyle w:val="4"/>
      <w:jc w:val="right"/>
      <w:rPr>
        <w:b/>
      </w:rPr>
    </w:pPr>
    <w:r>
      <w:rPr>
        <w:rFonts w:hint="eastAsia"/>
        <w:b/>
      </w:rPr>
      <w:t>投资协议书</w:t>
    </w:r>
  </w:p>
  <w:p w14:paraId="4F6D7612">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ABB0">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2354CC73">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9F38">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75E5064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913A">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2B5FCE4F">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4954">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098D46B2">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8756D"/>
    <w:rsid w:val="273E166F"/>
    <w:rsid w:val="2BBE5BA7"/>
    <w:rsid w:val="46C93F4B"/>
    <w:rsid w:val="637F58C5"/>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17637</Words>
  <Characters>18313</Characters>
  <Lines>0</Lines>
  <Paragraphs>0</Paragraphs>
  <TotalTime>0</TotalTime>
  <ScaleCrop>false</ScaleCrop>
  <LinksUpToDate>false</LinksUpToDate>
  <CharactersWithSpaces>18625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2026-05-11T09:51:30Z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A5C21DA01FEC482081F70B360E58590E_12</vt:lpwstr>
  </property>
</Properties>
</file>